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FB23" w14:textId="77777777" w:rsidR="00202C07" w:rsidRDefault="00202C07" w:rsidP="008E03AF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2DDD4143" w14:textId="77777777" w:rsidR="00202C07" w:rsidRDefault="00202C07" w:rsidP="008E03AF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</w:p>
    <w:p w14:paraId="1C1D6F20" w14:textId="77777777" w:rsidR="00202C07" w:rsidRDefault="00202C07" w:rsidP="008E03AF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</w:p>
    <w:p w14:paraId="303CD28D" w14:textId="77777777" w:rsidR="00202C07" w:rsidRDefault="00202C07" w:rsidP="008E03AF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</w:p>
    <w:p w14:paraId="28664058" w14:textId="77777777" w:rsidR="00F225D3" w:rsidRDefault="00F225D3" w:rsidP="008E03AF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</w:p>
    <w:p w14:paraId="75BF30A1" w14:textId="77777777" w:rsidR="00287E09" w:rsidRPr="00287E09" w:rsidRDefault="00287E09" w:rsidP="00287E09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7E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MEMORANDUM</w:t>
      </w:r>
    </w:p>
    <w:p w14:paraId="42B98753" w14:textId="77777777" w:rsidR="00287E09" w:rsidRPr="00287E09" w:rsidRDefault="00287E09" w:rsidP="00287E0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895849" w14:textId="77777777" w:rsidR="00287E09" w:rsidRPr="00287E09" w:rsidRDefault="00287E09" w:rsidP="00287E09">
      <w:pPr>
        <w:rPr>
          <w:rFonts w:ascii="Times New Roman" w:eastAsia="Times New Roman" w:hAnsi="Times New Roman" w:cs="Times New Roman"/>
          <w:b/>
          <w:lang w:eastAsia="en-US"/>
        </w:rPr>
      </w:pPr>
      <w:r w:rsidRPr="00287E09">
        <w:rPr>
          <w:rFonts w:ascii="Times New Roman" w:eastAsia="Times New Roman" w:hAnsi="Times New Roman" w:cs="Times New Roman"/>
          <w:b/>
          <w:lang w:eastAsia="en-US"/>
        </w:rPr>
        <w:t xml:space="preserve">TO:  </w:t>
      </w:r>
      <w:r w:rsidRPr="00287E09">
        <w:rPr>
          <w:rFonts w:ascii="Times New Roman" w:eastAsia="Times New Roman" w:hAnsi="Times New Roman" w:cs="Times New Roman"/>
          <w:b/>
          <w:lang w:eastAsia="en-US"/>
        </w:rPr>
        <w:tab/>
      </w:r>
      <w:r w:rsidRPr="00287E09">
        <w:rPr>
          <w:rFonts w:ascii="Times New Roman" w:eastAsia="Times New Roman" w:hAnsi="Times New Roman" w:cs="Times New Roman"/>
          <w:b/>
          <w:lang w:eastAsia="en-US"/>
        </w:rPr>
        <w:tab/>
      </w:r>
      <w:r w:rsidRPr="00287E09">
        <w:rPr>
          <w:rFonts w:ascii="Times New Roman" w:eastAsia="Times New Roman" w:hAnsi="Times New Roman" w:cs="Times New Roman"/>
          <w:lang w:eastAsia="en-US"/>
        </w:rPr>
        <w:t>Local Government Officials and Other Interested Parties</w:t>
      </w:r>
    </w:p>
    <w:p w14:paraId="4A0CE041" w14:textId="77777777" w:rsidR="00287E09" w:rsidRPr="00287E09" w:rsidRDefault="00287E09" w:rsidP="00287E09">
      <w:pPr>
        <w:rPr>
          <w:rFonts w:ascii="Times New Roman" w:eastAsia="Times New Roman" w:hAnsi="Times New Roman" w:cs="Times New Roman"/>
          <w:b/>
          <w:lang w:eastAsia="en-US"/>
        </w:rPr>
      </w:pPr>
    </w:p>
    <w:p w14:paraId="6B04017E" w14:textId="2371243B" w:rsidR="00287E09" w:rsidRPr="00287E09" w:rsidRDefault="00287E09" w:rsidP="00287E09">
      <w:pPr>
        <w:rPr>
          <w:rFonts w:ascii="Times New Roman" w:eastAsia="Times New Roman" w:hAnsi="Times New Roman" w:cs="Times New Roman"/>
          <w:lang w:eastAsia="en-US"/>
        </w:rPr>
      </w:pPr>
      <w:r w:rsidRPr="00287E09">
        <w:rPr>
          <w:rFonts w:ascii="Times New Roman" w:eastAsia="Times New Roman" w:hAnsi="Times New Roman" w:cs="Times New Roman"/>
          <w:b/>
          <w:lang w:eastAsia="en-US"/>
        </w:rPr>
        <w:t xml:space="preserve">FROM:  </w:t>
      </w:r>
      <w:r w:rsidRPr="00287E09">
        <w:rPr>
          <w:rFonts w:ascii="Times New Roman" w:eastAsia="Times New Roman" w:hAnsi="Times New Roman" w:cs="Times New Roman"/>
          <w:b/>
          <w:lang w:eastAsia="en-US"/>
        </w:rPr>
        <w:tab/>
      </w:r>
      <w:r w:rsidRPr="00287E09">
        <w:rPr>
          <w:rFonts w:ascii="Times New Roman" w:eastAsia="Times New Roman" w:hAnsi="Times New Roman" w:cs="Times New Roman"/>
          <w:lang w:eastAsia="en-US"/>
        </w:rPr>
        <w:t xml:space="preserve">Iris </w:t>
      </w:r>
      <w:r w:rsidR="00A74970">
        <w:rPr>
          <w:rFonts w:ascii="Times New Roman" w:eastAsia="Times New Roman" w:hAnsi="Times New Roman" w:cs="Times New Roman"/>
          <w:lang w:eastAsia="en-US"/>
        </w:rPr>
        <w:t xml:space="preserve">C. </w:t>
      </w:r>
      <w:r w:rsidRPr="00287E09">
        <w:rPr>
          <w:rFonts w:ascii="Times New Roman" w:eastAsia="Times New Roman" w:hAnsi="Times New Roman" w:cs="Times New Roman"/>
          <w:lang w:eastAsia="en-US"/>
        </w:rPr>
        <w:t>Payne, Director</w:t>
      </w:r>
    </w:p>
    <w:p w14:paraId="13BA1D7C" w14:textId="77777777" w:rsidR="00287E09" w:rsidRPr="00287E09" w:rsidRDefault="00287E09" w:rsidP="00287E09">
      <w:pPr>
        <w:rPr>
          <w:rFonts w:ascii="Times New Roman" w:eastAsia="Times New Roman" w:hAnsi="Times New Roman" w:cs="Times New Roman"/>
          <w:lang w:eastAsia="en-US"/>
        </w:rPr>
      </w:pPr>
      <w:r w:rsidRPr="00287E09">
        <w:rPr>
          <w:rFonts w:ascii="Times New Roman" w:eastAsia="Times New Roman" w:hAnsi="Times New Roman" w:cs="Times New Roman"/>
          <w:lang w:eastAsia="en-US"/>
        </w:rPr>
        <w:tab/>
        <w:t xml:space="preserve">    </w:t>
      </w:r>
      <w:r w:rsidRPr="00287E09">
        <w:rPr>
          <w:rFonts w:ascii="Times New Roman" w:eastAsia="Times New Roman" w:hAnsi="Times New Roman" w:cs="Times New Roman"/>
          <w:lang w:eastAsia="en-US"/>
        </w:rPr>
        <w:tab/>
        <w:t xml:space="preserve">Division of Rural Economic Development  </w:t>
      </w:r>
    </w:p>
    <w:p w14:paraId="6609E84C" w14:textId="77777777" w:rsidR="00287E09" w:rsidRPr="00287E09" w:rsidRDefault="00287E09" w:rsidP="00287E09">
      <w:pPr>
        <w:rPr>
          <w:rFonts w:ascii="Times New Roman" w:eastAsia="Times New Roman" w:hAnsi="Times New Roman" w:cs="Times New Roman"/>
          <w:lang w:eastAsia="en-US"/>
        </w:rPr>
      </w:pPr>
    </w:p>
    <w:p w14:paraId="2521AC0A" w14:textId="64A9FF08" w:rsidR="00287E09" w:rsidRPr="00287E09" w:rsidRDefault="00287E09" w:rsidP="00287E09">
      <w:pPr>
        <w:rPr>
          <w:rFonts w:ascii="Times New Roman" w:eastAsia="Times New Roman" w:hAnsi="Times New Roman" w:cs="Times New Roman"/>
          <w:b/>
          <w:lang w:eastAsia="en-US"/>
        </w:rPr>
      </w:pPr>
      <w:r w:rsidRPr="00287E09">
        <w:rPr>
          <w:rFonts w:ascii="Times New Roman" w:eastAsia="Times New Roman" w:hAnsi="Times New Roman" w:cs="Times New Roman"/>
          <w:b/>
          <w:lang w:eastAsia="en-US"/>
        </w:rPr>
        <w:t xml:space="preserve">DATE: </w:t>
      </w:r>
      <w:r w:rsidRPr="00287E09">
        <w:rPr>
          <w:rFonts w:ascii="Times New Roman" w:eastAsia="Times New Roman" w:hAnsi="Times New Roman" w:cs="Times New Roman"/>
          <w:b/>
          <w:lang w:eastAsia="en-US"/>
        </w:rPr>
        <w:tab/>
      </w:r>
      <w:r w:rsidR="00BE3142">
        <w:rPr>
          <w:rFonts w:ascii="Times New Roman" w:eastAsia="Times New Roman" w:hAnsi="Times New Roman" w:cs="Times New Roman"/>
          <w:lang w:eastAsia="en-US"/>
        </w:rPr>
        <w:t xml:space="preserve">April </w:t>
      </w:r>
      <w:r w:rsidR="006C17F5">
        <w:rPr>
          <w:rFonts w:ascii="Times New Roman" w:eastAsia="Times New Roman" w:hAnsi="Times New Roman" w:cs="Times New Roman"/>
          <w:lang w:eastAsia="en-US"/>
        </w:rPr>
        <w:t>30</w:t>
      </w:r>
      <w:r w:rsidR="00BE3142">
        <w:rPr>
          <w:rFonts w:ascii="Times New Roman" w:eastAsia="Times New Roman" w:hAnsi="Times New Roman" w:cs="Times New Roman"/>
          <w:lang w:eastAsia="en-US"/>
        </w:rPr>
        <w:t>, 2020</w:t>
      </w:r>
    </w:p>
    <w:p w14:paraId="17D1BBD9" w14:textId="77777777" w:rsidR="00287E09" w:rsidRPr="00287E09" w:rsidRDefault="00287E09" w:rsidP="00287E09">
      <w:pPr>
        <w:rPr>
          <w:rFonts w:ascii="Times New Roman" w:eastAsia="Times New Roman" w:hAnsi="Times New Roman" w:cs="Times New Roman"/>
          <w:b/>
          <w:lang w:eastAsia="en-US"/>
        </w:rPr>
      </w:pPr>
    </w:p>
    <w:p w14:paraId="642040DB" w14:textId="53043627" w:rsidR="00287E09" w:rsidRPr="00287E09" w:rsidRDefault="00287E09" w:rsidP="00287E09">
      <w:pPr>
        <w:keepNext/>
        <w:outlineLvl w:val="0"/>
        <w:rPr>
          <w:rFonts w:ascii="Times New Roman" w:eastAsia="Times New Roman" w:hAnsi="Times New Roman" w:cs="Times New Roman"/>
          <w:bCs/>
          <w:lang w:eastAsia="en-US"/>
        </w:rPr>
      </w:pPr>
      <w:r w:rsidRPr="00287E09">
        <w:rPr>
          <w:rFonts w:ascii="Times New Roman" w:eastAsia="Times New Roman" w:hAnsi="Times New Roman" w:cs="Times New Roman"/>
          <w:b/>
          <w:lang w:eastAsia="en-US"/>
        </w:rPr>
        <w:t xml:space="preserve">SUBJECT:  </w:t>
      </w:r>
      <w:r w:rsidRPr="00287E09">
        <w:rPr>
          <w:rFonts w:ascii="Times New Roman" w:eastAsia="Times New Roman" w:hAnsi="Times New Roman" w:cs="Times New Roman"/>
          <w:b/>
          <w:lang w:eastAsia="en-US"/>
        </w:rPr>
        <w:tab/>
      </w:r>
      <w:r w:rsidRPr="00287E09">
        <w:rPr>
          <w:rFonts w:ascii="Times New Roman" w:eastAsia="Times New Roman" w:hAnsi="Times New Roman" w:cs="Times New Roman"/>
          <w:bCs/>
          <w:lang w:eastAsia="en-US"/>
        </w:rPr>
        <w:t xml:space="preserve">Neighborhood Revitalization Program </w:t>
      </w:r>
    </w:p>
    <w:p w14:paraId="44650745" w14:textId="77777777" w:rsidR="00287E09" w:rsidRPr="00287E09" w:rsidRDefault="00287E09" w:rsidP="00287E09">
      <w:pPr>
        <w:rPr>
          <w:rFonts w:ascii="Times New Roman" w:eastAsia="Times New Roman" w:hAnsi="Times New Roman" w:cs="Times New Roman"/>
          <w:b/>
          <w:lang w:eastAsia="en-US"/>
        </w:rPr>
      </w:pPr>
    </w:p>
    <w:p w14:paraId="72D4C99D" w14:textId="77777777" w:rsidR="00287E09" w:rsidRPr="00287E09" w:rsidRDefault="00287E09" w:rsidP="00287E09">
      <w:pPr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3"/>
        <w:gridCol w:w="441"/>
        <w:gridCol w:w="6056"/>
      </w:tblGrid>
      <w:tr w:rsidR="00287E09" w:rsidRPr="00287E09" w14:paraId="53DC6D85" w14:textId="77777777" w:rsidTr="00087C03">
        <w:tc>
          <w:tcPr>
            <w:tcW w:w="2863" w:type="dxa"/>
            <w:gridSpan w:val="2"/>
            <w:hideMark/>
          </w:tcPr>
          <w:p w14:paraId="68478D49" w14:textId="77777777" w:rsidR="00287E09" w:rsidRPr="00287E09" w:rsidRDefault="00287E09" w:rsidP="00287E09">
            <w:pPr>
              <w:spacing w:line="256" w:lineRule="auto"/>
              <w:ind w:left="-111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Administering Agency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6497" w:type="dxa"/>
            <w:gridSpan w:val="2"/>
            <w:hideMark/>
          </w:tcPr>
          <w:p w14:paraId="62EA5C1B" w14:textId="03BCFF61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Division of Rural Economic Development (REDD), N.C. Department of Commerce, 301 North Wilmington Street, 4346 Mail Service Center, Raleigh, North Carolina, 27699-4346</w:t>
            </w:r>
          </w:p>
        </w:tc>
      </w:tr>
      <w:tr w:rsidR="00287E09" w:rsidRPr="00287E09" w14:paraId="77FB0F45" w14:textId="77777777" w:rsidTr="00087C03">
        <w:tc>
          <w:tcPr>
            <w:tcW w:w="2863" w:type="dxa"/>
            <w:gridSpan w:val="2"/>
          </w:tcPr>
          <w:p w14:paraId="4A626EDE" w14:textId="77777777" w:rsidR="00287E09" w:rsidRPr="00287E09" w:rsidRDefault="00287E09" w:rsidP="00287E09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97" w:type="dxa"/>
            <w:gridSpan w:val="2"/>
          </w:tcPr>
          <w:p w14:paraId="3D441589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7E09" w:rsidRPr="00287E09" w14:paraId="6C15FADC" w14:textId="77777777" w:rsidTr="00087C03">
        <w:tc>
          <w:tcPr>
            <w:tcW w:w="2863" w:type="dxa"/>
            <w:gridSpan w:val="2"/>
            <w:hideMark/>
          </w:tcPr>
          <w:p w14:paraId="7585B67C" w14:textId="77777777" w:rsidR="00287E09" w:rsidRPr="00287E09" w:rsidRDefault="00287E09" w:rsidP="00287E09">
            <w:pPr>
              <w:spacing w:line="256" w:lineRule="auto"/>
              <w:ind w:left="-111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Program Description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6497" w:type="dxa"/>
            <w:gridSpan w:val="2"/>
            <w:hideMark/>
          </w:tcPr>
          <w:p w14:paraId="25B6ACF5" w14:textId="73E14EFA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The Neighborhood Revitalization (NR) category is designed to provide grants to local unit of governments for housing, housing</w:t>
            </w:r>
            <w:r w:rsidR="00B90B31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related activities, and public facilities that support </w:t>
            </w:r>
            <w:r w:rsidR="00B90B31">
              <w:rPr>
                <w:rFonts w:ascii="Times New Roman" w:eastAsia="Times New Roman" w:hAnsi="Times New Roman" w:cs="Times New Roman"/>
                <w:lang w:eastAsia="en-US"/>
              </w:rPr>
              <w:t xml:space="preserve">prepare for, respond to, or prevent the </w:t>
            </w:r>
            <w:r w:rsidR="00026ED1">
              <w:rPr>
                <w:rFonts w:ascii="Times New Roman" w:eastAsia="Times New Roman" w:hAnsi="Times New Roman" w:cs="Times New Roman"/>
                <w:lang w:eastAsia="en-US"/>
              </w:rPr>
              <w:t>C</w:t>
            </w:r>
            <w:r w:rsidR="00B90B31">
              <w:rPr>
                <w:rFonts w:ascii="Times New Roman" w:eastAsia="Times New Roman" w:hAnsi="Times New Roman" w:cs="Times New Roman"/>
                <w:lang w:eastAsia="en-US"/>
              </w:rPr>
              <w:t xml:space="preserve">oronavirus (COVID-19).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Awards are made on a competitive basis based on the number of applications received compared to funding availability.     </w:t>
            </w:r>
          </w:p>
        </w:tc>
      </w:tr>
      <w:tr w:rsidR="00287E09" w:rsidRPr="00287E09" w14:paraId="4B26CAE5" w14:textId="77777777" w:rsidTr="00087C03">
        <w:tc>
          <w:tcPr>
            <w:tcW w:w="3304" w:type="dxa"/>
            <w:gridSpan w:val="3"/>
          </w:tcPr>
          <w:p w14:paraId="2245AB2E" w14:textId="77777777" w:rsidR="00287E09" w:rsidRPr="00287E09" w:rsidRDefault="00287E09" w:rsidP="00287E09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56" w:type="dxa"/>
          </w:tcPr>
          <w:p w14:paraId="65C4D4DB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7E09" w:rsidRPr="00287E09" w14:paraId="40E92919" w14:textId="77777777" w:rsidTr="00087C03">
        <w:tc>
          <w:tcPr>
            <w:tcW w:w="2840" w:type="dxa"/>
            <w:hideMark/>
          </w:tcPr>
          <w:p w14:paraId="2A429E44" w14:textId="77777777" w:rsidR="00287E09" w:rsidRPr="00287E09" w:rsidRDefault="00287E09" w:rsidP="00287E09">
            <w:pPr>
              <w:spacing w:line="256" w:lineRule="auto"/>
              <w:ind w:left="-111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Eligibility Guidelines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6520" w:type="dxa"/>
            <w:gridSpan w:val="3"/>
          </w:tcPr>
          <w:p w14:paraId="58BE5FD5" w14:textId="1B44FD72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ll municipalities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in North Carolina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are eligible to receive Small Cities CDBG funds</w:t>
            </w:r>
            <w:r w:rsidR="00D476D4">
              <w:rPr>
                <w:rFonts w:ascii="Times New Roman" w:eastAsia="Times New Roman" w:hAnsi="Times New Roman" w:cs="Times New Roman"/>
                <w:lang w:eastAsia="en-US"/>
              </w:rPr>
              <w:t xml:space="preserve"> with </w:t>
            </w:r>
            <w:r w:rsidR="00D476D4" w:rsidRPr="00C6324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special </w:t>
            </w:r>
            <w:r w:rsidR="00C63247" w:rsidRPr="00C6324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consideration for</w:t>
            </w:r>
            <w:r w:rsidR="00D476D4" w:rsidRPr="00C6324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</w:t>
            </w:r>
            <w:r w:rsidR="00075D3F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COVID-19</w:t>
            </w:r>
            <w:r w:rsidR="00D476D4" w:rsidRPr="00C6324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</w:t>
            </w:r>
            <w:r w:rsidR="006C17F5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impacted areas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e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xcept for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the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24 entitlement cities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in the state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that receive funds directly from the U.S. Department of Housing and Urban Development (HUD)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 The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North Carolina entitlement cities are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listed as follows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>Asheville, Burlington, Cary, Chapel Hill, Charlotte, Concord, Durham, Fayetteville, Gastonia, Goldsboro, Greensboro, Greenville, Hickory, High Point, Jacksonville, Kannapolis, Lenoir, Morganton, New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Bern,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Raleigh, Rocky Mount, Salisbury, Wilmington,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and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Winston-Salem.</w:t>
            </w:r>
          </w:p>
          <w:p w14:paraId="1A6F5303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BD04B65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All counties, except for the four HUD-designated urban counties of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>Wake, Cumberland, Mecklenburg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, and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>Union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are eligible to apply for Small Cities CDBG funds.  All municipalities in the two counties are ineligible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to apply for Small Cities CDBG funds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except the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>Town of Holly Springs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in Wake County and the </w:t>
            </w:r>
            <w:r w:rsidRPr="00287E09">
              <w:rPr>
                <w:rFonts w:ascii="Times New Roman" w:eastAsia="Times New Roman" w:hAnsi="Times New Roman" w:cs="Times New Roman"/>
                <w:b/>
                <w:lang w:eastAsia="en-US"/>
              </w:rPr>
              <w:t>Town of Linden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in Cumberland County.</w:t>
            </w:r>
          </w:p>
        </w:tc>
      </w:tr>
    </w:tbl>
    <w:p w14:paraId="4BDA81E4" w14:textId="77777777" w:rsidR="00287E09" w:rsidRPr="00287E09" w:rsidRDefault="00287E09" w:rsidP="00287E09">
      <w:pPr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6565"/>
      </w:tblGrid>
      <w:tr w:rsidR="009826EA" w:rsidRPr="00287E09" w14:paraId="292BA6EE" w14:textId="77777777" w:rsidTr="00087C03">
        <w:tc>
          <w:tcPr>
            <w:tcW w:w="2988" w:type="dxa"/>
            <w:hideMark/>
          </w:tcPr>
          <w:p w14:paraId="18B5F18E" w14:textId="77777777" w:rsidR="00287E09" w:rsidRPr="00287E09" w:rsidRDefault="00287E09" w:rsidP="00577505">
            <w:pPr>
              <w:tabs>
                <w:tab w:val="left" w:pos="696"/>
                <w:tab w:val="left" w:pos="879"/>
              </w:tabs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Source of Funds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7020" w:type="dxa"/>
          </w:tcPr>
          <w:p w14:paraId="17009361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Small Cities Community Development Block Grant (CDBG) Program, U.S. Department of Housing and Urban Development</w:t>
            </w:r>
          </w:p>
          <w:p w14:paraId="0C22ABF6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26EA" w:rsidRPr="00287E09" w14:paraId="4BF722B0" w14:textId="77777777" w:rsidTr="00087C03">
        <w:tc>
          <w:tcPr>
            <w:tcW w:w="2988" w:type="dxa"/>
            <w:hideMark/>
          </w:tcPr>
          <w:p w14:paraId="0AAFB289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Funding Level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7020" w:type="dxa"/>
            <w:hideMark/>
          </w:tcPr>
          <w:p w14:paraId="1160DC7B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Award Ceiling (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Maximum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$750,000 </w:t>
            </w:r>
          </w:p>
        </w:tc>
      </w:tr>
      <w:tr w:rsidR="009826EA" w:rsidRPr="00287E09" w14:paraId="748961F5" w14:textId="77777777" w:rsidTr="00087C03">
        <w:tc>
          <w:tcPr>
            <w:tcW w:w="2988" w:type="dxa"/>
          </w:tcPr>
          <w:p w14:paraId="62FAA921" w14:textId="77777777" w:rsidR="00287E09" w:rsidRPr="00287E09" w:rsidRDefault="00287E09" w:rsidP="00287E09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0" w:type="dxa"/>
          </w:tcPr>
          <w:p w14:paraId="4537461B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26EA" w:rsidRPr="00287E09" w14:paraId="15FA4472" w14:textId="77777777" w:rsidTr="00087C03">
        <w:tc>
          <w:tcPr>
            <w:tcW w:w="2988" w:type="dxa"/>
            <w:hideMark/>
          </w:tcPr>
          <w:p w14:paraId="557FE046" w14:textId="77777777" w:rsidR="00287E09" w:rsidRPr="00287E09" w:rsidRDefault="009826EA" w:rsidP="0057750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Funding </w:t>
            </w:r>
            <w:r w:rsidR="00287E09"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Available</w:t>
            </w:r>
            <w:r w:rsidR="00287E09"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7020" w:type="dxa"/>
            <w:hideMark/>
          </w:tcPr>
          <w:p w14:paraId="25CBC967" w14:textId="77777777" w:rsidR="00287E09" w:rsidRPr="00287E09" w:rsidRDefault="009826EA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$10,000,000</w:t>
            </w:r>
          </w:p>
        </w:tc>
      </w:tr>
      <w:tr w:rsidR="009826EA" w:rsidRPr="00287E09" w14:paraId="398D4854" w14:textId="77777777" w:rsidTr="00087C03">
        <w:tc>
          <w:tcPr>
            <w:tcW w:w="2988" w:type="dxa"/>
          </w:tcPr>
          <w:p w14:paraId="3D207C97" w14:textId="77777777" w:rsidR="00287E09" w:rsidRPr="00287E09" w:rsidRDefault="00287E09" w:rsidP="00287E09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0" w:type="dxa"/>
          </w:tcPr>
          <w:p w14:paraId="22588905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476CF" w:rsidRPr="00287E09" w14:paraId="4807EA05" w14:textId="77777777" w:rsidTr="00087C03">
        <w:tc>
          <w:tcPr>
            <w:tcW w:w="2988" w:type="dxa"/>
          </w:tcPr>
          <w:p w14:paraId="45114FB2" w14:textId="19A6A973" w:rsidR="009476CF" w:rsidRPr="00287E09" w:rsidRDefault="009476CF" w:rsidP="00287E0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2020 Updates</w:t>
            </w:r>
          </w:p>
        </w:tc>
        <w:tc>
          <w:tcPr>
            <w:tcW w:w="7020" w:type="dxa"/>
          </w:tcPr>
          <w:p w14:paraId="173DD29E" w14:textId="77777777" w:rsidR="009476CF" w:rsidRDefault="009476CF" w:rsidP="009476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The changes for the 2020 program:</w:t>
            </w:r>
          </w:p>
          <w:p w14:paraId="39C5C1BA" w14:textId="77777777" w:rsidR="009476CF" w:rsidRDefault="009476CF" w:rsidP="009476C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encourages COVID-19 response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projects;</w:t>
            </w:r>
            <w:proofErr w:type="gramEnd"/>
          </w:p>
          <w:p w14:paraId="72A5DD9A" w14:textId="77777777" w:rsidR="009476CF" w:rsidRDefault="009476CF" w:rsidP="009476C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increases substantial rehabilitation limits to $72,000 or $70 per square foot; and</w:t>
            </w:r>
          </w:p>
          <w:p w14:paraId="041B46DD" w14:textId="77777777" w:rsidR="009476CF" w:rsidRPr="00B46185" w:rsidRDefault="009476CF" w:rsidP="00B4618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6185">
              <w:rPr>
                <w:rFonts w:ascii="Times New Roman" w:eastAsia="Times New Roman" w:hAnsi="Times New Roman" w:cs="Times New Roman"/>
                <w:lang w:eastAsia="en-US"/>
              </w:rPr>
              <w:t>removes NC licensed home inspector requirements.</w:t>
            </w:r>
          </w:p>
          <w:p w14:paraId="442B311C" w14:textId="29141FF8" w:rsidR="009476CF" w:rsidRPr="00287E09" w:rsidRDefault="009476CF" w:rsidP="009476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26EA" w:rsidRPr="00287E09" w14:paraId="1C2F5E41" w14:textId="77777777" w:rsidTr="00087C03">
        <w:tc>
          <w:tcPr>
            <w:tcW w:w="2988" w:type="dxa"/>
            <w:hideMark/>
          </w:tcPr>
          <w:p w14:paraId="7C1C8B3D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Funding Cycle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7020" w:type="dxa"/>
          </w:tcPr>
          <w:p w14:paraId="6E16A35C" w14:textId="7B615021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Application</w:t>
            </w:r>
            <w:r w:rsidR="00802EB7">
              <w:rPr>
                <w:rFonts w:ascii="Times New Roman" w:eastAsia="Times New Roman" w:hAnsi="Times New Roman" w:cs="Times New Roman"/>
                <w:lang w:eastAsia="en-US"/>
              </w:rPr>
              <w:t>s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02EB7">
              <w:rPr>
                <w:rFonts w:ascii="Times New Roman" w:eastAsia="Times New Roman" w:hAnsi="Times New Roman" w:cs="Times New Roman"/>
                <w:lang w:eastAsia="en-US"/>
              </w:rPr>
              <w:t xml:space="preserve">are due by </w:t>
            </w:r>
            <w:r w:rsidR="00802EB7" w:rsidRPr="00802EB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4:00 PM on Monday, July 27</w:t>
            </w:r>
            <w:r w:rsidR="001E71B0" w:rsidRPr="00802EB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2020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="00802EB7">
              <w:rPr>
                <w:rFonts w:ascii="Times New Roman" w:eastAsia="Times New Roman" w:hAnsi="Times New Roman" w:cs="Times New Roman"/>
                <w:lang w:eastAsia="en-US"/>
              </w:rPr>
              <w:t xml:space="preserve">To acquire an application, please see </w:t>
            </w:r>
            <w:hyperlink r:id="rId8" w:history="1">
              <w:r w:rsidR="00802EB7" w:rsidRPr="00747B52">
                <w:rPr>
                  <w:rStyle w:val="Hyperlink"/>
                  <w:rFonts w:ascii="Times New Roman" w:eastAsia="Times New Roman" w:hAnsi="Times New Roman" w:cs="Times New Roman"/>
                  <w:lang w:eastAsia="en-US"/>
                </w:rPr>
                <w:t>www.nccommerce.com</w:t>
              </w:r>
            </w:hyperlink>
            <w:r w:rsidR="00802EB7">
              <w:rPr>
                <w:rFonts w:ascii="Times New Roman" w:eastAsia="Times New Roman" w:hAnsi="Times New Roman" w:cs="Times New Roman"/>
                <w:lang w:eastAsia="en-US"/>
              </w:rPr>
              <w:t xml:space="preserve"> or contact </w:t>
            </w:r>
            <w:r w:rsidR="00FD4B70">
              <w:rPr>
                <w:rFonts w:ascii="Times New Roman" w:eastAsia="Times New Roman" w:hAnsi="Times New Roman" w:cs="Times New Roman"/>
                <w:lang w:eastAsia="en-US"/>
              </w:rPr>
              <w:t>Valerie.Moore</w:t>
            </w:r>
            <w:r w:rsidR="001E71B0">
              <w:rPr>
                <w:rFonts w:ascii="Times New Roman" w:eastAsia="Times New Roman" w:hAnsi="Times New Roman" w:cs="Times New Roman"/>
                <w:lang w:eastAsia="en-US"/>
              </w:rPr>
              <w:t>@nccommerce.com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14:paraId="2F9C59D7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26EA" w:rsidRPr="00287E09" w14:paraId="3BD12177" w14:textId="77777777" w:rsidTr="00087C03">
        <w:tc>
          <w:tcPr>
            <w:tcW w:w="2988" w:type="dxa"/>
            <w:hideMark/>
          </w:tcPr>
          <w:p w14:paraId="603FB296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For Additional </w:t>
            </w:r>
          </w:p>
          <w:p w14:paraId="06B30F92" w14:textId="77777777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Information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7020" w:type="dxa"/>
            <w:hideMark/>
          </w:tcPr>
          <w:p w14:paraId="1E68F6CF" w14:textId="7549DDD2" w:rsidR="00287E09" w:rsidRPr="00287E09" w:rsidRDefault="00287E09" w:rsidP="00287E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 xml:space="preserve">Contact </w:t>
            </w:r>
            <w:r w:rsidR="00BE3142">
              <w:rPr>
                <w:rFonts w:ascii="Times New Roman" w:eastAsia="Times New Roman" w:hAnsi="Times New Roman" w:cs="Times New Roman"/>
                <w:lang w:eastAsia="en-US"/>
              </w:rPr>
              <w:t>Valerie D. Moore</w:t>
            </w:r>
            <w:r w:rsidR="001E71B0">
              <w:rPr>
                <w:rFonts w:ascii="Times New Roman" w:eastAsia="Times New Roman" w:hAnsi="Times New Roman" w:cs="Times New Roman"/>
                <w:lang w:eastAsia="en-US"/>
              </w:rPr>
              <w:t xml:space="preserve"> at (919) 814-46</w:t>
            </w:r>
            <w:r w:rsidR="00BE314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1E71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FD4B70">
              <w:rPr>
                <w:rFonts w:ascii="Times New Roman" w:eastAsia="Times New Roman" w:hAnsi="Times New Roman" w:cs="Times New Roman"/>
                <w:lang w:eastAsia="en-US"/>
              </w:rPr>
              <w:t xml:space="preserve"> (office),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(TDD 1-800-735-2962)</w:t>
            </w:r>
            <w:r w:rsidR="001C2A88">
              <w:rPr>
                <w:rFonts w:ascii="Times New Roman" w:eastAsia="Times New Roman" w:hAnsi="Times New Roman" w:cs="Times New Roman"/>
                <w:lang w:eastAsia="en-US"/>
              </w:rPr>
              <w:t xml:space="preserve">, or </w:t>
            </w:r>
            <w:hyperlink r:id="rId9" w:history="1">
              <w:r w:rsidR="001C2A88" w:rsidRPr="00F81581">
                <w:rPr>
                  <w:rStyle w:val="Hyperlink"/>
                  <w:rFonts w:ascii="Times New Roman" w:eastAsia="Times New Roman" w:hAnsi="Times New Roman" w:cs="Times New Roman"/>
                  <w:lang w:eastAsia="en-US"/>
                </w:rPr>
                <w:t>Valerie.Moore@nccommerce.com</w:t>
              </w:r>
            </w:hyperlink>
            <w:r w:rsidR="001C2A8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87E0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14:paraId="60FDA9E5" w14:textId="77777777" w:rsidR="00D440F3" w:rsidRPr="00A706D2" w:rsidRDefault="00D440F3" w:rsidP="00E7306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06D2">
        <w:rPr>
          <w:rFonts w:ascii="Times New Roman" w:hAnsi="Times New Roman" w:cs="Times New Roman"/>
          <w:sz w:val="20"/>
          <w:szCs w:val="20"/>
        </w:rPr>
        <w:tab/>
      </w:r>
    </w:p>
    <w:p w14:paraId="7E6BA3F5" w14:textId="77777777" w:rsidR="00E73060" w:rsidRPr="00EE3242" w:rsidRDefault="00E73060" w:rsidP="008E03A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0"/>
          <w:szCs w:val="20"/>
        </w:rPr>
      </w:pPr>
    </w:p>
    <w:p w14:paraId="027DF22E" w14:textId="77777777" w:rsidR="00202C07" w:rsidRPr="00C164EC" w:rsidRDefault="00202C07" w:rsidP="00202C07">
      <w:pPr>
        <w:autoSpaceDE w:val="0"/>
        <w:autoSpaceDN w:val="0"/>
        <w:adjustRightInd w:val="0"/>
        <w:spacing w:after="240"/>
        <w:rPr>
          <w:rFonts w:ascii="Times New Roman" w:hAnsi="Times New Roman" w:cs="Arial"/>
          <w:sz w:val="20"/>
          <w:szCs w:val="20"/>
        </w:rPr>
      </w:pPr>
    </w:p>
    <w:sectPr w:rsidR="00202C07" w:rsidRPr="00C164EC" w:rsidSect="00202C07">
      <w:headerReference w:type="default" r:id="rId10"/>
      <w:footerReference w:type="default" r:id="rId11"/>
      <w:headerReference w:type="first" r:id="rId12"/>
      <w:pgSz w:w="12240" w:h="15840"/>
      <w:pgMar w:top="1075" w:right="1440" w:bottom="252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3E8C" w14:textId="77777777" w:rsidR="006E7B46" w:rsidRDefault="006E7B46">
      <w:r>
        <w:separator/>
      </w:r>
    </w:p>
  </w:endnote>
  <w:endnote w:type="continuationSeparator" w:id="0">
    <w:p w14:paraId="7F6825F5" w14:textId="77777777" w:rsidR="006E7B46" w:rsidRDefault="006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F3A6" w14:textId="77777777" w:rsidR="00C164EC" w:rsidRPr="0098035F" w:rsidRDefault="00202C07" w:rsidP="0098035F">
    <w:pPr>
      <w:pStyle w:val="Footer"/>
      <w:tabs>
        <w:tab w:val="clear" w:pos="8640"/>
        <w:tab w:val="right" w:pos="10440"/>
      </w:tabs>
      <w:ind w:left="-1800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0" wp14:anchorId="550E7758" wp14:editId="270542DD">
          <wp:simplePos x="0" y="0"/>
          <wp:positionH relativeFrom="page">
            <wp:posOffset>0</wp:posOffset>
          </wp:positionH>
          <wp:positionV relativeFrom="page">
            <wp:posOffset>8846820</wp:posOffset>
          </wp:positionV>
          <wp:extent cx="7772400" cy="12115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1375-02 CltSportsFound_ltrhd w board.jpg"/>
                  <pic:cNvPicPr/>
                </pic:nvPicPr>
                <pic:blipFill rotWithShape="1">
                  <a:blip r:embed="rId1"/>
                  <a:srcRect t="87954"/>
                  <a:stretch/>
                </pic:blipFill>
                <pic:spPr bwMode="auto">
                  <a:xfrm>
                    <a:off x="0" y="0"/>
                    <a:ext cx="777240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9213" w14:textId="77777777" w:rsidR="006E7B46" w:rsidRDefault="006E7B46">
      <w:r>
        <w:separator/>
      </w:r>
    </w:p>
  </w:footnote>
  <w:footnote w:type="continuationSeparator" w:id="0">
    <w:p w14:paraId="4537FC63" w14:textId="77777777" w:rsidR="006E7B46" w:rsidRDefault="006E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E13E" w14:textId="77777777" w:rsidR="00C164EC" w:rsidRDefault="00C164EC" w:rsidP="0098035F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FD89" w14:textId="77777777" w:rsidR="00202C07" w:rsidRDefault="00202C0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0" wp14:anchorId="0FE2CE3D" wp14:editId="0B0EA53F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770040" cy="10055345"/>
          <wp:effectExtent l="0" t="0" r="2540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1375-02 CltSportsFound_ltrhd w boa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040" cy="100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1EBB"/>
    <w:multiLevelType w:val="hybridMultilevel"/>
    <w:tmpl w:val="F53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42"/>
    <w:rsid w:val="00026ED1"/>
    <w:rsid w:val="00071430"/>
    <w:rsid w:val="00075D3F"/>
    <w:rsid w:val="00085841"/>
    <w:rsid w:val="000A07DB"/>
    <w:rsid w:val="000F3D0D"/>
    <w:rsid w:val="00105067"/>
    <w:rsid w:val="00134AE0"/>
    <w:rsid w:val="0018280F"/>
    <w:rsid w:val="001C2A88"/>
    <w:rsid w:val="001E71B0"/>
    <w:rsid w:val="00202C07"/>
    <w:rsid w:val="002441CB"/>
    <w:rsid w:val="00287E09"/>
    <w:rsid w:val="002A2D62"/>
    <w:rsid w:val="002D391A"/>
    <w:rsid w:val="00353523"/>
    <w:rsid w:val="00357186"/>
    <w:rsid w:val="003A7AF3"/>
    <w:rsid w:val="003C4B29"/>
    <w:rsid w:val="003E0BD6"/>
    <w:rsid w:val="003E4999"/>
    <w:rsid w:val="004740CB"/>
    <w:rsid w:val="004858B3"/>
    <w:rsid w:val="00577505"/>
    <w:rsid w:val="0059676B"/>
    <w:rsid w:val="005A1C7D"/>
    <w:rsid w:val="005A62DF"/>
    <w:rsid w:val="005B3749"/>
    <w:rsid w:val="005C4AF5"/>
    <w:rsid w:val="00653BB3"/>
    <w:rsid w:val="00660293"/>
    <w:rsid w:val="00687ABA"/>
    <w:rsid w:val="006C17F5"/>
    <w:rsid w:val="006E7B46"/>
    <w:rsid w:val="00723B00"/>
    <w:rsid w:val="0074446B"/>
    <w:rsid w:val="007A2B91"/>
    <w:rsid w:val="00802EB7"/>
    <w:rsid w:val="00860043"/>
    <w:rsid w:val="00886A91"/>
    <w:rsid w:val="00895290"/>
    <w:rsid w:val="008D0BFD"/>
    <w:rsid w:val="008E03AF"/>
    <w:rsid w:val="008E7076"/>
    <w:rsid w:val="009413C8"/>
    <w:rsid w:val="009476CF"/>
    <w:rsid w:val="00964865"/>
    <w:rsid w:val="0098035F"/>
    <w:rsid w:val="009826EA"/>
    <w:rsid w:val="009C4690"/>
    <w:rsid w:val="00A4214E"/>
    <w:rsid w:val="00A57F76"/>
    <w:rsid w:val="00A706D2"/>
    <w:rsid w:val="00A74970"/>
    <w:rsid w:val="00A97A8A"/>
    <w:rsid w:val="00AD5FFA"/>
    <w:rsid w:val="00AD7B07"/>
    <w:rsid w:val="00AD7BFD"/>
    <w:rsid w:val="00B46185"/>
    <w:rsid w:val="00B54FDE"/>
    <w:rsid w:val="00B7315E"/>
    <w:rsid w:val="00B90B31"/>
    <w:rsid w:val="00BB254E"/>
    <w:rsid w:val="00BB2DEF"/>
    <w:rsid w:val="00BD711A"/>
    <w:rsid w:val="00BE3142"/>
    <w:rsid w:val="00BE6D2D"/>
    <w:rsid w:val="00C14F9F"/>
    <w:rsid w:val="00C164EC"/>
    <w:rsid w:val="00C44E9F"/>
    <w:rsid w:val="00C63247"/>
    <w:rsid w:val="00C96F4A"/>
    <w:rsid w:val="00CB55A1"/>
    <w:rsid w:val="00D33DF2"/>
    <w:rsid w:val="00D440F3"/>
    <w:rsid w:val="00D476D4"/>
    <w:rsid w:val="00DB1140"/>
    <w:rsid w:val="00E63227"/>
    <w:rsid w:val="00E73060"/>
    <w:rsid w:val="00EE3242"/>
    <w:rsid w:val="00F1071F"/>
    <w:rsid w:val="00F225D3"/>
    <w:rsid w:val="00F42358"/>
    <w:rsid w:val="00FD4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5AE519"/>
  <w15:docId w15:val="{1B598513-7885-4FB6-9085-CD72FD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styleId="BalloonText">
    <w:name w:val="Balloon Text"/>
    <w:basedOn w:val="Normal"/>
    <w:link w:val="BalloonTextChar"/>
    <w:uiPriority w:val="99"/>
    <w:semiHidden/>
    <w:unhideWhenUsed/>
    <w:rsid w:val="00F22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3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e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e.Moore@nccommer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.purcell\Downloads\CDBG%202018\Copelan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7ED1A-5610-41B4-93A9-D2A04817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Copeland Letterhead</Template>
  <TotalTime>2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Detra L</dc:creator>
  <cp:keywords/>
  <cp:lastModifiedBy>Rhoades, David E</cp:lastModifiedBy>
  <cp:revision>2</cp:revision>
  <cp:lastPrinted>2019-04-10T20:20:00Z</cp:lastPrinted>
  <dcterms:created xsi:type="dcterms:W3CDTF">2020-04-30T18:09:00Z</dcterms:created>
  <dcterms:modified xsi:type="dcterms:W3CDTF">2020-04-30T18:09:00Z</dcterms:modified>
</cp:coreProperties>
</file>