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74F91" w14:textId="77777777" w:rsidR="000A2DCE" w:rsidRPr="005F13EA" w:rsidRDefault="000A2DCE">
      <w:pPr>
        <w:spacing w:after="160" w:line="259" w:lineRule="auto"/>
        <w:rPr>
          <w:rFonts w:asciiTheme="minorHAnsi" w:hAnsiTheme="minorHAnsi" w:cstheme="minorHAnsi"/>
          <w:sz w:val="52"/>
          <w:szCs w:val="52"/>
        </w:rPr>
      </w:pPr>
      <w:bookmarkStart w:id="0" w:name="_Toc47639969"/>
      <w:bookmarkStart w:id="1" w:name="_Hlk51943319"/>
      <w:r w:rsidRPr="005F13EA">
        <w:rPr>
          <w:rFonts w:asciiTheme="minorHAnsi" w:hAnsiTheme="minorHAnsi" w:cstheme="minorHAnsi"/>
          <w:sz w:val="52"/>
          <w:szCs w:val="52"/>
        </w:rPr>
        <w:t xml:space="preserve">North Carolina </w:t>
      </w:r>
    </w:p>
    <w:p w14:paraId="3C2F1F92" w14:textId="1E9A5711" w:rsidR="000A2DCE" w:rsidRPr="005F13EA" w:rsidRDefault="000A2DCE">
      <w:pPr>
        <w:spacing w:after="160" w:line="259" w:lineRule="auto"/>
        <w:rPr>
          <w:rFonts w:asciiTheme="minorHAnsi" w:hAnsiTheme="minorHAnsi" w:cstheme="minorHAnsi"/>
          <w:sz w:val="52"/>
          <w:szCs w:val="52"/>
        </w:rPr>
      </w:pPr>
      <w:r w:rsidRPr="005F13EA">
        <w:rPr>
          <w:rFonts w:asciiTheme="minorHAnsi" w:hAnsiTheme="minorHAnsi" w:cstheme="minorHAnsi"/>
          <w:sz w:val="52"/>
          <w:szCs w:val="52"/>
        </w:rPr>
        <w:t>Analysis of Impediments to Fair Housing Choice</w:t>
      </w:r>
    </w:p>
    <w:p w14:paraId="220ADFAD" w14:textId="3331C413" w:rsidR="005F13EA" w:rsidRPr="005F13EA" w:rsidRDefault="005F13EA">
      <w:pPr>
        <w:spacing w:after="160" w:line="259" w:lineRule="auto"/>
        <w:rPr>
          <w:rFonts w:asciiTheme="minorHAnsi" w:hAnsiTheme="minorHAnsi" w:cstheme="minorHAnsi"/>
          <w:sz w:val="52"/>
          <w:szCs w:val="52"/>
        </w:rPr>
      </w:pPr>
      <w:r w:rsidRPr="005F13EA">
        <w:rPr>
          <w:rFonts w:asciiTheme="minorHAnsi" w:hAnsiTheme="minorHAnsi" w:cstheme="minorHAnsi"/>
          <w:sz w:val="52"/>
          <w:szCs w:val="52"/>
        </w:rPr>
        <w:t>2021-2025</w:t>
      </w:r>
    </w:p>
    <w:p w14:paraId="4A531206" w14:textId="77777777" w:rsidR="000A2DCE" w:rsidRPr="005F13EA" w:rsidRDefault="000A2DCE">
      <w:pPr>
        <w:spacing w:after="160" w:line="259" w:lineRule="auto"/>
        <w:rPr>
          <w:rFonts w:asciiTheme="minorHAnsi" w:hAnsiTheme="minorHAnsi" w:cstheme="minorHAnsi"/>
          <w:sz w:val="52"/>
          <w:szCs w:val="52"/>
        </w:rPr>
      </w:pPr>
    </w:p>
    <w:p w14:paraId="23231003" w14:textId="77777777" w:rsidR="005F13EA" w:rsidRPr="005F13EA" w:rsidRDefault="005F13EA">
      <w:pPr>
        <w:spacing w:after="160" w:line="259" w:lineRule="auto"/>
        <w:rPr>
          <w:rFonts w:asciiTheme="minorHAnsi" w:hAnsiTheme="minorHAnsi" w:cstheme="minorHAnsi"/>
          <w:sz w:val="52"/>
          <w:szCs w:val="52"/>
        </w:rPr>
      </w:pPr>
    </w:p>
    <w:p w14:paraId="6E6CF408" w14:textId="77777777" w:rsidR="005F13EA" w:rsidRPr="005F13EA" w:rsidRDefault="005F13EA">
      <w:pPr>
        <w:spacing w:after="160" w:line="259" w:lineRule="auto"/>
        <w:rPr>
          <w:rFonts w:asciiTheme="minorHAnsi" w:hAnsiTheme="minorHAnsi" w:cstheme="minorHAnsi"/>
          <w:sz w:val="52"/>
          <w:szCs w:val="52"/>
        </w:rPr>
      </w:pPr>
    </w:p>
    <w:p w14:paraId="4271B0D9" w14:textId="0972AD31" w:rsidR="005F13EA" w:rsidRPr="005F13EA" w:rsidRDefault="000A2DCE">
      <w:pPr>
        <w:spacing w:after="160" w:line="259" w:lineRule="auto"/>
        <w:rPr>
          <w:rFonts w:asciiTheme="minorHAnsi" w:hAnsiTheme="minorHAnsi" w:cstheme="minorHAnsi"/>
          <w:b/>
          <w:bCs/>
          <w:sz w:val="52"/>
          <w:szCs w:val="52"/>
        </w:rPr>
      </w:pPr>
      <w:r w:rsidRPr="005F13EA">
        <w:rPr>
          <w:rFonts w:asciiTheme="minorHAnsi" w:hAnsiTheme="minorHAnsi" w:cstheme="minorHAnsi"/>
          <w:b/>
          <w:bCs/>
          <w:color w:val="FF0000"/>
          <w:sz w:val="52"/>
          <w:szCs w:val="52"/>
        </w:rPr>
        <w:t xml:space="preserve">Draft for </w:t>
      </w:r>
      <w:r w:rsidR="00AB16D9">
        <w:rPr>
          <w:rFonts w:asciiTheme="minorHAnsi" w:hAnsiTheme="minorHAnsi" w:cstheme="minorHAnsi"/>
          <w:b/>
          <w:bCs/>
          <w:color w:val="FF0000"/>
          <w:sz w:val="52"/>
          <w:szCs w:val="52"/>
        </w:rPr>
        <w:t>Public Comment 3.29.2021</w:t>
      </w:r>
    </w:p>
    <w:p w14:paraId="3DC746A7" w14:textId="77777777" w:rsidR="005F13EA" w:rsidRPr="005F13EA" w:rsidRDefault="005F13EA">
      <w:pPr>
        <w:spacing w:after="160" w:line="259" w:lineRule="auto"/>
        <w:rPr>
          <w:rFonts w:asciiTheme="minorHAnsi" w:hAnsiTheme="minorHAnsi" w:cstheme="minorHAnsi"/>
          <w:sz w:val="52"/>
          <w:szCs w:val="52"/>
        </w:rPr>
      </w:pPr>
    </w:p>
    <w:p w14:paraId="736E8A11" w14:textId="77777777" w:rsidR="005F13EA" w:rsidRPr="005F13EA" w:rsidRDefault="005F13EA">
      <w:pPr>
        <w:spacing w:after="160" w:line="259" w:lineRule="auto"/>
        <w:rPr>
          <w:rFonts w:asciiTheme="minorHAnsi" w:hAnsiTheme="minorHAnsi" w:cstheme="minorHAnsi"/>
          <w:sz w:val="52"/>
          <w:szCs w:val="52"/>
        </w:rPr>
      </w:pPr>
    </w:p>
    <w:p w14:paraId="6E8C7B25" w14:textId="77777777" w:rsidR="005F13EA" w:rsidRPr="005F13EA" w:rsidRDefault="005F13EA">
      <w:pPr>
        <w:spacing w:after="160" w:line="259" w:lineRule="auto"/>
        <w:rPr>
          <w:rFonts w:asciiTheme="minorHAnsi" w:hAnsiTheme="minorHAnsi" w:cstheme="minorHAnsi"/>
          <w:sz w:val="52"/>
          <w:szCs w:val="52"/>
        </w:rPr>
      </w:pPr>
    </w:p>
    <w:p w14:paraId="74F9933A" w14:textId="77777777" w:rsidR="005F13EA" w:rsidRPr="005F13EA" w:rsidRDefault="005F13EA">
      <w:pPr>
        <w:spacing w:after="160" w:line="259" w:lineRule="auto"/>
        <w:rPr>
          <w:rFonts w:asciiTheme="minorHAnsi" w:hAnsiTheme="minorHAnsi" w:cstheme="minorHAnsi"/>
          <w:sz w:val="52"/>
          <w:szCs w:val="52"/>
        </w:rPr>
      </w:pPr>
    </w:p>
    <w:p w14:paraId="30D9EEFE" w14:textId="5CF9CDA9" w:rsidR="005F13EA" w:rsidRPr="005F13EA" w:rsidRDefault="0019021A">
      <w:pPr>
        <w:spacing w:after="160" w:line="259" w:lineRule="auto"/>
        <w:rPr>
          <w:rFonts w:asciiTheme="minorHAnsi" w:hAnsiTheme="minorHAnsi" w:cstheme="minorHAnsi"/>
          <w:sz w:val="52"/>
          <w:szCs w:val="52"/>
        </w:rPr>
      </w:pPr>
      <w:r>
        <w:rPr>
          <w:rFonts w:asciiTheme="minorHAnsi" w:hAnsiTheme="minorHAnsi" w:cstheme="minorHAnsi"/>
          <w:sz w:val="52"/>
          <w:szCs w:val="52"/>
        </w:rPr>
        <w:t>March</w:t>
      </w:r>
      <w:r w:rsidR="00024068" w:rsidRPr="00024068">
        <w:rPr>
          <w:rFonts w:asciiTheme="minorHAnsi" w:hAnsiTheme="minorHAnsi" w:cstheme="minorHAnsi"/>
          <w:sz w:val="52"/>
          <w:szCs w:val="52"/>
        </w:rPr>
        <w:t xml:space="preserve"> </w:t>
      </w:r>
      <w:r w:rsidR="00524214" w:rsidRPr="00024068">
        <w:rPr>
          <w:rFonts w:asciiTheme="minorHAnsi" w:hAnsiTheme="minorHAnsi" w:cstheme="minorHAnsi"/>
          <w:sz w:val="52"/>
          <w:szCs w:val="52"/>
        </w:rPr>
        <w:t>2021</w:t>
      </w:r>
    </w:p>
    <w:p w14:paraId="193F4A23" w14:textId="77777777" w:rsidR="00284854" w:rsidRDefault="00284854">
      <w:pPr>
        <w:spacing w:after="160" w:line="259" w:lineRule="auto"/>
      </w:pPr>
    </w:p>
    <w:p w14:paraId="42622177" w14:textId="60261D55" w:rsidR="00F73E68" w:rsidRDefault="00284854">
      <w:pPr>
        <w:spacing w:after="160" w:line="259" w:lineRule="auto"/>
      </w:pPr>
      <w:r>
        <w:t xml:space="preserve">Please email all public comments to </w:t>
      </w:r>
      <w:proofErr w:type="gramStart"/>
      <w:r>
        <w:t>Valerie,Moore@nccommerce.com</w:t>
      </w:r>
      <w:proofErr w:type="gramEnd"/>
      <w:r>
        <w:t xml:space="preserve"> by 11:59 pm on April 29, 2021.</w:t>
      </w:r>
      <w:r w:rsidR="00F73E68">
        <w:br w:type="page"/>
      </w:r>
    </w:p>
    <w:sdt>
      <w:sdtPr>
        <w:rPr>
          <w:rFonts w:ascii="Times New Roman" w:eastAsia="Times New Roman" w:hAnsi="Times New Roman" w:cs="Times New Roman"/>
          <w:color w:val="auto"/>
          <w:sz w:val="24"/>
          <w:szCs w:val="24"/>
        </w:rPr>
        <w:id w:val="-313879211"/>
        <w:docPartObj>
          <w:docPartGallery w:val="Table of Contents"/>
          <w:docPartUnique/>
        </w:docPartObj>
      </w:sdtPr>
      <w:sdtEndPr>
        <w:rPr>
          <w:b/>
          <w:bCs/>
          <w:noProof/>
        </w:rPr>
      </w:sdtEndPr>
      <w:sdtContent>
        <w:p w14:paraId="3D267F7C" w14:textId="784127ED" w:rsidR="00F73E68" w:rsidRDefault="00F73E68">
          <w:pPr>
            <w:pStyle w:val="TOCHeading"/>
          </w:pPr>
          <w:r>
            <w:t>Contents</w:t>
          </w:r>
        </w:p>
        <w:p w14:paraId="4FB2E982" w14:textId="2DDE84F6" w:rsidR="00514DF7" w:rsidRDefault="00F73E68">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6807896" w:history="1">
            <w:r w:rsidR="00514DF7" w:rsidRPr="003D26A9">
              <w:rPr>
                <w:rStyle w:val="Hyperlink"/>
                <w:rFonts w:eastAsiaTheme="majorEastAsia"/>
                <w:noProof/>
              </w:rPr>
              <w:t>Introduction &amp; Executive Summary of the Analysis</w:t>
            </w:r>
            <w:r w:rsidR="00514DF7">
              <w:rPr>
                <w:noProof/>
                <w:webHidden/>
              </w:rPr>
              <w:tab/>
            </w:r>
            <w:r w:rsidR="00514DF7">
              <w:rPr>
                <w:noProof/>
                <w:webHidden/>
              </w:rPr>
              <w:fldChar w:fldCharType="begin"/>
            </w:r>
            <w:r w:rsidR="00514DF7">
              <w:rPr>
                <w:noProof/>
                <w:webHidden/>
              </w:rPr>
              <w:instrText xml:space="preserve"> PAGEREF _Toc66807896 \h </w:instrText>
            </w:r>
            <w:r w:rsidR="00514DF7">
              <w:rPr>
                <w:noProof/>
                <w:webHidden/>
              </w:rPr>
            </w:r>
            <w:r w:rsidR="00514DF7">
              <w:rPr>
                <w:noProof/>
                <w:webHidden/>
              </w:rPr>
              <w:fldChar w:fldCharType="separate"/>
            </w:r>
            <w:r w:rsidR="00514DF7">
              <w:rPr>
                <w:noProof/>
                <w:webHidden/>
              </w:rPr>
              <w:t>4</w:t>
            </w:r>
            <w:r w:rsidR="00514DF7">
              <w:rPr>
                <w:noProof/>
                <w:webHidden/>
              </w:rPr>
              <w:fldChar w:fldCharType="end"/>
            </w:r>
          </w:hyperlink>
        </w:p>
        <w:p w14:paraId="1DB4FF9D" w14:textId="7F2F399E"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897" w:history="1">
            <w:r w:rsidR="00514DF7" w:rsidRPr="003D26A9">
              <w:rPr>
                <w:rStyle w:val="Hyperlink"/>
                <w:rFonts w:eastAsiaTheme="majorEastAsia"/>
                <w:noProof/>
              </w:rPr>
              <w:t>Why the AI was Developed</w:t>
            </w:r>
            <w:r w:rsidR="00514DF7">
              <w:rPr>
                <w:noProof/>
                <w:webHidden/>
              </w:rPr>
              <w:tab/>
            </w:r>
            <w:r w:rsidR="00514DF7">
              <w:rPr>
                <w:noProof/>
                <w:webHidden/>
              </w:rPr>
              <w:fldChar w:fldCharType="begin"/>
            </w:r>
            <w:r w:rsidR="00514DF7">
              <w:rPr>
                <w:noProof/>
                <w:webHidden/>
              </w:rPr>
              <w:instrText xml:space="preserve"> PAGEREF _Toc66807897 \h </w:instrText>
            </w:r>
            <w:r w:rsidR="00514DF7">
              <w:rPr>
                <w:noProof/>
                <w:webHidden/>
              </w:rPr>
            </w:r>
            <w:r w:rsidR="00514DF7">
              <w:rPr>
                <w:noProof/>
                <w:webHidden/>
              </w:rPr>
              <w:fldChar w:fldCharType="separate"/>
            </w:r>
            <w:r w:rsidR="00514DF7">
              <w:rPr>
                <w:noProof/>
                <w:webHidden/>
              </w:rPr>
              <w:t>4</w:t>
            </w:r>
            <w:r w:rsidR="00514DF7">
              <w:rPr>
                <w:noProof/>
                <w:webHidden/>
              </w:rPr>
              <w:fldChar w:fldCharType="end"/>
            </w:r>
          </w:hyperlink>
        </w:p>
        <w:p w14:paraId="43BEE647" w14:textId="0098719D"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898" w:history="1">
            <w:r w:rsidR="00514DF7" w:rsidRPr="003D26A9">
              <w:rPr>
                <w:rStyle w:val="Hyperlink"/>
                <w:rFonts w:eastAsiaTheme="majorEastAsia"/>
                <w:noProof/>
              </w:rPr>
              <w:t>Who Conducted the AI</w:t>
            </w:r>
            <w:r w:rsidR="00514DF7">
              <w:rPr>
                <w:noProof/>
                <w:webHidden/>
              </w:rPr>
              <w:tab/>
            </w:r>
            <w:r w:rsidR="00514DF7">
              <w:rPr>
                <w:noProof/>
                <w:webHidden/>
              </w:rPr>
              <w:fldChar w:fldCharType="begin"/>
            </w:r>
            <w:r w:rsidR="00514DF7">
              <w:rPr>
                <w:noProof/>
                <w:webHidden/>
              </w:rPr>
              <w:instrText xml:space="preserve"> PAGEREF _Toc66807898 \h </w:instrText>
            </w:r>
            <w:r w:rsidR="00514DF7">
              <w:rPr>
                <w:noProof/>
                <w:webHidden/>
              </w:rPr>
            </w:r>
            <w:r w:rsidR="00514DF7">
              <w:rPr>
                <w:noProof/>
                <w:webHidden/>
              </w:rPr>
              <w:fldChar w:fldCharType="separate"/>
            </w:r>
            <w:r w:rsidR="00514DF7">
              <w:rPr>
                <w:noProof/>
                <w:webHidden/>
              </w:rPr>
              <w:t>4</w:t>
            </w:r>
            <w:r w:rsidR="00514DF7">
              <w:rPr>
                <w:noProof/>
                <w:webHidden/>
              </w:rPr>
              <w:fldChar w:fldCharType="end"/>
            </w:r>
          </w:hyperlink>
        </w:p>
        <w:p w14:paraId="0D950D22" w14:textId="56AB10D4"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899" w:history="1">
            <w:r w:rsidR="00514DF7" w:rsidRPr="003D26A9">
              <w:rPr>
                <w:rStyle w:val="Hyperlink"/>
                <w:rFonts w:eastAsiaTheme="majorEastAsia"/>
                <w:noProof/>
              </w:rPr>
              <w:t>Participants</w:t>
            </w:r>
            <w:r w:rsidR="00514DF7">
              <w:rPr>
                <w:noProof/>
                <w:webHidden/>
              </w:rPr>
              <w:tab/>
            </w:r>
            <w:r w:rsidR="00514DF7">
              <w:rPr>
                <w:noProof/>
                <w:webHidden/>
              </w:rPr>
              <w:fldChar w:fldCharType="begin"/>
            </w:r>
            <w:r w:rsidR="00514DF7">
              <w:rPr>
                <w:noProof/>
                <w:webHidden/>
              </w:rPr>
              <w:instrText xml:space="preserve"> PAGEREF _Toc66807899 \h </w:instrText>
            </w:r>
            <w:r w:rsidR="00514DF7">
              <w:rPr>
                <w:noProof/>
                <w:webHidden/>
              </w:rPr>
            </w:r>
            <w:r w:rsidR="00514DF7">
              <w:rPr>
                <w:noProof/>
                <w:webHidden/>
              </w:rPr>
              <w:fldChar w:fldCharType="separate"/>
            </w:r>
            <w:r w:rsidR="00514DF7">
              <w:rPr>
                <w:noProof/>
                <w:webHidden/>
              </w:rPr>
              <w:t>5</w:t>
            </w:r>
            <w:r w:rsidR="00514DF7">
              <w:rPr>
                <w:noProof/>
                <w:webHidden/>
              </w:rPr>
              <w:fldChar w:fldCharType="end"/>
            </w:r>
          </w:hyperlink>
        </w:p>
        <w:p w14:paraId="2A2594F0" w14:textId="69731303"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00" w:history="1">
            <w:r w:rsidR="00514DF7" w:rsidRPr="003D26A9">
              <w:rPr>
                <w:rStyle w:val="Hyperlink"/>
                <w:rFonts w:eastAsiaTheme="majorEastAsia"/>
                <w:noProof/>
              </w:rPr>
              <w:t>Methodology Used</w:t>
            </w:r>
            <w:r w:rsidR="00514DF7">
              <w:rPr>
                <w:noProof/>
                <w:webHidden/>
              </w:rPr>
              <w:tab/>
            </w:r>
            <w:r w:rsidR="00514DF7">
              <w:rPr>
                <w:noProof/>
                <w:webHidden/>
              </w:rPr>
              <w:fldChar w:fldCharType="begin"/>
            </w:r>
            <w:r w:rsidR="00514DF7">
              <w:rPr>
                <w:noProof/>
                <w:webHidden/>
              </w:rPr>
              <w:instrText xml:space="preserve"> PAGEREF _Toc66807900 \h </w:instrText>
            </w:r>
            <w:r w:rsidR="00514DF7">
              <w:rPr>
                <w:noProof/>
                <w:webHidden/>
              </w:rPr>
            </w:r>
            <w:r w:rsidR="00514DF7">
              <w:rPr>
                <w:noProof/>
                <w:webHidden/>
              </w:rPr>
              <w:fldChar w:fldCharType="separate"/>
            </w:r>
            <w:r w:rsidR="00514DF7">
              <w:rPr>
                <w:noProof/>
                <w:webHidden/>
              </w:rPr>
              <w:t>5</w:t>
            </w:r>
            <w:r w:rsidR="00514DF7">
              <w:rPr>
                <w:noProof/>
                <w:webHidden/>
              </w:rPr>
              <w:fldChar w:fldCharType="end"/>
            </w:r>
          </w:hyperlink>
        </w:p>
        <w:p w14:paraId="7ECF8EE1" w14:textId="4776941A"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01" w:history="1">
            <w:r w:rsidR="00514DF7" w:rsidRPr="003D26A9">
              <w:rPr>
                <w:rStyle w:val="Hyperlink"/>
                <w:rFonts w:eastAsiaTheme="majorEastAsia"/>
                <w:noProof/>
              </w:rPr>
              <w:t>How AI was Funded</w:t>
            </w:r>
            <w:r w:rsidR="00514DF7">
              <w:rPr>
                <w:noProof/>
                <w:webHidden/>
              </w:rPr>
              <w:tab/>
            </w:r>
            <w:r w:rsidR="00514DF7">
              <w:rPr>
                <w:noProof/>
                <w:webHidden/>
              </w:rPr>
              <w:fldChar w:fldCharType="begin"/>
            </w:r>
            <w:r w:rsidR="00514DF7">
              <w:rPr>
                <w:noProof/>
                <w:webHidden/>
              </w:rPr>
              <w:instrText xml:space="preserve"> PAGEREF _Toc66807901 \h </w:instrText>
            </w:r>
            <w:r w:rsidR="00514DF7">
              <w:rPr>
                <w:noProof/>
                <w:webHidden/>
              </w:rPr>
            </w:r>
            <w:r w:rsidR="00514DF7">
              <w:rPr>
                <w:noProof/>
                <w:webHidden/>
              </w:rPr>
              <w:fldChar w:fldCharType="separate"/>
            </w:r>
            <w:r w:rsidR="00514DF7">
              <w:rPr>
                <w:noProof/>
                <w:webHidden/>
              </w:rPr>
              <w:t>6</w:t>
            </w:r>
            <w:r w:rsidR="00514DF7">
              <w:rPr>
                <w:noProof/>
                <w:webHidden/>
              </w:rPr>
              <w:fldChar w:fldCharType="end"/>
            </w:r>
          </w:hyperlink>
        </w:p>
        <w:p w14:paraId="7BA949D1" w14:textId="6748C42C"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02" w:history="1">
            <w:r w:rsidR="00514DF7" w:rsidRPr="003D26A9">
              <w:rPr>
                <w:rStyle w:val="Hyperlink"/>
                <w:rFonts w:eastAsiaTheme="majorEastAsia"/>
                <w:noProof/>
              </w:rPr>
              <w:t>Conclusions</w:t>
            </w:r>
            <w:r w:rsidR="00514DF7">
              <w:rPr>
                <w:noProof/>
                <w:webHidden/>
              </w:rPr>
              <w:tab/>
            </w:r>
            <w:r w:rsidR="00514DF7">
              <w:rPr>
                <w:noProof/>
                <w:webHidden/>
              </w:rPr>
              <w:fldChar w:fldCharType="begin"/>
            </w:r>
            <w:r w:rsidR="00514DF7">
              <w:rPr>
                <w:noProof/>
                <w:webHidden/>
              </w:rPr>
              <w:instrText xml:space="preserve"> PAGEREF _Toc66807902 \h </w:instrText>
            </w:r>
            <w:r w:rsidR="00514DF7">
              <w:rPr>
                <w:noProof/>
                <w:webHidden/>
              </w:rPr>
            </w:r>
            <w:r w:rsidR="00514DF7">
              <w:rPr>
                <w:noProof/>
                <w:webHidden/>
              </w:rPr>
              <w:fldChar w:fldCharType="separate"/>
            </w:r>
            <w:r w:rsidR="00514DF7">
              <w:rPr>
                <w:noProof/>
                <w:webHidden/>
              </w:rPr>
              <w:t>6</w:t>
            </w:r>
            <w:r w:rsidR="00514DF7">
              <w:rPr>
                <w:noProof/>
                <w:webHidden/>
              </w:rPr>
              <w:fldChar w:fldCharType="end"/>
            </w:r>
          </w:hyperlink>
        </w:p>
        <w:p w14:paraId="2881CF56" w14:textId="1ACE59C6"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03" w:history="1">
            <w:r w:rsidR="00514DF7" w:rsidRPr="003D26A9">
              <w:rPr>
                <w:rStyle w:val="Hyperlink"/>
                <w:rFonts w:eastAsiaTheme="majorEastAsia"/>
                <w:noProof/>
              </w:rPr>
              <w:t>Jurisdictional Background Data</w:t>
            </w:r>
            <w:r w:rsidR="00514DF7">
              <w:rPr>
                <w:noProof/>
                <w:webHidden/>
              </w:rPr>
              <w:tab/>
            </w:r>
            <w:r w:rsidR="00514DF7">
              <w:rPr>
                <w:noProof/>
                <w:webHidden/>
              </w:rPr>
              <w:fldChar w:fldCharType="begin"/>
            </w:r>
            <w:r w:rsidR="00514DF7">
              <w:rPr>
                <w:noProof/>
                <w:webHidden/>
              </w:rPr>
              <w:instrText xml:space="preserve"> PAGEREF _Toc66807903 \h </w:instrText>
            </w:r>
            <w:r w:rsidR="00514DF7">
              <w:rPr>
                <w:noProof/>
                <w:webHidden/>
              </w:rPr>
            </w:r>
            <w:r w:rsidR="00514DF7">
              <w:rPr>
                <w:noProof/>
                <w:webHidden/>
              </w:rPr>
              <w:fldChar w:fldCharType="separate"/>
            </w:r>
            <w:r w:rsidR="00514DF7">
              <w:rPr>
                <w:noProof/>
                <w:webHidden/>
              </w:rPr>
              <w:t>10</w:t>
            </w:r>
            <w:r w:rsidR="00514DF7">
              <w:rPr>
                <w:noProof/>
                <w:webHidden/>
              </w:rPr>
              <w:fldChar w:fldCharType="end"/>
            </w:r>
          </w:hyperlink>
        </w:p>
        <w:p w14:paraId="16FBEC30" w14:textId="746B5460"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04" w:history="1">
            <w:r w:rsidR="00514DF7" w:rsidRPr="003D26A9">
              <w:rPr>
                <w:rStyle w:val="Hyperlink"/>
                <w:rFonts w:eastAsiaTheme="majorEastAsia"/>
                <w:noProof/>
              </w:rPr>
              <w:t>Historical Residential Settlement Patterns</w:t>
            </w:r>
            <w:r w:rsidR="00514DF7">
              <w:rPr>
                <w:noProof/>
                <w:webHidden/>
              </w:rPr>
              <w:tab/>
            </w:r>
            <w:r w:rsidR="00514DF7">
              <w:rPr>
                <w:noProof/>
                <w:webHidden/>
              </w:rPr>
              <w:fldChar w:fldCharType="begin"/>
            </w:r>
            <w:r w:rsidR="00514DF7">
              <w:rPr>
                <w:noProof/>
                <w:webHidden/>
              </w:rPr>
              <w:instrText xml:space="preserve"> PAGEREF _Toc66807904 \h </w:instrText>
            </w:r>
            <w:r w:rsidR="00514DF7">
              <w:rPr>
                <w:noProof/>
                <w:webHidden/>
              </w:rPr>
            </w:r>
            <w:r w:rsidR="00514DF7">
              <w:rPr>
                <w:noProof/>
                <w:webHidden/>
              </w:rPr>
              <w:fldChar w:fldCharType="separate"/>
            </w:r>
            <w:r w:rsidR="00514DF7">
              <w:rPr>
                <w:noProof/>
                <w:webHidden/>
              </w:rPr>
              <w:t>10</w:t>
            </w:r>
            <w:r w:rsidR="00514DF7">
              <w:rPr>
                <w:noProof/>
                <w:webHidden/>
              </w:rPr>
              <w:fldChar w:fldCharType="end"/>
            </w:r>
          </w:hyperlink>
        </w:p>
        <w:p w14:paraId="59A0AE06" w14:textId="41125151"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05" w:history="1">
            <w:r w:rsidR="00514DF7" w:rsidRPr="003D26A9">
              <w:rPr>
                <w:rStyle w:val="Hyperlink"/>
                <w:rFonts w:eastAsiaTheme="majorEastAsia"/>
                <w:noProof/>
              </w:rPr>
              <w:t>Demographic, Income and Employment Data</w:t>
            </w:r>
            <w:r w:rsidR="00514DF7">
              <w:rPr>
                <w:noProof/>
                <w:webHidden/>
              </w:rPr>
              <w:tab/>
            </w:r>
            <w:r w:rsidR="00514DF7">
              <w:rPr>
                <w:noProof/>
                <w:webHidden/>
              </w:rPr>
              <w:fldChar w:fldCharType="begin"/>
            </w:r>
            <w:r w:rsidR="00514DF7">
              <w:rPr>
                <w:noProof/>
                <w:webHidden/>
              </w:rPr>
              <w:instrText xml:space="preserve"> PAGEREF _Toc66807905 \h </w:instrText>
            </w:r>
            <w:r w:rsidR="00514DF7">
              <w:rPr>
                <w:noProof/>
                <w:webHidden/>
              </w:rPr>
            </w:r>
            <w:r w:rsidR="00514DF7">
              <w:rPr>
                <w:noProof/>
                <w:webHidden/>
              </w:rPr>
              <w:fldChar w:fldCharType="separate"/>
            </w:r>
            <w:r w:rsidR="00514DF7">
              <w:rPr>
                <w:noProof/>
                <w:webHidden/>
              </w:rPr>
              <w:t>10</w:t>
            </w:r>
            <w:r w:rsidR="00514DF7">
              <w:rPr>
                <w:noProof/>
                <w:webHidden/>
              </w:rPr>
              <w:fldChar w:fldCharType="end"/>
            </w:r>
          </w:hyperlink>
        </w:p>
        <w:p w14:paraId="04410C0D" w14:textId="359B543C"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06" w:history="1">
            <w:r w:rsidR="00514DF7" w:rsidRPr="003D26A9">
              <w:rPr>
                <w:rStyle w:val="Hyperlink"/>
                <w:rFonts w:eastAsiaTheme="majorEastAsia"/>
                <w:noProof/>
              </w:rPr>
              <w:t>Key Findings</w:t>
            </w:r>
            <w:r w:rsidR="00514DF7">
              <w:rPr>
                <w:noProof/>
                <w:webHidden/>
              </w:rPr>
              <w:tab/>
            </w:r>
            <w:r w:rsidR="00514DF7">
              <w:rPr>
                <w:noProof/>
                <w:webHidden/>
              </w:rPr>
              <w:fldChar w:fldCharType="begin"/>
            </w:r>
            <w:r w:rsidR="00514DF7">
              <w:rPr>
                <w:noProof/>
                <w:webHidden/>
              </w:rPr>
              <w:instrText xml:space="preserve"> PAGEREF _Toc66807906 \h </w:instrText>
            </w:r>
            <w:r w:rsidR="00514DF7">
              <w:rPr>
                <w:noProof/>
                <w:webHidden/>
              </w:rPr>
            </w:r>
            <w:r w:rsidR="00514DF7">
              <w:rPr>
                <w:noProof/>
                <w:webHidden/>
              </w:rPr>
              <w:fldChar w:fldCharType="separate"/>
            </w:r>
            <w:r w:rsidR="00514DF7">
              <w:rPr>
                <w:noProof/>
                <w:webHidden/>
              </w:rPr>
              <w:t>10</w:t>
            </w:r>
            <w:r w:rsidR="00514DF7">
              <w:rPr>
                <w:noProof/>
                <w:webHidden/>
              </w:rPr>
              <w:fldChar w:fldCharType="end"/>
            </w:r>
          </w:hyperlink>
        </w:p>
        <w:p w14:paraId="4E780977" w14:textId="73E8DBA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07" w:history="1">
            <w:r w:rsidR="00514DF7" w:rsidRPr="003D26A9">
              <w:rPr>
                <w:rStyle w:val="Hyperlink"/>
                <w:rFonts w:eastAsiaTheme="majorEastAsia"/>
                <w:noProof/>
              </w:rPr>
              <w:t>Race and Ethnicity</w:t>
            </w:r>
            <w:r w:rsidR="00514DF7">
              <w:rPr>
                <w:noProof/>
                <w:webHidden/>
              </w:rPr>
              <w:tab/>
            </w:r>
            <w:r w:rsidR="00514DF7">
              <w:rPr>
                <w:noProof/>
                <w:webHidden/>
              </w:rPr>
              <w:fldChar w:fldCharType="begin"/>
            </w:r>
            <w:r w:rsidR="00514DF7">
              <w:rPr>
                <w:noProof/>
                <w:webHidden/>
              </w:rPr>
              <w:instrText xml:space="preserve"> PAGEREF _Toc66807907 \h </w:instrText>
            </w:r>
            <w:r w:rsidR="00514DF7">
              <w:rPr>
                <w:noProof/>
                <w:webHidden/>
              </w:rPr>
            </w:r>
            <w:r w:rsidR="00514DF7">
              <w:rPr>
                <w:noProof/>
                <w:webHidden/>
              </w:rPr>
              <w:fldChar w:fldCharType="separate"/>
            </w:r>
            <w:r w:rsidR="00514DF7">
              <w:rPr>
                <w:noProof/>
                <w:webHidden/>
              </w:rPr>
              <w:t>11</w:t>
            </w:r>
            <w:r w:rsidR="00514DF7">
              <w:rPr>
                <w:noProof/>
                <w:webHidden/>
              </w:rPr>
              <w:fldChar w:fldCharType="end"/>
            </w:r>
          </w:hyperlink>
        </w:p>
        <w:p w14:paraId="6E1003A7" w14:textId="5967D8AE"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08" w:history="1">
            <w:r w:rsidR="00514DF7" w:rsidRPr="003D26A9">
              <w:rPr>
                <w:rStyle w:val="Hyperlink"/>
                <w:rFonts w:eastAsiaTheme="majorEastAsia"/>
                <w:noProof/>
              </w:rPr>
              <w:t>Dissimilarity Index</w:t>
            </w:r>
            <w:r w:rsidR="00514DF7">
              <w:rPr>
                <w:noProof/>
                <w:webHidden/>
              </w:rPr>
              <w:tab/>
            </w:r>
            <w:r w:rsidR="00514DF7">
              <w:rPr>
                <w:noProof/>
                <w:webHidden/>
              </w:rPr>
              <w:fldChar w:fldCharType="begin"/>
            </w:r>
            <w:r w:rsidR="00514DF7">
              <w:rPr>
                <w:noProof/>
                <w:webHidden/>
              </w:rPr>
              <w:instrText xml:space="preserve"> PAGEREF _Toc66807908 \h </w:instrText>
            </w:r>
            <w:r w:rsidR="00514DF7">
              <w:rPr>
                <w:noProof/>
                <w:webHidden/>
              </w:rPr>
            </w:r>
            <w:r w:rsidR="00514DF7">
              <w:rPr>
                <w:noProof/>
                <w:webHidden/>
              </w:rPr>
              <w:fldChar w:fldCharType="separate"/>
            </w:r>
            <w:r w:rsidR="00514DF7">
              <w:rPr>
                <w:noProof/>
                <w:webHidden/>
              </w:rPr>
              <w:t>14</w:t>
            </w:r>
            <w:r w:rsidR="00514DF7">
              <w:rPr>
                <w:noProof/>
                <w:webHidden/>
              </w:rPr>
              <w:fldChar w:fldCharType="end"/>
            </w:r>
          </w:hyperlink>
        </w:p>
        <w:p w14:paraId="77690D4F" w14:textId="12EA9D5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09" w:history="1">
            <w:r w:rsidR="00514DF7" w:rsidRPr="003D26A9">
              <w:rPr>
                <w:rStyle w:val="Hyperlink"/>
                <w:rFonts w:eastAsiaTheme="majorEastAsia"/>
                <w:noProof/>
              </w:rPr>
              <w:t>Ancestry and National Origin</w:t>
            </w:r>
            <w:r w:rsidR="00514DF7">
              <w:rPr>
                <w:noProof/>
                <w:webHidden/>
              </w:rPr>
              <w:tab/>
            </w:r>
            <w:r w:rsidR="00514DF7">
              <w:rPr>
                <w:noProof/>
                <w:webHidden/>
              </w:rPr>
              <w:fldChar w:fldCharType="begin"/>
            </w:r>
            <w:r w:rsidR="00514DF7">
              <w:rPr>
                <w:noProof/>
                <w:webHidden/>
              </w:rPr>
              <w:instrText xml:space="preserve"> PAGEREF _Toc66807909 \h </w:instrText>
            </w:r>
            <w:r w:rsidR="00514DF7">
              <w:rPr>
                <w:noProof/>
                <w:webHidden/>
              </w:rPr>
            </w:r>
            <w:r w:rsidR="00514DF7">
              <w:rPr>
                <w:noProof/>
                <w:webHidden/>
              </w:rPr>
              <w:fldChar w:fldCharType="separate"/>
            </w:r>
            <w:r w:rsidR="00514DF7">
              <w:rPr>
                <w:noProof/>
                <w:webHidden/>
              </w:rPr>
              <w:t>16</w:t>
            </w:r>
            <w:r w:rsidR="00514DF7">
              <w:rPr>
                <w:noProof/>
                <w:webHidden/>
              </w:rPr>
              <w:fldChar w:fldCharType="end"/>
            </w:r>
          </w:hyperlink>
        </w:p>
        <w:p w14:paraId="1430826B" w14:textId="1A020F1D"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0" w:history="1">
            <w:r w:rsidR="00514DF7" w:rsidRPr="003D26A9">
              <w:rPr>
                <w:rStyle w:val="Hyperlink"/>
                <w:rFonts w:eastAsiaTheme="majorEastAsia"/>
                <w:noProof/>
              </w:rPr>
              <w:t>Limited English Proficiency</w:t>
            </w:r>
            <w:r w:rsidR="00514DF7">
              <w:rPr>
                <w:noProof/>
                <w:webHidden/>
              </w:rPr>
              <w:tab/>
            </w:r>
            <w:r w:rsidR="00514DF7">
              <w:rPr>
                <w:noProof/>
                <w:webHidden/>
              </w:rPr>
              <w:fldChar w:fldCharType="begin"/>
            </w:r>
            <w:r w:rsidR="00514DF7">
              <w:rPr>
                <w:noProof/>
                <w:webHidden/>
              </w:rPr>
              <w:instrText xml:space="preserve"> PAGEREF _Toc66807910 \h </w:instrText>
            </w:r>
            <w:r w:rsidR="00514DF7">
              <w:rPr>
                <w:noProof/>
                <w:webHidden/>
              </w:rPr>
            </w:r>
            <w:r w:rsidR="00514DF7">
              <w:rPr>
                <w:noProof/>
                <w:webHidden/>
              </w:rPr>
              <w:fldChar w:fldCharType="separate"/>
            </w:r>
            <w:r w:rsidR="00514DF7">
              <w:rPr>
                <w:noProof/>
                <w:webHidden/>
              </w:rPr>
              <w:t>18</w:t>
            </w:r>
            <w:r w:rsidR="00514DF7">
              <w:rPr>
                <w:noProof/>
                <w:webHidden/>
              </w:rPr>
              <w:fldChar w:fldCharType="end"/>
            </w:r>
          </w:hyperlink>
        </w:p>
        <w:p w14:paraId="2407F9F2" w14:textId="700BD46B"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1" w:history="1">
            <w:r w:rsidR="00514DF7" w:rsidRPr="003D26A9">
              <w:rPr>
                <w:rStyle w:val="Hyperlink"/>
                <w:rFonts w:eastAsiaTheme="majorEastAsia"/>
                <w:noProof/>
              </w:rPr>
              <w:t>Disability</w:t>
            </w:r>
            <w:r w:rsidR="00514DF7">
              <w:rPr>
                <w:noProof/>
                <w:webHidden/>
              </w:rPr>
              <w:tab/>
            </w:r>
            <w:r w:rsidR="00514DF7">
              <w:rPr>
                <w:noProof/>
                <w:webHidden/>
              </w:rPr>
              <w:fldChar w:fldCharType="begin"/>
            </w:r>
            <w:r w:rsidR="00514DF7">
              <w:rPr>
                <w:noProof/>
                <w:webHidden/>
              </w:rPr>
              <w:instrText xml:space="preserve"> PAGEREF _Toc66807911 \h </w:instrText>
            </w:r>
            <w:r w:rsidR="00514DF7">
              <w:rPr>
                <w:noProof/>
                <w:webHidden/>
              </w:rPr>
            </w:r>
            <w:r w:rsidR="00514DF7">
              <w:rPr>
                <w:noProof/>
                <w:webHidden/>
              </w:rPr>
              <w:fldChar w:fldCharType="separate"/>
            </w:r>
            <w:r w:rsidR="00514DF7">
              <w:rPr>
                <w:noProof/>
                <w:webHidden/>
              </w:rPr>
              <w:t>19</w:t>
            </w:r>
            <w:r w:rsidR="00514DF7">
              <w:rPr>
                <w:noProof/>
                <w:webHidden/>
              </w:rPr>
              <w:fldChar w:fldCharType="end"/>
            </w:r>
          </w:hyperlink>
        </w:p>
        <w:p w14:paraId="610C7FCB" w14:textId="56C8B29B"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2" w:history="1">
            <w:r w:rsidR="00514DF7" w:rsidRPr="003D26A9">
              <w:rPr>
                <w:rStyle w:val="Hyperlink"/>
                <w:rFonts w:eastAsiaTheme="majorEastAsia"/>
                <w:noProof/>
              </w:rPr>
              <w:t>Household Type</w:t>
            </w:r>
            <w:r w:rsidR="00514DF7">
              <w:rPr>
                <w:noProof/>
                <w:webHidden/>
              </w:rPr>
              <w:tab/>
            </w:r>
            <w:r w:rsidR="00514DF7">
              <w:rPr>
                <w:noProof/>
                <w:webHidden/>
              </w:rPr>
              <w:fldChar w:fldCharType="begin"/>
            </w:r>
            <w:r w:rsidR="00514DF7">
              <w:rPr>
                <w:noProof/>
                <w:webHidden/>
              </w:rPr>
              <w:instrText xml:space="preserve"> PAGEREF _Toc66807912 \h </w:instrText>
            </w:r>
            <w:r w:rsidR="00514DF7">
              <w:rPr>
                <w:noProof/>
                <w:webHidden/>
              </w:rPr>
            </w:r>
            <w:r w:rsidR="00514DF7">
              <w:rPr>
                <w:noProof/>
                <w:webHidden/>
              </w:rPr>
              <w:fldChar w:fldCharType="separate"/>
            </w:r>
            <w:r w:rsidR="00514DF7">
              <w:rPr>
                <w:noProof/>
                <w:webHidden/>
              </w:rPr>
              <w:t>22</w:t>
            </w:r>
            <w:r w:rsidR="00514DF7">
              <w:rPr>
                <w:noProof/>
                <w:webHidden/>
              </w:rPr>
              <w:fldChar w:fldCharType="end"/>
            </w:r>
          </w:hyperlink>
        </w:p>
        <w:p w14:paraId="378F8881" w14:textId="0BA6B96A"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3" w:history="1">
            <w:r w:rsidR="00514DF7" w:rsidRPr="003D26A9">
              <w:rPr>
                <w:rStyle w:val="Hyperlink"/>
                <w:rFonts w:eastAsiaTheme="majorEastAsia"/>
                <w:noProof/>
              </w:rPr>
              <w:t>Income, Unemployment and Poverty</w:t>
            </w:r>
            <w:r w:rsidR="00514DF7">
              <w:rPr>
                <w:noProof/>
                <w:webHidden/>
              </w:rPr>
              <w:tab/>
            </w:r>
            <w:r w:rsidR="00514DF7">
              <w:rPr>
                <w:noProof/>
                <w:webHidden/>
              </w:rPr>
              <w:fldChar w:fldCharType="begin"/>
            </w:r>
            <w:r w:rsidR="00514DF7">
              <w:rPr>
                <w:noProof/>
                <w:webHidden/>
              </w:rPr>
              <w:instrText xml:space="preserve"> PAGEREF _Toc66807913 \h </w:instrText>
            </w:r>
            <w:r w:rsidR="00514DF7">
              <w:rPr>
                <w:noProof/>
                <w:webHidden/>
              </w:rPr>
            </w:r>
            <w:r w:rsidR="00514DF7">
              <w:rPr>
                <w:noProof/>
                <w:webHidden/>
              </w:rPr>
              <w:fldChar w:fldCharType="separate"/>
            </w:r>
            <w:r w:rsidR="00514DF7">
              <w:rPr>
                <w:noProof/>
                <w:webHidden/>
              </w:rPr>
              <w:t>23</w:t>
            </w:r>
            <w:r w:rsidR="00514DF7">
              <w:rPr>
                <w:noProof/>
                <w:webHidden/>
              </w:rPr>
              <w:fldChar w:fldCharType="end"/>
            </w:r>
          </w:hyperlink>
        </w:p>
        <w:p w14:paraId="18749D13" w14:textId="5B2F414E"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14" w:history="1">
            <w:r w:rsidR="00514DF7" w:rsidRPr="003D26A9">
              <w:rPr>
                <w:rStyle w:val="Hyperlink"/>
                <w:rFonts w:eastAsiaTheme="majorEastAsia"/>
                <w:noProof/>
              </w:rPr>
              <w:t>Racially / Ethnically Concentrated Areas of Poverty</w:t>
            </w:r>
            <w:r w:rsidR="00514DF7">
              <w:rPr>
                <w:noProof/>
                <w:webHidden/>
              </w:rPr>
              <w:tab/>
            </w:r>
            <w:r w:rsidR="00514DF7">
              <w:rPr>
                <w:noProof/>
                <w:webHidden/>
              </w:rPr>
              <w:fldChar w:fldCharType="begin"/>
            </w:r>
            <w:r w:rsidR="00514DF7">
              <w:rPr>
                <w:noProof/>
                <w:webHidden/>
              </w:rPr>
              <w:instrText xml:space="preserve"> PAGEREF _Toc66807914 \h </w:instrText>
            </w:r>
            <w:r w:rsidR="00514DF7">
              <w:rPr>
                <w:noProof/>
                <w:webHidden/>
              </w:rPr>
            </w:r>
            <w:r w:rsidR="00514DF7">
              <w:rPr>
                <w:noProof/>
                <w:webHidden/>
              </w:rPr>
              <w:fldChar w:fldCharType="separate"/>
            </w:r>
            <w:r w:rsidR="00514DF7">
              <w:rPr>
                <w:noProof/>
                <w:webHidden/>
              </w:rPr>
              <w:t>27</w:t>
            </w:r>
            <w:r w:rsidR="00514DF7">
              <w:rPr>
                <w:noProof/>
                <w:webHidden/>
              </w:rPr>
              <w:fldChar w:fldCharType="end"/>
            </w:r>
          </w:hyperlink>
        </w:p>
        <w:p w14:paraId="4CBA9E12" w14:textId="4D9F3A4C"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15" w:history="1">
            <w:r w:rsidR="00514DF7" w:rsidRPr="003D26A9">
              <w:rPr>
                <w:rStyle w:val="Hyperlink"/>
                <w:rFonts w:eastAsiaTheme="majorEastAsia"/>
                <w:noProof/>
              </w:rPr>
              <w:t>Housing Profile</w:t>
            </w:r>
            <w:r w:rsidR="00514DF7">
              <w:rPr>
                <w:noProof/>
                <w:webHidden/>
              </w:rPr>
              <w:tab/>
            </w:r>
            <w:r w:rsidR="00514DF7">
              <w:rPr>
                <w:noProof/>
                <w:webHidden/>
              </w:rPr>
              <w:fldChar w:fldCharType="begin"/>
            </w:r>
            <w:r w:rsidR="00514DF7">
              <w:rPr>
                <w:noProof/>
                <w:webHidden/>
              </w:rPr>
              <w:instrText xml:space="preserve"> PAGEREF _Toc66807915 \h </w:instrText>
            </w:r>
            <w:r w:rsidR="00514DF7">
              <w:rPr>
                <w:noProof/>
                <w:webHidden/>
              </w:rPr>
            </w:r>
            <w:r w:rsidR="00514DF7">
              <w:rPr>
                <w:noProof/>
                <w:webHidden/>
              </w:rPr>
              <w:fldChar w:fldCharType="separate"/>
            </w:r>
            <w:r w:rsidR="00514DF7">
              <w:rPr>
                <w:noProof/>
                <w:webHidden/>
              </w:rPr>
              <w:t>30</w:t>
            </w:r>
            <w:r w:rsidR="00514DF7">
              <w:rPr>
                <w:noProof/>
                <w:webHidden/>
              </w:rPr>
              <w:fldChar w:fldCharType="end"/>
            </w:r>
          </w:hyperlink>
        </w:p>
        <w:p w14:paraId="2E4EECE9" w14:textId="18E67CE8"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6" w:history="1">
            <w:r w:rsidR="00514DF7" w:rsidRPr="003D26A9">
              <w:rPr>
                <w:rStyle w:val="Hyperlink"/>
                <w:rFonts w:eastAsiaTheme="majorEastAsia"/>
                <w:noProof/>
              </w:rPr>
              <w:t>Age of Housing Stock</w:t>
            </w:r>
            <w:r w:rsidR="00514DF7">
              <w:rPr>
                <w:noProof/>
                <w:webHidden/>
              </w:rPr>
              <w:tab/>
            </w:r>
            <w:r w:rsidR="00514DF7">
              <w:rPr>
                <w:noProof/>
                <w:webHidden/>
              </w:rPr>
              <w:fldChar w:fldCharType="begin"/>
            </w:r>
            <w:r w:rsidR="00514DF7">
              <w:rPr>
                <w:noProof/>
                <w:webHidden/>
              </w:rPr>
              <w:instrText xml:space="preserve"> PAGEREF _Toc66807916 \h </w:instrText>
            </w:r>
            <w:r w:rsidR="00514DF7">
              <w:rPr>
                <w:noProof/>
                <w:webHidden/>
              </w:rPr>
            </w:r>
            <w:r w:rsidR="00514DF7">
              <w:rPr>
                <w:noProof/>
                <w:webHidden/>
              </w:rPr>
              <w:fldChar w:fldCharType="separate"/>
            </w:r>
            <w:r w:rsidR="00514DF7">
              <w:rPr>
                <w:noProof/>
                <w:webHidden/>
              </w:rPr>
              <w:t>30</w:t>
            </w:r>
            <w:r w:rsidR="00514DF7">
              <w:rPr>
                <w:noProof/>
                <w:webHidden/>
              </w:rPr>
              <w:fldChar w:fldCharType="end"/>
            </w:r>
          </w:hyperlink>
        </w:p>
        <w:p w14:paraId="24E36E5A" w14:textId="065416B7"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7" w:history="1">
            <w:r w:rsidR="00514DF7" w:rsidRPr="003D26A9">
              <w:rPr>
                <w:rStyle w:val="Hyperlink"/>
                <w:rFonts w:eastAsiaTheme="majorEastAsia"/>
                <w:noProof/>
              </w:rPr>
              <w:t>Vacancy Rates</w:t>
            </w:r>
            <w:r w:rsidR="00514DF7">
              <w:rPr>
                <w:noProof/>
                <w:webHidden/>
              </w:rPr>
              <w:tab/>
            </w:r>
            <w:r w:rsidR="00514DF7">
              <w:rPr>
                <w:noProof/>
                <w:webHidden/>
              </w:rPr>
              <w:fldChar w:fldCharType="begin"/>
            </w:r>
            <w:r w:rsidR="00514DF7">
              <w:rPr>
                <w:noProof/>
                <w:webHidden/>
              </w:rPr>
              <w:instrText xml:space="preserve"> PAGEREF _Toc66807917 \h </w:instrText>
            </w:r>
            <w:r w:rsidR="00514DF7">
              <w:rPr>
                <w:noProof/>
                <w:webHidden/>
              </w:rPr>
            </w:r>
            <w:r w:rsidR="00514DF7">
              <w:rPr>
                <w:noProof/>
                <w:webHidden/>
              </w:rPr>
              <w:fldChar w:fldCharType="separate"/>
            </w:r>
            <w:r w:rsidR="00514DF7">
              <w:rPr>
                <w:noProof/>
                <w:webHidden/>
              </w:rPr>
              <w:t>30</w:t>
            </w:r>
            <w:r w:rsidR="00514DF7">
              <w:rPr>
                <w:noProof/>
                <w:webHidden/>
              </w:rPr>
              <w:fldChar w:fldCharType="end"/>
            </w:r>
          </w:hyperlink>
        </w:p>
        <w:p w14:paraId="440D4604" w14:textId="469E0DED"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8" w:history="1">
            <w:r w:rsidR="00514DF7" w:rsidRPr="003D26A9">
              <w:rPr>
                <w:rStyle w:val="Hyperlink"/>
                <w:rFonts w:eastAsiaTheme="majorEastAsia"/>
                <w:noProof/>
              </w:rPr>
              <w:t>Housing Tenure</w:t>
            </w:r>
            <w:r w:rsidR="00514DF7">
              <w:rPr>
                <w:noProof/>
                <w:webHidden/>
              </w:rPr>
              <w:tab/>
            </w:r>
            <w:r w:rsidR="00514DF7">
              <w:rPr>
                <w:noProof/>
                <w:webHidden/>
              </w:rPr>
              <w:fldChar w:fldCharType="begin"/>
            </w:r>
            <w:r w:rsidR="00514DF7">
              <w:rPr>
                <w:noProof/>
                <w:webHidden/>
              </w:rPr>
              <w:instrText xml:space="preserve"> PAGEREF _Toc66807918 \h </w:instrText>
            </w:r>
            <w:r w:rsidR="00514DF7">
              <w:rPr>
                <w:noProof/>
                <w:webHidden/>
              </w:rPr>
            </w:r>
            <w:r w:rsidR="00514DF7">
              <w:rPr>
                <w:noProof/>
                <w:webHidden/>
              </w:rPr>
              <w:fldChar w:fldCharType="separate"/>
            </w:r>
            <w:r w:rsidR="00514DF7">
              <w:rPr>
                <w:noProof/>
                <w:webHidden/>
              </w:rPr>
              <w:t>32</w:t>
            </w:r>
            <w:r w:rsidR="00514DF7">
              <w:rPr>
                <w:noProof/>
                <w:webHidden/>
              </w:rPr>
              <w:fldChar w:fldCharType="end"/>
            </w:r>
          </w:hyperlink>
        </w:p>
        <w:p w14:paraId="4C43E0B1" w14:textId="433F0755"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19" w:history="1">
            <w:r w:rsidR="00514DF7" w:rsidRPr="003D26A9">
              <w:rPr>
                <w:rStyle w:val="Hyperlink"/>
                <w:rFonts w:eastAsiaTheme="majorEastAsia"/>
                <w:noProof/>
              </w:rPr>
              <w:t>Housing Affordability</w:t>
            </w:r>
            <w:r w:rsidR="00514DF7">
              <w:rPr>
                <w:noProof/>
                <w:webHidden/>
              </w:rPr>
              <w:tab/>
            </w:r>
            <w:r w:rsidR="00514DF7">
              <w:rPr>
                <w:noProof/>
                <w:webHidden/>
              </w:rPr>
              <w:fldChar w:fldCharType="begin"/>
            </w:r>
            <w:r w:rsidR="00514DF7">
              <w:rPr>
                <w:noProof/>
                <w:webHidden/>
              </w:rPr>
              <w:instrText xml:space="preserve"> PAGEREF _Toc66807919 \h </w:instrText>
            </w:r>
            <w:r w:rsidR="00514DF7">
              <w:rPr>
                <w:noProof/>
                <w:webHidden/>
              </w:rPr>
            </w:r>
            <w:r w:rsidR="00514DF7">
              <w:rPr>
                <w:noProof/>
                <w:webHidden/>
              </w:rPr>
              <w:fldChar w:fldCharType="separate"/>
            </w:r>
            <w:r w:rsidR="00514DF7">
              <w:rPr>
                <w:noProof/>
                <w:webHidden/>
              </w:rPr>
              <w:t>34</w:t>
            </w:r>
            <w:r w:rsidR="00514DF7">
              <w:rPr>
                <w:noProof/>
                <w:webHidden/>
              </w:rPr>
              <w:fldChar w:fldCharType="end"/>
            </w:r>
          </w:hyperlink>
        </w:p>
        <w:p w14:paraId="630FCCF3" w14:textId="5C4AC93B"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20" w:history="1">
            <w:r w:rsidR="00514DF7" w:rsidRPr="003D26A9">
              <w:rPr>
                <w:rStyle w:val="Hyperlink"/>
                <w:rFonts w:eastAsiaTheme="majorEastAsia"/>
                <w:noProof/>
              </w:rPr>
              <w:t>Cost Burden</w:t>
            </w:r>
            <w:r w:rsidR="00514DF7">
              <w:rPr>
                <w:noProof/>
                <w:webHidden/>
              </w:rPr>
              <w:tab/>
            </w:r>
            <w:r w:rsidR="00514DF7">
              <w:rPr>
                <w:noProof/>
                <w:webHidden/>
              </w:rPr>
              <w:fldChar w:fldCharType="begin"/>
            </w:r>
            <w:r w:rsidR="00514DF7">
              <w:rPr>
                <w:noProof/>
                <w:webHidden/>
              </w:rPr>
              <w:instrText xml:space="preserve"> PAGEREF _Toc66807920 \h </w:instrText>
            </w:r>
            <w:r w:rsidR="00514DF7">
              <w:rPr>
                <w:noProof/>
                <w:webHidden/>
              </w:rPr>
            </w:r>
            <w:r w:rsidR="00514DF7">
              <w:rPr>
                <w:noProof/>
                <w:webHidden/>
              </w:rPr>
              <w:fldChar w:fldCharType="separate"/>
            </w:r>
            <w:r w:rsidR="00514DF7">
              <w:rPr>
                <w:noProof/>
                <w:webHidden/>
              </w:rPr>
              <w:t>35</w:t>
            </w:r>
            <w:r w:rsidR="00514DF7">
              <w:rPr>
                <w:noProof/>
                <w:webHidden/>
              </w:rPr>
              <w:fldChar w:fldCharType="end"/>
            </w:r>
          </w:hyperlink>
        </w:p>
        <w:p w14:paraId="703680A2" w14:textId="7CCBF6D4"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21" w:history="1">
            <w:r w:rsidR="00514DF7" w:rsidRPr="003D26A9">
              <w:rPr>
                <w:rStyle w:val="Hyperlink"/>
                <w:rFonts w:eastAsiaTheme="majorEastAsia"/>
                <w:noProof/>
              </w:rPr>
              <w:t>Other Relevant Data</w:t>
            </w:r>
            <w:r w:rsidR="00514DF7">
              <w:rPr>
                <w:noProof/>
                <w:webHidden/>
              </w:rPr>
              <w:tab/>
            </w:r>
            <w:r w:rsidR="00514DF7">
              <w:rPr>
                <w:noProof/>
                <w:webHidden/>
              </w:rPr>
              <w:fldChar w:fldCharType="begin"/>
            </w:r>
            <w:r w:rsidR="00514DF7">
              <w:rPr>
                <w:noProof/>
                <w:webHidden/>
              </w:rPr>
              <w:instrText xml:space="preserve"> PAGEREF _Toc66807921 \h </w:instrText>
            </w:r>
            <w:r w:rsidR="00514DF7">
              <w:rPr>
                <w:noProof/>
                <w:webHidden/>
              </w:rPr>
            </w:r>
            <w:r w:rsidR="00514DF7">
              <w:rPr>
                <w:noProof/>
                <w:webHidden/>
              </w:rPr>
              <w:fldChar w:fldCharType="separate"/>
            </w:r>
            <w:r w:rsidR="00514DF7">
              <w:rPr>
                <w:noProof/>
                <w:webHidden/>
              </w:rPr>
              <w:t>37</w:t>
            </w:r>
            <w:r w:rsidR="00514DF7">
              <w:rPr>
                <w:noProof/>
                <w:webHidden/>
              </w:rPr>
              <w:fldChar w:fldCharType="end"/>
            </w:r>
          </w:hyperlink>
        </w:p>
        <w:p w14:paraId="75F1B871" w14:textId="3F0C1FF6"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22" w:history="1">
            <w:r w:rsidR="00514DF7" w:rsidRPr="003D26A9">
              <w:rPr>
                <w:rStyle w:val="Hyperlink"/>
                <w:rFonts w:eastAsiaTheme="majorEastAsia"/>
                <w:noProof/>
              </w:rPr>
              <w:t>Communities of Opportunity</w:t>
            </w:r>
            <w:r w:rsidR="00514DF7">
              <w:rPr>
                <w:noProof/>
                <w:webHidden/>
              </w:rPr>
              <w:tab/>
            </w:r>
            <w:r w:rsidR="00514DF7">
              <w:rPr>
                <w:noProof/>
                <w:webHidden/>
              </w:rPr>
              <w:fldChar w:fldCharType="begin"/>
            </w:r>
            <w:r w:rsidR="00514DF7">
              <w:rPr>
                <w:noProof/>
                <w:webHidden/>
              </w:rPr>
              <w:instrText xml:space="preserve"> PAGEREF _Toc66807922 \h </w:instrText>
            </w:r>
            <w:r w:rsidR="00514DF7">
              <w:rPr>
                <w:noProof/>
                <w:webHidden/>
              </w:rPr>
            </w:r>
            <w:r w:rsidR="00514DF7">
              <w:rPr>
                <w:noProof/>
                <w:webHidden/>
              </w:rPr>
              <w:fldChar w:fldCharType="separate"/>
            </w:r>
            <w:r w:rsidR="00514DF7">
              <w:rPr>
                <w:noProof/>
                <w:webHidden/>
              </w:rPr>
              <w:t>37</w:t>
            </w:r>
            <w:r w:rsidR="00514DF7">
              <w:rPr>
                <w:noProof/>
                <w:webHidden/>
              </w:rPr>
              <w:fldChar w:fldCharType="end"/>
            </w:r>
          </w:hyperlink>
        </w:p>
        <w:p w14:paraId="553DAEFA" w14:textId="39D1BA22"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23" w:history="1">
            <w:r w:rsidR="00514DF7" w:rsidRPr="003D26A9">
              <w:rPr>
                <w:rStyle w:val="Hyperlink"/>
                <w:rFonts w:eastAsiaTheme="majorEastAsia"/>
                <w:noProof/>
              </w:rPr>
              <w:t>Location of Assisted Inventory in Opportunity Areas</w:t>
            </w:r>
            <w:r w:rsidR="00514DF7">
              <w:rPr>
                <w:noProof/>
                <w:webHidden/>
              </w:rPr>
              <w:tab/>
            </w:r>
            <w:r w:rsidR="00514DF7">
              <w:rPr>
                <w:noProof/>
                <w:webHidden/>
              </w:rPr>
              <w:fldChar w:fldCharType="begin"/>
            </w:r>
            <w:r w:rsidR="00514DF7">
              <w:rPr>
                <w:noProof/>
                <w:webHidden/>
              </w:rPr>
              <w:instrText xml:space="preserve"> PAGEREF _Toc66807923 \h </w:instrText>
            </w:r>
            <w:r w:rsidR="00514DF7">
              <w:rPr>
                <w:noProof/>
                <w:webHidden/>
              </w:rPr>
            </w:r>
            <w:r w:rsidR="00514DF7">
              <w:rPr>
                <w:noProof/>
                <w:webHidden/>
              </w:rPr>
              <w:fldChar w:fldCharType="separate"/>
            </w:r>
            <w:r w:rsidR="00514DF7">
              <w:rPr>
                <w:noProof/>
                <w:webHidden/>
              </w:rPr>
              <w:t>42</w:t>
            </w:r>
            <w:r w:rsidR="00514DF7">
              <w:rPr>
                <w:noProof/>
                <w:webHidden/>
              </w:rPr>
              <w:fldChar w:fldCharType="end"/>
            </w:r>
          </w:hyperlink>
        </w:p>
        <w:p w14:paraId="3A6E8443" w14:textId="443A903D"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24" w:history="1">
            <w:r w:rsidR="00514DF7" w:rsidRPr="003D26A9">
              <w:rPr>
                <w:rStyle w:val="Hyperlink"/>
                <w:rFonts w:eastAsiaTheme="majorEastAsia"/>
                <w:noProof/>
              </w:rPr>
              <w:t>Evaluation of State’s Current Fair Housing Legal Status</w:t>
            </w:r>
            <w:r w:rsidR="00514DF7">
              <w:rPr>
                <w:noProof/>
                <w:webHidden/>
              </w:rPr>
              <w:tab/>
            </w:r>
            <w:r w:rsidR="00514DF7">
              <w:rPr>
                <w:noProof/>
                <w:webHidden/>
              </w:rPr>
              <w:fldChar w:fldCharType="begin"/>
            </w:r>
            <w:r w:rsidR="00514DF7">
              <w:rPr>
                <w:noProof/>
                <w:webHidden/>
              </w:rPr>
              <w:instrText xml:space="preserve"> PAGEREF _Toc66807924 \h </w:instrText>
            </w:r>
            <w:r w:rsidR="00514DF7">
              <w:rPr>
                <w:noProof/>
                <w:webHidden/>
              </w:rPr>
            </w:r>
            <w:r w:rsidR="00514DF7">
              <w:rPr>
                <w:noProof/>
                <w:webHidden/>
              </w:rPr>
              <w:fldChar w:fldCharType="separate"/>
            </w:r>
            <w:r w:rsidR="00514DF7">
              <w:rPr>
                <w:noProof/>
                <w:webHidden/>
              </w:rPr>
              <w:t>48</w:t>
            </w:r>
            <w:r w:rsidR="00514DF7">
              <w:rPr>
                <w:noProof/>
                <w:webHidden/>
              </w:rPr>
              <w:fldChar w:fldCharType="end"/>
            </w:r>
          </w:hyperlink>
        </w:p>
        <w:p w14:paraId="3CD4D735" w14:textId="5800D3AD"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25" w:history="1">
            <w:r w:rsidR="00514DF7" w:rsidRPr="003D26A9">
              <w:rPr>
                <w:rStyle w:val="Hyperlink"/>
                <w:rFonts w:eastAsiaTheme="majorEastAsia"/>
                <w:noProof/>
              </w:rPr>
              <w:t>Fair Housing Statutes</w:t>
            </w:r>
            <w:r w:rsidR="00514DF7">
              <w:rPr>
                <w:noProof/>
                <w:webHidden/>
              </w:rPr>
              <w:tab/>
            </w:r>
            <w:r w:rsidR="00514DF7">
              <w:rPr>
                <w:noProof/>
                <w:webHidden/>
              </w:rPr>
              <w:fldChar w:fldCharType="begin"/>
            </w:r>
            <w:r w:rsidR="00514DF7">
              <w:rPr>
                <w:noProof/>
                <w:webHidden/>
              </w:rPr>
              <w:instrText xml:space="preserve"> PAGEREF _Toc66807925 \h </w:instrText>
            </w:r>
            <w:r w:rsidR="00514DF7">
              <w:rPr>
                <w:noProof/>
                <w:webHidden/>
              </w:rPr>
            </w:r>
            <w:r w:rsidR="00514DF7">
              <w:rPr>
                <w:noProof/>
                <w:webHidden/>
              </w:rPr>
              <w:fldChar w:fldCharType="separate"/>
            </w:r>
            <w:r w:rsidR="00514DF7">
              <w:rPr>
                <w:noProof/>
                <w:webHidden/>
              </w:rPr>
              <w:t>48</w:t>
            </w:r>
            <w:r w:rsidR="00514DF7">
              <w:rPr>
                <w:noProof/>
                <w:webHidden/>
              </w:rPr>
              <w:fldChar w:fldCharType="end"/>
            </w:r>
          </w:hyperlink>
        </w:p>
        <w:p w14:paraId="4C50D010" w14:textId="3D1E8000"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26" w:history="1">
            <w:r w:rsidR="00514DF7" w:rsidRPr="003D26A9">
              <w:rPr>
                <w:rStyle w:val="Hyperlink"/>
                <w:rFonts w:eastAsiaTheme="majorEastAsia"/>
                <w:noProof/>
              </w:rPr>
              <w:t>Federal Statutes</w:t>
            </w:r>
            <w:r w:rsidR="00514DF7">
              <w:rPr>
                <w:noProof/>
                <w:webHidden/>
              </w:rPr>
              <w:tab/>
            </w:r>
            <w:r w:rsidR="00514DF7">
              <w:rPr>
                <w:noProof/>
                <w:webHidden/>
              </w:rPr>
              <w:fldChar w:fldCharType="begin"/>
            </w:r>
            <w:r w:rsidR="00514DF7">
              <w:rPr>
                <w:noProof/>
                <w:webHidden/>
              </w:rPr>
              <w:instrText xml:space="preserve"> PAGEREF _Toc66807926 \h </w:instrText>
            </w:r>
            <w:r w:rsidR="00514DF7">
              <w:rPr>
                <w:noProof/>
                <w:webHidden/>
              </w:rPr>
            </w:r>
            <w:r w:rsidR="00514DF7">
              <w:rPr>
                <w:noProof/>
                <w:webHidden/>
              </w:rPr>
              <w:fldChar w:fldCharType="separate"/>
            </w:r>
            <w:r w:rsidR="00514DF7">
              <w:rPr>
                <w:noProof/>
                <w:webHidden/>
              </w:rPr>
              <w:t>48</w:t>
            </w:r>
            <w:r w:rsidR="00514DF7">
              <w:rPr>
                <w:noProof/>
                <w:webHidden/>
              </w:rPr>
              <w:fldChar w:fldCharType="end"/>
            </w:r>
          </w:hyperlink>
        </w:p>
        <w:p w14:paraId="534ADE69" w14:textId="48D5F6E0"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27" w:history="1">
            <w:r w:rsidR="00514DF7" w:rsidRPr="003D26A9">
              <w:rPr>
                <w:rStyle w:val="Hyperlink"/>
                <w:rFonts w:eastAsiaTheme="majorEastAsia"/>
                <w:noProof/>
              </w:rPr>
              <w:t>State Statute</w:t>
            </w:r>
            <w:r w:rsidR="00514DF7">
              <w:rPr>
                <w:noProof/>
                <w:webHidden/>
              </w:rPr>
              <w:tab/>
            </w:r>
            <w:r w:rsidR="00514DF7">
              <w:rPr>
                <w:noProof/>
                <w:webHidden/>
              </w:rPr>
              <w:fldChar w:fldCharType="begin"/>
            </w:r>
            <w:r w:rsidR="00514DF7">
              <w:rPr>
                <w:noProof/>
                <w:webHidden/>
              </w:rPr>
              <w:instrText xml:space="preserve"> PAGEREF _Toc66807927 \h </w:instrText>
            </w:r>
            <w:r w:rsidR="00514DF7">
              <w:rPr>
                <w:noProof/>
                <w:webHidden/>
              </w:rPr>
            </w:r>
            <w:r w:rsidR="00514DF7">
              <w:rPr>
                <w:noProof/>
                <w:webHidden/>
              </w:rPr>
              <w:fldChar w:fldCharType="separate"/>
            </w:r>
            <w:r w:rsidR="00514DF7">
              <w:rPr>
                <w:noProof/>
                <w:webHidden/>
              </w:rPr>
              <w:t>48</w:t>
            </w:r>
            <w:r w:rsidR="00514DF7">
              <w:rPr>
                <w:noProof/>
                <w:webHidden/>
              </w:rPr>
              <w:fldChar w:fldCharType="end"/>
            </w:r>
          </w:hyperlink>
        </w:p>
        <w:p w14:paraId="7A4351DC" w14:textId="23720B5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28" w:history="1">
            <w:r w:rsidR="00514DF7" w:rsidRPr="003D26A9">
              <w:rPr>
                <w:rStyle w:val="Hyperlink"/>
                <w:rFonts w:eastAsiaTheme="majorEastAsia"/>
                <w:noProof/>
              </w:rPr>
              <w:t>Municipal Statutes</w:t>
            </w:r>
            <w:r w:rsidR="00514DF7">
              <w:rPr>
                <w:noProof/>
                <w:webHidden/>
              </w:rPr>
              <w:tab/>
            </w:r>
            <w:r w:rsidR="00514DF7">
              <w:rPr>
                <w:noProof/>
                <w:webHidden/>
              </w:rPr>
              <w:fldChar w:fldCharType="begin"/>
            </w:r>
            <w:r w:rsidR="00514DF7">
              <w:rPr>
                <w:noProof/>
                <w:webHidden/>
              </w:rPr>
              <w:instrText xml:space="preserve"> PAGEREF _Toc66807928 \h </w:instrText>
            </w:r>
            <w:r w:rsidR="00514DF7">
              <w:rPr>
                <w:noProof/>
                <w:webHidden/>
              </w:rPr>
            </w:r>
            <w:r w:rsidR="00514DF7">
              <w:rPr>
                <w:noProof/>
                <w:webHidden/>
              </w:rPr>
              <w:fldChar w:fldCharType="separate"/>
            </w:r>
            <w:r w:rsidR="00514DF7">
              <w:rPr>
                <w:noProof/>
                <w:webHidden/>
              </w:rPr>
              <w:t>48</w:t>
            </w:r>
            <w:r w:rsidR="00514DF7">
              <w:rPr>
                <w:noProof/>
                <w:webHidden/>
              </w:rPr>
              <w:fldChar w:fldCharType="end"/>
            </w:r>
          </w:hyperlink>
        </w:p>
        <w:p w14:paraId="03A85E76" w14:textId="04791A74"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29" w:history="1">
            <w:r w:rsidR="00514DF7" w:rsidRPr="003D26A9">
              <w:rPr>
                <w:rStyle w:val="Hyperlink"/>
                <w:rFonts w:eastAsiaTheme="majorEastAsia"/>
                <w:noProof/>
              </w:rPr>
              <w:t>Fair Housing Entities</w:t>
            </w:r>
            <w:r w:rsidR="00514DF7">
              <w:rPr>
                <w:noProof/>
                <w:webHidden/>
              </w:rPr>
              <w:tab/>
            </w:r>
            <w:r w:rsidR="00514DF7">
              <w:rPr>
                <w:noProof/>
                <w:webHidden/>
              </w:rPr>
              <w:fldChar w:fldCharType="begin"/>
            </w:r>
            <w:r w:rsidR="00514DF7">
              <w:rPr>
                <w:noProof/>
                <w:webHidden/>
              </w:rPr>
              <w:instrText xml:space="preserve"> PAGEREF _Toc66807929 \h </w:instrText>
            </w:r>
            <w:r w:rsidR="00514DF7">
              <w:rPr>
                <w:noProof/>
                <w:webHidden/>
              </w:rPr>
            </w:r>
            <w:r w:rsidR="00514DF7">
              <w:rPr>
                <w:noProof/>
                <w:webHidden/>
              </w:rPr>
              <w:fldChar w:fldCharType="separate"/>
            </w:r>
            <w:r w:rsidR="00514DF7">
              <w:rPr>
                <w:noProof/>
                <w:webHidden/>
              </w:rPr>
              <w:t>49</w:t>
            </w:r>
            <w:r w:rsidR="00514DF7">
              <w:rPr>
                <w:noProof/>
                <w:webHidden/>
              </w:rPr>
              <w:fldChar w:fldCharType="end"/>
            </w:r>
          </w:hyperlink>
        </w:p>
        <w:p w14:paraId="6D3C79F4" w14:textId="6E7B94B3"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30" w:history="1">
            <w:r w:rsidR="00514DF7" w:rsidRPr="003D26A9">
              <w:rPr>
                <w:rStyle w:val="Hyperlink"/>
                <w:rFonts w:eastAsiaTheme="majorEastAsia"/>
                <w:noProof/>
              </w:rPr>
              <w:t>U.S. Department of Housing &amp; Urban Development</w:t>
            </w:r>
            <w:r w:rsidR="00514DF7">
              <w:rPr>
                <w:noProof/>
                <w:webHidden/>
              </w:rPr>
              <w:tab/>
            </w:r>
            <w:r w:rsidR="00514DF7">
              <w:rPr>
                <w:noProof/>
                <w:webHidden/>
              </w:rPr>
              <w:fldChar w:fldCharType="begin"/>
            </w:r>
            <w:r w:rsidR="00514DF7">
              <w:rPr>
                <w:noProof/>
                <w:webHidden/>
              </w:rPr>
              <w:instrText xml:space="preserve"> PAGEREF _Toc66807930 \h </w:instrText>
            </w:r>
            <w:r w:rsidR="00514DF7">
              <w:rPr>
                <w:noProof/>
                <w:webHidden/>
              </w:rPr>
            </w:r>
            <w:r w:rsidR="00514DF7">
              <w:rPr>
                <w:noProof/>
                <w:webHidden/>
              </w:rPr>
              <w:fldChar w:fldCharType="separate"/>
            </w:r>
            <w:r w:rsidR="00514DF7">
              <w:rPr>
                <w:noProof/>
                <w:webHidden/>
              </w:rPr>
              <w:t>49</w:t>
            </w:r>
            <w:r w:rsidR="00514DF7">
              <w:rPr>
                <w:noProof/>
                <w:webHidden/>
              </w:rPr>
              <w:fldChar w:fldCharType="end"/>
            </w:r>
          </w:hyperlink>
        </w:p>
        <w:p w14:paraId="441F8279" w14:textId="0E2688E0"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31" w:history="1">
            <w:r w:rsidR="00514DF7" w:rsidRPr="003D26A9">
              <w:rPr>
                <w:rStyle w:val="Hyperlink"/>
                <w:rFonts w:eastAsiaTheme="majorEastAsia"/>
                <w:noProof/>
              </w:rPr>
              <w:t>North Carolina Human Relations Commission</w:t>
            </w:r>
            <w:r w:rsidR="00514DF7">
              <w:rPr>
                <w:noProof/>
                <w:webHidden/>
              </w:rPr>
              <w:tab/>
            </w:r>
            <w:r w:rsidR="00514DF7">
              <w:rPr>
                <w:noProof/>
                <w:webHidden/>
              </w:rPr>
              <w:fldChar w:fldCharType="begin"/>
            </w:r>
            <w:r w:rsidR="00514DF7">
              <w:rPr>
                <w:noProof/>
                <w:webHidden/>
              </w:rPr>
              <w:instrText xml:space="preserve"> PAGEREF _Toc66807931 \h </w:instrText>
            </w:r>
            <w:r w:rsidR="00514DF7">
              <w:rPr>
                <w:noProof/>
                <w:webHidden/>
              </w:rPr>
            </w:r>
            <w:r w:rsidR="00514DF7">
              <w:rPr>
                <w:noProof/>
                <w:webHidden/>
              </w:rPr>
              <w:fldChar w:fldCharType="separate"/>
            </w:r>
            <w:r w:rsidR="00514DF7">
              <w:rPr>
                <w:noProof/>
                <w:webHidden/>
              </w:rPr>
              <w:t>49</w:t>
            </w:r>
            <w:r w:rsidR="00514DF7">
              <w:rPr>
                <w:noProof/>
                <w:webHidden/>
              </w:rPr>
              <w:fldChar w:fldCharType="end"/>
            </w:r>
          </w:hyperlink>
        </w:p>
        <w:p w14:paraId="07DD271D" w14:textId="470E2BA4"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32" w:history="1">
            <w:r w:rsidR="00514DF7" w:rsidRPr="003D26A9">
              <w:rPr>
                <w:rStyle w:val="Hyperlink"/>
                <w:rFonts w:eastAsiaTheme="majorEastAsia"/>
                <w:noProof/>
              </w:rPr>
              <w:t>The Fair Housing Project of Legal Aid of North Carolina</w:t>
            </w:r>
            <w:r w:rsidR="00514DF7">
              <w:rPr>
                <w:noProof/>
                <w:webHidden/>
              </w:rPr>
              <w:tab/>
            </w:r>
            <w:r w:rsidR="00514DF7">
              <w:rPr>
                <w:noProof/>
                <w:webHidden/>
              </w:rPr>
              <w:fldChar w:fldCharType="begin"/>
            </w:r>
            <w:r w:rsidR="00514DF7">
              <w:rPr>
                <w:noProof/>
                <w:webHidden/>
              </w:rPr>
              <w:instrText xml:space="preserve"> PAGEREF _Toc66807932 \h </w:instrText>
            </w:r>
            <w:r w:rsidR="00514DF7">
              <w:rPr>
                <w:noProof/>
                <w:webHidden/>
              </w:rPr>
            </w:r>
            <w:r w:rsidR="00514DF7">
              <w:rPr>
                <w:noProof/>
                <w:webHidden/>
              </w:rPr>
              <w:fldChar w:fldCharType="separate"/>
            </w:r>
            <w:r w:rsidR="00514DF7">
              <w:rPr>
                <w:noProof/>
                <w:webHidden/>
              </w:rPr>
              <w:t>49</w:t>
            </w:r>
            <w:r w:rsidR="00514DF7">
              <w:rPr>
                <w:noProof/>
                <w:webHidden/>
              </w:rPr>
              <w:fldChar w:fldCharType="end"/>
            </w:r>
          </w:hyperlink>
        </w:p>
        <w:p w14:paraId="4A323E21" w14:textId="2A1818DC"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33" w:history="1">
            <w:r w:rsidR="00514DF7" w:rsidRPr="003D26A9">
              <w:rPr>
                <w:rStyle w:val="Hyperlink"/>
                <w:rFonts w:eastAsiaTheme="majorEastAsia"/>
                <w:noProof/>
              </w:rPr>
              <w:t>Existence of Housing Discrimination Complaints</w:t>
            </w:r>
            <w:r w:rsidR="00514DF7">
              <w:rPr>
                <w:noProof/>
                <w:webHidden/>
              </w:rPr>
              <w:tab/>
            </w:r>
            <w:r w:rsidR="00514DF7">
              <w:rPr>
                <w:noProof/>
                <w:webHidden/>
              </w:rPr>
              <w:fldChar w:fldCharType="begin"/>
            </w:r>
            <w:r w:rsidR="00514DF7">
              <w:rPr>
                <w:noProof/>
                <w:webHidden/>
              </w:rPr>
              <w:instrText xml:space="preserve"> PAGEREF _Toc66807933 \h </w:instrText>
            </w:r>
            <w:r w:rsidR="00514DF7">
              <w:rPr>
                <w:noProof/>
                <w:webHidden/>
              </w:rPr>
            </w:r>
            <w:r w:rsidR="00514DF7">
              <w:rPr>
                <w:noProof/>
                <w:webHidden/>
              </w:rPr>
              <w:fldChar w:fldCharType="separate"/>
            </w:r>
            <w:r w:rsidR="00514DF7">
              <w:rPr>
                <w:noProof/>
                <w:webHidden/>
              </w:rPr>
              <w:t>49</w:t>
            </w:r>
            <w:r w:rsidR="00514DF7">
              <w:rPr>
                <w:noProof/>
                <w:webHidden/>
              </w:rPr>
              <w:fldChar w:fldCharType="end"/>
            </w:r>
          </w:hyperlink>
        </w:p>
        <w:p w14:paraId="0486537B" w14:textId="054DF305"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34" w:history="1">
            <w:r w:rsidR="00514DF7" w:rsidRPr="003D26A9">
              <w:rPr>
                <w:rStyle w:val="Hyperlink"/>
                <w:rFonts w:eastAsiaTheme="majorEastAsia"/>
                <w:noProof/>
              </w:rPr>
              <w:t>Patterns and Trends in Housing Discrimination</w:t>
            </w:r>
            <w:r w:rsidR="00514DF7">
              <w:rPr>
                <w:noProof/>
                <w:webHidden/>
              </w:rPr>
              <w:tab/>
            </w:r>
            <w:r w:rsidR="00514DF7">
              <w:rPr>
                <w:noProof/>
                <w:webHidden/>
              </w:rPr>
              <w:fldChar w:fldCharType="begin"/>
            </w:r>
            <w:r w:rsidR="00514DF7">
              <w:rPr>
                <w:noProof/>
                <w:webHidden/>
              </w:rPr>
              <w:instrText xml:space="preserve"> PAGEREF _Toc66807934 \h </w:instrText>
            </w:r>
            <w:r w:rsidR="00514DF7">
              <w:rPr>
                <w:noProof/>
                <w:webHidden/>
              </w:rPr>
            </w:r>
            <w:r w:rsidR="00514DF7">
              <w:rPr>
                <w:noProof/>
                <w:webHidden/>
              </w:rPr>
              <w:fldChar w:fldCharType="separate"/>
            </w:r>
            <w:r w:rsidR="00514DF7">
              <w:rPr>
                <w:noProof/>
                <w:webHidden/>
              </w:rPr>
              <w:t>51</w:t>
            </w:r>
            <w:r w:rsidR="00514DF7">
              <w:rPr>
                <w:noProof/>
                <w:webHidden/>
              </w:rPr>
              <w:fldChar w:fldCharType="end"/>
            </w:r>
          </w:hyperlink>
        </w:p>
        <w:p w14:paraId="303D40D8" w14:textId="0964BFDC"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35" w:history="1">
            <w:r w:rsidR="00514DF7" w:rsidRPr="003D26A9">
              <w:rPr>
                <w:rStyle w:val="Hyperlink"/>
                <w:rFonts w:eastAsiaTheme="majorEastAsia"/>
                <w:noProof/>
              </w:rPr>
              <w:t>Assessment of Current Fair Housing Programs &amp; Activities</w:t>
            </w:r>
            <w:r w:rsidR="00514DF7">
              <w:rPr>
                <w:noProof/>
                <w:webHidden/>
              </w:rPr>
              <w:tab/>
            </w:r>
            <w:r w:rsidR="00514DF7">
              <w:rPr>
                <w:noProof/>
                <w:webHidden/>
              </w:rPr>
              <w:fldChar w:fldCharType="begin"/>
            </w:r>
            <w:r w:rsidR="00514DF7">
              <w:rPr>
                <w:noProof/>
                <w:webHidden/>
              </w:rPr>
              <w:instrText xml:space="preserve"> PAGEREF _Toc66807935 \h </w:instrText>
            </w:r>
            <w:r w:rsidR="00514DF7">
              <w:rPr>
                <w:noProof/>
                <w:webHidden/>
              </w:rPr>
            </w:r>
            <w:r w:rsidR="00514DF7">
              <w:rPr>
                <w:noProof/>
                <w:webHidden/>
              </w:rPr>
              <w:fldChar w:fldCharType="separate"/>
            </w:r>
            <w:r w:rsidR="00514DF7">
              <w:rPr>
                <w:noProof/>
                <w:webHidden/>
              </w:rPr>
              <w:t>54</w:t>
            </w:r>
            <w:r w:rsidR="00514DF7">
              <w:rPr>
                <w:noProof/>
                <w:webHidden/>
              </w:rPr>
              <w:fldChar w:fldCharType="end"/>
            </w:r>
          </w:hyperlink>
        </w:p>
        <w:p w14:paraId="38ED69EC" w14:textId="7F7F7F92"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36" w:history="1">
            <w:r w:rsidR="00514DF7" w:rsidRPr="003D26A9">
              <w:rPr>
                <w:rStyle w:val="Hyperlink"/>
                <w:rFonts w:eastAsiaTheme="majorEastAsia"/>
                <w:noProof/>
              </w:rPr>
              <w:t>Progress Achieved since Previous AI</w:t>
            </w:r>
            <w:r w:rsidR="00514DF7">
              <w:rPr>
                <w:noProof/>
                <w:webHidden/>
              </w:rPr>
              <w:tab/>
            </w:r>
            <w:r w:rsidR="00514DF7">
              <w:rPr>
                <w:noProof/>
                <w:webHidden/>
              </w:rPr>
              <w:fldChar w:fldCharType="begin"/>
            </w:r>
            <w:r w:rsidR="00514DF7">
              <w:rPr>
                <w:noProof/>
                <w:webHidden/>
              </w:rPr>
              <w:instrText xml:space="preserve"> PAGEREF _Toc66807936 \h </w:instrText>
            </w:r>
            <w:r w:rsidR="00514DF7">
              <w:rPr>
                <w:noProof/>
                <w:webHidden/>
              </w:rPr>
            </w:r>
            <w:r w:rsidR="00514DF7">
              <w:rPr>
                <w:noProof/>
                <w:webHidden/>
              </w:rPr>
              <w:fldChar w:fldCharType="separate"/>
            </w:r>
            <w:r w:rsidR="00514DF7">
              <w:rPr>
                <w:noProof/>
                <w:webHidden/>
              </w:rPr>
              <w:t>56</w:t>
            </w:r>
            <w:r w:rsidR="00514DF7">
              <w:rPr>
                <w:noProof/>
                <w:webHidden/>
              </w:rPr>
              <w:fldChar w:fldCharType="end"/>
            </w:r>
          </w:hyperlink>
        </w:p>
        <w:p w14:paraId="07055935" w14:textId="68E4EA88"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37" w:history="1">
            <w:r w:rsidR="00514DF7" w:rsidRPr="003D26A9">
              <w:rPr>
                <w:rStyle w:val="Hyperlink"/>
                <w:rFonts w:eastAsiaTheme="majorEastAsia"/>
                <w:noProof/>
              </w:rPr>
              <w:t>Public Sector Policy Review</w:t>
            </w:r>
            <w:r w:rsidR="00514DF7">
              <w:rPr>
                <w:noProof/>
                <w:webHidden/>
              </w:rPr>
              <w:tab/>
            </w:r>
            <w:r w:rsidR="00514DF7">
              <w:rPr>
                <w:noProof/>
                <w:webHidden/>
              </w:rPr>
              <w:fldChar w:fldCharType="begin"/>
            </w:r>
            <w:r w:rsidR="00514DF7">
              <w:rPr>
                <w:noProof/>
                <w:webHidden/>
              </w:rPr>
              <w:instrText xml:space="preserve"> PAGEREF _Toc66807937 \h </w:instrText>
            </w:r>
            <w:r w:rsidR="00514DF7">
              <w:rPr>
                <w:noProof/>
                <w:webHidden/>
              </w:rPr>
            </w:r>
            <w:r w:rsidR="00514DF7">
              <w:rPr>
                <w:noProof/>
                <w:webHidden/>
              </w:rPr>
              <w:fldChar w:fldCharType="separate"/>
            </w:r>
            <w:r w:rsidR="00514DF7">
              <w:rPr>
                <w:noProof/>
                <w:webHidden/>
              </w:rPr>
              <w:t>61</w:t>
            </w:r>
            <w:r w:rsidR="00514DF7">
              <w:rPr>
                <w:noProof/>
                <w:webHidden/>
              </w:rPr>
              <w:fldChar w:fldCharType="end"/>
            </w:r>
          </w:hyperlink>
        </w:p>
        <w:p w14:paraId="733BEAE4" w14:textId="6087D6B9"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38" w:history="1">
            <w:r w:rsidR="00514DF7" w:rsidRPr="003D26A9">
              <w:rPr>
                <w:rStyle w:val="Hyperlink"/>
                <w:rFonts w:eastAsiaTheme="majorEastAsia"/>
                <w:noProof/>
              </w:rPr>
              <w:t>State Building, Occupancy, Health and Safety Codes</w:t>
            </w:r>
            <w:r w:rsidR="00514DF7">
              <w:rPr>
                <w:noProof/>
                <w:webHidden/>
              </w:rPr>
              <w:tab/>
            </w:r>
            <w:r w:rsidR="00514DF7">
              <w:rPr>
                <w:noProof/>
                <w:webHidden/>
              </w:rPr>
              <w:fldChar w:fldCharType="begin"/>
            </w:r>
            <w:r w:rsidR="00514DF7">
              <w:rPr>
                <w:noProof/>
                <w:webHidden/>
              </w:rPr>
              <w:instrText xml:space="preserve"> PAGEREF _Toc66807938 \h </w:instrText>
            </w:r>
            <w:r w:rsidR="00514DF7">
              <w:rPr>
                <w:noProof/>
                <w:webHidden/>
              </w:rPr>
            </w:r>
            <w:r w:rsidR="00514DF7">
              <w:rPr>
                <w:noProof/>
                <w:webHidden/>
              </w:rPr>
              <w:fldChar w:fldCharType="separate"/>
            </w:r>
            <w:r w:rsidR="00514DF7">
              <w:rPr>
                <w:noProof/>
                <w:webHidden/>
              </w:rPr>
              <w:t>61</w:t>
            </w:r>
            <w:r w:rsidR="00514DF7">
              <w:rPr>
                <w:noProof/>
                <w:webHidden/>
              </w:rPr>
              <w:fldChar w:fldCharType="end"/>
            </w:r>
          </w:hyperlink>
        </w:p>
        <w:p w14:paraId="5CAF2636" w14:textId="360B3A9D"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39" w:history="1">
            <w:r w:rsidR="00514DF7" w:rsidRPr="003D26A9">
              <w:rPr>
                <w:rStyle w:val="Hyperlink"/>
                <w:rFonts w:eastAsiaTheme="majorEastAsia"/>
                <w:noProof/>
              </w:rPr>
              <w:t>State Policies on Community Development and Housing Activities</w:t>
            </w:r>
            <w:r w:rsidR="00514DF7">
              <w:rPr>
                <w:noProof/>
                <w:webHidden/>
              </w:rPr>
              <w:tab/>
            </w:r>
            <w:r w:rsidR="00514DF7">
              <w:rPr>
                <w:noProof/>
                <w:webHidden/>
              </w:rPr>
              <w:fldChar w:fldCharType="begin"/>
            </w:r>
            <w:r w:rsidR="00514DF7">
              <w:rPr>
                <w:noProof/>
                <w:webHidden/>
              </w:rPr>
              <w:instrText xml:space="preserve"> PAGEREF _Toc66807939 \h </w:instrText>
            </w:r>
            <w:r w:rsidR="00514DF7">
              <w:rPr>
                <w:noProof/>
                <w:webHidden/>
              </w:rPr>
            </w:r>
            <w:r w:rsidR="00514DF7">
              <w:rPr>
                <w:noProof/>
                <w:webHidden/>
              </w:rPr>
              <w:fldChar w:fldCharType="separate"/>
            </w:r>
            <w:r w:rsidR="00514DF7">
              <w:rPr>
                <w:noProof/>
                <w:webHidden/>
              </w:rPr>
              <w:t>63</w:t>
            </w:r>
            <w:r w:rsidR="00514DF7">
              <w:rPr>
                <w:noProof/>
                <w:webHidden/>
              </w:rPr>
              <w:fldChar w:fldCharType="end"/>
            </w:r>
          </w:hyperlink>
        </w:p>
        <w:p w14:paraId="4659C959" w14:textId="3E72A1A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0" w:history="1">
            <w:r w:rsidR="00514DF7" w:rsidRPr="003D26A9">
              <w:rPr>
                <w:rStyle w:val="Hyperlink"/>
                <w:rFonts w:eastAsiaTheme="majorEastAsia"/>
                <w:noProof/>
                <w:lang w:bidi="en-US"/>
              </w:rPr>
              <w:t>Community Development Block Grant Program</w:t>
            </w:r>
            <w:r w:rsidR="00514DF7">
              <w:rPr>
                <w:noProof/>
                <w:webHidden/>
              </w:rPr>
              <w:tab/>
            </w:r>
            <w:r w:rsidR="00514DF7">
              <w:rPr>
                <w:noProof/>
                <w:webHidden/>
              </w:rPr>
              <w:fldChar w:fldCharType="begin"/>
            </w:r>
            <w:r w:rsidR="00514DF7">
              <w:rPr>
                <w:noProof/>
                <w:webHidden/>
              </w:rPr>
              <w:instrText xml:space="preserve"> PAGEREF _Toc66807940 \h </w:instrText>
            </w:r>
            <w:r w:rsidR="00514DF7">
              <w:rPr>
                <w:noProof/>
                <w:webHidden/>
              </w:rPr>
            </w:r>
            <w:r w:rsidR="00514DF7">
              <w:rPr>
                <w:noProof/>
                <w:webHidden/>
              </w:rPr>
              <w:fldChar w:fldCharType="separate"/>
            </w:r>
            <w:r w:rsidR="00514DF7">
              <w:rPr>
                <w:noProof/>
                <w:webHidden/>
              </w:rPr>
              <w:t>64</w:t>
            </w:r>
            <w:r w:rsidR="00514DF7">
              <w:rPr>
                <w:noProof/>
                <w:webHidden/>
              </w:rPr>
              <w:fldChar w:fldCharType="end"/>
            </w:r>
          </w:hyperlink>
        </w:p>
        <w:p w14:paraId="7D8E2C1A" w14:textId="48645C7E"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1" w:history="1">
            <w:r w:rsidR="00514DF7" w:rsidRPr="003D26A9">
              <w:rPr>
                <w:rStyle w:val="Hyperlink"/>
                <w:rFonts w:eastAsiaTheme="majorEastAsia"/>
                <w:noProof/>
                <w:lang w:bidi="en-US"/>
              </w:rPr>
              <w:t>Community Development Block Grant – Disaster Recovery Program</w:t>
            </w:r>
            <w:r w:rsidR="00514DF7">
              <w:rPr>
                <w:noProof/>
                <w:webHidden/>
              </w:rPr>
              <w:tab/>
            </w:r>
            <w:r w:rsidR="00514DF7">
              <w:rPr>
                <w:noProof/>
                <w:webHidden/>
              </w:rPr>
              <w:fldChar w:fldCharType="begin"/>
            </w:r>
            <w:r w:rsidR="00514DF7">
              <w:rPr>
                <w:noProof/>
                <w:webHidden/>
              </w:rPr>
              <w:instrText xml:space="preserve"> PAGEREF _Toc66807941 \h </w:instrText>
            </w:r>
            <w:r w:rsidR="00514DF7">
              <w:rPr>
                <w:noProof/>
                <w:webHidden/>
              </w:rPr>
            </w:r>
            <w:r w:rsidR="00514DF7">
              <w:rPr>
                <w:noProof/>
                <w:webHidden/>
              </w:rPr>
              <w:fldChar w:fldCharType="separate"/>
            </w:r>
            <w:r w:rsidR="00514DF7">
              <w:rPr>
                <w:noProof/>
                <w:webHidden/>
              </w:rPr>
              <w:t>67</w:t>
            </w:r>
            <w:r w:rsidR="00514DF7">
              <w:rPr>
                <w:noProof/>
                <w:webHidden/>
              </w:rPr>
              <w:fldChar w:fldCharType="end"/>
            </w:r>
          </w:hyperlink>
        </w:p>
        <w:p w14:paraId="523EDA4E" w14:textId="5ED52E5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2" w:history="1">
            <w:r w:rsidR="00514DF7" w:rsidRPr="003D26A9">
              <w:rPr>
                <w:rStyle w:val="Hyperlink"/>
                <w:rFonts w:eastAsiaTheme="majorEastAsia"/>
                <w:noProof/>
                <w:lang w:bidi="en-US"/>
              </w:rPr>
              <w:t>HOME Investment Partnerships Program</w:t>
            </w:r>
            <w:r w:rsidR="00514DF7">
              <w:rPr>
                <w:noProof/>
                <w:webHidden/>
              </w:rPr>
              <w:tab/>
            </w:r>
            <w:r w:rsidR="00514DF7">
              <w:rPr>
                <w:noProof/>
                <w:webHidden/>
              </w:rPr>
              <w:fldChar w:fldCharType="begin"/>
            </w:r>
            <w:r w:rsidR="00514DF7">
              <w:rPr>
                <w:noProof/>
                <w:webHidden/>
              </w:rPr>
              <w:instrText xml:space="preserve"> PAGEREF _Toc66807942 \h </w:instrText>
            </w:r>
            <w:r w:rsidR="00514DF7">
              <w:rPr>
                <w:noProof/>
                <w:webHidden/>
              </w:rPr>
            </w:r>
            <w:r w:rsidR="00514DF7">
              <w:rPr>
                <w:noProof/>
                <w:webHidden/>
              </w:rPr>
              <w:fldChar w:fldCharType="separate"/>
            </w:r>
            <w:r w:rsidR="00514DF7">
              <w:rPr>
                <w:noProof/>
                <w:webHidden/>
              </w:rPr>
              <w:t>67</w:t>
            </w:r>
            <w:r w:rsidR="00514DF7">
              <w:rPr>
                <w:noProof/>
                <w:webHidden/>
              </w:rPr>
              <w:fldChar w:fldCharType="end"/>
            </w:r>
          </w:hyperlink>
        </w:p>
        <w:p w14:paraId="5049BBBA" w14:textId="226E163D"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3" w:history="1">
            <w:r w:rsidR="00514DF7" w:rsidRPr="003D26A9">
              <w:rPr>
                <w:rStyle w:val="Hyperlink"/>
                <w:rFonts w:eastAsiaTheme="majorEastAsia"/>
                <w:noProof/>
                <w:lang w:bidi="en-US"/>
              </w:rPr>
              <w:t>Emergency Solutions Grant Program</w:t>
            </w:r>
            <w:r w:rsidR="00514DF7">
              <w:rPr>
                <w:noProof/>
                <w:webHidden/>
              </w:rPr>
              <w:tab/>
            </w:r>
            <w:r w:rsidR="00514DF7">
              <w:rPr>
                <w:noProof/>
                <w:webHidden/>
              </w:rPr>
              <w:fldChar w:fldCharType="begin"/>
            </w:r>
            <w:r w:rsidR="00514DF7">
              <w:rPr>
                <w:noProof/>
                <w:webHidden/>
              </w:rPr>
              <w:instrText xml:space="preserve"> PAGEREF _Toc66807943 \h </w:instrText>
            </w:r>
            <w:r w:rsidR="00514DF7">
              <w:rPr>
                <w:noProof/>
                <w:webHidden/>
              </w:rPr>
            </w:r>
            <w:r w:rsidR="00514DF7">
              <w:rPr>
                <w:noProof/>
                <w:webHidden/>
              </w:rPr>
              <w:fldChar w:fldCharType="separate"/>
            </w:r>
            <w:r w:rsidR="00514DF7">
              <w:rPr>
                <w:noProof/>
                <w:webHidden/>
              </w:rPr>
              <w:t>68</w:t>
            </w:r>
            <w:r w:rsidR="00514DF7">
              <w:rPr>
                <w:noProof/>
                <w:webHidden/>
              </w:rPr>
              <w:fldChar w:fldCharType="end"/>
            </w:r>
          </w:hyperlink>
        </w:p>
        <w:p w14:paraId="37B39CCC" w14:textId="2E04335C"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4" w:history="1">
            <w:r w:rsidR="00514DF7" w:rsidRPr="003D26A9">
              <w:rPr>
                <w:rStyle w:val="Hyperlink"/>
                <w:rFonts w:eastAsiaTheme="majorEastAsia"/>
                <w:noProof/>
                <w:lang w:bidi="en-US"/>
              </w:rPr>
              <w:t>Housing Opportunities for Persons With AIDS</w:t>
            </w:r>
            <w:r w:rsidR="00514DF7">
              <w:rPr>
                <w:noProof/>
                <w:webHidden/>
              </w:rPr>
              <w:tab/>
            </w:r>
            <w:r w:rsidR="00514DF7">
              <w:rPr>
                <w:noProof/>
                <w:webHidden/>
              </w:rPr>
              <w:fldChar w:fldCharType="begin"/>
            </w:r>
            <w:r w:rsidR="00514DF7">
              <w:rPr>
                <w:noProof/>
                <w:webHidden/>
              </w:rPr>
              <w:instrText xml:space="preserve"> PAGEREF _Toc66807944 \h </w:instrText>
            </w:r>
            <w:r w:rsidR="00514DF7">
              <w:rPr>
                <w:noProof/>
                <w:webHidden/>
              </w:rPr>
            </w:r>
            <w:r w:rsidR="00514DF7">
              <w:rPr>
                <w:noProof/>
                <w:webHidden/>
              </w:rPr>
              <w:fldChar w:fldCharType="separate"/>
            </w:r>
            <w:r w:rsidR="00514DF7">
              <w:rPr>
                <w:noProof/>
                <w:webHidden/>
              </w:rPr>
              <w:t>69</w:t>
            </w:r>
            <w:r w:rsidR="00514DF7">
              <w:rPr>
                <w:noProof/>
                <w:webHidden/>
              </w:rPr>
              <w:fldChar w:fldCharType="end"/>
            </w:r>
          </w:hyperlink>
        </w:p>
        <w:p w14:paraId="009309DE" w14:textId="6E833E0A"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5" w:history="1">
            <w:r w:rsidR="00514DF7" w:rsidRPr="003D26A9">
              <w:rPr>
                <w:rStyle w:val="Hyperlink"/>
                <w:rFonts w:eastAsiaTheme="majorEastAsia"/>
                <w:noProof/>
                <w:lang w:bidi="en-US"/>
              </w:rPr>
              <w:t>Low Income Housing Tax Credit Program and the Qualified Allocation Plan</w:t>
            </w:r>
            <w:r w:rsidR="00514DF7">
              <w:rPr>
                <w:noProof/>
                <w:webHidden/>
              </w:rPr>
              <w:tab/>
            </w:r>
            <w:r w:rsidR="00514DF7">
              <w:rPr>
                <w:noProof/>
                <w:webHidden/>
              </w:rPr>
              <w:fldChar w:fldCharType="begin"/>
            </w:r>
            <w:r w:rsidR="00514DF7">
              <w:rPr>
                <w:noProof/>
                <w:webHidden/>
              </w:rPr>
              <w:instrText xml:space="preserve"> PAGEREF _Toc66807945 \h </w:instrText>
            </w:r>
            <w:r w:rsidR="00514DF7">
              <w:rPr>
                <w:noProof/>
                <w:webHidden/>
              </w:rPr>
            </w:r>
            <w:r w:rsidR="00514DF7">
              <w:rPr>
                <w:noProof/>
                <w:webHidden/>
              </w:rPr>
              <w:fldChar w:fldCharType="separate"/>
            </w:r>
            <w:r w:rsidR="00514DF7">
              <w:rPr>
                <w:noProof/>
                <w:webHidden/>
              </w:rPr>
              <w:t>70</w:t>
            </w:r>
            <w:r w:rsidR="00514DF7">
              <w:rPr>
                <w:noProof/>
                <w:webHidden/>
              </w:rPr>
              <w:fldChar w:fldCharType="end"/>
            </w:r>
          </w:hyperlink>
        </w:p>
        <w:p w14:paraId="23EE2F44" w14:textId="01A81F03"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6" w:history="1">
            <w:r w:rsidR="00514DF7" w:rsidRPr="003D26A9">
              <w:rPr>
                <w:rStyle w:val="Hyperlink"/>
                <w:rFonts w:eastAsiaTheme="majorEastAsia"/>
                <w:noProof/>
                <w:lang w:bidi="en-US"/>
              </w:rPr>
              <w:t>Olmstead Settlement Initiative</w:t>
            </w:r>
            <w:r w:rsidR="00514DF7">
              <w:rPr>
                <w:noProof/>
                <w:webHidden/>
              </w:rPr>
              <w:tab/>
            </w:r>
            <w:r w:rsidR="00514DF7">
              <w:rPr>
                <w:noProof/>
                <w:webHidden/>
              </w:rPr>
              <w:fldChar w:fldCharType="begin"/>
            </w:r>
            <w:r w:rsidR="00514DF7">
              <w:rPr>
                <w:noProof/>
                <w:webHidden/>
              </w:rPr>
              <w:instrText xml:space="preserve"> PAGEREF _Toc66807946 \h </w:instrText>
            </w:r>
            <w:r w:rsidR="00514DF7">
              <w:rPr>
                <w:noProof/>
                <w:webHidden/>
              </w:rPr>
            </w:r>
            <w:r w:rsidR="00514DF7">
              <w:rPr>
                <w:noProof/>
                <w:webHidden/>
              </w:rPr>
              <w:fldChar w:fldCharType="separate"/>
            </w:r>
            <w:r w:rsidR="00514DF7">
              <w:rPr>
                <w:noProof/>
                <w:webHidden/>
              </w:rPr>
              <w:t>78</w:t>
            </w:r>
            <w:r w:rsidR="00514DF7">
              <w:rPr>
                <w:noProof/>
                <w:webHidden/>
              </w:rPr>
              <w:fldChar w:fldCharType="end"/>
            </w:r>
          </w:hyperlink>
        </w:p>
        <w:p w14:paraId="0397FE3A" w14:textId="3713F81B"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47" w:history="1">
            <w:r w:rsidR="00514DF7" w:rsidRPr="003D26A9">
              <w:rPr>
                <w:rStyle w:val="Hyperlink"/>
                <w:rFonts w:eastAsiaTheme="majorEastAsia"/>
                <w:noProof/>
              </w:rPr>
              <w:t>Language Access Plans</w:t>
            </w:r>
            <w:r w:rsidR="00514DF7">
              <w:rPr>
                <w:noProof/>
                <w:webHidden/>
              </w:rPr>
              <w:tab/>
            </w:r>
            <w:r w:rsidR="00514DF7">
              <w:rPr>
                <w:noProof/>
                <w:webHidden/>
              </w:rPr>
              <w:fldChar w:fldCharType="begin"/>
            </w:r>
            <w:r w:rsidR="00514DF7">
              <w:rPr>
                <w:noProof/>
                <w:webHidden/>
              </w:rPr>
              <w:instrText xml:space="preserve"> PAGEREF _Toc66807947 \h </w:instrText>
            </w:r>
            <w:r w:rsidR="00514DF7">
              <w:rPr>
                <w:noProof/>
                <w:webHidden/>
              </w:rPr>
            </w:r>
            <w:r w:rsidR="00514DF7">
              <w:rPr>
                <w:noProof/>
                <w:webHidden/>
              </w:rPr>
              <w:fldChar w:fldCharType="separate"/>
            </w:r>
            <w:r w:rsidR="00514DF7">
              <w:rPr>
                <w:noProof/>
                <w:webHidden/>
              </w:rPr>
              <w:t>78</w:t>
            </w:r>
            <w:r w:rsidR="00514DF7">
              <w:rPr>
                <w:noProof/>
                <w:webHidden/>
              </w:rPr>
              <w:fldChar w:fldCharType="end"/>
            </w:r>
          </w:hyperlink>
        </w:p>
        <w:p w14:paraId="7900B0B9" w14:textId="72361057"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8" w:history="1">
            <w:r w:rsidR="00514DF7" w:rsidRPr="003D26A9">
              <w:rPr>
                <w:rStyle w:val="Hyperlink"/>
                <w:rFonts w:eastAsiaTheme="majorEastAsia"/>
                <w:noProof/>
              </w:rPr>
              <w:t>North Carolina Department of Commerce (DOC)</w:t>
            </w:r>
            <w:r w:rsidR="00514DF7">
              <w:rPr>
                <w:noProof/>
                <w:webHidden/>
              </w:rPr>
              <w:tab/>
            </w:r>
            <w:r w:rsidR="00514DF7">
              <w:rPr>
                <w:noProof/>
                <w:webHidden/>
              </w:rPr>
              <w:fldChar w:fldCharType="begin"/>
            </w:r>
            <w:r w:rsidR="00514DF7">
              <w:rPr>
                <w:noProof/>
                <w:webHidden/>
              </w:rPr>
              <w:instrText xml:space="preserve"> PAGEREF _Toc66807948 \h </w:instrText>
            </w:r>
            <w:r w:rsidR="00514DF7">
              <w:rPr>
                <w:noProof/>
                <w:webHidden/>
              </w:rPr>
            </w:r>
            <w:r w:rsidR="00514DF7">
              <w:rPr>
                <w:noProof/>
                <w:webHidden/>
              </w:rPr>
              <w:fldChar w:fldCharType="separate"/>
            </w:r>
            <w:r w:rsidR="00514DF7">
              <w:rPr>
                <w:noProof/>
                <w:webHidden/>
              </w:rPr>
              <w:t>79</w:t>
            </w:r>
            <w:r w:rsidR="00514DF7">
              <w:rPr>
                <w:noProof/>
                <w:webHidden/>
              </w:rPr>
              <w:fldChar w:fldCharType="end"/>
            </w:r>
          </w:hyperlink>
        </w:p>
        <w:p w14:paraId="2A88B3DD" w14:textId="25BEAC47"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49" w:history="1">
            <w:r w:rsidR="00514DF7" w:rsidRPr="003D26A9">
              <w:rPr>
                <w:rStyle w:val="Hyperlink"/>
                <w:rFonts w:eastAsiaTheme="majorEastAsia"/>
                <w:noProof/>
              </w:rPr>
              <w:t>North Carolina Housing Finance Agency (NCHFA)</w:t>
            </w:r>
            <w:r w:rsidR="00514DF7">
              <w:rPr>
                <w:noProof/>
                <w:webHidden/>
              </w:rPr>
              <w:tab/>
            </w:r>
            <w:r w:rsidR="00514DF7">
              <w:rPr>
                <w:noProof/>
                <w:webHidden/>
              </w:rPr>
              <w:fldChar w:fldCharType="begin"/>
            </w:r>
            <w:r w:rsidR="00514DF7">
              <w:rPr>
                <w:noProof/>
                <w:webHidden/>
              </w:rPr>
              <w:instrText xml:space="preserve"> PAGEREF _Toc66807949 \h </w:instrText>
            </w:r>
            <w:r w:rsidR="00514DF7">
              <w:rPr>
                <w:noProof/>
                <w:webHidden/>
              </w:rPr>
            </w:r>
            <w:r w:rsidR="00514DF7">
              <w:rPr>
                <w:noProof/>
                <w:webHidden/>
              </w:rPr>
              <w:fldChar w:fldCharType="separate"/>
            </w:r>
            <w:r w:rsidR="00514DF7">
              <w:rPr>
                <w:noProof/>
                <w:webHidden/>
              </w:rPr>
              <w:t>79</w:t>
            </w:r>
            <w:r w:rsidR="00514DF7">
              <w:rPr>
                <w:noProof/>
                <w:webHidden/>
              </w:rPr>
              <w:fldChar w:fldCharType="end"/>
            </w:r>
          </w:hyperlink>
        </w:p>
        <w:p w14:paraId="5968F0E3" w14:textId="04DAE045"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50" w:history="1">
            <w:r w:rsidR="00514DF7" w:rsidRPr="003D26A9">
              <w:rPr>
                <w:rStyle w:val="Hyperlink"/>
                <w:rFonts w:eastAsiaTheme="majorEastAsia"/>
                <w:noProof/>
              </w:rPr>
              <w:t>North Carolina Department of Health and Human Services (NCDHHS)</w:t>
            </w:r>
            <w:r w:rsidR="00514DF7">
              <w:rPr>
                <w:noProof/>
                <w:webHidden/>
              </w:rPr>
              <w:tab/>
            </w:r>
            <w:r w:rsidR="00514DF7">
              <w:rPr>
                <w:noProof/>
                <w:webHidden/>
              </w:rPr>
              <w:fldChar w:fldCharType="begin"/>
            </w:r>
            <w:r w:rsidR="00514DF7">
              <w:rPr>
                <w:noProof/>
                <w:webHidden/>
              </w:rPr>
              <w:instrText xml:space="preserve"> PAGEREF _Toc66807950 \h </w:instrText>
            </w:r>
            <w:r w:rsidR="00514DF7">
              <w:rPr>
                <w:noProof/>
                <w:webHidden/>
              </w:rPr>
            </w:r>
            <w:r w:rsidR="00514DF7">
              <w:rPr>
                <w:noProof/>
                <w:webHidden/>
              </w:rPr>
              <w:fldChar w:fldCharType="separate"/>
            </w:r>
            <w:r w:rsidR="00514DF7">
              <w:rPr>
                <w:noProof/>
                <w:webHidden/>
              </w:rPr>
              <w:t>79</w:t>
            </w:r>
            <w:r w:rsidR="00514DF7">
              <w:rPr>
                <w:noProof/>
                <w:webHidden/>
              </w:rPr>
              <w:fldChar w:fldCharType="end"/>
            </w:r>
          </w:hyperlink>
        </w:p>
        <w:p w14:paraId="29EE18DF" w14:textId="34A823A1"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51" w:history="1">
            <w:r w:rsidR="00514DF7" w:rsidRPr="003D26A9">
              <w:rPr>
                <w:rStyle w:val="Hyperlink"/>
                <w:rFonts w:eastAsiaTheme="majorEastAsia"/>
                <w:noProof/>
              </w:rPr>
              <w:t>North Carolina Department of Environmental Quality (DEQ)</w:t>
            </w:r>
            <w:r w:rsidR="00514DF7">
              <w:rPr>
                <w:noProof/>
                <w:webHidden/>
              </w:rPr>
              <w:tab/>
            </w:r>
            <w:r w:rsidR="00514DF7">
              <w:rPr>
                <w:noProof/>
                <w:webHidden/>
              </w:rPr>
              <w:fldChar w:fldCharType="begin"/>
            </w:r>
            <w:r w:rsidR="00514DF7">
              <w:rPr>
                <w:noProof/>
                <w:webHidden/>
              </w:rPr>
              <w:instrText xml:space="preserve"> PAGEREF _Toc66807951 \h </w:instrText>
            </w:r>
            <w:r w:rsidR="00514DF7">
              <w:rPr>
                <w:noProof/>
                <w:webHidden/>
              </w:rPr>
            </w:r>
            <w:r w:rsidR="00514DF7">
              <w:rPr>
                <w:noProof/>
                <w:webHidden/>
              </w:rPr>
              <w:fldChar w:fldCharType="separate"/>
            </w:r>
            <w:r w:rsidR="00514DF7">
              <w:rPr>
                <w:noProof/>
                <w:webHidden/>
              </w:rPr>
              <w:t>80</w:t>
            </w:r>
            <w:r w:rsidR="00514DF7">
              <w:rPr>
                <w:noProof/>
                <w:webHidden/>
              </w:rPr>
              <w:fldChar w:fldCharType="end"/>
            </w:r>
          </w:hyperlink>
        </w:p>
        <w:p w14:paraId="2E3CE5C6" w14:textId="58B49B7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52" w:history="1">
            <w:r w:rsidR="00514DF7" w:rsidRPr="003D26A9">
              <w:rPr>
                <w:rStyle w:val="Hyperlink"/>
                <w:rFonts w:eastAsiaTheme="majorEastAsia"/>
                <w:noProof/>
              </w:rPr>
              <w:t>North Carolina Office of Recovery and Resiliency (NCORR)</w:t>
            </w:r>
            <w:r w:rsidR="00514DF7">
              <w:rPr>
                <w:noProof/>
                <w:webHidden/>
              </w:rPr>
              <w:tab/>
            </w:r>
            <w:r w:rsidR="00514DF7">
              <w:rPr>
                <w:noProof/>
                <w:webHidden/>
              </w:rPr>
              <w:fldChar w:fldCharType="begin"/>
            </w:r>
            <w:r w:rsidR="00514DF7">
              <w:rPr>
                <w:noProof/>
                <w:webHidden/>
              </w:rPr>
              <w:instrText xml:space="preserve"> PAGEREF _Toc66807952 \h </w:instrText>
            </w:r>
            <w:r w:rsidR="00514DF7">
              <w:rPr>
                <w:noProof/>
                <w:webHidden/>
              </w:rPr>
            </w:r>
            <w:r w:rsidR="00514DF7">
              <w:rPr>
                <w:noProof/>
                <w:webHidden/>
              </w:rPr>
              <w:fldChar w:fldCharType="separate"/>
            </w:r>
            <w:r w:rsidR="00514DF7">
              <w:rPr>
                <w:noProof/>
                <w:webHidden/>
              </w:rPr>
              <w:t>81</w:t>
            </w:r>
            <w:r w:rsidR="00514DF7">
              <w:rPr>
                <w:noProof/>
                <w:webHidden/>
              </w:rPr>
              <w:fldChar w:fldCharType="end"/>
            </w:r>
          </w:hyperlink>
        </w:p>
        <w:p w14:paraId="7147B0B2" w14:textId="11D12F30"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53" w:history="1">
            <w:r w:rsidR="00514DF7" w:rsidRPr="003D26A9">
              <w:rPr>
                <w:rStyle w:val="Hyperlink"/>
                <w:rFonts w:eastAsiaTheme="majorEastAsia"/>
                <w:noProof/>
              </w:rPr>
              <w:t>Private Sector Policy Review</w:t>
            </w:r>
            <w:r w:rsidR="00514DF7">
              <w:rPr>
                <w:noProof/>
                <w:webHidden/>
              </w:rPr>
              <w:tab/>
            </w:r>
            <w:r w:rsidR="00514DF7">
              <w:rPr>
                <w:noProof/>
                <w:webHidden/>
              </w:rPr>
              <w:fldChar w:fldCharType="begin"/>
            </w:r>
            <w:r w:rsidR="00514DF7">
              <w:rPr>
                <w:noProof/>
                <w:webHidden/>
              </w:rPr>
              <w:instrText xml:space="preserve"> PAGEREF _Toc66807953 \h </w:instrText>
            </w:r>
            <w:r w:rsidR="00514DF7">
              <w:rPr>
                <w:noProof/>
                <w:webHidden/>
              </w:rPr>
            </w:r>
            <w:r w:rsidR="00514DF7">
              <w:rPr>
                <w:noProof/>
                <w:webHidden/>
              </w:rPr>
              <w:fldChar w:fldCharType="separate"/>
            </w:r>
            <w:r w:rsidR="00514DF7">
              <w:rPr>
                <w:noProof/>
                <w:webHidden/>
              </w:rPr>
              <w:t>82</w:t>
            </w:r>
            <w:r w:rsidR="00514DF7">
              <w:rPr>
                <w:noProof/>
                <w:webHidden/>
              </w:rPr>
              <w:fldChar w:fldCharType="end"/>
            </w:r>
          </w:hyperlink>
        </w:p>
        <w:p w14:paraId="66529FB6" w14:textId="33957D43" w:rsidR="00514DF7" w:rsidRDefault="00AA1041">
          <w:pPr>
            <w:pStyle w:val="TOC2"/>
            <w:tabs>
              <w:tab w:val="right" w:leader="dot" w:pos="9350"/>
            </w:tabs>
            <w:rPr>
              <w:rFonts w:asciiTheme="minorHAnsi" w:eastAsiaTheme="minorEastAsia" w:hAnsiTheme="minorHAnsi" w:cstheme="minorBidi"/>
              <w:noProof/>
              <w:sz w:val="22"/>
              <w:szCs w:val="22"/>
            </w:rPr>
          </w:pPr>
          <w:hyperlink w:anchor="_Toc66807954" w:history="1">
            <w:r w:rsidR="00514DF7" w:rsidRPr="003D26A9">
              <w:rPr>
                <w:rStyle w:val="Hyperlink"/>
                <w:rFonts w:eastAsiaTheme="majorEastAsia"/>
                <w:noProof/>
              </w:rPr>
              <w:t>Home Mortgage Lending</w:t>
            </w:r>
            <w:r w:rsidR="00514DF7">
              <w:rPr>
                <w:noProof/>
                <w:webHidden/>
              </w:rPr>
              <w:tab/>
            </w:r>
            <w:r w:rsidR="00514DF7">
              <w:rPr>
                <w:noProof/>
                <w:webHidden/>
              </w:rPr>
              <w:fldChar w:fldCharType="begin"/>
            </w:r>
            <w:r w:rsidR="00514DF7">
              <w:rPr>
                <w:noProof/>
                <w:webHidden/>
              </w:rPr>
              <w:instrText xml:space="preserve"> PAGEREF _Toc66807954 \h </w:instrText>
            </w:r>
            <w:r w:rsidR="00514DF7">
              <w:rPr>
                <w:noProof/>
                <w:webHidden/>
              </w:rPr>
            </w:r>
            <w:r w:rsidR="00514DF7">
              <w:rPr>
                <w:noProof/>
                <w:webHidden/>
              </w:rPr>
              <w:fldChar w:fldCharType="separate"/>
            </w:r>
            <w:r w:rsidR="00514DF7">
              <w:rPr>
                <w:noProof/>
                <w:webHidden/>
              </w:rPr>
              <w:t>82</w:t>
            </w:r>
            <w:r w:rsidR="00514DF7">
              <w:rPr>
                <w:noProof/>
                <w:webHidden/>
              </w:rPr>
              <w:fldChar w:fldCharType="end"/>
            </w:r>
          </w:hyperlink>
        </w:p>
        <w:p w14:paraId="0AC5FD7C" w14:textId="0D482009" w:rsidR="00514DF7" w:rsidRDefault="00AA1041">
          <w:pPr>
            <w:pStyle w:val="TOC3"/>
            <w:tabs>
              <w:tab w:val="right" w:leader="dot" w:pos="9350"/>
            </w:tabs>
            <w:rPr>
              <w:rFonts w:asciiTheme="minorHAnsi" w:eastAsiaTheme="minorEastAsia" w:hAnsiTheme="minorHAnsi" w:cstheme="minorBidi"/>
              <w:noProof/>
              <w:sz w:val="22"/>
              <w:szCs w:val="22"/>
            </w:rPr>
          </w:pPr>
          <w:hyperlink w:anchor="_Toc66807955" w:history="1">
            <w:r w:rsidR="00514DF7" w:rsidRPr="003D26A9">
              <w:rPr>
                <w:rStyle w:val="Hyperlink"/>
                <w:rFonts w:eastAsiaTheme="majorEastAsia"/>
                <w:noProof/>
              </w:rPr>
              <w:t>High-Cost Lending Practices</w:t>
            </w:r>
            <w:r w:rsidR="00514DF7">
              <w:rPr>
                <w:noProof/>
                <w:webHidden/>
              </w:rPr>
              <w:tab/>
            </w:r>
            <w:r w:rsidR="00514DF7">
              <w:rPr>
                <w:noProof/>
                <w:webHidden/>
              </w:rPr>
              <w:fldChar w:fldCharType="begin"/>
            </w:r>
            <w:r w:rsidR="00514DF7">
              <w:rPr>
                <w:noProof/>
                <w:webHidden/>
              </w:rPr>
              <w:instrText xml:space="preserve"> PAGEREF _Toc66807955 \h </w:instrText>
            </w:r>
            <w:r w:rsidR="00514DF7">
              <w:rPr>
                <w:noProof/>
                <w:webHidden/>
              </w:rPr>
            </w:r>
            <w:r w:rsidR="00514DF7">
              <w:rPr>
                <w:noProof/>
                <w:webHidden/>
              </w:rPr>
              <w:fldChar w:fldCharType="separate"/>
            </w:r>
            <w:r w:rsidR="00514DF7">
              <w:rPr>
                <w:noProof/>
                <w:webHidden/>
              </w:rPr>
              <w:t>84</w:t>
            </w:r>
            <w:r w:rsidR="00514DF7">
              <w:rPr>
                <w:noProof/>
                <w:webHidden/>
              </w:rPr>
              <w:fldChar w:fldCharType="end"/>
            </w:r>
          </w:hyperlink>
        </w:p>
        <w:p w14:paraId="689A34E4" w14:textId="3CE3F30E"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56" w:history="1">
            <w:r w:rsidR="00514DF7" w:rsidRPr="003D26A9">
              <w:rPr>
                <w:rStyle w:val="Hyperlink"/>
                <w:rFonts w:eastAsiaTheme="majorEastAsia"/>
                <w:noProof/>
              </w:rPr>
              <w:t>Fair Housing Action Plan</w:t>
            </w:r>
            <w:r w:rsidR="00514DF7">
              <w:rPr>
                <w:noProof/>
                <w:webHidden/>
              </w:rPr>
              <w:tab/>
            </w:r>
            <w:r w:rsidR="00514DF7">
              <w:rPr>
                <w:noProof/>
                <w:webHidden/>
              </w:rPr>
              <w:fldChar w:fldCharType="begin"/>
            </w:r>
            <w:r w:rsidR="00514DF7">
              <w:rPr>
                <w:noProof/>
                <w:webHidden/>
              </w:rPr>
              <w:instrText xml:space="preserve"> PAGEREF _Toc66807956 \h </w:instrText>
            </w:r>
            <w:r w:rsidR="00514DF7">
              <w:rPr>
                <w:noProof/>
                <w:webHidden/>
              </w:rPr>
            </w:r>
            <w:r w:rsidR="00514DF7">
              <w:rPr>
                <w:noProof/>
                <w:webHidden/>
              </w:rPr>
              <w:fldChar w:fldCharType="separate"/>
            </w:r>
            <w:r w:rsidR="00514DF7">
              <w:rPr>
                <w:noProof/>
                <w:webHidden/>
              </w:rPr>
              <w:t>85</w:t>
            </w:r>
            <w:r w:rsidR="00514DF7">
              <w:rPr>
                <w:noProof/>
                <w:webHidden/>
              </w:rPr>
              <w:fldChar w:fldCharType="end"/>
            </w:r>
          </w:hyperlink>
        </w:p>
        <w:p w14:paraId="7EEC0D87" w14:textId="3962C394"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57" w:history="1">
            <w:r w:rsidR="00514DF7" w:rsidRPr="003D26A9">
              <w:rPr>
                <w:rStyle w:val="Hyperlink"/>
                <w:rFonts w:eastAsiaTheme="majorEastAsia"/>
                <w:noProof/>
              </w:rPr>
              <w:t>Signature Page</w:t>
            </w:r>
            <w:r w:rsidR="00514DF7">
              <w:rPr>
                <w:noProof/>
                <w:webHidden/>
              </w:rPr>
              <w:tab/>
            </w:r>
            <w:r w:rsidR="00514DF7">
              <w:rPr>
                <w:noProof/>
                <w:webHidden/>
              </w:rPr>
              <w:fldChar w:fldCharType="begin"/>
            </w:r>
            <w:r w:rsidR="00514DF7">
              <w:rPr>
                <w:noProof/>
                <w:webHidden/>
              </w:rPr>
              <w:instrText xml:space="preserve"> PAGEREF _Toc66807957 \h </w:instrText>
            </w:r>
            <w:r w:rsidR="00514DF7">
              <w:rPr>
                <w:noProof/>
                <w:webHidden/>
              </w:rPr>
            </w:r>
            <w:r w:rsidR="00514DF7">
              <w:rPr>
                <w:noProof/>
                <w:webHidden/>
              </w:rPr>
              <w:fldChar w:fldCharType="separate"/>
            </w:r>
            <w:r w:rsidR="00514DF7">
              <w:rPr>
                <w:noProof/>
                <w:webHidden/>
              </w:rPr>
              <w:t>88</w:t>
            </w:r>
            <w:r w:rsidR="00514DF7">
              <w:rPr>
                <w:noProof/>
                <w:webHidden/>
              </w:rPr>
              <w:fldChar w:fldCharType="end"/>
            </w:r>
          </w:hyperlink>
        </w:p>
        <w:p w14:paraId="40CFFA2A" w14:textId="433A7BF1"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58" w:history="1">
            <w:r w:rsidR="00514DF7" w:rsidRPr="003D26A9">
              <w:rPr>
                <w:rStyle w:val="Hyperlink"/>
                <w:rFonts w:eastAsiaTheme="majorEastAsia"/>
                <w:noProof/>
              </w:rPr>
              <w:t>Appendix A: Public Engagement Plan</w:t>
            </w:r>
            <w:r w:rsidR="00514DF7">
              <w:rPr>
                <w:noProof/>
                <w:webHidden/>
              </w:rPr>
              <w:tab/>
            </w:r>
            <w:r w:rsidR="00514DF7">
              <w:rPr>
                <w:noProof/>
                <w:webHidden/>
              </w:rPr>
              <w:fldChar w:fldCharType="begin"/>
            </w:r>
            <w:r w:rsidR="00514DF7">
              <w:rPr>
                <w:noProof/>
                <w:webHidden/>
              </w:rPr>
              <w:instrText xml:space="preserve"> PAGEREF _Toc66807958 \h </w:instrText>
            </w:r>
            <w:r w:rsidR="00514DF7">
              <w:rPr>
                <w:noProof/>
                <w:webHidden/>
              </w:rPr>
            </w:r>
            <w:r w:rsidR="00514DF7">
              <w:rPr>
                <w:noProof/>
                <w:webHidden/>
              </w:rPr>
              <w:fldChar w:fldCharType="separate"/>
            </w:r>
            <w:r w:rsidR="00514DF7">
              <w:rPr>
                <w:noProof/>
                <w:webHidden/>
              </w:rPr>
              <w:t>89</w:t>
            </w:r>
            <w:r w:rsidR="00514DF7">
              <w:rPr>
                <w:noProof/>
                <w:webHidden/>
              </w:rPr>
              <w:fldChar w:fldCharType="end"/>
            </w:r>
          </w:hyperlink>
        </w:p>
        <w:p w14:paraId="05BCFC7F" w14:textId="349E9AFD" w:rsidR="00514DF7" w:rsidRDefault="00AA1041">
          <w:pPr>
            <w:pStyle w:val="TOC1"/>
            <w:tabs>
              <w:tab w:val="right" w:leader="dot" w:pos="9350"/>
            </w:tabs>
            <w:rPr>
              <w:rFonts w:asciiTheme="minorHAnsi" w:eastAsiaTheme="minorEastAsia" w:hAnsiTheme="minorHAnsi" w:cstheme="minorBidi"/>
              <w:noProof/>
              <w:sz w:val="22"/>
              <w:szCs w:val="22"/>
            </w:rPr>
          </w:pPr>
          <w:hyperlink w:anchor="_Toc66807959" w:history="1">
            <w:r w:rsidR="00514DF7" w:rsidRPr="003D26A9">
              <w:rPr>
                <w:rStyle w:val="Hyperlink"/>
                <w:rFonts w:eastAsiaTheme="majorEastAsia"/>
                <w:noProof/>
              </w:rPr>
              <w:t>Appendix B: NCHRC Fair Housing Activities</w:t>
            </w:r>
            <w:r w:rsidR="00514DF7">
              <w:rPr>
                <w:noProof/>
                <w:webHidden/>
              </w:rPr>
              <w:tab/>
            </w:r>
            <w:r w:rsidR="00514DF7">
              <w:rPr>
                <w:noProof/>
                <w:webHidden/>
              </w:rPr>
              <w:fldChar w:fldCharType="begin"/>
            </w:r>
            <w:r w:rsidR="00514DF7">
              <w:rPr>
                <w:noProof/>
                <w:webHidden/>
              </w:rPr>
              <w:instrText xml:space="preserve"> PAGEREF _Toc66807959 \h </w:instrText>
            </w:r>
            <w:r w:rsidR="00514DF7">
              <w:rPr>
                <w:noProof/>
                <w:webHidden/>
              </w:rPr>
            </w:r>
            <w:r w:rsidR="00514DF7">
              <w:rPr>
                <w:noProof/>
                <w:webHidden/>
              </w:rPr>
              <w:fldChar w:fldCharType="separate"/>
            </w:r>
            <w:r w:rsidR="00514DF7">
              <w:rPr>
                <w:noProof/>
                <w:webHidden/>
              </w:rPr>
              <w:t>90</w:t>
            </w:r>
            <w:r w:rsidR="00514DF7">
              <w:rPr>
                <w:noProof/>
                <w:webHidden/>
              </w:rPr>
              <w:fldChar w:fldCharType="end"/>
            </w:r>
          </w:hyperlink>
        </w:p>
        <w:p w14:paraId="08F57AA9" w14:textId="3E2F4271" w:rsidR="00F73E68" w:rsidRDefault="00F73E68">
          <w:r>
            <w:rPr>
              <w:b/>
              <w:bCs/>
              <w:noProof/>
            </w:rPr>
            <w:fldChar w:fldCharType="end"/>
          </w:r>
        </w:p>
      </w:sdtContent>
    </w:sdt>
    <w:p w14:paraId="5CB158C6" w14:textId="301F00DE" w:rsidR="00F73E68" w:rsidRPr="00F73E68" w:rsidRDefault="00F73E68" w:rsidP="00F73E68">
      <w:pPr>
        <w:pStyle w:val="Heading1"/>
      </w:pPr>
      <w:r w:rsidRPr="00F73E68">
        <w:br w:type="page"/>
      </w:r>
    </w:p>
    <w:p w14:paraId="11B29AB4" w14:textId="77777777" w:rsidR="00C742CF" w:rsidRDefault="00C742CF" w:rsidP="00C742CF">
      <w:pPr>
        <w:pStyle w:val="Heading1"/>
      </w:pPr>
      <w:bookmarkStart w:id="2" w:name="_Toc66807896"/>
      <w:r>
        <w:lastRenderedPageBreak/>
        <w:t>Introduction &amp; Executive Summary of the Analysis</w:t>
      </w:r>
      <w:bookmarkEnd w:id="2"/>
    </w:p>
    <w:p w14:paraId="4E12076D" w14:textId="5A4B45D8" w:rsidR="003F1DF6" w:rsidRDefault="003F1DF6" w:rsidP="00E70AF9">
      <w:pPr>
        <w:pStyle w:val="Heading2"/>
      </w:pPr>
      <w:bookmarkStart w:id="3" w:name="_Toc66807897"/>
      <w:r>
        <w:t xml:space="preserve">Why the AI was </w:t>
      </w:r>
      <w:proofErr w:type="gramStart"/>
      <w:r>
        <w:t>Developed</w:t>
      </w:r>
      <w:bookmarkEnd w:id="3"/>
      <w:proofErr w:type="gramEnd"/>
    </w:p>
    <w:p w14:paraId="1DC7E423" w14:textId="77777777" w:rsidR="00396E69" w:rsidRDefault="0071328E" w:rsidP="00DB7AE0">
      <w:r>
        <w:t>On Se</w:t>
      </w:r>
      <w:r w:rsidR="00BF58EB">
        <w:t>p</w:t>
      </w:r>
      <w:r>
        <w:t>tember</w:t>
      </w:r>
      <w:r w:rsidR="00BF58EB">
        <w:t xml:space="preserve"> 8, 2020, </w:t>
      </w:r>
      <w:r w:rsidR="0060614E">
        <w:t xml:space="preserve">a Final Rule published by </w:t>
      </w:r>
      <w:r w:rsidR="00BF58EB">
        <w:t>the U.S. Department of Housing &amp; Urban Development (HUD)</w:t>
      </w:r>
      <w:r w:rsidR="00540BF9">
        <w:t xml:space="preserve"> </w:t>
      </w:r>
      <w:r w:rsidR="0060614E">
        <w:t xml:space="preserve">titled </w:t>
      </w:r>
      <w:r w:rsidR="004572BC" w:rsidRPr="004572BC">
        <w:rPr>
          <w:i/>
          <w:iCs/>
        </w:rPr>
        <w:t>Preserving Community and Neighborhood Choice</w:t>
      </w:r>
      <w:r w:rsidR="004572BC">
        <w:t xml:space="preserve"> became effective.</w:t>
      </w:r>
      <w:r w:rsidR="008E7B6B">
        <w:t xml:space="preserve"> This rule </w:t>
      </w:r>
      <w:r w:rsidR="000F050E">
        <w:t xml:space="preserve">revised </w:t>
      </w:r>
      <w:r w:rsidR="009416C0">
        <w:t xml:space="preserve">the definition of </w:t>
      </w:r>
      <w:r w:rsidR="00FE7B0C">
        <w:t xml:space="preserve">“fair housing” to include </w:t>
      </w:r>
      <w:r w:rsidR="00DA1596">
        <w:t>“housing</w:t>
      </w:r>
      <w:r w:rsidR="00D31E6B">
        <w:t xml:space="preserve"> that, among other attributes, is affordable, safe, decent, free of unlawful discrimination</w:t>
      </w:r>
      <w:r w:rsidR="00C00E4B">
        <w:t>, and accessible as require under civil rights laws.”</w:t>
      </w:r>
      <w:r w:rsidR="000F050E">
        <w:t xml:space="preserve"> The rule also substantially </w:t>
      </w:r>
      <w:r w:rsidR="00F25B55">
        <w:t>broadened</w:t>
      </w:r>
      <w:r w:rsidR="00274998">
        <w:t xml:space="preserve"> the definition of “affirmatively furthering fair housing” to mean “</w:t>
      </w:r>
      <w:r w:rsidR="006138C1">
        <w:t>any action rationally related to promoting any attribute or attributes</w:t>
      </w:r>
      <w:r w:rsidR="00271A1B">
        <w:t xml:space="preserve"> of fair housing”.</w:t>
      </w:r>
      <w:r w:rsidR="000965E5">
        <w:t xml:space="preserve"> </w:t>
      </w:r>
      <w:r w:rsidR="00545C68">
        <w:t xml:space="preserve">Notably, </w:t>
      </w:r>
      <w:r w:rsidR="000965E5">
        <w:t xml:space="preserve">the rule </w:t>
      </w:r>
      <w:r w:rsidR="00E234F1">
        <w:t xml:space="preserve">also </w:t>
      </w:r>
      <w:r w:rsidR="008E7B6B">
        <w:t xml:space="preserve">eliminated the previously long-standing requirement that </w:t>
      </w:r>
      <w:proofErr w:type="gramStart"/>
      <w:r w:rsidR="008E7B6B">
        <w:t>states</w:t>
      </w:r>
      <w:proofErr w:type="gramEnd"/>
      <w:r w:rsidR="008E7B6B">
        <w:t xml:space="preserve"> and other HUD</w:t>
      </w:r>
      <w:r w:rsidR="00434E2C">
        <w:t xml:space="preserve"> grantees prepare an Analysis of Impediments to Fair Housing Choice (an AI) </w:t>
      </w:r>
      <w:r w:rsidR="00A24F25">
        <w:t xml:space="preserve">as the means for evaluating </w:t>
      </w:r>
      <w:r w:rsidR="00060908">
        <w:t xml:space="preserve">the degree to which </w:t>
      </w:r>
      <w:r w:rsidR="008E492B">
        <w:t>private and public sector policies</w:t>
      </w:r>
      <w:r w:rsidR="001A3F3A">
        <w:t xml:space="preserve">, </w:t>
      </w:r>
      <w:r w:rsidR="00E234F1">
        <w:t xml:space="preserve">practices, </w:t>
      </w:r>
      <w:r w:rsidR="001A3F3A">
        <w:t>statutes and programs expand or restrict housing choice for members of the protected classes.</w:t>
      </w:r>
      <w:r w:rsidR="00AB5FFF">
        <w:rPr>
          <w:rStyle w:val="FootnoteReference"/>
        </w:rPr>
        <w:footnoteReference w:id="1"/>
      </w:r>
      <w:r w:rsidR="00890FDC">
        <w:t xml:space="preserve"> </w:t>
      </w:r>
    </w:p>
    <w:p w14:paraId="2C18B3FB" w14:textId="77777777" w:rsidR="00396E69" w:rsidRDefault="00396E69" w:rsidP="00DB7AE0"/>
    <w:p w14:paraId="7FA364D1" w14:textId="5A2E0EBC" w:rsidR="005D2F83" w:rsidRPr="00AA0FE7" w:rsidRDefault="00931C6E" w:rsidP="00E431B9">
      <w:pPr>
        <w:spacing w:after="160" w:line="259" w:lineRule="auto"/>
      </w:pPr>
      <w:r>
        <w:t xml:space="preserve">Although the </w:t>
      </w:r>
      <w:r w:rsidR="00396E69">
        <w:t>Final R</w:t>
      </w:r>
      <w:r w:rsidR="00C93D46">
        <w:t xml:space="preserve">ule eliminated the requirement to prepare an AI, </w:t>
      </w:r>
      <w:r w:rsidR="007C7D25">
        <w:t xml:space="preserve">it retained the following requirement: </w:t>
      </w:r>
      <w:r w:rsidR="007C7D25" w:rsidRPr="00426368">
        <w:rPr>
          <w:i/>
          <w:iCs/>
        </w:rPr>
        <w:t xml:space="preserve">Nothing </w:t>
      </w:r>
      <w:r w:rsidR="007B312D" w:rsidRPr="00426368">
        <w:rPr>
          <w:i/>
          <w:iCs/>
        </w:rPr>
        <w:t>in this paragraph relieves jurisdictions of their obligations under civil rights and fair housing statutes and regulations</w:t>
      </w:r>
      <w:r w:rsidR="007B312D">
        <w:t>.</w:t>
      </w:r>
      <w:r w:rsidR="00956E93">
        <w:rPr>
          <w:rStyle w:val="FootnoteReference"/>
        </w:rPr>
        <w:footnoteReference w:id="2"/>
      </w:r>
      <w:r w:rsidR="00F92B59">
        <w:t xml:space="preserve"> </w:t>
      </w:r>
      <w:r w:rsidR="00CB61AE">
        <w:t xml:space="preserve">In other words, states and other HUD grantees </w:t>
      </w:r>
      <w:r w:rsidR="00875156">
        <w:t xml:space="preserve">still </w:t>
      </w:r>
      <w:r w:rsidR="00CB61AE">
        <w:t>are required to ensure that they are not contributing to patterns of discrimination within their jurisdictions</w:t>
      </w:r>
      <w:r w:rsidR="00875156">
        <w:t xml:space="preserve">. </w:t>
      </w:r>
      <w:r w:rsidR="00F92B59">
        <w:t>For this reason, the North Carolina Department of Commerce</w:t>
      </w:r>
      <w:r w:rsidR="006D3BEE">
        <w:t xml:space="preserve"> (DOC)</w:t>
      </w:r>
      <w:r w:rsidR="001960D9">
        <w:t xml:space="preserve">, the agency </w:t>
      </w:r>
      <w:r w:rsidR="004C7B4A">
        <w:t>charged with the administration and management of the state’s Community Development Block Grant (CDBG) funding</w:t>
      </w:r>
      <w:r w:rsidR="00422BD6">
        <w:t xml:space="preserve">, chose to move forward with developing the AI. </w:t>
      </w:r>
      <w:r w:rsidR="00875156">
        <w:t xml:space="preserve">The AI remains </w:t>
      </w:r>
      <w:r w:rsidR="00147D41">
        <w:t xml:space="preserve">a </w:t>
      </w:r>
      <w:r w:rsidR="00147D41" w:rsidRPr="00AA0FE7">
        <w:t>valuable tool to</w:t>
      </w:r>
      <w:r w:rsidR="006460C5" w:rsidRPr="00AA0FE7">
        <w:t>:</w:t>
      </w:r>
    </w:p>
    <w:p w14:paraId="423E3BC0" w14:textId="7D238FAF" w:rsidR="006460C5" w:rsidRPr="00AA0FE7" w:rsidRDefault="006460C5" w:rsidP="007A55D1">
      <w:pPr>
        <w:pStyle w:val="ListParagraph"/>
        <w:numPr>
          <w:ilvl w:val="0"/>
          <w:numId w:val="12"/>
        </w:numPr>
        <w:spacing w:line="259" w:lineRule="auto"/>
        <w:ind w:left="778"/>
        <w:contextualSpacing w:val="0"/>
        <w:rPr>
          <w:sz w:val="24"/>
        </w:rPr>
      </w:pPr>
      <w:r w:rsidRPr="00AA0FE7">
        <w:rPr>
          <w:sz w:val="24"/>
        </w:rPr>
        <w:t>E</w:t>
      </w:r>
      <w:r w:rsidR="00147D41" w:rsidRPr="00AA0FE7">
        <w:rPr>
          <w:sz w:val="24"/>
        </w:rPr>
        <w:t xml:space="preserve">valuate </w:t>
      </w:r>
      <w:r w:rsidR="00F1280C" w:rsidRPr="00AA0FE7">
        <w:rPr>
          <w:sz w:val="24"/>
        </w:rPr>
        <w:t xml:space="preserve">residential </w:t>
      </w:r>
      <w:r w:rsidR="006D3BEE" w:rsidRPr="00AA0FE7">
        <w:rPr>
          <w:sz w:val="24"/>
        </w:rPr>
        <w:t xml:space="preserve">segregation </w:t>
      </w:r>
      <w:proofErr w:type="gramStart"/>
      <w:r w:rsidR="00026D07" w:rsidRPr="00AA0FE7">
        <w:rPr>
          <w:sz w:val="24"/>
        </w:rPr>
        <w:t>patterns</w:t>
      </w:r>
      <w:proofErr w:type="gramEnd"/>
    </w:p>
    <w:p w14:paraId="6113AC05" w14:textId="35417DF3" w:rsidR="006460C5" w:rsidRPr="00AA0FE7" w:rsidRDefault="00E44084" w:rsidP="007A55D1">
      <w:pPr>
        <w:pStyle w:val="ListParagraph"/>
        <w:numPr>
          <w:ilvl w:val="0"/>
          <w:numId w:val="12"/>
        </w:numPr>
        <w:ind w:left="778"/>
        <w:contextualSpacing w:val="0"/>
        <w:rPr>
          <w:sz w:val="24"/>
        </w:rPr>
      </w:pPr>
      <w:r w:rsidRPr="00AA0FE7">
        <w:rPr>
          <w:sz w:val="24"/>
        </w:rPr>
        <w:t>Evaluate h</w:t>
      </w:r>
      <w:r w:rsidR="00026D07" w:rsidRPr="00AA0FE7">
        <w:rPr>
          <w:sz w:val="24"/>
        </w:rPr>
        <w:t xml:space="preserve">ow private and public sector policies, practices, statutes and programs expand or restrict housing choice for members of the protected </w:t>
      </w:r>
      <w:proofErr w:type="gramStart"/>
      <w:r w:rsidR="00026D07" w:rsidRPr="00AA0FE7">
        <w:rPr>
          <w:sz w:val="24"/>
        </w:rPr>
        <w:t>classes</w:t>
      </w:r>
      <w:proofErr w:type="gramEnd"/>
    </w:p>
    <w:p w14:paraId="0EA44D23" w14:textId="77777777" w:rsidR="006460C5" w:rsidRPr="00AA0FE7" w:rsidRDefault="006460C5" w:rsidP="007A55D1">
      <w:pPr>
        <w:pStyle w:val="ListParagraph"/>
        <w:numPr>
          <w:ilvl w:val="0"/>
          <w:numId w:val="12"/>
        </w:numPr>
        <w:ind w:left="778"/>
        <w:contextualSpacing w:val="0"/>
        <w:rPr>
          <w:sz w:val="24"/>
        </w:rPr>
      </w:pPr>
      <w:r w:rsidRPr="00AA0FE7">
        <w:rPr>
          <w:sz w:val="24"/>
        </w:rPr>
        <w:t>I</w:t>
      </w:r>
      <w:r w:rsidR="00D15098" w:rsidRPr="00AA0FE7">
        <w:rPr>
          <w:sz w:val="24"/>
        </w:rPr>
        <w:t xml:space="preserve">dentify impediments, or barriers, to fair housing </w:t>
      </w:r>
      <w:proofErr w:type="gramStart"/>
      <w:r w:rsidR="00D15098" w:rsidRPr="00AA0FE7">
        <w:rPr>
          <w:sz w:val="24"/>
        </w:rPr>
        <w:t>choice</w:t>
      </w:r>
      <w:proofErr w:type="gramEnd"/>
    </w:p>
    <w:p w14:paraId="52BB7523" w14:textId="43DCF355" w:rsidR="002C3FC7" w:rsidRPr="00AA0FE7" w:rsidRDefault="006460C5" w:rsidP="007A55D1">
      <w:pPr>
        <w:pStyle w:val="ListParagraph"/>
        <w:numPr>
          <w:ilvl w:val="0"/>
          <w:numId w:val="12"/>
        </w:numPr>
        <w:ind w:left="778"/>
        <w:contextualSpacing w:val="0"/>
        <w:rPr>
          <w:sz w:val="24"/>
        </w:rPr>
      </w:pPr>
      <w:r w:rsidRPr="00AA0FE7">
        <w:rPr>
          <w:sz w:val="24"/>
        </w:rPr>
        <w:t>I</w:t>
      </w:r>
      <w:r w:rsidR="00D15098" w:rsidRPr="00AA0FE7">
        <w:rPr>
          <w:sz w:val="24"/>
        </w:rPr>
        <w:t xml:space="preserve">mplement a Fair Housing Action Plan to </w:t>
      </w:r>
      <w:r w:rsidR="00BD7598" w:rsidRPr="00AA0FE7">
        <w:rPr>
          <w:sz w:val="24"/>
        </w:rPr>
        <w:t xml:space="preserve">lessen or </w:t>
      </w:r>
      <w:r w:rsidR="006F763E" w:rsidRPr="00AA0FE7">
        <w:rPr>
          <w:sz w:val="24"/>
        </w:rPr>
        <w:t>eliminate</w:t>
      </w:r>
      <w:r w:rsidR="00BD7598" w:rsidRPr="00AA0FE7">
        <w:rPr>
          <w:sz w:val="24"/>
        </w:rPr>
        <w:t xml:space="preserve"> housing discrimination</w:t>
      </w:r>
      <w:r w:rsidR="006F763E" w:rsidRPr="00AA0FE7">
        <w:rPr>
          <w:sz w:val="24"/>
        </w:rPr>
        <w:t>,</w:t>
      </w:r>
      <w:r w:rsidR="00BD7598" w:rsidRPr="00AA0FE7">
        <w:rPr>
          <w:sz w:val="24"/>
        </w:rPr>
        <w:t xml:space="preserve"> and </w:t>
      </w:r>
    </w:p>
    <w:p w14:paraId="0EADFD59" w14:textId="018BA288" w:rsidR="006F763E" w:rsidRPr="00AA0FE7" w:rsidRDefault="006F763E" w:rsidP="007A55D1">
      <w:pPr>
        <w:pStyle w:val="ListParagraph"/>
        <w:numPr>
          <w:ilvl w:val="0"/>
          <w:numId w:val="12"/>
        </w:numPr>
        <w:ind w:left="778"/>
        <w:contextualSpacing w:val="0"/>
        <w:rPr>
          <w:sz w:val="24"/>
        </w:rPr>
      </w:pPr>
      <w:r w:rsidRPr="00AA0FE7">
        <w:rPr>
          <w:sz w:val="24"/>
        </w:rPr>
        <w:t xml:space="preserve">Document its efforts at expanding </w:t>
      </w:r>
      <w:r w:rsidR="00015E6D" w:rsidRPr="00AA0FE7">
        <w:rPr>
          <w:sz w:val="24"/>
        </w:rPr>
        <w:t xml:space="preserve">housing choice for members of the protected </w:t>
      </w:r>
      <w:proofErr w:type="gramStart"/>
      <w:r w:rsidR="00015E6D" w:rsidRPr="00AA0FE7">
        <w:rPr>
          <w:sz w:val="24"/>
        </w:rPr>
        <w:t>classes</w:t>
      </w:r>
      <w:proofErr w:type="gramEnd"/>
    </w:p>
    <w:p w14:paraId="58FD7080" w14:textId="1293E056" w:rsidR="00E70AF9" w:rsidRDefault="00E70AF9" w:rsidP="00E70AF9">
      <w:pPr>
        <w:pStyle w:val="Heading2"/>
      </w:pPr>
      <w:bookmarkStart w:id="4" w:name="_Toc66807898"/>
      <w:r>
        <w:t>Who Conducted the AI</w:t>
      </w:r>
      <w:bookmarkEnd w:id="4"/>
    </w:p>
    <w:p w14:paraId="23829CAC" w14:textId="68A863AD" w:rsidR="00E431B9" w:rsidRDefault="005A751C" w:rsidP="00E431B9">
      <w:pPr>
        <w:spacing w:after="160" w:line="259" w:lineRule="auto"/>
      </w:pPr>
      <w:r>
        <w:t xml:space="preserve">DOC </w:t>
      </w:r>
      <w:r w:rsidR="00F655EC">
        <w:t xml:space="preserve">was the lead entity in preparing the AI. </w:t>
      </w:r>
      <w:r w:rsidR="00B15D9D">
        <w:t xml:space="preserve">As the recipient state agency </w:t>
      </w:r>
      <w:r w:rsidR="007D14F8">
        <w:t>of</w:t>
      </w:r>
      <w:r>
        <w:t xml:space="preserve"> CDBG funding, DOC c</w:t>
      </w:r>
      <w:r w:rsidR="00F655EC">
        <w:t>ollaborat</w:t>
      </w:r>
      <w:r>
        <w:t xml:space="preserve">ed with </w:t>
      </w:r>
      <w:r w:rsidR="007D14F8">
        <w:t xml:space="preserve">other state entities </w:t>
      </w:r>
      <w:r w:rsidR="00742F44">
        <w:t xml:space="preserve">that also receive funding from the U.S. Department of Housing &amp; Urban </w:t>
      </w:r>
      <w:r w:rsidR="00474852">
        <w:t>D</w:t>
      </w:r>
      <w:r w:rsidR="00742F44">
        <w:t>evelopment (HUD)</w:t>
      </w:r>
      <w:r w:rsidR="00224985">
        <w:t xml:space="preserve">, or are subrecipients </w:t>
      </w:r>
      <w:r w:rsidR="006838F7">
        <w:t>of HUD funding through DOC</w:t>
      </w:r>
      <w:r w:rsidR="00ED1CFE">
        <w:t>, to prepare the AI</w:t>
      </w:r>
      <w:r w:rsidR="00474852">
        <w:t>. These included the following:</w:t>
      </w:r>
    </w:p>
    <w:p w14:paraId="5DB0A711" w14:textId="79C9709C" w:rsidR="00474852" w:rsidRPr="00AA0FE7" w:rsidRDefault="00F655EC" w:rsidP="007A55D1">
      <w:pPr>
        <w:pStyle w:val="ListParagraph"/>
        <w:numPr>
          <w:ilvl w:val="0"/>
          <w:numId w:val="9"/>
        </w:numPr>
        <w:spacing w:line="259" w:lineRule="auto"/>
        <w:contextualSpacing w:val="0"/>
        <w:rPr>
          <w:sz w:val="24"/>
        </w:rPr>
      </w:pPr>
      <w:r w:rsidRPr="00AA0FE7">
        <w:rPr>
          <w:sz w:val="24"/>
        </w:rPr>
        <w:t>North Carolina Housing Finance Agency</w:t>
      </w:r>
      <w:r w:rsidR="00474852" w:rsidRPr="00AA0FE7">
        <w:rPr>
          <w:sz w:val="24"/>
        </w:rPr>
        <w:t xml:space="preserve"> </w:t>
      </w:r>
      <w:r w:rsidR="00450F32" w:rsidRPr="00AA0FE7">
        <w:rPr>
          <w:sz w:val="24"/>
        </w:rPr>
        <w:t>–</w:t>
      </w:r>
      <w:r w:rsidR="00474852" w:rsidRPr="00AA0FE7">
        <w:rPr>
          <w:sz w:val="24"/>
        </w:rPr>
        <w:t xml:space="preserve"> </w:t>
      </w:r>
      <w:r w:rsidR="00BC34AA" w:rsidRPr="00AA0FE7">
        <w:rPr>
          <w:sz w:val="24"/>
        </w:rPr>
        <w:t xml:space="preserve">a </w:t>
      </w:r>
      <w:r w:rsidR="00450F32" w:rsidRPr="00AA0FE7">
        <w:rPr>
          <w:sz w:val="24"/>
        </w:rPr>
        <w:t xml:space="preserve">recipient of </w:t>
      </w:r>
      <w:r w:rsidR="00F207DE" w:rsidRPr="00AA0FE7">
        <w:rPr>
          <w:sz w:val="24"/>
        </w:rPr>
        <w:t>the state’s federal</w:t>
      </w:r>
      <w:r w:rsidR="00450F32" w:rsidRPr="00AA0FE7">
        <w:rPr>
          <w:sz w:val="24"/>
        </w:rPr>
        <w:t xml:space="preserve"> Housing Trust Fund (HTF) allocation </w:t>
      </w:r>
      <w:r w:rsidR="00F207DE" w:rsidRPr="00AA0FE7">
        <w:rPr>
          <w:sz w:val="24"/>
        </w:rPr>
        <w:t xml:space="preserve">from HUD and the state’s </w:t>
      </w:r>
      <w:r w:rsidR="00450F32" w:rsidRPr="00AA0FE7">
        <w:rPr>
          <w:sz w:val="24"/>
        </w:rPr>
        <w:t xml:space="preserve">Low-Income Housing </w:t>
      </w:r>
      <w:r w:rsidR="006B380D" w:rsidRPr="00AA0FE7">
        <w:rPr>
          <w:sz w:val="24"/>
        </w:rPr>
        <w:t>Tax Credit (LIHTC) allocation from the Internal Revenue Service</w:t>
      </w:r>
    </w:p>
    <w:p w14:paraId="4F785BBC" w14:textId="474CA20E" w:rsidR="006838F7" w:rsidRPr="00AA0FE7" w:rsidRDefault="006838F7" w:rsidP="007A55D1">
      <w:pPr>
        <w:pStyle w:val="ListParagraph"/>
        <w:numPr>
          <w:ilvl w:val="0"/>
          <w:numId w:val="9"/>
        </w:numPr>
        <w:spacing w:line="259" w:lineRule="auto"/>
        <w:contextualSpacing w:val="0"/>
        <w:rPr>
          <w:sz w:val="24"/>
        </w:rPr>
      </w:pPr>
      <w:r w:rsidRPr="00AA0FE7">
        <w:rPr>
          <w:sz w:val="24"/>
        </w:rPr>
        <w:lastRenderedPageBreak/>
        <w:t>North Carolina Department of Environmental Quality</w:t>
      </w:r>
      <w:r w:rsidR="00B96253" w:rsidRPr="00AA0FE7">
        <w:rPr>
          <w:sz w:val="24"/>
        </w:rPr>
        <w:t xml:space="preserve"> – a subrecipient to DOC </w:t>
      </w:r>
      <w:r w:rsidR="00280FA2" w:rsidRPr="00AA0FE7">
        <w:rPr>
          <w:sz w:val="24"/>
        </w:rPr>
        <w:t xml:space="preserve">for CDBG funds invested in infrastructure </w:t>
      </w:r>
      <w:proofErr w:type="gramStart"/>
      <w:r w:rsidR="00280FA2" w:rsidRPr="00AA0FE7">
        <w:rPr>
          <w:sz w:val="24"/>
        </w:rPr>
        <w:t>projects</w:t>
      </w:r>
      <w:proofErr w:type="gramEnd"/>
    </w:p>
    <w:p w14:paraId="189DD0B6" w14:textId="4CBA06D1" w:rsidR="000F516D" w:rsidRPr="00AA0FE7" w:rsidRDefault="006838F7" w:rsidP="007A55D1">
      <w:pPr>
        <w:pStyle w:val="ListParagraph"/>
        <w:numPr>
          <w:ilvl w:val="0"/>
          <w:numId w:val="9"/>
        </w:numPr>
        <w:spacing w:line="259" w:lineRule="auto"/>
        <w:contextualSpacing w:val="0"/>
        <w:rPr>
          <w:sz w:val="24"/>
        </w:rPr>
      </w:pPr>
      <w:r w:rsidRPr="00AA0FE7">
        <w:rPr>
          <w:sz w:val="24"/>
        </w:rPr>
        <w:t>North Carolina Department of Health and Human Services</w:t>
      </w:r>
      <w:r w:rsidR="000F516D" w:rsidRPr="00AA0FE7">
        <w:rPr>
          <w:sz w:val="24"/>
        </w:rPr>
        <w:t xml:space="preserve"> – </w:t>
      </w:r>
      <w:r w:rsidR="00F00ADA" w:rsidRPr="00AA0FE7">
        <w:rPr>
          <w:sz w:val="24"/>
        </w:rPr>
        <w:t xml:space="preserve">a </w:t>
      </w:r>
      <w:r w:rsidR="000F516D" w:rsidRPr="00AA0FE7">
        <w:rPr>
          <w:sz w:val="24"/>
        </w:rPr>
        <w:t xml:space="preserve">recipient of Emergency Solutions Grant (ESG) funds and Housing Opportunities for People with </w:t>
      </w:r>
      <w:r w:rsidR="000A7596" w:rsidRPr="00AA0FE7">
        <w:rPr>
          <w:sz w:val="24"/>
        </w:rPr>
        <w:t>AIDS (HOPWA) funding from HUD</w:t>
      </w:r>
    </w:p>
    <w:p w14:paraId="7318EF5B" w14:textId="03589F3F" w:rsidR="00474852" w:rsidRPr="00AA0FE7" w:rsidRDefault="00F655EC" w:rsidP="007A55D1">
      <w:pPr>
        <w:pStyle w:val="ListParagraph"/>
        <w:numPr>
          <w:ilvl w:val="0"/>
          <w:numId w:val="9"/>
        </w:numPr>
        <w:spacing w:line="259" w:lineRule="auto"/>
        <w:contextualSpacing w:val="0"/>
        <w:rPr>
          <w:sz w:val="24"/>
        </w:rPr>
      </w:pPr>
      <w:r w:rsidRPr="00AA0FE7">
        <w:rPr>
          <w:sz w:val="24"/>
        </w:rPr>
        <w:t>North Carolina Human Relations Commiss</w:t>
      </w:r>
      <w:r w:rsidR="00066ED6" w:rsidRPr="00AA0FE7">
        <w:rPr>
          <w:sz w:val="24"/>
        </w:rPr>
        <w:t>i</w:t>
      </w:r>
      <w:r w:rsidRPr="00AA0FE7">
        <w:rPr>
          <w:sz w:val="24"/>
        </w:rPr>
        <w:t>on</w:t>
      </w:r>
      <w:r w:rsidR="006B380D" w:rsidRPr="00AA0FE7">
        <w:rPr>
          <w:sz w:val="24"/>
        </w:rPr>
        <w:t xml:space="preserve"> </w:t>
      </w:r>
      <w:r w:rsidR="00BC24AF" w:rsidRPr="00AA0FE7">
        <w:rPr>
          <w:sz w:val="24"/>
        </w:rPr>
        <w:t>–</w:t>
      </w:r>
      <w:r w:rsidR="006B380D" w:rsidRPr="00AA0FE7">
        <w:rPr>
          <w:sz w:val="24"/>
        </w:rPr>
        <w:t xml:space="preserve"> </w:t>
      </w:r>
      <w:r w:rsidR="00BC24AF" w:rsidRPr="00AA0FE7">
        <w:rPr>
          <w:sz w:val="24"/>
        </w:rPr>
        <w:t xml:space="preserve">a designated HUD Fair Housing </w:t>
      </w:r>
      <w:r w:rsidR="006B3EBA" w:rsidRPr="00AA0FE7">
        <w:rPr>
          <w:sz w:val="24"/>
        </w:rPr>
        <w:t xml:space="preserve">Assistance Program (FHAP) </w:t>
      </w:r>
      <w:r w:rsidR="00D25518" w:rsidRPr="00AA0FE7">
        <w:rPr>
          <w:sz w:val="24"/>
        </w:rPr>
        <w:t xml:space="preserve">entity that receives HUD funding to </w:t>
      </w:r>
      <w:r w:rsidR="00A447FF" w:rsidRPr="00AA0FE7">
        <w:rPr>
          <w:sz w:val="24"/>
        </w:rPr>
        <w:t>investigate housing discrimination complaints in North Carolina.</w:t>
      </w:r>
    </w:p>
    <w:p w14:paraId="0D71EB97" w14:textId="77777777" w:rsidR="00E70AF9" w:rsidRDefault="00E70AF9" w:rsidP="00E70AF9">
      <w:pPr>
        <w:pStyle w:val="Heading2"/>
      </w:pPr>
      <w:bookmarkStart w:id="5" w:name="_Toc66807899"/>
      <w:r>
        <w:t>Participants</w:t>
      </w:r>
      <w:bookmarkEnd w:id="5"/>
      <w:r>
        <w:t xml:space="preserve"> </w:t>
      </w:r>
    </w:p>
    <w:p w14:paraId="3ABBA06A" w14:textId="56CFE6A4" w:rsidR="005E2FDF" w:rsidRDefault="00ED1CFE" w:rsidP="005E2FDF">
      <w:pPr>
        <w:spacing w:after="160" w:line="259" w:lineRule="auto"/>
      </w:pPr>
      <w:r>
        <w:t xml:space="preserve">DOC committed to an extensive outreach process to solicit </w:t>
      </w:r>
      <w:r w:rsidR="00040924">
        <w:t>input from residents and stakeholders across the state.</w:t>
      </w:r>
      <w:r w:rsidR="00E92D92">
        <w:t xml:space="preserve"> </w:t>
      </w:r>
      <w:r w:rsidR="005E2FDF">
        <w:t xml:space="preserve">Outreach initiatives included </w:t>
      </w:r>
      <w:r w:rsidR="00A22421">
        <w:t xml:space="preserve">remote public meetings and stakeholder meetings, a project </w:t>
      </w:r>
      <w:proofErr w:type="gramStart"/>
      <w:r w:rsidR="00A22421">
        <w:t>website</w:t>
      </w:r>
      <w:proofErr w:type="gramEnd"/>
      <w:r w:rsidR="009375CB">
        <w:t xml:space="preserve"> and an online survey.</w:t>
      </w:r>
    </w:p>
    <w:p w14:paraId="3EC9B4F4" w14:textId="6387D07F" w:rsidR="005E2FDF" w:rsidRDefault="009375CB" w:rsidP="005E2FDF">
      <w:pPr>
        <w:spacing w:after="160" w:line="259" w:lineRule="auto"/>
      </w:pPr>
      <w:r>
        <w:t>DOC h</w:t>
      </w:r>
      <w:r w:rsidR="005E2FDF" w:rsidRPr="005E2FDF">
        <w:t>osted three public meetings to identify fair housing issues</w:t>
      </w:r>
      <w:r w:rsidR="00430208">
        <w:t xml:space="preserve"> and</w:t>
      </w:r>
      <w:r w:rsidR="005E2FDF" w:rsidRPr="005E2FDF">
        <w:t xml:space="preserve"> learn how North Carolina residents are discriminated against when searching for housing</w:t>
      </w:r>
      <w:r w:rsidR="00430208">
        <w:t>. In r</w:t>
      </w:r>
      <w:r w:rsidR="005E2FDF" w:rsidRPr="005E2FDF">
        <w:t xml:space="preserve">esponse to COVID-19, the meetings were hosted virtually </w:t>
      </w:r>
      <w:r w:rsidR="00B70D8A">
        <w:t>on</w:t>
      </w:r>
      <w:r w:rsidR="005E2FDF" w:rsidRPr="005E2FDF">
        <w:t xml:space="preserve"> Zoom and were free and open to all members of the public. </w:t>
      </w:r>
      <w:r w:rsidR="002D5276">
        <w:t>The</w:t>
      </w:r>
      <w:r w:rsidR="001A3D14">
        <w:t xml:space="preserve"> schedule</w:t>
      </w:r>
      <w:r w:rsidR="00B70D8A">
        <w:t xml:space="preserve"> included:</w:t>
      </w:r>
    </w:p>
    <w:p w14:paraId="5B2FDA2B" w14:textId="268B5A42" w:rsidR="005E2FDF" w:rsidRPr="00AA0FE7" w:rsidRDefault="005E2FDF" w:rsidP="007A55D1">
      <w:pPr>
        <w:pStyle w:val="ListParagraph"/>
        <w:numPr>
          <w:ilvl w:val="0"/>
          <w:numId w:val="10"/>
        </w:numPr>
        <w:spacing w:after="160" w:line="259" w:lineRule="auto"/>
        <w:rPr>
          <w:sz w:val="24"/>
        </w:rPr>
      </w:pPr>
      <w:r w:rsidRPr="00AA0FE7">
        <w:rPr>
          <w:sz w:val="24"/>
        </w:rPr>
        <w:t>Tuesday, September 29, 2020 from noon – 1:30 pm</w:t>
      </w:r>
    </w:p>
    <w:p w14:paraId="55D1822E" w14:textId="051FC8F2" w:rsidR="005E2FDF" w:rsidRPr="00AA0FE7" w:rsidRDefault="005E2FDF" w:rsidP="007A55D1">
      <w:pPr>
        <w:pStyle w:val="ListParagraph"/>
        <w:numPr>
          <w:ilvl w:val="0"/>
          <w:numId w:val="10"/>
        </w:numPr>
        <w:spacing w:after="160" w:line="259" w:lineRule="auto"/>
        <w:rPr>
          <w:sz w:val="24"/>
        </w:rPr>
      </w:pPr>
      <w:r w:rsidRPr="00AA0FE7">
        <w:rPr>
          <w:sz w:val="24"/>
        </w:rPr>
        <w:t>Thursday, October 1, 2020 from 6:00 – 7:30 pm</w:t>
      </w:r>
    </w:p>
    <w:p w14:paraId="617C0164" w14:textId="77777777" w:rsidR="005E2FDF" w:rsidRPr="00AA0FE7" w:rsidRDefault="005E2FDF" w:rsidP="007A55D1">
      <w:pPr>
        <w:pStyle w:val="ListParagraph"/>
        <w:numPr>
          <w:ilvl w:val="0"/>
          <w:numId w:val="10"/>
        </w:numPr>
        <w:spacing w:after="160" w:line="259" w:lineRule="auto"/>
        <w:rPr>
          <w:sz w:val="24"/>
        </w:rPr>
      </w:pPr>
      <w:r w:rsidRPr="00AA0FE7">
        <w:rPr>
          <w:sz w:val="24"/>
        </w:rPr>
        <w:t>Saturday, October 3, 2020 from 11:00 am – 12:30 pm</w:t>
      </w:r>
    </w:p>
    <w:p w14:paraId="0B6C613F" w14:textId="23167C4D" w:rsidR="00A1571B" w:rsidRDefault="00782AA1" w:rsidP="00A1571B">
      <w:pPr>
        <w:spacing w:after="160" w:line="259" w:lineRule="auto"/>
      </w:pPr>
      <w:r>
        <w:t xml:space="preserve">DOC also </w:t>
      </w:r>
      <w:r w:rsidR="00C04CBC">
        <w:t xml:space="preserve">conducted </w:t>
      </w:r>
      <w:r w:rsidR="00A1571B" w:rsidRPr="00A1571B">
        <w:t xml:space="preserve">three </w:t>
      </w:r>
      <w:r w:rsidR="00A1571B">
        <w:t xml:space="preserve">stakeholder </w:t>
      </w:r>
      <w:r w:rsidR="00A1571B" w:rsidRPr="00A1571B">
        <w:t>meetings to provide an extended working session to coordinate with a diverse group of stakeholders on solutions and related implementation strategies. In response to COVID-19, the</w:t>
      </w:r>
      <w:r w:rsidR="007B6D4E">
        <w:t>se</w:t>
      </w:r>
      <w:r w:rsidR="00A1571B" w:rsidRPr="00A1571B">
        <w:t xml:space="preserve"> meetings </w:t>
      </w:r>
      <w:r w:rsidR="007B6D4E">
        <w:t xml:space="preserve">also </w:t>
      </w:r>
      <w:r w:rsidR="00A1571B" w:rsidRPr="00A1571B">
        <w:t xml:space="preserve">were hosted virtually </w:t>
      </w:r>
      <w:r w:rsidR="007B6D4E">
        <w:t xml:space="preserve">on </w:t>
      </w:r>
      <w:r w:rsidR="00A1571B" w:rsidRPr="00A1571B">
        <w:t>Zoom. Each stakeholder meeting focused on a specific topic.</w:t>
      </w:r>
    </w:p>
    <w:p w14:paraId="16529D0A" w14:textId="56638800" w:rsidR="00A1571B" w:rsidRPr="00AA0FE7" w:rsidRDefault="00A1571B" w:rsidP="007A55D1">
      <w:pPr>
        <w:pStyle w:val="ListParagraph"/>
        <w:numPr>
          <w:ilvl w:val="0"/>
          <w:numId w:val="11"/>
        </w:numPr>
        <w:spacing w:after="160" w:line="259" w:lineRule="auto"/>
        <w:rPr>
          <w:sz w:val="24"/>
        </w:rPr>
      </w:pPr>
      <w:r w:rsidRPr="00AA0FE7">
        <w:rPr>
          <w:sz w:val="24"/>
        </w:rPr>
        <w:t>Fair Housing Organizations and Advocacy Groups</w:t>
      </w:r>
      <w:r w:rsidR="007B6D4E" w:rsidRPr="00AA0FE7">
        <w:rPr>
          <w:sz w:val="24"/>
        </w:rPr>
        <w:t xml:space="preserve"> on </w:t>
      </w:r>
      <w:r w:rsidRPr="00AA0FE7">
        <w:rPr>
          <w:sz w:val="24"/>
        </w:rPr>
        <w:t>Tuesday, September 29, 2020 at 3:00 pm</w:t>
      </w:r>
    </w:p>
    <w:p w14:paraId="359323F2" w14:textId="2B92912C" w:rsidR="00A1571B" w:rsidRPr="00AA0FE7" w:rsidRDefault="00A1571B" w:rsidP="007A55D1">
      <w:pPr>
        <w:pStyle w:val="ListParagraph"/>
        <w:numPr>
          <w:ilvl w:val="0"/>
          <w:numId w:val="11"/>
        </w:numPr>
        <w:spacing w:after="160" w:line="259" w:lineRule="auto"/>
        <w:rPr>
          <w:sz w:val="24"/>
        </w:rPr>
      </w:pPr>
      <w:r w:rsidRPr="00AA0FE7">
        <w:rPr>
          <w:sz w:val="24"/>
        </w:rPr>
        <w:t xml:space="preserve">Municipal Agencies and Regional Planners </w:t>
      </w:r>
      <w:r w:rsidR="007B6D4E" w:rsidRPr="00AA0FE7">
        <w:rPr>
          <w:sz w:val="24"/>
        </w:rPr>
        <w:t xml:space="preserve">on </w:t>
      </w:r>
      <w:r w:rsidRPr="00AA0FE7">
        <w:rPr>
          <w:sz w:val="24"/>
        </w:rPr>
        <w:t>Wednesday, September 30, 2020 at 1:00 pm</w:t>
      </w:r>
    </w:p>
    <w:p w14:paraId="193BC3A1" w14:textId="401366EB" w:rsidR="00A1571B" w:rsidRPr="00AA0FE7" w:rsidRDefault="00A1571B" w:rsidP="007A55D1">
      <w:pPr>
        <w:pStyle w:val="ListParagraph"/>
        <w:numPr>
          <w:ilvl w:val="0"/>
          <w:numId w:val="11"/>
        </w:numPr>
        <w:spacing w:after="160" w:line="259" w:lineRule="auto"/>
        <w:rPr>
          <w:sz w:val="24"/>
        </w:rPr>
      </w:pPr>
      <w:r w:rsidRPr="00AA0FE7">
        <w:rPr>
          <w:sz w:val="24"/>
        </w:rPr>
        <w:t>Continuum of Care Organizations</w:t>
      </w:r>
      <w:r w:rsidR="007B6D4E" w:rsidRPr="00AA0FE7">
        <w:rPr>
          <w:sz w:val="24"/>
        </w:rPr>
        <w:t xml:space="preserve"> on </w:t>
      </w:r>
      <w:r w:rsidRPr="00AA0FE7">
        <w:rPr>
          <w:sz w:val="24"/>
        </w:rPr>
        <w:t>Thursday, October 1, 2020 at 10 am</w:t>
      </w:r>
    </w:p>
    <w:p w14:paraId="6D4E3BA2" w14:textId="3839DCDE" w:rsidR="005E2FDF" w:rsidRDefault="007B6D4E" w:rsidP="005E2FDF">
      <w:pPr>
        <w:spacing w:after="160" w:line="259" w:lineRule="auto"/>
      </w:pPr>
      <w:r w:rsidRPr="007B6D4E">
        <w:t xml:space="preserve">Appendix A includes </w:t>
      </w:r>
      <w:r w:rsidR="009D347E">
        <w:t xml:space="preserve">the complete Public Engagement Plan, which describes all </w:t>
      </w:r>
      <w:r w:rsidR="00AA0FE7">
        <w:t xml:space="preserve">outreach activities, provides </w:t>
      </w:r>
      <w:r w:rsidR="008F4F7A">
        <w:t xml:space="preserve">lists of </w:t>
      </w:r>
      <w:r w:rsidR="00B65D75">
        <w:t xml:space="preserve">all </w:t>
      </w:r>
      <w:r w:rsidR="008F4F7A">
        <w:t xml:space="preserve">attendees and </w:t>
      </w:r>
      <w:r w:rsidRPr="007B6D4E">
        <w:t>complete summar</w:t>
      </w:r>
      <w:r w:rsidR="008F4F7A">
        <w:t>ies</w:t>
      </w:r>
      <w:r w:rsidRPr="007B6D4E">
        <w:t xml:space="preserve"> of </w:t>
      </w:r>
      <w:r w:rsidR="008F4F7A">
        <w:t xml:space="preserve">all </w:t>
      </w:r>
      <w:r w:rsidRPr="007B6D4E">
        <w:t>meetings</w:t>
      </w:r>
      <w:r w:rsidR="008F4F7A">
        <w:t xml:space="preserve"> held </w:t>
      </w:r>
      <w:r w:rsidR="00AA0FE7">
        <w:t>in conjunction with</w:t>
      </w:r>
      <w:r w:rsidR="008F4F7A">
        <w:t xml:space="preserve"> the AI</w:t>
      </w:r>
      <w:r w:rsidRPr="007B6D4E">
        <w:t>.</w:t>
      </w:r>
    </w:p>
    <w:p w14:paraId="7A3BD1CF" w14:textId="0E806F55" w:rsidR="00EA6865" w:rsidRPr="005E2FDF" w:rsidRDefault="00EA6865" w:rsidP="005E2FDF">
      <w:pPr>
        <w:spacing w:after="160" w:line="259" w:lineRule="auto"/>
      </w:pPr>
      <w:r w:rsidRPr="00B75EDA">
        <w:rPr>
          <w:highlight w:val="lightGray"/>
        </w:rPr>
        <w:t xml:space="preserve">PLACEHOLDER: add info on </w:t>
      </w:r>
      <w:r w:rsidR="00B92687">
        <w:rPr>
          <w:highlight w:val="lightGray"/>
        </w:rPr>
        <w:t>public meetings</w:t>
      </w:r>
      <w:r w:rsidRPr="00B75EDA">
        <w:rPr>
          <w:highlight w:val="lightGray"/>
        </w:rPr>
        <w:t xml:space="preserve"> outreach</w:t>
      </w:r>
      <w:r w:rsidR="00AA0FE7" w:rsidRPr="00B75EDA">
        <w:rPr>
          <w:highlight w:val="lightGray"/>
        </w:rPr>
        <w:t xml:space="preserve"> when completed</w:t>
      </w:r>
    </w:p>
    <w:p w14:paraId="3C9ECF87" w14:textId="77777777" w:rsidR="00F400D8" w:rsidRDefault="00F400D8" w:rsidP="00F400D8">
      <w:pPr>
        <w:pStyle w:val="Heading2"/>
      </w:pPr>
      <w:bookmarkStart w:id="6" w:name="_Toc66807900"/>
      <w:r>
        <w:t>Methodology Used</w:t>
      </w:r>
      <w:bookmarkEnd w:id="6"/>
    </w:p>
    <w:p w14:paraId="52BE104A" w14:textId="3EB3D076" w:rsidR="00540870" w:rsidRPr="00540870" w:rsidRDefault="00540870" w:rsidP="00540870">
      <w:pPr>
        <w:spacing w:after="160" w:line="259" w:lineRule="auto"/>
        <w:rPr>
          <w:lang w:bidi="en-US"/>
        </w:rPr>
      </w:pPr>
      <w:r w:rsidRPr="00540870">
        <w:rPr>
          <w:lang w:bidi="en-US"/>
        </w:rPr>
        <w:t>A comprehensive approach was used to complete the A</w:t>
      </w:r>
      <w:r>
        <w:rPr>
          <w:lang w:bidi="en-US"/>
        </w:rPr>
        <w:t>I</w:t>
      </w:r>
      <w:r w:rsidRPr="00540870">
        <w:rPr>
          <w:lang w:bidi="en-US"/>
        </w:rPr>
        <w:t>. The following sources were utilized:</w:t>
      </w:r>
    </w:p>
    <w:p w14:paraId="6083B87A" w14:textId="3E8A5115" w:rsidR="00540870" w:rsidRPr="00AA0FE7" w:rsidRDefault="00D06DC2" w:rsidP="007A55D1">
      <w:pPr>
        <w:numPr>
          <w:ilvl w:val="0"/>
          <w:numId w:val="13"/>
        </w:numPr>
        <w:spacing w:after="160" w:line="259" w:lineRule="auto"/>
        <w:rPr>
          <w:lang w:bidi="en-US"/>
        </w:rPr>
      </w:pPr>
      <w:r w:rsidRPr="00AA0FE7">
        <w:rPr>
          <w:lang w:bidi="en-US"/>
        </w:rPr>
        <w:t>M</w:t>
      </w:r>
      <w:r w:rsidR="00540870" w:rsidRPr="00AA0FE7">
        <w:rPr>
          <w:lang w:bidi="en-US"/>
        </w:rPr>
        <w:t>ost recently available demographic data regarding population, household, housing, income, and employment at the census tract and municipal level</w:t>
      </w:r>
    </w:p>
    <w:p w14:paraId="5B5568A5" w14:textId="06BCF53D" w:rsidR="009128E3" w:rsidRPr="00AA0FE7" w:rsidRDefault="009128E3" w:rsidP="007A55D1">
      <w:pPr>
        <w:numPr>
          <w:ilvl w:val="0"/>
          <w:numId w:val="13"/>
        </w:numPr>
        <w:spacing w:after="160" w:line="259" w:lineRule="auto"/>
        <w:rPr>
          <w:lang w:bidi="en-US"/>
        </w:rPr>
      </w:pPr>
      <w:r w:rsidRPr="00AA0FE7">
        <w:rPr>
          <w:lang w:bidi="en-US"/>
        </w:rPr>
        <w:lastRenderedPageBreak/>
        <w:t xml:space="preserve">A variety of online databases </w:t>
      </w:r>
      <w:r w:rsidR="00EB11AA" w:rsidRPr="00AA0FE7">
        <w:rPr>
          <w:lang w:bidi="en-US"/>
        </w:rPr>
        <w:t xml:space="preserve">providing </w:t>
      </w:r>
      <w:r w:rsidR="00653E07" w:rsidRPr="00AA0FE7">
        <w:rPr>
          <w:lang w:bidi="en-US"/>
        </w:rPr>
        <w:t>i</w:t>
      </w:r>
      <w:r w:rsidR="005A5B12" w:rsidRPr="00AA0FE7">
        <w:rPr>
          <w:lang w:bidi="en-US"/>
        </w:rPr>
        <w:t>ndicators that reflect local issues and based on research that validates the connections between the indicators and increased opportunity</w:t>
      </w:r>
      <w:r w:rsidR="00EB11AA" w:rsidRPr="00AA0FE7">
        <w:rPr>
          <w:lang w:bidi="en-US"/>
        </w:rPr>
        <w:t xml:space="preserve"> </w:t>
      </w:r>
      <w:r w:rsidR="00653E07" w:rsidRPr="00AA0FE7">
        <w:rPr>
          <w:lang w:bidi="en-US"/>
        </w:rPr>
        <w:t xml:space="preserve">across the state for North </w:t>
      </w:r>
      <w:proofErr w:type="gramStart"/>
      <w:r w:rsidR="00653E07" w:rsidRPr="00AA0FE7">
        <w:rPr>
          <w:lang w:bidi="en-US"/>
        </w:rPr>
        <w:t>Carolinians</w:t>
      </w:r>
      <w:proofErr w:type="gramEnd"/>
    </w:p>
    <w:p w14:paraId="3849191B" w14:textId="26023A7B" w:rsidR="00540870" w:rsidRPr="00AA0FE7" w:rsidRDefault="00D06DC2" w:rsidP="007A55D1">
      <w:pPr>
        <w:numPr>
          <w:ilvl w:val="0"/>
          <w:numId w:val="13"/>
        </w:numPr>
        <w:spacing w:after="160" w:line="259" w:lineRule="auto"/>
        <w:rPr>
          <w:lang w:bidi="en-US"/>
        </w:rPr>
      </w:pPr>
      <w:r w:rsidRPr="00AA0FE7">
        <w:rPr>
          <w:lang w:bidi="en-US"/>
        </w:rPr>
        <w:t>P</w:t>
      </w:r>
      <w:r w:rsidR="00540870" w:rsidRPr="00AA0FE7">
        <w:rPr>
          <w:lang w:bidi="en-US"/>
        </w:rPr>
        <w:t>ublic policies</w:t>
      </w:r>
      <w:r w:rsidR="009128E3" w:rsidRPr="00AA0FE7">
        <w:rPr>
          <w:lang w:bidi="en-US"/>
        </w:rPr>
        <w:t>, codes and statutes</w:t>
      </w:r>
      <w:r w:rsidR="00540870" w:rsidRPr="00AA0FE7">
        <w:rPr>
          <w:lang w:bidi="en-US"/>
        </w:rPr>
        <w:t xml:space="preserve"> affecting the siting and development of </w:t>
      </w:r>
      <w:proofErr w:type="gramStart"/>
      <w:r w:rsidR="00540870" w:rsidRPr="00AA0FE7">
        <w:rPr>
          <w:lang w:bidi="en-US"/>
        </w:rPr>
        <w:t>housing</w:t>
      </w:r>
      <w:proofErr w:type="gramEnd"/>
    </w:p>
    <w:p w14:paraId="6754F327" w14:textId="1E35B30A" w:rsidR="00540870" w:rsidRPr="00AA0FE7" w:rsidRDefault="00D06DC2" w:rsidP="007A55D1">
      <w:pPr>
        <w:numPr>
          <w:ilvl w:val="0"/>
          <w:numId w:val="13"/>
        </w:numPr>
        <w:spacing w:after="160" w:line="259" w:lineRule="auto"/>
        <w:rPr>
          <w:lang w:bidi="en-US"/>
        </w:rPr>
      </w:pPr>
      <w:r w:rsidRPr="00AA0FE7">
        <w:rPr>
          <w:lang w:bidi="en-US"/>
        </w:rPr>
        <w:t>A</w:t>
      </w:r>
      <w:r w:rsidR="00540870" w:rsidRPr="00AA0FE7">
        <w:rPr>
          <w:lang w:bidi="en-US"/>
        </w:rPr>
        <w:t xml:space="preserve">dministrative policies concerning </w:t>
      </w:r>
      <w:r w:rsidR="00653E07" w:rsidRPr="00AA0FE7">
        <w:rPr>
          <w:lang w:bidi="en-US"/>
        </w:rPr>
        <w:t xml:space="preserve">fair housing, affordable </w:t>
      </w:r>
      <w:r w:rsidR="00540870" w:rsidRPr="00AA0FE7">
        <w:rPr>
          <w:lang w:bidi="en-US"/>
        </w:rPr>
        <w:t xml:space="preserve">housing and community </w:t>
      </w:r>
      <w:proofErr w:type="gramStart"/>
      <w:r w:rsidR="00540870" w:rsidRPr="00AA0FE7">
        <w:rPr>
          <w:lang w:bidi="en-US"/>
        </w:rPr>
        <w:t>development</w:t>
      </w:r>
      <w:proofErr w:type="gramEnd"/>
    </w:p>
    <w:p w14:paraId="410110E9" w14:textId="736BF5A4" w:rsidR="00540870" w:rsidRPr="00AA0FE7" w:rsidRDefault="00D06DC2" w:rsidP="007A55D1">
      <w:pPr>
        <w:numPr>
          <w:ilvl w:val="0"/>
          <w:numId w:val="13"/>
        </w:numPr>
        <w:spacing w:after="160" w:line="259" w:lineRule="auto"/>
        <w:rPr>
          <w:lang w:bidi="en-US"/>
        </w:rPr>
      </w:pPr>
      <w:r w:rsidRPr="00AA0FE7">
        <w:rPr>
          <w:lang w:bidi="en-US"/>
        </w:rPr>
        <w:t>F</w:t>
      </w:r>
      <w:r w:rsidR="00540870" w:rsidRPr="00AA0FE7">
        <w:rPr>
          <w:lang w:bidi="en-US"/>
        </w:rPr>
        <w:t>inancial lending institution data from the Home Mortgage Disclosure Act (HMDA) database</w:t>
      </w:r>
    </w:p>
    <w:p w14:paraId="60F28A24" w14:textId="1E8889BD" w:rsidR="00540870" w:rsidRPr="00AA0FE7" w:rsidRDefault="00DE4118" w:rsidP="007A55D1">
      <w:pPr>
        <w:numPr>
          <w:ilvl w:val="0"/>
          <w:numId w:val="13"/>
        </w:numPr>
        <w:spacing w:after="160" w:line="259" w:lineRule="auto"/>
        <w:rPr>
          <w:lang w:bidi="en-US"/>
        </w:rPr>
      </w:pPr>
      <w:r w:rsidRPr="00AA0FE7">
        <w:rPr>
          <w:lang w:bidi="en-US"/>
        </w:rPr>
        <w:t>A</w:t>
      </w:r>
      <w:r w:rsidR="00540870" w:rsidRPr="00AA0FE7">
        <w:rPr>
          <w:lang w:bidi="en-US"/>
        </w:rPr>
        <w:t>gencies that provide housing and housing related services to members of the protected classes</w:t>
      </w:r>
    </w:p>
    <w:p w14:paraId="53AA7C91" w14:textId="56B6AF0A" w:rsidR="00540870" w:rsidRPr="00AA0FE7" w:rsidRDefault="00DE4118" w:rsidP="007A55D1">
      <w:pPr>
        <w:numPr>
          <w:ilvl w:val="0"/>
          <w:numId w:val="13"/>
        </w:numPr>
        <w:spacing w:after="160" w:line="259" w:lineRule="auto"/>
        <w:rPr>
          <w:lang w:bidi="en-US"/>
        </w:rPr>
      </w:pPr>
      <w:r w:rsidRPr="00AA0FE7">
        <w:rPr>
          <w:lang w:bidi="en-US"/>
        </w:rPr>
        <w:t>F</w:t>
      </w:r>
      <w:r w:rsidR="00540870" w:rsidRPr="00AA0FE7">
        <w:rPr>
          <w:lang w:bidi="en-US"/>
        </w:rPr>
        <w:t xml:space="preserve">air housing complaints filed with HUD and the </w:t>
      </w:r>
      <w:r w:rsidRPr="00AA0FE7">
        <w:rPr>
          <w:lang w:bidi="en-US"/>
        </w:rPr>
        <w:t xml:space="preserve">North Carolina </w:t>
      </w:r>
      <w:r w:rsidR="00540870" w:rsidRPr="00AA0FE7">
        <w:rPr>
          <w:lang w:bidi="en-US"/>
        </w:rPr>
        <w:t>Human R</w:t>
      </w:r>
      <w:r w:rsidRPr="00AA0FE7">
        <w:rPr>
          <w:lang w:bidi="en-US"/>
        </w:rPr>
        <w:t>elations</w:t>
      </w:r>
      <w:r w:rsidR="00540870" w:rsidRPr="00AA0FE7">
        <w:rPr>
          <w:lang w:bidi="en-US"/>
        </w:rPr>
        <w:t xml:space="preserve"> Commission</w:t>
      </w:r>
      <w:r w:rsidRPr="00AA0FE7">
        <w:rPr>
          <w:lang w:bidi="en-US"/>
        </w:rPr>
        <w:t>,</w:t>
      </w:r>
      <w:r w:rsidR="00540870" w:rsidRPr="00AA0FE7">
        <w:rPr>
          <w:lang w:bidi="en-US"/>
        </w:rPr>
        <w:t xml:space="preserve"> and</w:t>
      </w:r>
    </w:p>
    <w:p w14:paraId="4E799952" w14:textId="1D1B8BFA" w:rsidR="00540870" w:rsidRPr="00AA0FE7" w:rsidRDefault="00275255" w:rsidP="007A55D1">
      <w:pPr>
        <w:numPr>
          <w:ilvl w:val="0"/>
          <w:numId w:val="13"/>
        </w:numPr>
        <w:spacing w:after="160" w:line="259" w:lineRule="auto"/>
        <w:rPr>
          <w:lang w:bidi="en-US"/>
        </w:rPr>
      </w:pPr>
      <w:r w:rsidRPr="00AA0FE7">
        <w:rPr>
          <w:lang w:bidi="en-US"/>
        </w:rPr>
        <w:t>I</w:t>
      </w:r>
      <w:r w:rsidR="00540870" w:rsidRPr="00AA0FE7">
        <w:rPr>
          <w:lang w:bidi="en-US"/>
        </w:rPr>
        <w:t xml:space="preserve">nterviews </w:t>
      </w:r>
      <w:r w:rsidRPr="00AA0FE7">
        <w:rPr>
          <w:lang w:bidi="en-US"/>
        </w:rPr>
        <w:t xml:space="preserve">and stakeholder meetings </w:t>
      </w:r>
      <w:r w:rsidR="00540870" w:rsidRPr="00AA0FE7">
        <w:rPr>
          <w:lang w:bidi="en-US"/>
        </w:rPr>
        <w:t xml:space="preserve">conducted with </w:t>
      </w:r>
      <w:r w:rsidRPr="00AA0FE7">
        <w:rPr>
          <w:lang w:bidi="en-US"/>
        </w:rPr>
        <w:t xml:space="preserve">state </w:t>
      </w:r>
      <w:r w:rsidR="00540870" w:rsidRPr="00AA0FE7">
        <w:rPr>
          <w:lang w:bidi="en-US"/>
        </w:rPr>
        <w:t xml:space="preserve">agencies and </w:t>
      </w:r>
      <w:r w:rsidRPr="00AA0FE7">
        <w:rPr>
          <w:lang w:bidi="en-US"/>
        </w:rPr>
        <w:t xml:space="preserve">non-governmental </w:t>
      </w:r>
      <w:r w:rsidR="00540870" w:rsidRPr="00AA0FE7">
        <w:rPr>
          <w:lang w:bidi="en-US"/>
        </w:rPr>
        <w:t>organizations that provide housing and housing related services to members of the protected classes.</w:t>
      </w:r>
    </w:p>
    <w:p w14:paraId="7BBE84C5" w14:textId="77777777" w:rsidR="00F400D8" w:rsidRDefault="00F400D8" w:rsidP="00F400D8">
      <w:pPr>
        <w:pStyle w:val="Heading2"/>
      </w:pPr>
      <w:bookmarkStart w:id="7" w:name="_Toc66807901"/>
      <w:r>
        <w:t>How AI was Funded</w:t>
      </w:r>
      <w:bookmarkEnd w:id="7"/>
    </w:p>
    <w:p w14:paraId="279D173B" w14:textId="27BCBFB2" w:rsidR="00F400D8" w:rsidRDefault="00EA6865">
      <w:pPr>
        <w:spacing w:after="160" w:line="259" w:lineRule="auto"/>
      </w:pPr>
      <w:r>
        <w:t>The AI was funded with CDBG funds from DOC.</w:t>
      </w:r>
    </w:p>
    <w:p w14:paraId="52EB5506" w14:textId="77777777" w:rsidR="00AE7A9F" w:rsidRDefault="00AE7A9F" w:rsidP="00AE7A9F">
      <w:pPr>
        <w:pStyle w:val="Heading2"/>
      </w:pPr>
      <w:bookmarkStart w:id="8" w:name="_Toc66807902"/>
      <w:r>
        <w:t>Conclusions</w:t>
      </w:r>
      <w:bookmarkEnd w:id="8"/>
    </w:p>
    <w:p w14:paraId="3EF933A0" w14:textId="77777777" w:rsidR="000C5DD4" w:rsidRDefault="000C5DD4" w:rsidP="000C5DD4">
      <w:pPr>
        <w:spacing w:before="120" w:after="120"/>
        <w:rPr>
          <w:rFonts w:eastAsiaTheme="minorEastAsia"/>
        </w:rPr>
      </w:pPr>
      <w:r>
        <w:rPr>
          <w:rFonts w:eastAsiaTheme="minorEastAsia"/>
        </w:rPr>
        <w:t>The Fair Housing Action Plan includes a list of impediments to fair housing choice identified through the AI process. This section of the AI lists each impediment and discusses briefly why it is a barrier to fair housing. Actions are recommended for each impediment along with measurable objectives to mark progress achieved. Most of the impediments listed below have been carried over from the 2015 AI as they remain relevant today. This is logical given that the trends and conditions underlying the impediments occurred over decades and cannot be resolved fully within five years.</w:t>
      </w:r>
    </w:p>
    <w:p w14:paraId="793E4921" w14:textId="77777777" w:rsidR="000C5DD4" w:rsidRDefault="000C5DD4" w:rsidP="000C5DD4">
      <w:pPr>
        <w:spacing w:before="120" w:after="120"/>
        <w:rPr>
          <w:rFonts w:eastAsiaTheme="minorEastAsia"/>
        </w:rPr>
      </w:pPr>
    </w:p>
    <w:tbl>
      <w:tblPr>
        <w:tblStyle w:val="TableGrid"/>
        <w:tblW w:w="0" w:type="auto"/>
        <w:tblLook w:val="04A0" w:firstRow="1" w:lastRow="0" w:firstColumn="1" w:lastColumn="0" w:noHBand="0" w:noVBand="1"/>
      </w:tblPr>
      <w:tblGrid>
        <w:gridCol w:w="9350"/>
      </w:tblGrid>
      <w:tr w:rsidR="000C5DD4" w14:paraId="3CC4E1D5" w14:textId="77777777" w:rsidTr="0058533B">
        <w:tc>
          <w:tcPr>
            <w:tcW w:w="9350" w:type="dxa"/>
            <w:tcBorders>
              <w:top w:val="nil"/>
              <w:left w:val="nil"/>
              <w:bottom w:val="nil"/>
              <w:right w:val="nil"/>
            </w:tcBorders>
            <w:shd w:val="clear" w:color="auto" w:fill="C45911" w:themeFill="accent2" w:themeFillShade="BF"/>
          </w:tcPr>
          <w:p w14:paraId="6588662E" w14:textId="77777777" w:rsidR="000C5DD4" w:rsidRPr="00931427" w:rsidRDefault="000C5DD4"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A</w:t>
            </w:r>
            <w:r w:rsidRPr="00931427">
              <w:rPr>
                <w:rFonts w:ascii="Arial" w:eastAsiaTheme="minorEastAsia" w:hAnsi="Arial" w:cs="Arial"/>
                <w:b/>
                <w:bCs/>
                <w:color w:val="FFFFFF" w:themeColor="background1"/>
                <w:sz w:val="22"/>
                <w:szCs w:val="22"/>
              </w:rPr>
              <w:t>: Expand fair housing awareness and compliance to preserve and expand housing choice for members of the protected classes.</w:t>
            </w:r>
          </w:p>
        </w:tc>
      </w:tr>
    </w:tbl>
    <w:p w14:paraId="68186A2A" w14:textId="77777777" w:rsidR="000C5DD4" w:rsidRDefault="000C5DD4" w:rsidP="000C5DD4">
      <w:pPr>
        <w:spacing w:before="120" w:after="120"/>
        <w:rPr>
          <w:rFonts w:eastAsiaTheme="minorEastAsia"/>
        </w:rPr>
      </w:pPr>
      <w:r w:rsidRPr="0014132B">
        <w:rPr>
          <w:rFonts w:ascii="Arial" w:eastAsiaTheme="minorEastAsia" w:hAnsi="Arial" w:cs="Arial"/>
          <w:b/>
          <w:bCs/>
          <w:color w:val="C45911" w:themeColor="accent2" w:themeShade="BF"/>
          <w:sz w:val="22"/>
          <w:szCs w:val="22"/>
        </w:rPr>
        <w:t xml:space="preserve">Impediment </w:t>
      </w:r>
      <w:r>
        <w:rPr>
          <w:rFonts w:ascii="Arial" w:eastAsiaTheme="minorEastAsia" w:hAnsi="Arial" w:cs="Arial"/>
          <w:b/>
          <w:bCs/>
          <w:color w:val="C45911" w:themeColor="accent2" w:themeShade="BF"/>
          <w:sz w:val="22"/>
          <w:szCs w:val="22"/>
        </w:rPr>
        <w:t>A.1</w:t>
      </w:r>
      <w:r w:rsidRPr="0014132B">
        <w:rPr>
          <w:rFonts w:ascii="Arial" w:eastAsiaTheme="minorEastAsia" w:hAnsi="Arial" w:cs="Arial"/>
          <w:b/>
          <w:bCs/>
          <w:color w:val="C45911" w:themeColor="accent2" w:themeShade="BF"/>
          <w:sz w:val="22"/>
          <w:szCs w:val="22"/>
        </w:rPr>
        <w:t xml:space="preserve">: Discrimination in the rental housing market </w:t>
      </w:r>
      <w:r>
        <w:rPr>
          <w:rFonts w:ascii="Arial" w:eastAsiaTheme="minorEastAsia" w:hAnsi="Arial" w:cs="Arial"/>
          <w:b/>
          <w:bCs/>
          <w:color w:val="C45911" w:themeColor="accent2" w:themeShade="BF"/>
          <w:sz w:val="22"/>
          <w:szCs w:val="22"/>
        </w:rPr>
        <w:t>persists</w:t>
      </w:r>
      <w:r w:rsidRPr="0014132B">
        <w:rPr>
          <w:rFonts w:ascii="Arial" w:eastAsiaTheme="minorEastAsia" w:hAnsi="Arial" w:cs="Arial"/>
          <w:b/>
          <w:bCs/>
          <w:color w:val="C45911" w:themeColor="accent2" w:themeShade="BF"/>
          <w:sz w:val="22"/>
          <w:szCs w:val="22"/>
        </w:rPr>
        <w:t xml:space="preserve"> with disability and race as the two most </w:t>
      </w:r>
      <w:r>
        <w:rPr>
          <w:rFonts w:ascii="Arial" w:eastAsiaTheme="minorEastAsia" w:hAnsi="Arial" w:cs="Arial"/>
          <w:b/>
          <w:bCs/>
          <w:color w:val="C45911" w:themeColor="accent2" w:themeShade="BF"/>
          <w:sz w:val="22"/>
          <w:szCs w:val="22"/>
        </w:rPr>
        <w:t xml:space="preserve">often </w:t>
      </w:r>
      <w:r w:rsidRPr="0014132B">
        <w:rPr>
          <w:rFonts w:ascii="Arial" w:eastAsiaTheme="minorEastAsia" w:hAnsi="Arial" w:cs="Arial"/>
          <w:b/>
          <w:bCs/>
          <w:color w:val="C45911" w:themeColor="accent2" w:themeShade="BF"/>
          <w:sz w:val="22"/>
          <w:szCs w:val="22"/>
        </w:rPr>
        <w:t>cited alleged bases of discrimination.</w:t>
      </w:r>
      <w:r w:rsidRPr="00F61264">
        <w:rPr>
          <w:rFonts w:eastAsiaTheme="minorEastAsia"/>
          <w:color w:val="C45911" w:themeColor="accent2" w:themeShade="BF"/>
        </w:rPr>
        <w:t xml:space="preserve"> </w:t>
      </w:r>
      <w:r>
        <w:rPr>
          <w:rFonts w:eastAsiaTheme="minorEastAsia"/>
        </w:rPr>
        <w:t>Between 2015-2019, 55.4% of all cases alleged discrimination based on disability and 32.2% based on race. In addition, a</w:t>
      </w:r>
      <w:r w:rsidRPr="00675482">
        <w:rPr>
          <w:rFonts w:eastAsiaTheme="minorEastAsia"/>
        </w:rPr>
        <w:t xml:space="preserve">ccording to </w:t>
      </w:r>
      <w:r>
        <w:rPr>
          <w:rFonts w:eastAsiaTheme="minorEastAsia"/>
        </w:rPr>
        <w:t>the NCHRC, r</w:t>
      </w:r>
      <w:r w:rsidRPr="00675482">
        <w:rPr>
          <w:rFonts w:eastAsiaTheme="minorEastAsia"/>
        </w:rPr>
        <w:t xml:space="preserve">ecent trends </w:t>
      </w:r>
      <w:r>
        <w:rPr>
          <w:rFonts w:eastAsiaTheme="minorEastAsia"/>
        </w:rPr>
        <w:t xml:space="preserve">in discrimination against persons with disabilities involve </w:t>
      </w:r>
      <w:r w:rsidRPr="00675482">
        <w:rPr>
          <w:rFonts w:eastAsiaTheme="minorEastAsia"/>
        </w:rPr>
        <w:t xml:space="preserve">discriminatory behavior against persons with emotional support animals (ESAs). Resistance from </w:t>
      </w:r>
      <w:r>
        <w:rPr>
          <w:rFonts w:eastAsiaTheme="minorEastAsia"/>
        </w:rPr>
        <w:t xml:space="preserve">rental </w:t>
      </w:r>
      <w:r w:rsidRPr="00675482">
        <w:rPr>
          <w:rFonts w:eastAsiaTheme="minorEastAsia"/>
        </w:rPr>
        <w:t xml:space="preserve">housing providers in the form of “no pet” policies, requiring pet deposits and establishing animal breed, </w:t>
      </w:r>
      <w:proofErr w:type="gramStart"/>
      <w:r w:rsidRPr="00675482">
        <w:rPr>
          <w:rFonts w:eastAsiaTheme="minorEastAsia"/>
        </w:rPr>
        <w:t>size</w:t>
      </w:r>
      <w:proofErr w:type="gramEnd"/>
      <w:r w:rsidRPr="00675482">
        <w:rPr>
          <w:rFonts w:eastAsiaTheme="minorEastAsia"/>
        </w:rPr>
        <w:t xml:space="preserve"> and weight policies (even though ESAs are not considered pets under fair housing laws) are reflected in many of the inquiries and complaints </w:t>
      </w:r>
      <w:r w:rsidRPr="00675482">
        <w:rPr>
          <w:rFonts w:eastAsiaTheme="minorEastAsia"/>
        </w:rPr>
        <w:lastRenderedPageBreak/>
        <w:t xml:space="preserve">filed with </w:t>
      </w:r>
      <w:r>
        <w:rPr>
          <w:rFonts w:eastAsiaTheme="minorEastAsia"/>
        </w:rPr>
        <w:t>the Commission. Fair housing education and enforcement are the best tools to change this behavior.</w:t>
      </w:r>
    </w:p>
    <w:p w14:paraId="0BADB988" w14:textId="77777777" w:rsidR="000C5DD4" w:rsidRDefault="000C5DD4" w:rsidP="000C5DD4">
      <w:pPr>
        <w:spacing w:before="120" w:after="120"/>
        <w:ind w:left="720"/>
        <w:rPr>
          <w:rFonts w:eastAsiaTheme="minorEastAsia"/>
        </w:rPr>
      </w:pPr>
      <w:r w:rsidRPr="00011815">
        <w:rPr>
          <w:rFonts w:ascii="Arial" w:eastAsiaTheme="minorEastAsia" w:hAnsi="Arial" w:cs="Arial"/>
          <w:b/>
          <w:bCs/>
          <w:color w:val="C45911" w:themeColor="accent2" w:themeShade="BF"/>
          <w:sz w:val="22"/>
          <w:szCs w:val="22"/>
        </w:rPr>
        <w:t>Action:</w:t>
      </w:r>
      <w:r w:rsidRPr="00011815">
        <w:rPr>
          <w:rFonts w:eastAsiaTheme="minorEastAsia"/>
          <w:color w:val="C45911" w:themeColor="accent2" w:themeShade="BF"/>
        </w:rPr>
        <w:t xml:space="preserve"> </w:t>
      </w:r>
      <w:r>
        <w:rPr>
          <w:rFonts w:eastAsiaTheme="minorEastAsia"/>
        </w:rPr>
        <w:t>The Department of Commerce will collaborate with its AI partner agencies to expand fair housing education and enforcement under the guidance of the North Carolina Human Relations Commission with emphasis on the rental market.</w:t>
      </w:r>
    </w:p>
    <w:p w14:paraId="22B35BF1" w14:textId="77777777" w:rsidR="000C5DD4" w:rsidRDefault="000C5DD4" w:rsidP="000C5DD4">
      <w:pPr>
        <w:spacing w:before="120" w:after="120"/>
        <w:ind w:left="1440"/>
        <w:rPr>
          <w:rFonts w:eastAsiaTheme="minorEastAsia"/>
        </w:rPr>
      </w:pPr>
      <w:r>
        <w:rPr>
          <w:rFonts w:ascii="Arial" w:eastAsiaTheme="minorEastAsia" w:hAnsi="Arial" w:cs="Arial"/>
          <w:b/>
          <w:bCs/>
          <w:color w:val="C45911" w:themeColor="accent2" w:themeShade="BF"/>
          <w:sz w:val="22"/>
          <w:szCs w:val="22"/>
        </w:rPr>
        <w:t>Measurable Objectives:</w:t>
      </w:r>
      <w:r>
        <w:rPr>
          <w:rFonts w:eastAsiaTheme="minorEastAsia"/>
        </w:rPr>
        <w:t xml:space="preserve"> Number of trainings annually, county locations, number of participants, topics covered, number of cases filed (an increase can indicate a more informed citizenry).</w:t>
      </w:r>
    </w:p>
    <w:p w14:paraId="55DAF59B" w14:textId="77777777" w:rsidR="000C5DD4" w:rsidRDefault="000C5DD4" w:rsidP="000C5DD4">
      <w:pPr>
        <w:spacing w:before="120" w:after="120"/>
      </w:pPr>
      <w:r>
        <w:rPr>
          <w:rFonts w:ascii="Arial" w:eastAsiaTheme="minorEastAsia" w:hAnsi="Arial" w:cs="Arial"/>
          <w:b/>
          <w:bCs/>
          <w:color w:val="C45911" w:themeColor="accent2" w:themeShade="BF"/>
          <w:sz w:val="22"/>
          <w:szCs w:val="22"/>
        </w:rPr>
        <w:t xml:space="preserve">Impediment A.2: A lack of awareness and knowledge of fair housing laws in rural areas among both consumers and providers restricts housing choice where enforcement resources are the most limited but where housing is more affordable. </w:t>
      </w:r>
      <w:r>
        <w:t>T</w:t>
      </w:r>
      <w:r w:rsidRPr="0058443E">
        <w:t xml:space="preserve">he NCHRC has identified increasing cases filed from residents in Wake, Buncombe, New Hanover, </w:t>
      </w:r>
      <w:proofErr w:type="gramStart"/>
      <w:r w:rsidRPr="0058443E">
        <w:t>Pitt</w:t>
      </w:r>
      <w:proofErr w:type="gramEnd"/>
      <w:r w:rsidRPr="0058443E">
        <w:t xml:space="preserve"> and Cumberland counties</w:t>
      </w:r>
      <w:r>
        <w:t xml:space="preserve">—all higher </w:t>
      </w:r>
      <w:r w:rsidRPr="0058443E">
        <w:t xml:space="preserve">growth counties where significant residential development has occurred in rural areas. </w:t>
      </w:r>
      <w:r>
        <w:t xml:space="preserve">It is </w:t>
      </w:r>
      <w:r w:rsidRPr="0058443E">
        <w:t>in these previously rural areas where landlords, primarily, may feel they can continue discriminatory practices that were more commonly accepted before and went unchecked. As a result, HUD issued a directive to the NCHRC to target rural areas with more fair housing education and outreach, partnering with local human relations commissions to achieve this objective.</w:t>
      </w:r>
    </w:p>
    <w:p w14:paraId="4C0D18F8" w14:textId="77777777" w:rsidR="000C5DD4" w:rsidRDefault="000C5DD4" w:rsidP="000C5DD4">
      <w:pPr>
        <w:spacing w:before="120" w:after="120"/>
        <w:ind w:left="720"/>
      </w:pPr>
      <w:r w:rsidRPr="00376582">
        <w:rPr>
          <w:rFonts w:ascii="Arial" w:hAnsi="Arial" w:cs="Arial"/>
          <w:b/>
          <w:bCs/>
          <w:color w:val="C45911" w:themeColor="accent2" w:themeShade="BF"/>
          <w:sz w:val="22"/>
          <w:szCs w:val="22"/>
        </w:rPr>
        <w:t>Action</w:t>
      </w:r>
      <w:r>
        <w:t>: The DOC in collaboration with its AI partner agencies will target fair housing resources to rural areas on the fringes of growing communities.</w:t>
      </w:r>
    </w:p>
    <w:p w14:paraId="2D83BDE2" w14:textId="77777777" w:rsidR="000C5DD4" w:rsidRPr="0058443E" w:rsidRDefault="000C5DD4" w:rsidP="000C5DD4">
      <w:pPr>
        <w:spacing w:before="120" w:after="120"/>
        <w:ind w:left="720"/>
      </w:pPr>
      <w:r w:rsidRPr="00EB26E9">
        <w:rPr>
          <w:rFonts w:ascii="Arial" w:hAnsi="Arial" w:cs="Arial"/>
          <w:b/>
          <w:bCs/>
          <w:color w:val="C45911" w:themeColor="accent2" w:themeShade="BF"/>
          <w:sz w:val="22"/>
          <w:szCs w:val="22"/>
        </w:rPr>
        <w:t>Measurable Objectives</w:t>
      </w:r>
      <w:r>
        <w:t xml:space="preserve">: </w:t>
      </w:r>
      <w:r>
        <w:rPr>
          <w:rFonts w:eastAsiaTheme="minorEastAsia"/>
        </w:rPr>
        <w:t>Number of trainings annually, county locations, number of participants, topics covered, number of cases filed (an increase can indicate a more informed citizenry).</w:t>
      </w:r>
    </w:p>
    <w:p w14:paraId="32184E22" w14:textId="77777777" w:rsidR="000C5DD4" w:rsidRDefault="000C5DD4" w:rsidP="000C5DD4">
      <w:pPr>
        <w:spacing w:before="120" w:after="120"/>
        <w:rPr>
          <w:rFonts w:eastAsiaTheme="minorEastAsia"/>
        </w:rPr>
      </w:pPr>
    </w:p>
    <w:tbl>
      <w:tblPr>
        <w:tblStyle w:val="TableGrid"/>
        <w:tblW w:w="0" w:type="auto"/>
        <w:tblLook w:val="04A0" w:firstRow="1" w:lastRow="0" w:firstColumn="1" w:lastColumn="0" w:noHBand="0" w:noVBand="1"/>
      </w:tblPr>
      <w:tblGrid>
        <w:gridCol w:w="9350"/>
      </w:tblGrid>
      <w:tr w:rsidR="000C5DD4" w14:paraId="144FC48B" w14:textId="77777777" w:rsidTr="0058533B">
        <w:tc>
          <w:tcPr>
            <w:tcW w:w="9350" w:type="dxa"/>
            <w:tcBorders>
              <w:top w:val="nil"/>
              <w:left w:val="nil"/>
              <w:bottom w:val="nil"/>
              <w:right w:val="nil"/>
            </w:tcBorders>
            <w:shd w:val="clear" w:color="auto" w:fill="C45911" w:themeFill="accent2" w:themeFillShade="BF"/>
          </w:tcPr>
          <w:p w14:paraId="697A4FAE" w14:textId="77777777" w:rsidR="000C5DD4" w:rsidRPr="00931427" w:rsidRDefault="000C5DD4"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B</w:t>
            </w:r>
            <w:r w:rsidRPr="00931427">
              <w:rPr>
                <w:rFonts w:ascii="Arial" w:eastAsiaTheme="minorEastAsia" w:hAnsi="Arial" w:cs="Arial"/>
                <w:b/>
                <w:bCs/>
                <w:color w:val="FFFFFF" w:themeColor="background1"/>
                <w:sz w:val="22"/>
                <w:szCs w:val="22"/>
              </w:rPr>
              <w:t xml:space="preserve">: Expand </w:t>
            </w:r>
            <w:r>
              <w:rPr>
                <w:rFonts w:ascii="Arial" w:eastAsiaTheme="minorEastAsia" w:hAnsi="Arial" w:cs="Arial"/>
                <w:b/>
                <w:bCs/>
                <w:color w:val="FFFFFF" w:themeColor="background1"/>
                <w:sz w:val="22"/>
                <w:szCs w:val="22"/>
              </w:rPr>
              <w:t>inventory of affordable housing for members of the protected classes.</w:t>
            </w:r>
            <w:r w:rsidRPr="00931427">
              <w:rPr>
                <w:rFonts w:ascii="Arial" w:eastAsiaTheme="minorEastAsia" w:hAnsi="Arial" w:cs="Arial"/>
                <w:b/>
                <w:bCs/>
                <w:color w:val="FFFFFF" w:themeColor="background1"/>
                <w:sz w:val="22"/>
                <w:szCs w:val="22"/>
              </w:rPr>
              <w:t xml:space="preserve"> </w:t>
            </w:r>
          </w:p>
        </w:tc>
      </w:tr>
    </w:tbl>
    <w:p w14:paraId="5333C569" w14:textId="77777777" w:rsidR="000C5DD4" w:rsidRDefault="000C5DD4" w:rsidP="000C5DD4">
      <w:pPr>
        <w:spacing w:before="120" w:after="120"/>
      </w:pPr>
      <w:r w:rsidRPr="00DD6E72">
        <w:rPr>
          <w:rFonts w:ascii="Arial" w:eastAsiaTheme="minorEastAsia" w:hAnsi="Arial" w:cs="Arial"/>
          <w:b/>
          <w:bCs/>
          <w:color w:val="C45911" w:themeColor="accent2" w:themeShade="BF"/>
          <w:sz w:val="22"/>
          <w:szCs w:val="22"/>
        </w:rPr>
        <w:t xml:space="preserve">Impediment </w:t>
      </w:r>
      <w:r>
        <w:rPr>
          <w:rFonts w:ascii="Arial" w:eastAsiaTheme="minorEastAsia" w:hAnsi="Arial" w:cs="Arial"/>
          <w:b/>
          <w:bCs/>
          <w:color w:val="C45911" w:themeColor="accent2" w:themeShade="BF"/>
          <w:sz w:val="22"/>
          <w:szCs w:val="22"/>
        </w:rPr>
        <w:t>B.1</w:t>
      </w:r>
      <w:r w:rsidRPr="00DD6E72">
        <w:rPr>
          <w:rFonts w:ascii="Arial" w:eastAsiaTheme="minorEastAsia" w:hAnsi="Arial" w:cs="Arial"/>
          <w:b/>
          <w:bCs/>
          <w:color w:val="C45911" w:themeColor="accent2" w:themeShade="BF"/>
          <w:sz w:val="22"/>
          <w:szCs w:val="22"/>
        </w:rPr>
        <w:t>: An inadequate supply of rental housing that is affordable, as well as accessible to persons with disabilities, severely limits housing choice.</w:t>
      </w:r>
      <w:r w:rsidRPr="00DD6E72">
        <w:rPr>
          <w:rFonts w:ascii="Arial" w:eastAsiaTheme="minorEastAsia" w:hAnsi="Arial" w:cs="Arial"/>
          <w:b/>
          <w:bCs/>
          <w:sz w:val="22"/>
          <w:szCs w:val="22"/>
        </w:rPr>
        <w:t xml:space="preserve"> </w:t>
      </w:r>
      <w:r w:rsidRPr="00DD6E72">
        <w:t>Large families and single female-headed households with children have disproportionately higher rates of poverty</w:t>
      </w:r>
      <w:r>
        <w:t xml:space="preserve"> and are more often renters</w:t>
      </w:r>
      <w:r w:rsidRPr="00DD6E72">
        <w:t>.</w:t>
      </w:r>
      <w:r>
        <w:t xml:space="preserve"> The state is behind in fulfilling its obligations under </w:t>
      </w:r>
      <w:r w:rsidRPr="00FA22E1">
        <w:rPr>
          <w:i/>
          <w:iCs/>
        </w:rPr>
        <w:t>Olmstead</w:t>
      </w:r>
      <w:r>
        <w:t xml:space="preserve"> to increase community integration for persons with disabilities.</w:t>
      </w:r>
    </w:p>
    <w:p w14:paraId="042940D6" w14:textId="77777777" w:rsidR="000C5DD4" w:rsidRDefault="000C5DD4" w:rsidP="000C5DD4">
      <w:pPr>
        <w:spacing w:before="120" w:after="120"/>
        <w:ind w:left="720"/>
      </w:pPr>
      <w:r w:rsidRPr="005A61A5">
        <w:rPr>
          <w:rFonts w:ascii="Arial" w:hAnsi="Arial" w:cs="Arial"/>
          <w:b/>
          <w:bCs/>
          <w:color w:val="C45911" w:themeColor="accent2" w:themeShade="BF"/>
          <w:sz w:val="22"/>
          <w:szCs w:val="22"/>
        </w:rPr>
        <w:t>Action:</w:t>
      </w:r>
      <w:r w:rsidRPr="005A61A5">
        <w:rPr>
          <w:color w:val="C45911" w:themeColor="accent2" w:themeShade="BF"/>
        </w:rPr>
        <w:t xml:space="preserve"> </w:t>
      </w:r>
      <w:r>
        <w:t>NCHFA will continue expanding new rental housing production through the LIHTC and HTF programs and state programs.</w:t>
      </w:r>
    </w:p>
    <w:p w14:paraId="3DA9169A" w14:textId="77777777" w:rsidR="000C5DD4" w:rsidRDefault="000C5DD4" w:rsidP="000C5DD4">
      <w:pPr>
        <w:spacing w:before="120" w:after="120"/>
        <w:ind w:left="1440"/>
      </w:pPr>
      <w:r>
        <w:rPr>
          <w:rFonts w:ascii="Arial" w:hAnsi="Arial" w:cs="Arial"/>
          <w:b/>
          <w:bCs/>
          <w:color w:val="C45911" w:themeColor="accent2" w:themeShade="BF"/>
          <w:sz w:val="22"/>
          <w:szCs w:val="22"/>
        </w:rPr>
        <w:t>Measurable Objective:</w:t>
      </w:r>
      <w:r>
        <w:t xml:space="preserve"> Number of new affordable rental units constructed, number of existing rental units rehabiltated.</w:t>
      </w:r>
    </w:p>
    <w:p w14:paraId="1AD4E904" w14:textId="77777777" w:rsidR="000C5DD4" w:rsidRDefault="000C5DD4" w:rsidP="000C5DD4">
      <w:pPr>
        <w:spacing w:before="120" w:after="120"/>
        <w:ind w:left="720"/>
      </w:pPr>
      <w:r>
        <w:rPr>
          <w:rFonts w:ascii="Arial" w:hAnsi="Arial" w:cs="Arial"/>
          <w:b/>
          <w:bCs/>
          <w:color w:val="C45911" w:themeColor="accent2" w:themeShade="BF"/>
          <w:sz w:val="22"/>
          <w:szCs w:val="22"/>
        </w:rPr>
        <w:t>Action</w:t>
      </w:r>
      <w:r w:rsidRPr="008F70DA">
        <w:rPr>
          <w:rFonts w:ascii="Arial" w:hAnsi="Arial" w:cs="Arial"/>
          <w:b/>
          <w:bCs/>
          <w:color w:val="C45911" w:themeColor="accent2" w:themeShade="BF"/>
          <w:sz w:val="22"/>
          <w:szCs w:val="22"/>
        </w:rPr>
        <w:t>:</w:t>
      </w:r>
      <w:r>
        <w:t xml:space="preserve"> NCHFA will continue to prioritize the preservation of rental housing with expiring subsidies over the next five years.</w:t>
      </w:r>
    </w:p>
    <w:p w14:paraId="74FBF479" w14:textId="77777777" w:rsidR="000C5DD4" w:rsidRDefault="000C5DD4" w:rsidP="000C5DD4">
      <w:pPr>
        <w:spacing w:before="120" w:after="120"/>
        <w:ind w:left="1440"/>
      </w:pPr>
      <w:r>
        <w:rPr>
          <w:rFonts w:ascii="Arial" w:hAnsi="Arial" w:cs="Arial"/>
          <w:b/>
          <w:bCs/>
          <w:color w:val="C45911" w:themeColor="accent2" w:themeShade="BF"/>
          <w:sz w:val="22"/>
          <w:szCs w:val="22"/>
        </w:rPr>
        <w:t xml:space="preserve">Measurable Objective: </w:t>
      </w:r>
      <w:r>
        <w:t>No loss of subsidized rental units from the state’s assisted inventory over the next five years.</w:t>
      </w:r>
    </w:p>
    <w:p w14:paraId="00DEC4BD" w14:textId="77777777" w:rsidR="000C5DD4" w:rsidRDefault="000C5DD4" w:rsidP="000C5DD4">
      <w:pPr>
        <w:spacing w:before="120" w:after="120"/>
        <w:ind w:left="720"/>
      </w:pPr>
      <w:r>
        <w:rPr>
          <w:rFonts w:ascii="Arial" w:hAnsi="Arial" w:cs="Arial"/>
          <w:b/>
          <w:bCs/>
          <w:color w:val="C45911" w:themeColor="accent2" w:themeShade="BF"/>
          <w:sz w:val="22"/>
          <w:szCs w:val="22"/>
        </w:rPr>
        <w:t>Action</w:t>
      </w:r>
      <w:r>
        <w:t xml:space="preserve">: NCHFA and NCDHHS will continue its planning initiative to meet the state’s obligation under </w:t>
      </w:r>
      <w:r w:rsidRPr="00BC35C0">
        <w:rPr>
          <w:i/>
          <w:iCs/>
        </w:rPr>
        <w:t>Olmstead</w:t>
      </w:r>
      <w:r>
        <w:rPr>
          <w:i/>
          <w:iCs/>
        </w:rPr>
        <w:t xml:space="preserve"> </w:t>
      </w:r>
      <w:r>
        <w:t>to provide appropriate housing for persons with disabilities.</w:t>
      </w:r>
    </w:p>
    <w:p w14:paraId="7D2E4705" w14:textId="77777777" w:rsidR="000C5DD4" w:rsidRDefault="000C5DD4" w:rsidP="000C5DD4">
      <w:pPr>
        <w:spacing w:before="120" w:after="120"/>
        <w:ind w:left="1440"/>
      </w:pPr>
      <w:r>
        <w:rPr>
          <w:rFonts w:ascii="Arial" w:hAnsi="Arial" w:cs="Arial"/>
          <w:b/>
          <w:bCs/>
          <w:color w:val="C45911" w:themeColor="accent2" w:themeShade="BF"/>
          <w:sz w:val="22"/>
          <w:szCs w:val="22"/>
        </w:rPr>
        <w:lastRenderedPageBreak/>
        <w:t xml:space="preserve">Measurable Objective: </w:t>
      </w:r>
      <w:r>
        <w:t xml:space="preserve">Completion and approval of a Strategic Housing Plan under </w:t>
      </w:r>
      <w:r w:rsidRPr="008A74D5">
        <w:rPr>
          <w:i/>
          <w:iCs/>
        </w:rPr>
        <w:t>Olmstead</w:t>
      </w:r>
      <w:r>
        <w:t xml:space="preserve"> by March 2022.</w:t>
      </w:r>
    </w:p>
    <w:p w14:paraId="73678C24" w14:textId="77777777" w:rsidR="000C5DD4" w:rsidRDefault="000C5DD4" w:rsidP="000C5DD4">
      <w:pPr>
        <w:spacing w:before="120" w:after="120"/>
        <w:ind w:left="1440"/>
      </w:pPr>
      <w:r>
        <w:rPr>
          <w:rFonts w:ascii="Arial" w:hAnsi="Arial" w:cs="Arial"/>
          <w:b/>
          <w:bCs/>
          <w:color w:val="C45911" w:themeColor="accent2" w:themeShade="BF"/>
          <w:sz w:val="22"/>
          <w:szCs w:val="22"/>
        </w:rPr>
        <w:t xml:space="preserve">Measurable Objective: </w:t>
      </w:r>
      <w:r w:rsidRPr="00D973B2">
        <w:t>P</w:t>
      </w:r>
      <w:r>
        <w:t>ro</w:t>
      </w:r>
      <w:r w:rsidRPr="00D973B2">
        <w:t>vision of community-based services and supportive housing</w:t>
      </w:r>
      <w:r>
        <w:t xml:space="preserve"> for persons with disabilities in accordance with the </w:t>
      </w:r>
      <w:r w:rsidRPr="008C43C2">
        <w:rPr>
          <w:i/>
          <w:iCs/>
        </w:rPr>
        <w:t>Olmstead</w:t>
      </w:r>
      <w:r>
        <w:t xml:space="preserve"> Strategic Housing Plan and schedule</w:t>
      </w:r>
      <w:r w:rsidRPr="00D973B2">
        <w:t>.</w:t>
      </w:r>
    </w:p>
    <w:p w14:paraId="66783A16" w14:textId="77777777" w:rsidR="000C5DD4" w:rsidRPr="00D973B2" w:rsidRDefault="000C5DD4" w:rsidP="000C5DD4">
      <w:pPr>
        <w:spacing w:before="120" w:after="120"/>
        <w:ind w:left="1440"/>
      </w:pPr>
    </w:p>
    <w:tbl>
      <w:tblPr>
        <w:tblStyle w:val="TableGrid"/>
        <w:tblW w:w="0" w:type="auto"/>
        <w:tblLook w:val="04A0" w:firstRow="1" w:lastRow="0" w:firstColumn="1" w:lastColumn="0" w:noHBand="0" w:noVBand="1"/>
      </w:tblPr>
      <w:tblGrid>
        <w:gridCol w:w="9350"/>
      </w:tblGrid>
      <w:tr w:rsidR="000C5DD4" w14:paraId="54C520C5" w14:textId="77777777" w:rsidTr="0058533B">
        <w:tc>
          <w:tcPr>
            <w:tcW w:w="9350" w:type="dxa"/>
            <w:tcBorders>
              <w:top w:val="nil"/>
              <w:left w:val="nil"/>
              <w:bottom w:val="nil"/>
              <w:right w:val="nil"/>
            </w:tcBorders>
            <w:shd w:val="clear" w:color="auto" w:fill="C45911" w:themeFill="accent2" w:themeFillShade="BF"/>
          </w:tcPr>
          <w:p w14:paraId="2D594552" w14:textId="77777777" w:rsidR="000C5DD4" w:rsidRPr="00931427" w:rsidRDefault="000C5DD4"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C</w:t>
            </w:r>
            <w:r w:rsidRPr="00931427">
              <w:rPr>
                <w:rFonts w:ascii="Arial" w:eastAsiaTheme="minorEastAsia" w:hAnsi="Arial" w:cs="Arial"/>
                <w:b/>
                <w:bCs/>
                <w:color w:val="FFFFFF" w:themeColor="background1"/>
                <w:sz w:val="22"/>
                <w:szCs w:val="22"/>
              </w:rPr>
              <w:t xml:space="preserve">: </w:t>
            </w:r>
            <w:r>
              <w:rPr>
                <w:rFonts w:ascii="Arial" w:eastAsiaTheme="minorEastAsia" w:hAnsi="Arial" w:cs="Arial"/>
                <w:b/>
                <w:bCs/>
                <w:color w:val="FFFFFF" w:themeColor="background1"/>
                <w:sz w:val="22"/>
                <w:szCs w:val="22"/>
              </w:rPr>
              <w:t>Increase homeownership among Black and Hispanic households.</w:t>
            </w:r>
            <w:r w:rsidRPr="00931427">
              <w:rPr>
                <w:rFonts w:ascii="Arial" w:eastAsiaTheme="minorEastAsia" w:hAnsi="Arial" w:cs="Arial"/>
                <w:b/>
                <w:bCs/>
                <w:color w:val="FFFFFF" w:themeColor="background1"/>
                <w:sz w:val="22"/>
                <w:szCs w:val="22"/>
              </w:rPr>
              <w:t xml:space="preserve"> </w:t>
            </w:r>
          </w:p>
        </w:tc>
      </w:tr>
    </w:tbl>
    <w:p w14:paraId="2987186F" w14:textId="77777777" w:rsidR="000C5DD4" w:rsidRDefault="000C5DD4" w:rsidP="000C5DD4">
      <w:pPr>
        <w:spacing w:before="120" w:after="120"/>
      </w:pPr>
      <w:r w:rsidRPr="00DD6E72">
        <w:rPr>
          <w:rFonts w:ascii="Arial" w:eastAsiaTheme="minorEastAsia" w:hAnsi="Arial" w:cs="Arial"/>
          <w:b/>
          <w:bCs/>
          <w:color w:val="C45911" w:themeColor="accent2" w:themeShade="BF"/>
          <w:sz w:val="22"/>
          <w:szCs w:val="22"/>
        </w:rPr>
        <w:t xml:space="preserve">Impediment </w:t>
      </w:r>
      <w:r>
        <w:rPr>
          <w:rFonts w:ascii="Arial" w:eastAsiaTheme="minorEastAsia" w:hAnsi="Arial" w:cs="Arial"/>
          <w:b/>
          <w:bCs/>
          <w:color w:val="C45911" w:themeColor="accent2" w:themeShade="BF"/>
          <w:sz w:val="22"/>
          <w:szCs w:val="22"/>
        </w:rPr>
        <w:t>C.1</w:t>
      </w:r>
      <w:r w:rsidRPr="00DD6E72">
        <w:rPr>
          <w:rFonts w:ascii="Arial" w:eastAsiaTheme="minorEastAsia" w:hAnsi="Arial" w:cs="Arial"/>
          <w:b/>
          <w:bCs/>
          <w:color w:val="C45911" w:themeColor="accent2" w:themeShade="BF"/>
          <w:sz w:val="22"/>
          <w:szCs w:val="22"/>
        </w:rPr>
        <w:t>:</w:t>
      </w:r>
      <w:r>
        <w:rPr>
          <w:rFonts w:ascii="Arial" w:eastAsiaTheme="minorEastAsia" w:hAnsi="Arial" w:cs="Arial"/>
          <w:b/>
          <w:bCs/>
          <w:color w:val="C45911" w:themeColor="accent2" w:themeShade="BF"/>
          <w:sz w:val="22"/>
          <w:szCs w:val="22"/>
        </w:rPr>
        <w:t xml:space="preserve"> Homeownership among Black and Hispanic households is less than 50%, respectively</w:t>
      </w:r>
      <w:r w:rsidRPr="00DD6E72">
        <w:rPr>
          <w:rFonts w:ascii="Arial" w:eastAsiaTheme="minorEastAsia" w:hAnsi="Arial" w:cs="Arial"/>
          <w:b/>
          <w:bCs/>
          <w:color w:val="C45911" w:themeColor="accent2" w:themeShade="BF"/>
          <w:sz w:val="22"/>
          <w:szCs w:val="22"/>
        </w:rPr>
        <w:t>.</w:t>
      </w:r>
      <w:r w:rsidRPr="00DD6E72">
        <w:rPr>
          <w:rFonts w:ascii="Arial" w:eastAsiaTheme="minorEastAsia" w:hAnsi="Arial" w:cs="Arial"/>
          <w:b/>
          <w:bCs/>
          <w:sz w:val="22"/>
          <w:szCs w:val="22"/>
        </w:rPr>
        <w:t xml:space="preserve"> </w:t>
      </w:r>
      <w:r>
        <w:t>Several factors impact these trends including higher unemployment, higher poverty, lower and stagnating household incomes, and higher mortgage denial rates.</w:t>
      </w:r>
    </w:p>
    <w:p w14:paraId="3EC11F42" w14:textId="77777777" w:rsidR="000C5DD4" w:rsidRDefault="000C5DD4" w:rsidP="000C5DD4">
      <w:pPr>
        <w:spacing w:before="120" w:after="120"/>
        <w:ind w:left="720"/>
      </w:pPr>
      <w:r w:rsidRPr="005A61A5">
        <w:rPr>
          <w:rFonts w:ascii="Arial" w:hAnsi="Arial" w:cs="Arial"/>
          <w:b/>
          <w:bCs/>
          <w:color w:val="C45911" w:themeColor="accent2" w:themeShade="BF"/>
          <w:sz w:val="22"/>
          <w:szCs w:val="22"/>
        </w:rPr>
        <w:t>Action:</w:t>
      </w:r>
      <w:r>
        <w:rPr>
          <w:rFonts w:ascii="Arial" w:hAnsi="Arial" w:cs="Arial"/>
          <w:b/>
          <w:bCs/>
          <w:color w:val="C45911" w:themeColor="accent2" w:themeShade="BF"/>
          <w:sz w:val="22"/>
          <w:szCs w:val="22"/>
        </w:rPr>
        <w:t xml:space="preserve"> </w:t>
      </w:r>
      <w:r w:rsidRPr="00A14C4E">
        <w:t>DOC and</w:t>
      </w:r>
      <w:r w:rsidRPr="00A14C4E">
        <w:rPr>
          <w:rFonts w:ascii="Arial" w:hAnsi="Arial" w:cs="Arial"/>
          <w:b/>
          <w:bCs/>
          <w:sz w:val="22"/>
          <w:szCs w:val="22"/>
        </w:rPr>
        <w:t xml:space="preserve"> </w:t>
      </w:r>
      <w:r>
        <w:t>its AI partner agencies will provide funding for homeownership counseling and economic development initiatives aimed at improving the financial stability of households and communities.</w:t>
      </w:r>
    </w:p>
    <w:p w14:paraId="11D90504" w14:textId="77777777" w:rsidR="000C5DD4" w:rsidRDefault="000C5DD4" w:rsidP="000C5DD4">
      <w:pPr>
        <w:spacing w:before="120" w:after="120"/>
        <w:ind w:left="1440"/>
      </w:pPr>
      <w:r>
        <w:rPr>
          <w:rFonts w:ascii="Arial" w:hAnsi="Arial" w:cs="Arial"/>
          <w:b/>
          <w:bCs/>
          <w:color w:val="C45911" w:themeColor="accent2" w:themeShade="BF"/>
          <w:sz w:val="22"/>
          <w:szCs w:val="22"/>
        </w:rPr>
        <w:t>Measurable Objective:</w:t>
      </w:r>
      <w:r>
        <w:t xml:space="preserve"> Number of homebuyers assisted, number of jobs created, number of small businesses created/retained/</w:t>
      </w:r>
      <w:proofErr w:type="gramStart"/>
      <w:r>
        <w:t>expanded</w:t>
      </w:r>
      <w:proofErr w:type="gramEnd"/>
    </w:p>
    <w:p w14:paraId="4DA21C5B" w14:textId="77777777" w:rsidR="000C5DD4" w:rsidRDefault="000C5DD4" w:rsidP="000C5DD4">
      <w:pPr>
        <w:spacing w:before="120" w:after="120"/>
        <w:ind w:left="1440"/>
      </w:pPr>
    </w:p>
    <w:tbl>
      <w:tblPr>
        <w:tblStyle w:val="TableGrid"/>
        <w:tblW w:w="0" w:type="auto"/>
        <w:tblLook w:val="04A0" w:firstRow="1" w:lastRow="0" w:firstColumn="1" w:lastColumn="0" w:noHBand="0" w:noVBand="1"/>
      </w:tblPr>
      <w:tblGrid>
        <w:gridCol w:w="9350"/>
      </w:tblGrid>
      <w:tr w:rsidR="000C5DD4" w14:paraId="69021309" w14:textId="77777777" w:rsidTr="0058533B">
        <w:tc>
          <w:tcPr>
            <w:tcW w:w="9350" w:type="dxa"/>
            <w:tcBorders>
              <w:top w:val="nil"/>
              <w:left w:val="nil"/>
              <w:bottom w:val="nil"/>
              <w:right w:val="nil"/>
            </w:tcBorders>
            <w:shd w:val="clear" w:color="auto" w:fill="C45911" w:themeFill="accent2" w:themeFillShade="BF"/>
          </w:tcPr>
          <w:p w14:paraId="5F26A7D9" w14:textId="77777777" w:rsidR="000C5DD4" w:rsidRPr="00931427" w:rsidRDefault="000C5DD4"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D</w:t>
            </w:r>
            <w:r w:rsidRPr="00931427">
              <w:rPr>
                <w:rFonts w:ascii="Arial" w:eastAsiaTheme="minorEastAsia" w:hAnsi="Arial" w:cs="Arial"/>
                <w:b/>
                <w:bCs/>
                <w:color w:val="FFFFFF" w:themeColor="background1"/>
                <w:sz w:val="22"/>
                <w:szCs w:val="22"/>
              </w:rPr>
              <w:t xml:space="preserve">: </w:t>
            </w:r>
            <w:r>
              <w:rPr>
                <w:rFonts w:ascii="Arial" w:eastAsiaTheme="minorEastAsia" w:hAnsi="Arial" w:cs="Arial"/>
                <w:b/>
                <w:bCs/>
                <w:color w:val="FFFFFF" w:themeColor="background1"/>
                <w:sz w:val="22"/>
                <w:szCs w:val="22"/>
              </w:rPr>
              <w:t xml:space="preserve">Increase knowledge and implementation of obligation to affirmatively further fair housing among HUD program small town subrecipients. </w:t>
            </w:r>
          </w:p>
        </w:tc>
      </w:tr>
    </w:tbl>
    <w:p w14:paraId="0FA12CFE" w14:textId="77777777" w:rsidR="000C5DD4" w:rsidRPr="00257021" w:rsidRDefault="000C5DD4" w:rsidP="000C5DD4">
      <w:pPr>
        <w:spacing w:before="120" w:after="120"/>
      </w:pPr>
      <w:r w:rsidRPr="00DD6E72">
        <w:rPr>
          <w:rFonts w:ascii="Arial" w:eastAsiaTheme="minorEastAsia" w:hAnsi="Arial" w:cs="Arial"/>
          <w:b/>
          <w:bCs/>
          <w:color w:val="C45911" w:themeColor="accent2" w:themeShade="BF"/>
          <w:sz w:val="22"/>
          <w:szCs w:val="22"/>
        </w:rPr>
        <w:t xml:space="preserve">Impediment </w:t>
      </w:r>
      <w:r>
        <w:rPr>
          <w:rFonts w:ascii="Arial" w:eastAsiaTheme="minorEastAsia" w:hAnsi="Arial" w:cs="Arial"/>
          <w:b/>
          <w:bCs/>
          <w:color w:val="C45911" w:themeColor="accent2" w:themeShade="BF"/>
          <w:sz w:val="22"/>
          <w:szCs w:val="22"/>
        </w:rPr>
        <w:t>D.1</w:t>
      </w:r>
      <w:r w:rsidRPr="00DD6E72">
        <w:rPr>
          <w:rFonts w:ascii="Arial" w:eastAsiaTheme="minorEastAsia" w:hAnsi="Arial" w:cs="Arial"/>
          <w:b/>
          <w:bCs/>
          <w:color w:val="C45911" w:themeColor="accent2" w:themeShade="BF"/>
          <w:sz w:val="22"/>
          <w:szCs w:val="22"/>
        </w:rPr>
        <w:t>:</w:t>
      </w:r>
      <w:r>
        <w:rPr>
          <w:rFonts w:ascii="Arial" w:eastAsiaTheme="minorEastAsia" w:hAnsi="Arial" w:cs="Arial"/>
          <w:b/>
          <w:bCs/>
          <w:color w:val="C45911" w:themeColor="accent2" w:themeShade="BF"/>
          <w:sz w:val="22"/>
          <w:szCs w:val="22"/>
        </w:rPr>
        <w:t xml:space="preserve"> Turnover among public officials in subrecipient small towns makes it imperative to maintain the education efforts regarding affirmatively furthering fair housing. </w:t>
      </w:r>
      <w:r w:rsidRPr="00257021">
        <w:rPr>
          <w:rFonts w:eastAsiaTheme="minorEastAsia"/>
        </w:rPr>
        <w:t>DEQ’s</w:t>
      </w:r>
      <w:r>
        <w:rPr>
          <w:rFonts w:eastAsiaTheme="minorEastAsia"/>
        </w:rPr>
        <w:t xml:space="preserve"> Division of Water Infrastructure Affirmatively Furthering Fair Housing Plan required of CDBG applicants is an excellent tool to achieve this.</w:t>
      </w:r>
    </w:p>
    <w:p w14:paraId="3547D541" w14:textId="77777777" w:rsidR="000C5DD4" w:rsidRDefault="000C5DD4" w:rsidP="000C5DD4">
      <w:pPr>
        <w:spacing w:before="120" w:after="120"/>
        <w:ind w:left="720"/>
      </w:pPr>
      <w:r w:rsidRPr="005A61A5">
        <w:rPr>
          <w:rFonts w:ascii="Arial" w:hAnsi="Arial" w:cs="Arial"/>
          <w:b/>
          <w:bCs/>
          <w:color w:val="C45911" w:themeColor="accent2" w:themeShade="BF"/>
          <w:sz w:val="22"/>
          <w:szCs w:val="22"/>
        </w:rPr>
        <w:t>Action:</w:t>
      </w:r>
      <w:r>
        <w:rPr>
          <w:rFonts w:ascii="Arial" w:hAnsi="Arial" w:cs="Arial"/>
          <w:b/>
          <w:bCs/>
          <w:color w:val="C45911" w:themeColor="accent2" w:themeShade="BF"/>
          <w:sz w:val="22"/>
          <w:szCs w:val="22"/>
        </w:rPr>
        <w:t xml:space="preserve"> </w:t>
      </w:r>
      <w:r w:rsidRPr="00A14C4E">
        <w:t>D</w:t>
      </w:r>
      <w:r>
        <w:t>EQ’s Division of Water Infrastructure will continue to ensure compliance with the Plan through its small town subrecipients.</w:t>
      </w:r>
    </w:p>
    <w:p w14:paraId="1FCCF54F" w14:textId="77777777" w:rsidR="000C5DD4" w:rsidRDefault="000C5DD4" w:rsidP="000C5DD4">
      <w:pPr>
        <w:spacing w:before="120" w:after="120"/>
        <w:ind w:left="1440"/>
      </w:pPr>
      <w:r>
        <w:rPr>
          <w:rFonts w:ascii="Arial" w:hAnsi="Arial" w:cs="Arial"/>
          <w:b/>
          <w:bCs/>
          <w:color w:val="C45911" w:themeColor="accent2" w:themeShade="BF"/>
          <w:sz w:val="22"/>
          <w:szCs w:val="22"/>
        </w:rPr>
        <w:t>Measurable Objective:</w:t>
      </w:r>
      <w:r>
        <w:t xml:space="preserve"> Number of new applicants adopting the Plan, number of non-compliant </w:t>
      </w:r>
      <w:proofErr w:type="gramStart"/>
      <w:r>
        <w:t>applicants</w:t>
      </w:r>
      <w:proofErr w:type="gramEnd"/>
    </w:p>
    <w:p w14:paraId="14EB913F" w14:textId="77777777" w:rsidR="000C5DD4" w:rsidRDefault="000C5DD4" w:rsidP="000C5DD4">
      <w:pPr>
        <w:spacing w:before="120" w:after="120"/>
        <w:ind w:left="720"/>
      </w:pPr>
      <w:r w:rsidRPr="005A61A5">
        <w:rPr>
          <w:rFonts w:ascii="Arial" w:hAnsi="Arial" w:cs="Arial"/>
          <w:b/>
          <w:bCs/>
          <w:color w:val="C45911" w:themeColor="accent2" w:themeShade="BF"/>
          <w:sz w:val="22"/>
          <w:szCs w:val="22"/>
        </w:rPr>
        <w:t>Action:</w:t>
      </w:r>
      <w:r>
        <w:rPr>
          <w:rFonts w:ascii="Arial" w:hAnsi="Arial" w:cs="Arial"/>
          <w:b/>
          <w:bCs/>
          <w:color w:val="C45911" w:themeColor="accent2" w:themeShade="BF"/>
          <w:sz w:val="22"/>
          <w:szCs w:val="22"/>
        </w:rPr>
        <w:t xml:space="preserve"> </w:t>
      </w:r>
      <w:r w:rsidRPr="00A14C4E">
        <w:t>D</w:t>
      </w:r>
      <w:r>
        <w:t>OC and its AI partner agencies will duplicate the AFFH Plan, where appropriate, among their programs.</w:t>
      </w:r>
    </w:p>
    <w:p w14:paraId="2C2FE48C" w14:textId="77777777" w:rsidR="000C5DD4" w:rsidRDefault="000C5DD4" w:rsidP="000C5DD4">
      <w:pPr>
        <w:spacing w:before="120" w:after="120"/>
        <w:ind w:left="1440"/>
      </w:pPr>
      <w:r>
        <w:rPr>
          <w:rFonts w:ascii="Arial" w:hAnsi="Arial" w:cs="Arial"/>
          <w:b/>
          <w:bCs/>
          <w:color w:val="C45911" w:themeColor="accent2" w:themeShade="BF"/>
          <w:sz w:val="22"/>
          <w:szCs w:val="22"/>
        </w:rPr>
        <w:t>Measurable Objective:</w:t>
      </w:r>
      <w:r>
        <w:t xml:space="preserve"> Number of new applicants adopting the Plan, number of non-compliant </w:t>
      </w:r>
      <w:proofErr w:type="gramStart"/>
      <w:r>
        <w:t>applicants</w:t>
      </w:r>
      <w:proofErr w:type="gramEnd"/>
    </w:p>
    <w:p w14:paraId="445F8D5A" w14:textId="77777777" w:rsidR="000C5DD4" w:rsidRDefault="000C5DD4" w:rsidP="000C5DD4">
      <w:pPr>
        <w:spacing w:before="120" w:after="120"/>
        <w:ind w:left="1440"/>
      </w:pPr>
    </w:p>
    <w:tbl>
      <w:tblPr>
        <w:tblStyle w:val="TableGrid"/>
        <w:tblW w:w="0" w:type="auto"/>
        <w:tblLook w:val="04A0" w:firstRow="1" w:lastRow="0" w:firstColumn="1" w:lastColumn="0" w:noHBand="0" w:noVBand="1"/>
      </w:tblPr>
      <w:tblGrid>
        <w:gridCol w:w="9350"/>
      </w:tblGrid>
      <w:tr w:rsidR="000C5DD4" w14:paraId="46A42E53" w14:textId="77777777" w:rsidTr="0058533B">
        <w:tc>
          <w:tcPr>
            <w:tcW w:w="9350" w:type="dxa"/>
            <w:tcBorders>
              <w:top w:val="nil"/>
              <w:left w:val="nil"/>
              <w:bottom w:val="nil"/>
              <w:right w:val="nil"/>
            </w:tcBorders>
            <w:shd w:val="clear" w:color="auto" w:fill="C45911" w:themeFill="accent2" w:themeFillShade="BF"/>
          </w:tcPr>
          <w:p w14:paraId="20BE7BE8" w14:textId="77777777" w:rsidR="000C5DD4" w:rsidRPr="00931427" w:rsidRDefault="000C5DD4"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E</w:t>
            </w:r>
            <w:r w:rsidRPr="00931427">
              <w:rPr>
                <w:rFonts w:ascii="Arial" w:eastAsiaTheme="minorEastAsia" w:hAnsi="Arial" w:cs="Arial"/>
                <w:b/>
                <w:bCs/>
                <w:color w:val="FFFFFF" w:themeColor="background1"/>
                <w:sz w:val="22"/>
                <w:szCs w:val="22"/>
              </w:rPr>
              <w:t xml:space="preserve">: </w:t>
            </w:r>
            <w:r>
              <w:rPr>
                <w:rFonts w:ascii="Arial" w:eastAsiaTheme="minorEastAsia" w:hAnsi="Arial" w:cs="Arial"/>
                <w:b/>
                <w:bCs/>
                <w:color w:val="FFFFFF" w:themeColor="background1"/>
                <w:sz w:val="22"/>
                <w:szCs w:val="22"/>
              </w:rPr>
              <w:t xml:space="preserve">Ensure access to housing and other services to persons with limited English proficiency. </w:t>
            </w:r>
          </w:p>
        </w:tc>
      </w:tr>
    </w:tbl>
    <w:p w14:paraId="23920517" w14:textId="77777777" w:rsidR="000C5DD4" w:rsidRPr="00257021" w:rsidRDefault="000C5DD4" w:rsidP="000C5DD4">
      <w:pPr>
        <w:spacing w:before="120" w:after="120"/>
      </w:pPr>
      <w:r w:rsidRPr="00DD6E72">
        <w:rPr>
          <w:rFonts w:ascii="Arial" w:eastAsiaTheme="minorEastAsia" w:hAnsi="Arial" w:cs="Arial"/>
          <w:b/>
          <w:bCs/>
          <w:color w:val="C45911" w:themeColor="accent2" w:themeShade="BF"/>
          <w:sz w:val="22"/>
          <w:szCs w:val="22"/>
        </w:rPr>
        <w:t xml:space="preserve">Impediment </w:t>
      </w:r>
      <w:r>
        <w:rPr>
          <w:rFonts w:ascii="Arial" w:eastAsiaTheme="minorEastAsia" w:hAnsi="Arial" w:cs="Arial"/>
          <w:b/>
          <w:bCs/>
          <w:color w:val="C45911" w:themeColor="accent2" w:themeShade="BF"/>
          <w:sz w:val="22"/>
          <w:szCs w:val="22"/>
        </w:rPr>
        <w:t>E.1</w:t>
      </w:r>
      <w:r w:rsidRPr="00DD6E72">
        <w:rPr>
          <w:rFonts w:ascii="Arial" w:eastAsiaTheme="minorEastAsia" w:hAnsi="Arial" w:cs="Arial"/>
          <w:b/>
          <w:bCs/>
          <w:color w:val="C45911" w:themeColor="accent2" w:themeShade="BF"/>
          <w:sz w:val="22"/>
          <w:szCs w:val="22"/>
        </w:rPr>
        <w:t>:</w:t>
      </w:r>
      <w:r>
        <w:rPr>
          <w:rFonts w:ascii="Arial" w:eastAsiaTheme="minorEastAsia" w:hAnsi="Arial" w:cs="Arial"/>
          <w:b/>
          <w:bCs/>
          <w:color w:val="C45911" w:themeColor="accent2" w:themeShade="BF"/>
          <w:sz w:val="22"/>
          <w:szCs w:val="22"/>
        </w:rPr>
        <w:t xml:space="preserve"> There are over 30 language groups in the state that meet the safe harbor threshold for translation of vital documents as required by Title VI of the Civil Rights Act of 1964. </w:t>
      </w:r>
      <w:proofErr w:type="gramStart"/>
      <w:r>
        <w:rPr>
          <w:rFonts w:eastAsiaTheme="minorEastAsia"/>
        </w:rPr>
        <w:t>As a recipient of federal funding, the state</w:t>
      </w:r>
      <w:proofErr w:type="gramEnd"/>
      <w:r>
        <w:rPr>
          <w:rFonts w:eastAsiaTheme="minorEastAsia"/>
        </w:rPr>
        <w:t xml:space="preserve"> is required to ensure that persons with LEP who are otherwise eligible have access to its programs.</w:t>
      </w:r>
    </w:p>
    <w:p w14:paraId="33D9FC27" w14:textId="77777777" w:rsidR="000C5DD4" w:rsidRDefault="000C5DD4" w:rsidP="000C5DD4">
      <w:pPr>
        <w:spacing w:before="120" w:after="120"/>
        <w:ind w:left="720"/>
      </w:pPr>
      <w:r w:rsidRPr="005A61A5">
        <w:rPr>
          <w:rFonts w:ascii="Arial" w:hAnsi="Arial" w:cs="Arial"/>
          <w:b/>
          <w:bCs/>
          <w:color w:val="C45911" w:themeColor="accent2" w:themeShade="BF"/>
          <w:sz w:val="22"/>
          <w:szCs w:val="22"/>
        </w:rPr>
        <w:lastRenderedPageBreak/>
        <w:t>Action:</w:t>
      </w:r>
      <w:r>
        <w:rPr>
          <w:rFonts w:ascii="Arial" w:hAnsi="Arial" w:cs="Arial"/>
          <w:b/>
          <w:bCs/>
          <w:color w:val="C45911" w:themeColor="accent2" w:themeShade="BF"/>
          <w:sz w:val="22"/>
          <w:szCs w:val="22"/>
        </w:rPr>
        <w:t xml:space="preserve"> </w:t>
      </w:r>
      <w:r>
        <w:t>DOC and its AI partner agencies will each maintain complete Language Access Plans and review them annually to identify changes in population trends, which might require updating the Plans.</w:t>
      </w:r>
    </w:p>
    <w:p w14:paraId="4CAB31DE" w14:textId="77777777" w:rsidR="000C5DD4" w:rsidRDefault="000C5DD4" w:rsidP="000C5DD4">
      <w:pPr>
        <w:spacing w:before="120" w:after="120"/>
        <w:ind w:left="1440"/>
      </w:pPr>
      <w:r>
        <w:rPr>
          <w:rFonts w:ascii="Arial" w:hAnsi="Arial" w:cs="Arial"/>
          <w:b/>
          <w:bCs/>
          <w:color w:val="C45911" w:themeColor="accent2" w:themeShade="BF"/>
          <w:sz w:val="22"/>
          <w:szCs w:val="22"/>
        </w:rPr>
        <w:t>Measurable Objectives:</w:t>
      </w:r>
      <w:r>
        <w:t xml:space="preserve"> Verification of annual review of each agency’s LAP, revised LAPs upon release of new Census data, number of persons with LEP served by each agency or program, number of complaints filed under the LAPs, number of LAP trainings provided to agency staff.</w:t>
      </w:r>
    </w:p>
    <w:p w14:paraId="5EA4F959" w14:textId="77777777" w:rsidR="000C5DD4" w:rsidRDefault="000C5DD4" w:rsidP="000C5DD4">
      <w:pPr>
        <w:spacing w:before="120" w:after="120"/>
        <w:ind w:left="1440"/>
      </w:pPr>
    </w:p>
    <w:p w14:paraId="79FEB427" w14:textId="77777777" w:rsidR="000C5DD4" w:rsidRPr="00BC35C0" w:rsidRDefault="000C5DD4" w:rsidP="000C5DD4">
      <w:pPr>
        <w:spacing w:before="120" w:after="120"/>
        <w:ind w:left="720"/>
      </w:pPr>
    </w:p>
    <w:p w14:paraId="07AA8060" w14:textId="259D345B" w:rsidR="00C742CF" w:rsidRDefault="00C742CF">
      <w:pPr>
        <w:spacing w:after="160" w:line="259" w:lineRule="auto"/>
        <w:rPr>
          <w:rFonts w:asciiTheme="majorHAnsi" w:eastAsiaTheme="majorEastAsia" w:hAnsiTheme="majorHAnsi" w:cstheme="majorBidi"/>
          <w:color w:val="262626" w:themeColor="text1" w:themeTint="D9"/>
          <w:sz w:val="40"/>
          <w:szCs w:val="40"/>
        </w:rPr>
      </w:pPr>
      <w:r>
        <w:br w:type="page"/>
      </w:r>
    </w:p>
    <w:p w14:paraId="5A885B16" w14:textId="556B1251" w:rsidR="00D24507" w:rsidRPr="005D11A4" w:rsidRDefault="00D24507" w:rsidP="005D11A4">
      <w:pPr>
        <w:pStyle w:val="Heading1"/>
      </w:pPr>
      <w:bookmarkStart w:id="9" w:name="_Toc66807903"/>
      <w:r w:rsidRPr="005D11A4">
        <w:lastRenderedPageBreak/>
        <w:t>Jurisdictional Background Data</w:t>
      </w:r>
      <w:bookmarkEnd w:id="0"/>
      <w:bookmarkEnd w:id="9"/>
    </w:p>
    <w:p w14:paraId="3C1B3222" w14:textId="7336A2D6" w:rsidR="00D24507" w:rsidRDefault="00D24507" w:rsidP="00D24507">
      <w:pPr>
        <w:spacing w:after="240"/>
        <w:jc w:val="both"/>
        <w:rPr>
          <w:highlight w:val="yellow"/>
        </w:rPr>
      </w:pPr>
      <w:r w:rsidRPr="007F3DBB">
        <w:t>T</w:t>
      </w:r>
      <w:r>
        <w:t>he scope of the AI encompasses the State of North Carolina as a whole. Data analysis is primarily conducted at the county- and regional-level. As a result, this AI will provide a broad-level findings, solutions, and implementation processes.</w:t>
      </w:r>
    </w:p>
    <w:p w14:paraId="7A5F25B4" w14:textId="42E73EBB" w:rsidR="00D24507" w:rsidRDefault="00D24507" w:rsidP="00D24507">
      <w:pPr>
        <w:pStyle w:val="Caption"/>
      </w:pPr>
      <w:r>
        <w:t xml:space="preserve">Map </w:t>
      </w:r>
      <w:fldSimple w:instr=" SEQ Map \* ARABIC ">
        <w:r w:rsidR="0055251A">
          <w:rPr>
            <w:noProof/>
          </w:rPr>
          <w:t>1</w:t>
        </w:r>
      </w:fldSimple>
      <w:r>
        <w:t xml:space="preserve"> County Map of North Carolina</w:t>
      </w:r>
    </w:p>
    <w:p w14:paraId="2F36650D" w14:textId="77777777" w:rsidR="00D24507" w:rsidRPr="00017BB1" w:rsidRDefault="00D24507" w:rsidP="00D24507">
      <w:pPr>
        <w:rPr>
          <w:sz w:val="16"/>
          <w:szCs w:val="16"/>
        </w:rPr>
      </w:pPr>
      <w:r w:rsidRPr="00017BB1">
        <w:rPr>
          <w:noProof/>
          <w:sz w:val="16"/>
          <w:szCs w:val="16"/>
        </w:rPr>
        <w:drawing>
          <wp:anchor distT="0" distB="0" distL="114300" distR="114300" simplePos="0" relativeHeight="251685888" behindDoc="0" locked="0" layoutInCell="1" allowOverlap="1" wp14:anchorId="3DEB4EB2" wp14:editId="0736CCB2">
            <wp:simplePos x="0" y="0"/>
            <wp:positionH relativeFrom="column">
              <wp:posOffset>0</wp:posOffset>
            </wp:positionH>
            <wp:positionV relativeFrom="paragraph">
              <wp:posOffset>0</wp:posOffset>
            </wp:positionV>
            <wp:extent cx="5934710" cy="2967355"/>
            <wp:effectExtent l="0" t="0" r="8890" b="444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BB1">
        <w:rPr>
          <w:sz w:val="16"/>
          <w:szCs w:val="16"/>
        </w:rPr>
        <w:t>Source: U.S. Census Bureau</w:t>
      </w:r>
    </w:p>
    <w:p w14:paraId="54CF6489" w14:textId="77777777" w:rsidR="00D24507" w:rsidRDefault="00D24507" w:rsidP="00D24507">
      <w:pPr>
        <w:pStyle w:val="Heading2"/>
        <w:jc w:val="both"/>
      </w:pPr>
      <w:bookmarkStart w:id="10" w:name="_Toc47639970"/>
      <w:bookmarkStart w:id="11" w:name="_Toc66807904"/>
      <w:r>
        <w:t>Historical Residential Settlement Patterns</w:t>
      </w:r>
      <w:bookmarkEnd w:id="10"/>
      <w:bookmarkEnd w:id="11"/>
    </w:p>
    <w:p w14:paraId="3350BA2E" w14:textId="1211EF8B" w:rsidR="00D24507" w:rsidRPr="008F6A75" w:rsidRDefault="00D24507" w:rsidP="00D24507">
      <w:pPr>
        <w:spacing w:after="240"/>
        <w:jc w:val="both"/>
      </w:pPr>
      <w:r w:rsidRPr="008F6A75">
        <w:t>The first North Carolina settlements by the Spanish and English were primarily located along the Albemarle Sound in the northeast. Settlement advanced slowly south along the coast and rive</w:t>
      </w:r>
      <w:r>
        <w:t xml:space="preserve">rs and eventually westward into the Piedmont. Some early settlers brough indentured servants and African laborers with them. As the tobacco industry developed, early growth and prosperity of the State became dependent on slave labor. These plantations were primarily located in the Eastern Tidewater and the upland areas of Piedmont. Today, these areas continue to have a large African American population. Other minority groups, such as Hispanic and Asian populations, have seen recent and rapid growth in urban areas, such as Charlotte and Raleigh, due to economic opportunities. These same economic opportunities </w:t>
      </w:r>
      <w:r w:rsidR="009B4B68">
        <w:t>have</w:t>
      </w:r>
      <w:r>
        <w:t xml:space="preserve"> led to a general population boom in North Carolina’s cities. </w:t>
      </w:r>
    </w:p>
    <w:p w14:paraId="3B034B75" w14:textId="77777777" w:rsidR="00D24507" w:rsidRDefault="00D24507" w:rsidP="00D24507">
      <w:pPr>
        <w:pStyle w:val="Heading2"/>
        <w:jc w:val="both"/>
      </w:pPr>
      <w:bookmarkStart w:id="12" w:name="_Toc47639971"/>
      <w:bookmarkStart w:id="13" w:name="_Toc66807905"/>
      <w:r>
        <w:t>Demographic, Income and Employment Data</w:t>
      </w:r>
      <w:bookmarkEnd w:id="12"/>
      <w:bookmarkEnd w:id="13"/>
    </w:p>
    <w:p w14:paraId="08728BB1" w14:textId="77777777" w:rsidR="00D24507" w:rsidRDefault="00D24507" w:rsidP="00D24507">
      <w:pPr>
        <w:jc w:val="both"/>
      </w:pPr>
      <w:r w:rsidRPr="00CE04BC">
        <w:t xml:space="preserve">This section will describe demographic characteristics that affect housing choice among </w:t>
      </w:r>
      <w:r>
        <w:t xml:space="preserve">North Carolina </w:t>
      </w:r>
      <w:r w:rsidRPr="00CE04BC">
        <w:t xml:space="preserve">residents. It will provide context to existing conditions and pinpoint issues to inform strategies for broadening the availability of housing opportunities among residents. </w:t>
      </w:r>
    </w:p>
    <w:p w14:paraId="2D65C404" w14:textId="77777777" w:rsidR="00D24507" w:rsidRDefault="00D24507" w:rsidP="00D24507">
      <w:pPr>
        <w:pStyle w:val="Heading3"/>
        <w:jc w:val="both"/>
      </w:pPr>
      <w:bookmarkStart w:id="14" w:name="_Toc47639972"/>
      <w:bookmarkStart w:id="15" w:name="_Toc66807906"/>
      <w:r>
        <w:t>Key Findings</w:t>
      </w:r>
      <w:bookmarkEnd w:id="14"/>
      <w:bookmarkEnd w:id="15"/>
    </w:p>
    <w:p w14:paraId="341DA891"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North Carolina is continuing to see population growth, albeit slower than it has been historically.</w:t>
      </w:r>
    </w:p>
    <w:p w14:paraId="70D897B7" w14:textId="551F6E74" w:rsidR="00D24507" w:rsidRPr="00AA0FE7" w:rsidRDefault="00D24507" w:rsidP="00700904">
      <w:pPr>
        <w:pStyle w:val="ListParagraph"/>
        <w:numPr>
          <w:ilvl w:val="0"/>
          <w:numId w:val="3"/>
        </w:numPr>
        <w:spacing w:before="120" w:after="120"/>
        <w:contextualSpacing w:val="0"/>
        <w:rPr>
          <w:sz w:val="24"/>
        </w:rPr>
      </w:pPr>
      <w:r w:rsidRPr="00AA0FE7">
        <w:rPr>
          <w:sz w:val="24"/>
        </w:rPr>
        <w:lastRenderedPageBreak/>
        <w:t>North Carolina’s urban areas and rural counties in the Inner Coastal Plains region tend to have the highest concentration of minorities. Montgomery, Lee, Sampson, and Duplin Counties are notable for having especially high Hispanic populations.</w:t>
      </w:r>
    </w:p>
    <w:p w14:paraId="40414DE7"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Segregation across the state is decreasing overall, with only three counties showing indicators of high levels of segregation.</w:t>
      </w:r>
    </w:p>
    <w:p w14:paraId="24566BAA" w14:textId="31DD3281" w:rsidR="00D24507" w:rsidRPr="00AA0FE7" w:rsidRDefault="00D24507" w:rsidP="00700904">
      <w:pPr>
        <w:pStyle w:val="ListParagraph"/>
        <w:numPr>
          <w:ilvl w:val="0"/>
          <w:numId w:val="3"/>
        </w:numPr>
        <w:spacing w:before="120" w:after="120"/>
        <w:contextualSpacing w:val="0"/>
        <w:rPr>
          <w:sz w:val="24"/>
        </w:rPr>
      </w:pPr>
      <w:r w:rsidRPr="00AA0FE7">
        <w:rPr>
          <w:sz w:val="24"/>
        </w:rPr>
        <w:t xml:space="preserve">Foreign-born residents, many of whom may require language assistance, are concentrated in </w:t>
      </w:r>
      <w:r w:rsidR="00773923" w:rsidRPr="00AA0FE7">
        <w:rPr>
          <w:sz w:val="24"/>
        </w:rPr>
        <w:t xml:space="preserve">and </w:t>
      </w:r>
      <w:r w:rsidRPr="00AA0FE7">
        <w:rPr>
          <w:sz w:val="24"/>
        </w:rPr>
        <w:t>around the Charlotte and Raleigh-Durham-Cary metropolitan areas.</w:t>
      </w:r>
    </w:p>
    <w:p w14:paraId="226D1CF2"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The largest group of Limited English Proficiency households are Spanish speakers, distantly followed by Chinese, Vietnamese, and Arabic.</w:t>
      </w:r>
    </w:p>
    <w:p w14:paraId="4EFC2EA1" w14:textId="7F98FF2E" w:rsidR="00D24507" w:rsidRPr="00AA0FE7" w:rsidRDefault="00D24507" w:rsidP="00700904">
      <w:pPr>
        <w:pStyle w:val="ListParagraph"/>
        <w:numPr>
          <w:ilvl w:val="0"/>
          <w:numId w:val="3"/>
        </w:numPr>
        <w:spacing w:before="120" w:after="120"/>
        <w:contextualSpacing w:val="0"/>
        <w:rPr>
          <w:sz w:val="24"/>
        </w:rPr>
      </w:pPr>
      <w:r w:rsidRPr="00AA0FE7">
        <w:rPr>
          <w:sz w:val="24"/>
        </w:rPr>
        <w:t xml:space="preserve">Most </w:t>
      </w:r>
      <w:r w:rsidR="002A3E0C" w:rsidRPr="00AA0FE7">
        <w:rPr>
          <w:sz w:val="24"/>
        </w:rPr>
        <w:t xml:space="preserve">North Carolina </w:t>
      </w:r>
      <w:r w:rsidRPr="00AA0FE7">
        <w:rPr>
          <w:sz w:val="24"/>
        </w:rPr>
        <w:t>households are family households consisting of married couples.</w:t>
      </w:r>
    </w:p>
    <w:p w14:paraId="3B95B19A" w14:textId="096BE829" w:rsidR="00D24507" w:rsidRPr="00AA0FE7" w:rsidRDefault="00D24507" w:rsidP="00700904">
      <w:pPr>
        <w:pStyle w:val="ListParagraph"/>
        <w:numPr>
          <w:ilvl w:val="0"/>
          <w:numId w:val="3"/>
        </w:numPr>
        <w:spacing w:before="120" w:after="120"/>
        <w:contextualSpacing w:val="0"/>
        <w:rPr>
          <w:sz w:val="24"/>
        </w:rPr>
      </w:pPr>
      <w:r w:rsidRPr="00AA0FE7">
        <w:rPr>
          <w:sz w:val="24"/>
        </w:rPr>
        <w:t xml:space="preserve">Large families and single female-headed households with children </w:t>
      </w:r>
      <w:r w:rsidR="00D148F9">
        <w:rPr>
          <w:sz w:val="24"/>
        </w:rPr>
        <w:t>have</w:t>
      </w:r>
      <w:r w:rsidRPr="00AA0FE7">
        <w:rPr>
          <w:sz w:val="24"/>
        </w:rPr>
        <w:t xml:space="preserve"> disproportionately higher rates of poverty.</w:t>
      </w:r>
    </w:p>
    <w:p w14:paraId="78CB35FC"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Median household income, after adjusting for inflation, has largely remained stagnant.</w:t>
      </w:r>
    </w:p>
    <w:p w14:paraId="26E30AF8"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North Carolina has 67 racially and ethnically concentrated areas of poverty, primarily located in urban metropolitan areas.</w:t>
      </w:r>
    </w:p>
    <w:p w14:paraId="6F28A0D6" w14:textId="5198786E" w:rsidR="00D24507" w:rsidRPr="00AA0FE7" w:rsidRDefault="00D24507" w:rsidP="00700904">
      <w:pPr>
        <w:pStyle w:val="ListParagraph"/>
        <w:numPr>
          <w:ilvl w:val="0"/>
          <w:numId w:val="3"/>
        </w:numPr>
        <w:spacing w:before="120" w:after="120"/>
        <w:contextualSpacing w:val="0"/>
        <w:rPr>
          <w:sz w:val="24"/>
        </w:rPr>
      </w:pPr>
      <w:r w:rsidRPr="00AA0FE7">
        <w:rPr>
          <w:sz w:val="24"/>
        </w:rPr>
        <w:t>North Carolina</w:t>
      </w:r>
      <w:r w:rsidR="00332718" w:rsidRPr="00AA0FE7">
        <w:rPr>
          <w:sz w:val="24"/>
        </w:rPr>
        <w:t>’s housing stock</w:t>
      </w:r>
      <w:r w:rsidRPr="00AA0FE7">
        <w:rPr>
          <w:sz w:val="24"/>
        </w:rPr>
        <w:t xml:space="preserve"> is relatively new compared to the nation with few counties having homes constructed before 1978.</w:t>
      </w:r>
    </w:p>
    <w:p w14:paraId="04AF1C4B"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Most North Carolina residents are homeowners, but Black and Hispanic households showed lower homeownership rates than renter rates.</w:t>
      </w:r>
    </w:p>
    <w:p w14:paraId="4CDD281C" w14:textId="62C11B3B" w:rsidR="00D24507" w:rsidRPr="00AA0FE7" w:rsidRDefault="00D24507" w:rsidP="00700904">
      <w:pPr>
        <w:pStyle w:val="ListParagraph"/>
        <w:numPr>
          <w:ilvl w:val="0"/>
          <w:numId w:val="3"/>
        </w:numPr>
        <w:spacing w:before="120" w:after="120"/>
        <w:contextualSpacing w:val="0"/>
        <w:rPr>
          <w:sz w:val="24"/>
        </w:rPr>
      </w:pPr>
      <w:r w:rsidRPr="00AA0FE7">
        <w:rPr>
          <w:sz w:val="24"/>
        </w:rPr>
        <w:t xml:space="preserve">Home values have decreased in the past ten years while gross rent </w:t>
      </w:r>
      <w:r w:rsidR="007372D2" w:rsidRPr="00AA0FE7">
        <w:rPr>
          <w:sz w:val="24"/>
        </w:rPr>
        <w:t>has</w:t>
      </w:r>
      <w:r w:rsidRPr="00AA0FE7">
        <w:rPr>
          <w:sz w:val="24"/>
        </w:rPr>
        <w:t xml:space="preserve"> increas</w:t>
      </w:r>
      <w:r w:rsidR="007372D2" w:rsidRPr="00AA0FE7">
        <w:rPr>
          <w:sz w:val="24"/>
        </w:rPr>
        <w:t>ed</w:t>
      </w:r>
      <w:r w:rsidRPr="00AA0FE7">
        <w:rPr>
          <w:sz w:val="24"/>
        </w:rPr>
        <w:t>.</w:t>
      </w:r>
    </w:p>
    <w:p w14:paraId="5B58A338" w14:textId="77777777" w:rsidR="00D24507" w:rsidRPr="00AA0FE7" w:rsidRDefault="00D24507" w:rsidP="00700904">
      <w:pPr>
        <w:pStyle w:val="ListParagraph"/>
        <w:numPr>
          <w:ilvl w:val="0"/>
          <w:numId w:val="3"/>
        </w:numPr>
        <w:spacing w:before="120" w:after="120"/>
        <w:contextualSpacing w:val="0"/>
        <w:rPr>
          <w:sz w:val="24"/>
        </w:rPr>
      </w:pPr>
      <w:r w:rsidRPr="00AA0FE7">
        <w:rPr>
          <w:sz w:val="24"/>
        </w:rPr>
        <w:t>Renters are significantly more cost-burdened than homeowners. However, rates of cost-burden have decreased over the past ten years.</w:t>
      </w:r>
    </w:p>
    <w:p w14:paraId="727A8E81" w14:textId="77777777" w:rsidR="00D24507" w:rsidRPr="00DA3370" w:rsidRDefault="00D24507" w:rsidP="00D24507">
      <w:pPr>
        <w:pStyle w:val="Heading3"/>
        <w:jc w:val="both"/>
      </w:pPr>
      <w:bookmarkStart w:id="16" w:name="_Toc47639973"/>
      <w:bookmarkStart w:id="17" w:name="_Toc66807907"/>
      <w:r>
        <w:t>Race and Ethnicity</w:t>
      </w:r>
      <w:bookmarkEnd w:id="16"/>
      <w:bookmarkEnd w:id="17"/>
    </w:p>
    <w:p w14:paraId="62B9F208" w14:textId="57B66971" w:rsidR="00D24507" w:rsidRDefault="00D24507" w:rsidP="00D24507">
      <w:pPr>
        <w:spacing w:after="240"/>
      </w:pPr>
      <w:r w:rsidRPr="006E60AF">
        <w:t xml:space="preserve">Between </w:t>
      </w:r>
      <w:r>
        <w:t>1970</w:t>
      </w:r>
      <w:r w:rsidRPr="006E60AF">
        <w:t xml:space="preserve"> and 2018</w:t>
      </w:r>
      <w:r>
        <w:t xml:space="preserve">, North Carolina has consistently seen growth each decade, having almost doubled its population during this time. While this </w:t>
      </w:r>
      <w:r w:rsidR="008A5ED3">
        <w:t xml:space="preserve">overall </w:t>
      </w:r>
      <w:r>
        <w:t>growth continu</w:t>
      </w:r>
      <w:r w:rsidR="008A5ED3">
        <w:t>es</w:t>
      </w:r>
      <w:r>
        <w:t xml:space="preserve">, growth appears to be slowing across all populations with the slowest rates expected in the approaching decade. This stagnation follows national </w:t>
      </w:r>
      <w:r w:rsidR="00F2735A">
        <w:t xml:space="preserve">historic </w:t>
      </w:r>
      <w:r>
        <w:t xml:space="preserve">trends of lower rates of natural growth (births/deaths) and immigration. Groups </w:t>
      </w:r>
      <w:r w:rsidR="00F2735A">
        <w:t>with</w:t>
      </w:r>
      <w:r>
        <w:t xml:space="preserve"> the highest rates</w:t>
      </w:r>
      <w:r w:rsidR="00F2735A">
        <w:t xml:space="preserve">, </w:t>
      </w:r>
      <w:r>
        <w:t>both historically and recently</w:t>
      </w:r>
      <w:r w:rsidR="00F2735A">
        <w:t>,</w:t>
      </w:r>
      <w:r>
        <w:t xml:space="preserve"> are Asians (35.6% between 2010 and 2018) and Hispanics (17.0%). </w:t>
      </w:r>
      <w:r w:rsidRPr="00AE68FA">
        <w:t xml:space="preserve">Areas </w:t>
      </w:r>
      <w:r w:rsidR="00F2735A">
        <w:t>with</w:t>
      </w:r>
      <w:r w:rsidRPr="00AE68FA">
        <w:t xml:space="preserve"> the largest population </w:t>
      </w:r>
      <w:r w:rsidR="00F2735A">
        <w:t>expansion</w:t>
      </w:r>
      <w:r w:rsidR="007541A5">
        <w:t>s</w:t>
      </w:r>
      <w:r w:rsidRPr="00AE68FA">
        <w:t xml:space="preserve"> are concentrated in and around the more densely populated cities in the Piedmont and Costal Plans regions. This includes the Research Triangle, Charlotte, and the coastal counties in the southernmost portion of the State. Population-declining </w:t>
      </w:r>
      <w:r>
        <w:t xml:space="preserve">areas </w:t>
      </w:r>
      <w:r w:rsidRPr="00AE68FA">
        <w:t xml:space="preserve">are generally rural and </w:t>
      </w:r>
      <w:r>
        <w:t>distant from</w:t>
      </w:r>
      <w:r w:rsidRPr="00AE68FA">
        <w:t xml:space="preserve"> major towns and cities.</w:t>
      </w:r>
    </w:p>
    <w:p w14:paraId="128710D3" w14:textId="77777777" w:rsidR="00D24507" w:rsidRDefault="00D24507" w:rsidP="00D24507">
      <w:pPr>
        <w:spacing w:after="240"/>
        <w:jc w:val="both"/>
      </w:pPr>
      <w:r>
        <w:t>Areas with the largest concentration of minorities are in the Inner Coastal Plains region of North Carolina, especially along the I-95 corridor. Anson County and Charlotte are also notable areas for having a high concentration of minorities. Montgomery, Lee, Sampson, and Duplin Counties are notable for having especially high Hispanic populations.</w:t>
      </w:r>
    </w:p>
    <w:p w14:paraId="629D220D" w14:textId="28EC5375" w:rsidR="00D24507" w:rsidRPr="006E60AF" w:rsidRDefault="00D24507" w:rsidP="00D24507">
      <w:pPr>
        <w:pStyle w:val="Caption"/>
        <w:rPr>
          <w:sz w:val="22"/>
        </w:rPr>
      </w:pPr>
      <w:r>
        <w:lastRenderedPageBreak/>
        <w:t xml:space="preserve">Figure </w:t>
      </w:r>
      <w:fldSimple w:instr=" SEQ Figure \* ARABIC ">
        <w:r w:rsidR="0055251A">
          <w:rPr>
            <w:noProof/>
          </w:rPr>
          <w:t>1</w:t>
        </w:r>
      </w:fldSimple>
      <w:r>
        <w:t xml:space="preserve"> Population Trends by Race/Ethnicity in North Carolina, 1970-2018</w:t>
      </w:r>
      <w:r>
        <w:rPr>
          <w:noProof/>
        </w:rPr>
        <w:drawing>
          <wp:inline distT="0" distB="0" distL="0" distR="0" wp14:anchorId="5C578DD2" wp14:editId="25E8A43B">
            <wp:extent cx="5943600" cy="3566160"/>
            <wp:effectExtent l="0" t="0" r="0" b="15240"/>
            <wp:docPr id="1" name="Chart 1">
              <a:extLst xmlns:a="http://schemas.openxmlformats.org/drawingml/2006/main">
                <a:ext uri="{FF2B5EF4-FFF2-40B4-BE49-F238E27FC236}">
                  <a16:creationId xmlns:a16="http://schemas.microsoft.com/office/drawing/2014/main" id="{0B062E0E-D560-4F1A-B0CB-0FBB7C198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p>
    <w:p w14:paraId="41303DCA" w14:textId="77777777" w:rsidR="00D24507" w:rsidRDefault="00D24507" w:rsidP="00D24507">
      <w:pPr>
        <w:jc w:val="both"/>
        <w:rPr>
          <w:sz w:val="16"/>
          <w:szCs w:val="16"/>
        </w:rPr>
      </w:pPr>
      <w:r w:rsidRPr="00C224EC">
        <w:rPr>
          <w:sz w:val="16"/>
          <w:szCs w:val="16"/>
        </w:rPr>
        <w:t>Source: U.S. Census Bureau 1970-2010; 2014-2018 American Community Survey B03002</w:t>
      </w:r>
    </w:p>
    <w:p w14:paraId="72BF4BE4" w14:textId="77777777" w:rsidR="00D24507" w:rsidRDefault="00D24507" w:rsidP="00D24507">
      <w:pPr>
        <w:pStyle w:val="Caption"/>
      </w:pPr>
    </w:p>
    <w:p w14:paraId="5FD89F42" w14:textId="77777777" w:rsidR="0039740D" w:rsidRDefault="0039740D" w:rsidP="00D24507">
      <w:pPr>
        <w:pStyle w:val="Caption"/>
      </w:pPr>
    </w:p>
    <w:p w14:paraId="2FCF5E0B" w14:textId="3111D46C" w:rsidR="00D24507" w:rsidRPr="00C224EC" w:rsidRDefault="00D24507" w:rsidP="00D24507">
      <w:pPr>
        <w:pStyle w:val="Caption"/>
      </w:pPr>
      <w:r>
        <w:t xml:space="preserve">Table </w:t>
      </w:r>
      <w:fldSimple w:instr=" SEQ Table \* ARABIC ">
        <w:r w:rsidR="0055251A">
          <w:rPr>
            <w:noProof/>
          </w:rPr>
          <w:t>1</w:t>
        </w:r>
      </w:fldSimple>
      <w:r>
        <w:t xml:space="preserve"> Population by Race/Ethnicity in North Carolina, 1970-2018</w:t>
      </w:r>
    </w:p>
    <w:tbl>
      <w:tblPr>
        <w:tblW w:w="9335" w:type="dxa"/>
        <w:tblLook w:val="04A0" w:firstRow="1" w:lastRow="0" w:firstColumn="1" w:lastColumn="0" w:noHBand="0" w:noVBand="1"/>
      </w:tblPr>
      <w:tblGrid>
        <w:gridCol w:w="1347"/>
        <w:gridCol w:w="1878"/>
        <w:gridCol w:w="1626"/>
        <w:gridCol w:w="1650"/>
        <w:gridCol w:w="1417"/>
        <w:gridCol w:w="1417"/>
      </w:tblGrid>
      <w:tr w:rsidR="00D24507" w:rsidRPr="00C224EC" w14:paraId="24F51229" w14:textId="77777777" w:rsidTr="006C2106">
        <w:trPr>
          <w:trHeight w:val="265"/>
        </w:trPr>
        <w:tc>
          <w:tcPr>
            <w:tcW w:w="1347"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41579B58" w14:textId="77777777" w:rsidR="00D24507" w:rsidRPr="00A64831" w:rsidRDefault="00D24507" w:rsidP="006C2106">
            <w:pPr>
              <w:jc w:val="center"/>
              <w:rPr>
                <w:rFonts w:ascii="Calibri" w:hAnsi="Calibri" w:cs="Calibri"/>
                <w:b/>
                <w:bCs/>
                <w:color w:val="FFFFFF"/>
                <w:sz w:val="22"/>
                <w:szCs w:val="22"/>
              </w:rPr>
            </w:pPr>
            <w:r w:rsidRPr="00A64831">
              <w:rPr>
                <w:rFonts w:ascii="Calibri" w:hAnsi="Calibri" w:cs="Calibri"/>
                <w:b/>
                <w:bCs/>
                <w:color w:val="FFFFFF"/>
                <w:sz w:val="22"/>
                <w:szCs w:val="22"/>
              </w:rPr>
              <w:t>Year</w:t>
            </w:r>
          </w:p>
        </w:tc>
        <w:tc>
          <w:tcPr>
            <w:tcW w:w="1878" w:type="dxa"/>
            <w:tcBorders>
              <w:top w:val="single" w:sz="4" w:space="0" w:color="auto"/>
              <w:left w:val="nil"/>
              <w:bottom w:val="single" w:sz="4" w:space="0" w:color="auto"/>
              <w:right w:val="single" w:sz="4" w:space="0" w:color="auto"/>
            </w:tcBorders>
            <w:shd w:val="clear" w:color="000000" w:fill="4472C4"/>
            <w:noWrap/>
            <w:vAlign w:val="bottom"/>
            <w:hideMark/>
          </w:tcPr>
          <w:p w14:paraId="58EF6685" w14:textId="77777777" w:rsidR="00D24507" w:rsidRPr="00A64831" w:rsidRDefault="00D24507" w:rsidP="006C2106">
            <w:pPr>
              <w:jc w:val="center"/>
              <w:rPr>
                <w:rFonts w:ascii="Calibri" w:hAnsi="Calibri" w:cs="Calibri"/>
                <w:b/>
                <w:bCs/>
                <w:color w:val="FFFFFF"/>
                <w:sz w:val="22"/>
                <w:szCs w:val="22"/>
              </w:rPr>
            </w:pPr>
            <w:r w:rsidRPr="00A64831">
              <w:rPr>
                <w:rFonts w:ascii="Calibri" w:hAnsi="Calibri" w:cs="Calibri"/>
                <w:b/>
                <w:bCs/>
                <w:color w:val="FFFFFF"/>
                <w:sz w:val="22"/>
                <w:szCs w:val="22"/>
              </w:rPr>
              <w:t>Statewide</w:t>
            </w:r>
          </w:p>
        </w:tc>
        <w:tc>
          <w:tcPr>
            <w:tcW w:w="1626" w:type="dxa"/>
            <w:tcBorders>
              <w:top w:val="single" w:sz="4" w:space="0" w:color="auto"/>
              <w:left w:val="nil"/>
              <w:bottom w:val="single" w:sz="4" w:space="0" w:color="auto"/>
              <w:right w:val="single" w:sz="4" w:space="0" w:color="auto"/>
            </w:tcBorders>
            <w:shd w:val="clear" w:color="000000" w:fill="4472C4"/>
            <w:noWrap/>
            <w:vAlign w:val="bottom"/>
            <w:hideMark/>
          </w:tcPr>
          <w:p w14:paraId="733CD734" w14:textId="77777777" w:rsidR="00D24507" w:rsidRPr="00A64831" w:rsidRDefault="00D24507" w:rsidP="006C2106">
            <w:pPr>
              <w:jc w:val="center"/>
              <w:rPr>
                <w:rFonts w:ascii="Calibri" w:hAnsi="Calibri" w:cs="Calibri"/>
                <w:b/>
                <w:bCs/>
                <w:color w:val="FFFFFF"/>
                <w:sz w:val="22"/>
                <w:szCs w:val="22"/>
              </w:rPr>
            </w:pPr>
            <w:r w:rsidRPr="00A64831">
              <w:rPr>
                <w:rFonts w:ascii="Calibri" w:hAnsi="Calibri" w:cs="Calibri"/>
                <w:b/>
                <w:bCs/>
                <w:color w:val="FFFFFF"/>
                <w:sz w:val="22"/>
                <w:szCs w:val="22"/>
              </w:rPr>
              <w:t>White</w:t>
            </w:r>
          </w:p>
        </w:tc>
        <w:tc>
          <w:tcPr>
            <w:tcW w:w="1650" w:type="dxa"/>
            <w:tcBorders>
              <w:top w:val="single" w:sz="4" w:space="0" w:color="auto"/>
              <w:left w:val="nil"/>
              <w:bottom w:val="single" w:sz="4" w:space="0" w:color="auto"/>
              <w:right w:val="single" w:sz="4" w:space="0" w:color="auto"/>
            </w:tcBorders>
            <w:shd w:val="clear" w:color="000000" w:fill="4472C4"/>
            <w:noWrap/>
            <w:vAlign w:val="bottom"/>
            <w:hideMark/>
          </w:tcPr>
          <w:p w14:paraId="0018CC66" w14:textId="77777777" w:rsidR="00D24507" w:rsidRPr="00A64831" w:rsidRDefault="00D24507" w:rsidP="006C2106">
            <w:pPr>
              <w:jc w:val="center"/>
              <w:rPr>
                <w:rFonts w:ascii="Calibri" w:hAnsi="Calibri" w:cs="Calibri"/>
                <w:b/>
                <w:bCs/>
                <w:color w:val="FFFFFF"/>
                <w:sz w:val="22"/>
                <w:szCs w:val="22"/>
              </w:rPr>
            </w:pPr>
            <w:r w:rsidRPr="00A64831">
              <w:rPr>
                <w:rFonts w:ascii="Calibri" w:hAnsi="Calibri" w:cs="Calibri"/>
                <w:b/>
                <w:bCs/>
                <w:color w:val="FFFFFF"/>
                <w:sz w:val="22"/>
                <w:szCs w:val="22"/>
              </w:rPr>
              <w:t>Black</w:t>
            </w:r>
          </w:p>
        </w:tc>
        <w:tc>
          <w:tcPr>
            <w:tcW w:w="1417" w:type="dxa"/>
            <w:tcBorders>
              <w:top w:val="single" w:sz="4" w:space="0" w:color="auto"/>
              <w:left w:val="nil"/>
              <w:bottom w:val="single" w:sz="4" w:space="0" w:color="auto"/>
              <w:right w:val="single" w:sz="4" w:space="0" w:color="auto"/>
            </w:tcBorders>
            <w:shd w:val="clear" w:color="000000" w:fill="4472C4"/>
            <w:noWrap/>
            <w:vAlign w:val="bottom"/>
            <w:hideMark/>
          </w:tcPr>
          <w:p w14:paraId="526604C0" w14:textId="77777777" w:rsidR="00D24507" w:rsidRPr="00A64831" w:rsidRDefault="00D24507" w:rsidP="006C2106">
            <w:pPr>
              <w:jc w:val="center"/>
              <w:rPr>
                <w:rFonts w:ascii="Calibri" w:hAnsi="Calibri" w:cs="Calibri"/>
                <w:b/>
                <w:bCs/>
                <w:color w:val="FFFFFF"/>
                <w:sz w:val="22"/>
                <w:szCs w:val="22"/>
              </w:rPr>
            </w:pPr>
            <w:r w:rsidRPr="00A64831">
              <w:rPr>
                <w:rFonts w:ascii="Calibri" w:hAnsi="Calibri" w:cs="Calibri"/>
                <w:b/>
                <w:bCs/>
                <w:color w:val="FFFFFF"/>
                <w:sz w:val="22"/>
                <w:szCs w:val="22"/>
              </w:rPr>
              <w:t>Asian</w:t>
            </w:r>
          </w:p>
        </w:tc>
        <w:tc>
          <w:tcPr>
            <w:tcW w:w="1417" w:type="dxa"/>
            <w:tcBorders>
              <w:top w:val="single" w:sz="4" w:space="0" w:color="auto"/>
              <w:left w:val="nil"/>
              <w:bottom w:val="single" w:sz="4" w:space="0" w:color="auto"/>
              <w:right w:val="single" w:sz="4" w:space="0" w:color="auto"/>
            </w:tcBorders>
            <w:shd w:val="clear" w:color="000000" w:fill="4472C4"/>
            <w:noWrap/>
            <w:vAlign w:val="bottom"/>
            <w:hideMark/>
          </w:tcPr>
          <w:p w14:paraId="2ED10D39" w14:textId="77777777" w:rsidR="00D24507" w:rsidRPr="00A64831"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w:t>
            </w:r>
            <w:r w:rsidRPr="00A64831">
              <w:rPr>
                <w:rFonts w:ascii="Calibri" w:hAnsi="Calibri" w:cs="Calibri"/>
                <w:b/>
                <w:bCs/>
                <w:color w:val="FFFFFF"/>
                <w:sz w:val="22"/>
                <w:szCs w:val="22"/>
              </w:rPr>
              <w:t>Hispanic</w:t>
            </w:r>
          </w:p>
        </w:tc>
      </w:tr>
      <w:tr w:rsidR="00D24507" w:rsidRPr="00C224EC" w14:paraId="2A4D99E1" w14:textId="77777777" w:rsidTr="006C2106">
        <w:trPr>
          <w:trHeight w:val="252"/>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68C66930"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1970</w:t>
            </w:r>
          </w:p>
        </w:tc>
        <w:tc>
          <w:tcPr>
            <w:tcW w:w="1878" w:type="dxa"/>
            <w:tcBorders>
              <w:top w:val="nil"/>
              <w:left w:val="nil"/>
              <w:bottom w:val="single" w:sz="4" w:space="0" w:color="auto"/>
              <w:right w:val="single" w:sz="4" w:space="0" w:color="auto"/>
            </w:tcBorders>
            <w:shd w:val="clear" w:color="auto" w:fill="auto"/>
            <w:noWrap/>
            <w:vAlign w:val="bottom"/>
            <w:hideMark/>
          </w:tcPr>
          <w:p w14:paraId="1EBE3C6B"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5,082,059</w:t>
            </w:r>
          </w:p>
        </w:tc>
        <w:tc>
          <w:tcPr>
            <w:tcW w:w="1626" w:type="dxa"/>
            <w:tcBorders>
              <w:top w:val="nil"/>
              <w:left w:val="nil"/>
              <w:bottom w:val="single" w:sz="4" w:space="0" w:color="auto"/>
              <w:right w:val="single" w:sz="4" w:space="0" w:color="auto"/>
            </w:tcBorders>
            <w:shd w:val="clear" w:color="auto" w:fill="auto"/>
            <w:noWrap/>
            <w:vAlign w:val="bottom"/>
            <w:hideMark/>
          </w:tcPr>
          <w:p w14:paraId="03209085"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3,901,767</w:t>
            </w:r>
          </w:p>
        </w:tc>
        <w:tc>
          <w:tcPr>
            <w:tcW w:w="1650" w:type="dxa"/>
            <w:tcBorders>
              <w:top w:val="nil"/>
              <w:left w:val="nil"/>
              <w:bottom w:val="single" w:sz="4" w:space="0" w:color="auto"/>
              <w:right w:val="single" w:sz="4" w:space="0" w:color="auto"/>
            </w:tcBorders>
            <w:shd w:val="clear" w:color="auto" w:fill="auto"/>
            <w:noWrap/>
            <w:vAlign w:val="bottom"/>
            <w:hideMark/>
          </w:tcPr>
          <w:p w14:paraId="1354E1E9"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1,180,292</w:t>
            </w:r>
          </w:p>
        </w:tc>
        <w:tc>
          <w:tcPr>
            <w:tcW w:w="1417" w:type="dxa"/>
            <w:tcBorders>
              <w:top w:val="nil"/>
              <w:left w:val="nil"/>
              <w:bottom w:val="single" w:sz="4" w:space="0" w:color="auto"/>
              <w:right w:val="single" w:sz="4" w:space="0" w:color="auto"/>
            </w:tcBorders>
            <w:shd w:val="clear" w:color="auto" w:fill="auto"/>
            <w:noWrap/>
            <w:vAlign w:val="bottom"/>
            <w:hideMark/>
          </w:tcPr>
          <w:p w14:paraId="3A6B65D7"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4,264</w:t>
            </w:r>
          </w:p>
        </w:tc>
        <w:tc>
          <w:tcPr>
            <w:tcW w:w="1417" w:type="dxa"/>
            <w:tcBorders>
              <w:top w:val="nil"/>
              <w:left w:val="nil"/>
              <w:bottom w:val="single" w:sz="4" w:space="0" w:color="auto"/>
              <w:right w:val="single" w:sz="4" w:space="0" w:color="auto"/>
            </w:tcBorders>
            <w:shd w:val="clear" w:color="auto" w:fill="auto"/>
            <w:noWrap/>
            <w:vAlign w:val="bottom"/>
            <w:hideMark/>
          </w:tcPr>
          <w:p w14:paraId="452EAA71"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w:t>
            </w:r>
          </w:p>
        </w:tc>
      </w:tr>
      <w:tr w:rsidR="00D24507" w:rsidRPr="00C224EC" w14:paraId="6108DE19" w14:textId="77777777" w:rsidTr="006C2106">
        <w:trPr>
          <w:trHeight w:val="252"/>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7E1504A2"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1980</w:t>
            </w:r>
          </w:p>
        </w:tc>
        <w:tc>
          <w:tcPr>
            <w:tcW w:w="1878" w:type="dxa"/>
            <w:tcBorders>
              <w:top w:val="nil"/>
              <w:left w:val="nil"/>
              <w:bottom w:val="single" w:sz="4" w:space="0" w:color="auto"/>
              <w:right w:val="single" w:sz="4" w:space="0" w:color="auto"/>
            </w:tcBorders>
            <w:shd w:val="clear" w:color="auto" w:fill="auto"/>
            <w:noWrap/>
            <w:vAlign w:val="bottom"/>
            <w:hideMark/>
          </w:tcPr>
          <w:p w14:paraId="075FA807"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5,881,766</w:t>
            </w:r>
          </w:p>
        </w:tc>
        <w:tc>
          <w:tcPr>
            <w:tcW w:w="1626" w:type="dxa"/>
            <w:tcBorders>
              <w:top w:val="nil"/>
              <w:left w:val="nil"/>
              <w:bottom w:val="single" w:sz="4" w:space="0" w:color="auto"/>
              <w:right w:val="single" w:sz="4" w:space="0" w:color="auto"/>
            </w:tcBorders>
            <w:shd w:val="clear" w:color="auto" w:fill="auto"/>
            <w:noWrap/>
            <w:vAlign w:val="bottom"/>
            <w:hideMark/>
          </w:tcPr>
          <w:p w14:paraId="7BBDBAAE"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4,457,507</w:t>
            </w:r>
          </w:p>
        </w:tc>
        <w:tc>
          <w:tcPr>
            <w:tcW w:w="1650" w:type="dxa"/>
            <w:tcBorders>
              <w:top w:val="nil"/>
              <w:left w:val="nil"/>
              <w:bottom w:val="single" w:sz="4" w:space="0" w:color="auto"/>
              <w:right w:val="single" w:sz="4" w:space="0" w:color="auto"/>
            </w:tcBorders>
            <w:shd w:val="clear" w:color="auto" w:fill="auto"/>
            <w:noWrap/>
            <w:vAlign w:val="bottom"/>
            <w:hideMark/>
          </w:tcPr>
          <w:p w14:paraId="38AF9082"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1,318,857</w:t>
            </w:r>
          </w:p>
        </w:tc>
        <w:tc>
          <w:tcPr>
            <w:tcW w:w="1417" w:type="dxa"/>
            <w:tcBorders>
              <w:top w:val="nil"/>
              <w:left w:val="nil"/>
              <w:bottom w:val="single" w:sz="4" w:space="0" w:color="auto"/>
              <w:right w:val="single" w:sz="4" w:space="0" w:color="auto"/>
            </w:tcBorders>
            <w:shd w:val="clear" w:color="auto" w:fill="auto"/>
            <w:noWrap/>
            <w:vAlign w:val="bottom"/>
            <w:hideMark/>
          </w:tcPr>
          <w:p w14:paraId="4247A943"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19,596</w:t>
            </w:r>
          </w:p>
        </w:tc>
        <w:tc>
          <w:tcPr>
            <w:tcW w:w="1417" w:type="dxa"/>
            <w:tcBorders>
              <w:top w:val="nil"/>
              <w:left w:val="nil"/>
              <w:bottom w:val="single" w:sz="4" w:space="0" w:color="auto"/>
              <w:right w:val="single" w:sz="4" w:space="0" w:color="auto"/>
            </w:tcBorders>
            <w:shd w:val="clear" w:color="auto" w:fill="auto"/>
            <w:noWrap/>
            <w:vAlign w:val="bottom"/>
            <w:hideMark/>
          </w:tcPr>
          <w:p w14:paraId="5235479B"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56,667</w:t>
            </w:r>
          </w:p>
        </w:tc>
      </w:tr>
      <w:tr w:rsidR="00D24507" w:rsidRPr="00C224EC" w14:paraId="1AABC09A" w14:textId="77777777" w:rsidTr="006C2106">
        <w:trPr>
          <w:trHeight w:val="252"/>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2C3D484A"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1990</w:t>
            </w:r>
          </w:p>
        </w:tc>
        <w:tc>
          <w:tcPr>
            <w:tcW w:w="1878" w:type="dxa"/>
            <w:tcBorders>
              <w:top w:val="nil"/>
              <w:left w:val="nil"/>
              <w:bottom w:val="single" w:sz="4" w:space="0" w:color="auto"/>
              <w:right w:val="single" w:sz="4" w:space="0" w:color="auto"/>
            </w:tcBorders>
            <w:shd w:val="clear" w:color="auto" w:fill="auto"/>
            <w:noWrap/>
            <w:vAlign w:val="bottom"/>
            <w:hideMark/>
          </w:tcPr>
          <w:p w14:paraId="460B053E"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6,628,637</w:t>
            </w:r>
          </w:p>
        </w:tc>
        <w:tc>
          <w:tcPr>
            <w:tcW w:w="1626" w:type="dxa"/>
            <w:tcBorders>
              <w:top w:val="nil"/>
              <w:left w:val="nil"/>
              <w:bottom w:val="single" w:sz="4" w:space="0" w:color="auto"/>
              <w:right w:val="single" w:sz="4" w:space="0" w:color="auto"/>
            </w:tcBorders>
            <w:shd w:val="clear" w:color="auto" w:fill="auto"/>
            <w:noWrap/>
            <w:vAlign w:val="bottom"/>
            <w:hideMark/>
          </w:tcPr>
          <w:p w14:paraId="2FD4E481"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5,008,491</w:t>
            </w:r>
          </w:p>
        </w:tc>
        <w:tc>
          <w:tcPr>
            <w:tcW w:w="1650" w:type="dxa"/>
            <w:tcBorders>
              <w:top w:val="nil"/>
              <w:left w:val="nil"/>
              <w:bottom w:val="single" w:sz="4" w:space="0" w:color="auto"/>
              <w:right w:val="single" w:sz="4" w:space="0" w:color="auto"/>
            </w:tcBorders>
            <w:shd w:val="clear" w:color="auto" w:fill="auto"/>
            <w:noWrap/>
            <w:vAlign w:val="bottom"/>
            <w:hideMark/>
          </w:tcPr>
          <w:p w14:paraId="154EFF8F"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1,456,323</w:t>
            </w:r>
          </w:p>
        </w:tc>
        <w:tc>
          <w:tcPr>
            <w:tcW w:w="1417" w:type="dxa"/>
            <w:tcBorders>
              <w:top w:val="nil"/>
              <w:left w:val="nil"/>
              <w:bottom w:val="single" w:sz="4" w:space="0" w:color="auto"/>
              <w:right w:val="single" w:sz="4" w:space="0" w:color="auto"/>
            </w:tcBorders>
            <w:shd w:val="clear" w:color="auto" w:fill="auto"/>
            <w:noWrap/>
            <w:vAlign w:val="bottom"/>
            <w:hideMark/>
          </w:tcPr>
          <w:p w14:paraId="12AECA7F"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52,166</w:t>
            </w:r>
          </w:p>
        </w:tc>
        <w:tc>
          <w:tcPr>
            <w:tcW w:w="1417" w:type="dxa"/>
            <w:tcBorders>
              <w:top w:val="nil"/>
              <w:left w:val="nil"/>
              <w:bottom w:val="single" w:sz="4" w:space="0" w:color="auto"/>
              <w:right w:val="single" w:sz="4" w:space="0" w:color="auto"/>
            </w:tcBorders>
            <w:shd w:val="clear" w:color="auto" w:fill="auto"/>
            <w:noWrap/>
            <w:vAlign w:val="bottom"/>
            <w:hideMark/>
          </w:tcPr>
          <w:p w14:paraId="569B30CB"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76,726</w:t>
            </w:r>
          </w:p>
        </w:tc>
      </w:tr>
      <w:tr w:rsidR="00D24507" w:rsidRPr="00C224EC" w14:paraId="720FA867" w14:textId="77777777" w:rsidTr="006C2106">
        <w:trPr>
          <w:trHeight w:val="252"/>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4A089A27"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bottom"/>
            <w:hideMark/>
          </w:tcPr>
          <w:p w14:paraId="470EAB93"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8,049,313</w:t>
            </w:r>
          </w:p>
        </w:tc>
        <w:tc>
          <w:tcPr>
            <w:tcW w:w="1626" w:type="dxa"/>
            <w:tcBorders>
              <w:top w:val="nil"/>
              <w:left w:val="nil"/>
              <w:bottom w:val="single" w:sz="4" w:space="0" w:color="auto"/>
              <w:right w:val="single" w:sz="4" w:space="0" w:color="auto"/>
            </w:tcBorders>
            <w:shd w:val="clear" w:color="auto" w:fill="auto"/>
            <w:noWrap/>
            <w:vAlign w:val="bottom"/>
            <w:hideMark/>
          </w:tcPr>
          <w:p w14:paraId="18D90557"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5,804,656</w:t>
            </w:r>
          </w:p>
        </w:tc>
        <w:tc>
          <w:tcPr>
            <w:tcW w:w="1650" w:type="dxa"/>
            <w:tcBorders>
              <w:top w:val="nil"/>
              <w:left w:val="nil"/>
              <w:bottom w:val="single" w:sz="4" w:space="0" w:color="auto"/>
              <w:right w:val="single" w:sz="4" w:space="0" w:color="auto"/>
            </w:tcBorders>
            <w:shd w:val="clear" w:color="auto" w:fill="auto"/>
            <w:noWrap/>
            <w:vAlign w:val="bottom"/>
            <w:hideMark/>
          </w:tcPr>
          <w:p w14:paraId="58AE9366"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1,737,545</w:t>
            </w:r>
          </w:p>
        </w:tc>
        <w:tc>
          <w:tcPr>
            <w:tcW w:w="1417" w:type="dxa"/>
            <w:tcBorders>
              <w:top w:val="nil"/>
              <w:left w:val="nil"/>
              <w:bottom w:val="single" w:sz="4" w:space="0" w:color="auto"/>
              <w:right w:val="single" w:sz="4" w:space="0" w:color="auto"/>
            </w:tcBorders>
            <w:shd w:val="clear" w:color="auto" w:fill="auto"/>
            <w:noWrap/>
            <w:vAlign w:val="bottom"/>
            <w:hideMark/>
          </w:tcPr>
          <w:p w14:paraId="3C59A41F"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113,689</w:t>
            </w:r>
          </w:p>
        </w:tc>
        <w:tc>
          <w:tcPr>
            <w:tcW w:w="1417" w:type="dxa"/>
            <w:tcBorders>
              <w:top w:val="nil"/>
              <w:left w:val="nil"/>
              <w:bottom w:val="single" w:sz="4" w:space="0" w:color="auto"/>
              <w:right w:val="single" w:sz="4" w:space="0" w:color="auto"/>
            </w:tcBorders>
            <w:shd w:val="clear" w:color="auto" w:fill="auto"/>
            <w:noWrap/>
            <w:vAlign w:val="bottom"/>
            <w:hideMark/>
          </w:tcPr>
          <w:p w14:paraId="55F9FA99"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378,963</w:t>
            </w:r>
          </w:p>
        </w:tc>
      </w:tr>
      <w:tr w:rsidR="00D24507" w:rsidRPr="00C224EC" w14:paraId="3C9BB5B3" w14:textId="77777777" w:rsidTr="006C2106">
        <w:trPr>
          <w:trHeight w:val="252"/>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5DBC7C0A"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2010</w:t>
            </w:r>
          </w:p>
        </w:tc>
        <w:tc>
          <w:tcPr>
            <w:tcW w:w="1878" w:type="dxa"/>
            <w:tcBorders>
              <w:top w:val="nil"/>
              <w:left w:val="nil"/>
              <w:bottom w:val="single" w:sz="4" w:space="0" w:color="auto"/>
              <w:right w:val="single" w:sz="4" w:space="0" w:color="auto"/>
            </w:tcBorders>
            <w:shd w:val="clear" w:color="auto" w:fill="auto"/>
            <w:noWrap/>
            <w:vAlign w:val="bottom"/>
            <w:hideMark/>
          </w:tcPr>
          <w:p w14:paraId="22EF78F5"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9,535,483</w:t>
            </w:r>
          </w:p>
        </w:tc>
        <w:tc>
          <w:tcPr>
            <w:tcW w:w="1626" w:type="dxa"/>
            <w:tcBorders>
              <w:top w:val="nil"/>
              <w:left w:val="nil"/>
              <w:bottom w:val="single" w:sz="4" w:space="0" w:color="auto"/>
              <w:right w:val="single" w:sz="4" w:space="0" w:color="auto"/>
            </w:tcBorders>
            <w:shd w:val="clear" w:color="auto" w:fill="auto"/>
            <w:noWrap/>
            <w:vAlign w:val="bottom"/>
            <w:hideMark/>
          </w:tcPr>
          <w:p w14:paraId="58000301"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6,223,995</w:t>
            </w:r>
          </w:p>
        </w:tc>
        <w:tc>
          <w:tcPr>
            <w:tcW w:w="1650" w:type="dxa"/>
            <w:tcBorders>
              <w:top w:val="nil"/>
              <w:left w:val="nil"/>
              <w:bottom w:val="single" w:sz="4" w:space="0" w:color="auto"/>
              <w:right w:val="single" w:sz="4" w:space="0" w:color="auto"/>
            </w:tcBorders>
            <w:shd w:val="clear" w:color="auto" w:fill="auto"/>
            <w:noWrap/>
            <w:vAlign w:val="bottom"/>
            <w:hideMark/>
          </w:tcPr>
          <w:p w14:paraId="13801974"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2,019,854</w:t>
            </w:r>
          </w:p>
        </w:tc>
        <w:tc>
          <w:tcPr>
            <w:tcW w:w="1417" w:type="dxa"/>
            <w:tcBorders>
              <w:top w:val="nil"/>
              <w:left w:val="nil"/>
              <w:bottom w:val="single" w:sz="4" w:space="0" w:color="auto"/>
              <w:right w:val="single" w:sz="4" w:space="0" w:color="auto"/>
            </w:tcBorders>
            <w:shd w:val="clear" w:color="auto" w:fill="auto"/>
            <w:noWrap/>
            <w:vAlign w:val="bottom"/>
            <w:hideMark/>
          </w:tcPr>
          <w:p w14:paraId="345D33AF"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206,579</w:t>
            </w:r>
          </w:p>
        </w:tc>
        <w:tc>
          <w:tcPr>
            <w:tcW w:w="1417" w:type="dxa"/>
            <w:tcBorders>
              <w:top w:val="nil"/>
              <w:left w:val="nil"/>
              <w:bottom w:val="single" w:sz="4" w:space="0" w:color="auto"/>
              <w:right w:val="single" w:sz="4" w:space="0" w:color="auto"/>
            </w:tcBorders>
            <w:shd w:val="clear" w:color="auto" w:fill="auto"/>
            <w:noWrap/>
            <w:vAlign w:val="bottom"/>
            <w:hideMark/>
          </w:tcPr>
          <w:p w14:paraId="7694916B"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800,120</w:t>
            </w:r>
          </w:p>
        </w:tc>
      </w:tr>
      <w:tr w:rsidR="00D24507" w:rsidRPr="00C224EC" w14:paraId="64D3D3C0" w14:textId="77777777" w:rsidTr="006C2106">
        <w:trPr>
          <w:trHeight w:val="265"/>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14:paraId="3C96695F" w14:textId="77777777" w:rsidR="00D24507" w:rsidRPr="00A64831" w:rsidRDefault="00D24507" w:rsidP="006C2106">
            <w:pPr>
              <w:jc w:val="center"/>
              <w:rPr>
                <w:rFonts w:ascii="Calibri" w:hAnsi="Calibri" w:cs="Calibri"/>
                <w:color w:val="000000"/>
                <w:sz w:val="22"/>
                <w:szCs w:val="22"/>
              </w:rPr>
            </w:pPr>
            <w:r w:rsidRPr="00A64831">
              <w:rPr>
                <w:rFonts w:ascii="Calibri" w:hAnsi="Calibri" w:cs="Calibri"/>
                <w:color w:val="000000"/>
                <w:sz w:val="22"/>
                <w:szCs w:val="22"/>
              </w:rPr>
              <w:t>2018</w:t>
            </w:r>
          </w:p>
        </w:tc>
        <w:tc>
          <w:tcPr>
            <w:tcW w:w="1878" w:type="dxa"/>
            <w:tcBorders>
              <w:top w:val="nil"/>
              <w:left w:val="nil"/>
              <w:bottom w:val="single" w:sz="4" w:space="0" w:color="auto"/>
              <w:right w:val="single" w:sz="4" w:space="0" w:color="auto"/>
            </w:tcBorders>
            <w:shd w:val="clear" w:color="auto" w:fill="auto"/>
            <w:noWrap/>
            <w:vAlign w:val="bottom"/>
            <w:hideMark/>
          </w:tcPr>
          <w:p w14:paraId="71553714"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10,155,624</w:t>
            </w:r>
          </w:p>
        </w:tc>
        <w:tc>
          <w:tcPr>
            <w:tcW w:w="1626" w:type="dxa"/>
            <w:tcBorders>
              <w:top w:val="nil"/>
              <w:left w:val="nil"/>
              <w:bottom w:val="single" w:sz="4" w:space="0" w:color="auto"/>
              <w:right w:val="single" w:sz="4" w:space="0" w:color="auto"/>
            </w:tcBorders>
            <w:shd w:val="clear" w:color="auto" w:fill="auto"/>
            <w:noWrap/>
            <w:vAlign w:val="bottom"/>
            <w:hideMark/>
          </w:tcPr>
          <w:p w14:paraId="6D2EE4BC"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6,433,039</w:t>
            </w:r>
          </w:p>
        </w:tc>
        <w:tc>
          <w:tcPr>
            <w:tcW w:w="1650" w:type="dxa"/>
            <w:tcBorders>
              <w:top w:val="nil"/>
              <w:left w:val="nil"/>
              <w:bottom w:val="single" w:sz="4" w:space="0" w:color="auto"/>
              <w:right w:val="single" w:sz="4" w:space="0" w:color="auto"/>
            </w:tcBorders>
            <w:shd w:val="clear" w:color="auto" w:fill="auto"/>
            <w:noWrap/>
            <w:vAlign w:val="bottom"/>
            <w:hideMark/>
          </w:tcPr>
          <w:p w14:paraId="3B0A04D8"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2,146,254</w:t>
            </w:r>
          </w:p>
        </w:tc>
        <w:tc>
          <w:tcPr>
            <w:tcW w:w="1417" w:type="dxa"/>
            <w:tcBorders>
              <w:top w:val="nil"/>
              <w:left w:val="nil"/>
              <w:bottom w:val="single" w:sz="4" w:space="0" w:color="auto"/>
              <w:right w:val="single" w:sz="4" w:space="0" w:color="auto"/>
            </w:tcBorders>
            <w:shd w:val="clear" w:color="auto" w:fill="auto"/>
            <w:noWrap/>
            <w:vAlign w:val="bottom"/>
            <w:hideMark/>
          </w:tcPr>
          <w:p w14:paraId="0A68B8C0"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280,059</w:t>
            </w:r>
          </w:p>
        </w:tc>
        <w:tc>
          <w:tcPr>
            <w:tcW w:w="1417" w:type="dxa"/>
            <w:tcBorders>
              <w:top w:val="nil"/>
              <w:left w:val="nil"/>
              <w:bottom w:val="single" w:sz="4" w:space="0" w:color="auto"/>
              <w:right w:val="single" w:sz="4" w:space="0" w:color="auto"/>
            </w:tcBorders>
            <w:shd w:val="clear" w:color="auto" w:fill="auto"/>
            <w:noWrap/>
            <w:vAlign w:val="bottom"/>
            <w:hideMark/>
          </w:tcPr>
          <w:p w14:paraId="6E844EE7" w14:textId="77777777" w:rsidR="00D24507" w:rsidRPr="00A64831" w:rsidRDefault="00D24507" w:rsidP="006C2106">
            <w:pPr>
              <w:jc w:val="right"/>
              <w:rPr>
                <w:rFonts w:ascii="Calibri" w:hAnsi="Calibri" w:cs="Calibri"/>
                <w:color w:val="000000"/>
                <w:sz w:val="22"/>
                <w:szCs w:val="22"/>
              </w:rPr>
            </w:pPr>
            <w:r w:rsidRPr="00A64831">
              <w:rPr>
                <w:rFonts w:ascii="Calibri" w:hAnsi="Calibri" w:cs="Calibri"/>
                <w:color w:val="000000"/>
                <w:sz w:val="22"/>
                <w:szCs w:val="22"/>
              </w:rPr>
              <w:t>935,950</w:t>
            </w:r>
          </w:p>
        </w:tc>
      </w:tr>
    </w:tbl>
    <w:p w14:paraId="2D6F52E1" w14:textId="77777777" w:rsidR="00D24507" w:rsidRDefault="00D24507" w:rsidP="00D24507">
      <w:pPr>
        <w:jc w:val="both"/>
        <w:rPr>
          <w:sz w:val="16"/>
          <w:szCs w:val="16"/>
        </w:rPr>
      </w:pPr>
      <w:r w:rsidRPr="00C224EC">
        <w:rPr>
          <w:sz w:val="16"/>
          <w:szCs w:val="16"/>
        </w:rPr>
        <w:t>Source: U.S. Census Bureau 1970-2010; 2014-2018 American Community Survey</w:t>
      </w:r>
      <w:r>
        <w:rPr>
          <w:sz w:val="16"/>
          <w:szCs w:val="16"/>
        </w:rPr>
        <w:t>:</w:t>
      </w:r>
      <w:r w:rsidRPr="00C224EC">
        <w:rPr>
          <w:sz w:val="16"/>
          <w:szCs w:val="16"/>
        </w:rPr>
        <w:t xml:space="preserve"> B03002</w:t>
      </w:r>
    </w:p>
    <w:p w14:paraId="22CB4B52" w14:textId="0BF7F4DD" w:rsidR="00D24507" w:rsidRDefault="00D24507" w:rsidP="00D24507">
      <w:pPr>
        <w:jc w:val="both"/>
        <w:rPr>
          <w:sz w:val="16"/>
          <w:szCs w:val="16"/>
        </w:rPr>
      </w:pPr>
      <w:r>
        <w:rPr>
          <w:sz w:val="16"/>
          <w:szCs w:val="16"/>
        </w:rPr>
        <w:t>*</w:t>
      </w:r>
      <w:r w:rsidRPr="00BE3492">
        <w:t xml:space="preserve"> </w:t>
      </w:r>
      <w:r w:rsidR="00C65695">
        <w:rPr>
          <w:sz w:val="16"/>
          <w:szCs w:val="16"/>
        </w:rPr>
        <w:t>N</w:t>
      </w:r>
      <w:r w:rsidRPr="00BE3492">
        <w:rPr>
          <w:sz w:val="16"/>
          <w:szCs w:val="16"/>
        </w:rPr>
        <w:t>ote that it was not until the 1980 census that all Americans were asked if they were of “Spanish/Hispanic Origin.”</w:t>
      </w:r>
    </w:p>
    <w:p w14:paraId="6C154A80" w14:textId="77777777" w:rsidR="00D24507" w:rsidRDefault="00D24507" w:rsidP="00D24507">
      <w:pPr>
        <w:jc w:val="both"/>
        <w:rPr>
          <w:sz w:val="16"/>
          <w:szCs w:val="16"/>
        </w:rPr>
      </w:pPr>
    </w:p>
    <w:p w14:paraId="22565F34" w14:textId="77777777" w:rsidR="0039740D" w:rsidRDefault="0039740D" w:rsidP="00D24507">
      <w:pPr>
        <w:pStyle w:val="Caption"/>
      </w:pPr>
    </w:p>
    <w:p w14:paraId="07D7F5CF" w14:textId="6A1A0998" w:rsidR="00D24507" w:rsidRDefault="00D24507" w:rsidP="00D24507">
      <w:pPr>
        <w:pStyle w:val="Caption"/>
      </w:pPr>
      <w:r>
        <w:t xml:space="preserve">Table </w:t>
      </w:r>
      <w:fldSimple w:instr=" SEQ Table \* ARABIC ">
        <w:r w:rsidR="0055251A">
          <w:rPr>
            <w:noProof/>
          </w:rPr>
          <w:t>2</w:t>
        </w:r>
      </w:fldSimple>
      <w:r>
        <w:t xml:space="preserve"> Population Growth by Race/Ethnicity in North Carolina, 1970-2018</w:t>
      </w:r>
    </w:p>
    <w:tbl>
      <w:tblPr>
        <w:tblW w:w="9336" w:type="dxa"/>
        <w:tblLook w:val="04A0" w:firstRow="1" w:lastRow="0" w:firstColumn="1" w:lastColumn="0" w:noHBand="0" w:noVBand="1"/>
      </w:tblPr>
      <w:tblGrid>
        <w:gridCol w:w="1345"/>
        <w:gridCol w:w="1890"/>
        <w:gridCol w:w="1620"/>
        <w:gridCol w:w="1620"/>
        <w:gridCol w:w="1440"/>
        <w:gridCol w:w="1421"/>
      </w:tblGrid>
      <w:tr w:rsidR="00D24507" w14:paraId="0B5F86C6" w14:textId="77777777" w:rsidTr="006C2106">
        <w:trPr>
          <w:trHeight w:val="271"/>
        </w:trPr>
        <w:tc>
          <w:tcPr>
            <w:tcW w:w="1345"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02FDA97F"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Year</w:t>
            </w:r>
          </w:p>
        </w:tc>
        <w:tc>
          <w:tcPr>
            <w:tcW w:w="1890" w:type="dxa"/>
            <w:tcBorders>
              <w:top w:val="single" w:sz="4" w:space="0" w:color="auto"/>
              <w:left w:val="nil"/>
              <w:bottom w:val="single" w:sz="4" w:space="0" w:color="auto"/>
              <w:right w:val="single" w:sz="4" w:space="0" w:color="auto"/>
            </w:tcBorders>
            <w:shd w:val="clear" w:color="000000" w:fill="4472C4"/>
            <w:noWrap/>
            <w:vAlign w:val="bottom"/>
            <w:hideMark/>
          </w:tcPr>
          <w:p w14:paraId="585C0F74"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Statewide</w:t>
            </w:r>
          </w:p>
        </w:tc>
        <w:tc>
          <w:tcPr>
            <w:tcW w:w="1620" w:type="dxa"/>
            <w:tcBorders>
              <w:top w:val="single" w:sz="4" w:space="0" w:color="auto"/>
              <w:left w:val="nil"/>
              <w:bottom w:val="single" w:sz="4" w:space="0" w:color="auto"/>
              <w:right w:val="single" w:sz="4" w:space="0" w:color="auto"/>
            </w:tcBorders>
            <w:shd w:val="clear" w:color="000000" w:fill="4472C4"/>
            <w:noWrap/>
            <w:vAlign w:val="bottom"/>
            <w:hideMark/>
          </w:tcPr>
          <w:p w14:paraId="5EC9B653"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White</w:t>
            </w:r>
          </w:p>
        </w:tc>
        <w:tc>
          <w:tcPr>
            <w:tcW w:w="1620" w:type="dxa"/>
            <w:tcBorders>
              <w:top w:val="single" w:sz="4" w:space="0" w:color="auto"/>
              <w:left w:val="nil"/>
              <w:bottom w:val="single" w:sz="4" w:space="0" w:color="auto"/>
              <w:right w:val="single" w:sz="4" w:space="0" w:color="auto"/>
            </w:tcBorders>
            <w:shd w:val="clear" w:color="000000" w:fill="4472C4"/>
            <w:noWrap/>
            <w:vAlign w:val="bottom"/>
            <w:hideMark/>
          </w:tcPr>
          <w:p w14:paraId="7B646F2E"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Black</w:t>
            </w:r>
          </w:p>
        </w:tc>
        <w:tc>
          <w:tcPr>
            <w:tcW w:w="1440" w:type="dxa"/>
            <w:tcBorders>
              <w:top w:val="single" w:sz="4" w:space="0" w:color="auto"/>
              <w:left w:val="nil"/>
              <w:bottom w:val="single" w:sz="4" w:space="0" w:color="auto"/>
              <w:right w:val="single" w:sz="4" w:space="0" w:color="auto"/>
            </w:tcBorders>
            <w:shd w:val="clear" w:color="000000" w:fill="4472C4"/>
            <w:noWrap/>
            <w:vAlign w:val="bottom"/>
            <w:hideMark/>
          </w:tcPr>
          <w:p w14:paraId="570A4087"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Asian</w:t>
            </w:r>
          </w:p>
        </w:tc>
        <w:tc>
          <w:tcPr>
            <w:tcW w:w="1421" w:type="dxa"/>
            <w:tcBorders>
              <w:top w:val="single" w:sz="4" w:space="0" w:color="auto"/>
              <w:left w:val="nil"/>
              <w:bottom w:val="single" w:sz="4" w:space="0" w:color="auto"/>
              <w:right w:val="single" w:sz="4" w:space="0" w:color="auto"/>
            </w:tcBorders>
            <w:shd w:val="clear" w:color="000000" w:fill="4472C4"/>
            <w:noWrap/>
            <w:vAlign w:val="bottom"/>
            <w:hideMark/>
          </w:tcPr>
          <w:p w14:paraId="3F5A6EF5"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Hispanic</w:t>
            </w:r>
          </w:p>
        </w:tc>
      </w:tr>
      <w:tr w:rsidR="00D24507" w14:paraId="58E00BFB" w14:textId="77777777" w:rsidTr="006C2106">
        <w:trPr>
          <w:trHeight w:val="258"/>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AC1FE45"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1970</w:t>
            </w:r>
          </w:p>
        </w:tc>
        <w:tc>
          <w:tcPr>
            <w:tcW w:w="1890" w:type="dxa"/>
            <w:tcBorders>
              <w:top w:val="nil"/>
              <w:left w:val="nil"/>
              <w:bottom w:val="single" w:sz="4" w:space="0" w:color="auto"/>
              <w:right w:val="single" w:sz="4" w:space="0" w:color="auto"/>
            </w:tcBorders>
            <w:shd w:val="clear" w:color="auto" w:fill="auto"/>
            <w:noWrap/>
            <w:vAlign w:val="bottom"/>
            <w:hideMark/>
          </w:tcPr>
          <w:p w14:paraId="2F447A94"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w:t>
            </w:r>
          </w:p>
        </w:tc>
        <w:tc>
          <w:tcPr>
            <w:tcW w:w="1620" w:type="dxa"/>
            <w:tcBorders>
              <w:top w:val="nil"/>
              <w:left w:val="nil"/>
              <w:bottom w:val="single" w:sz="4" w:space="0" w:color="auto"/>
              <w:right w:val="single" w:sz="4" w:space="0" w:color="auto"/>
            </w:tcBorders>
            <w:shd w:val="clear" w:color="auto" w:fill="auto"/>
            <w:noWrap/>
            <w:vAlign w:val="bottom"/>
            <w:hideMark/>
          </w:tcPr>
          <w:p w14:paraId="711F4D9D"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w:t>
            </w:r>
          </w:p>
        </w:tc>
        <w:tc>
          <w:tcPr>
            <w:tcW w:w="1620" w:type="dxa"/>
            <w:tcBorders>
              <w:top w:val="nil"/>
              <w:left w:val="nil"/>
              <w:bottom w:val="single" w:sz="4" w:space="0" w:color="auto"/>
              <w:right w:val="single" w:sz="4" w:space="0" w:color="auto"/>
            </w:tcBorders>
            <w:shd w:val="clear" w:color="auto" w:fill="auto"/>
            <w:noWrap/>
            <w:vAlign w:val="bottom"/>
            <w:hideMark/>
          </w:tcPr>
          <w:p w14:paraId="58F175AC"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w:t>
            </w:r>
          </w:p>
        </w:tc>
        <w:tc>
          <w:tcPr>
            <w:tcW w:w="1440" w:type="dxa"/>
            <w:tcBorders>
              <w:top w:val="nil"/>
              <w:left w:val="nil"/>
              <w:bottom w:val="single" w:sz="4" w:space="0" w:color="auto"/>
              <w:right w:val="single" w:sz="4" w:space="0" w:color="auto"/>
            </w:tcBorders>
            <w:shd w:val="clear" w:color="auto" w:fill="auto"/>
            <w:noWrap/>
            <w:vAlign w:val="bottom"/>
            <w:hideMark/>
          </w:tcPr>
          <w:p w14:paraId="423C2838"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w:t>
            </w:r>
          </w:p>
        </w:tc>
        <w:tc>
          <w:tcPr>
            <w:tcW w:w="1421" w:type="dxa"/>
            <w:tcBorders>
              <w:top w:val="nil"/>
              <w:left w:val="nil"/>
              <w:bottom w:val="single" w:sz="4" w:space="0" w:color="auto"/>
              <w:right w:val="single" w:sz="4" w:space="0" w:color="auto"/>
            </w:tcBorders>
            <w:shd w:val="clear" w:color="auto" w:fill="auto"/>
            <w:noWrap/>
            <w:vAlign w:val="bottom"/>
            <w:hideMark/>
          </w:tcPr>
          <w:p w14:paraId="18DFB2EE"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w:t>
            </w:r>
          </w:p>
        </w:tc>
      </w:tr>
      <w:tr w:rsidR="00D24507" w14:paraId="04125DF2" w14:textId="77777777" w:rsidTr="006C2106">
        <w:trPr>
          <w:trHeight w:val="258"/>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6388CE1"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1980</w:t>
            </w:r>
          </w:p>
        </w:tc>
        <w:tc>
          <w:tcPr>
            <w:tcW w:w="1890" w:type="dxa"/>
            <w:tcBorders>
              <w:top w:val="nil"/>
              <w:left w:val="nil"/>
              <w:bottom w:val="single" w:sz="4" w:space="0" w:color="auto"/>
              <w:right w:val="single" w:sz="4" w:space="0" w:color="auto"/>
            </w:tcBorders>
            <w:shd w:val="clear" w:color="auto" w:fill="auto"/>
            <w:noWrap/>
            <w:vAlign w:val="bottom"/>
            <w:hideMark/>
          </w:tcPr>
          <w:p w14:paraId="62814E68"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+15.7%</w:t>
            </w:r>
          </w:p>
        </w:tc>
        <w:tc>
          <w:tcPr>
            <w:tcW w:w="1620" w:type="dxa"/>
            <w:tcBorders>
              <w:top w:val="nil"/>
              <w:left w:val="nil"/>
              <w:bottom w:val="single" w:sz="4" w:space="0" w:color="auto"/>
              <w:right w:val="single" w:sz="4" w:space="0" w:color="auto"/>
            </w:tcBorders>
            <w:shd w:val="clear" w:color="auto" w:fill="auto"/>
            <w:noWrap/>
            <w:vAlign w:val="bottom"/>
            <w:hideMark/>
          </w:tcPr>
          <w:p w14:paraId="15A9CE3D"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+14.2%</w:t>
            </w:r>
          </w:p>
        </w:tc>
        <w:tc>
          <w:tcPr>
            <w:tcW w:w="1620" w:type="dxa"/>
            <w:tcBorders>
              <w:top w:val="nil"/>
              <w:left w:val="nil"/>
              <w:bottom w:val="single" w:sz="4" w:space="0" w:color="auto"/>
              <w:right w:val="single" w:sz="4" w:space="0" w:color="auto"/>
            </w:tcBorders>
            <w:shd w:val="clear" w:color="auto" w:fill="auto"/>
            <w:noWrap/>
            <w:vAlign w:val="bottom"/>
            <w:hideMark/>
          </w:tcPr>
          <w:p w14:paraId="2E59C790"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+11.7%</w:t>
            </w:r>
          </w:p>
        </w:tc>
        <w:tc>
          <w:tcPr>
            <w:tcW w:w="1440" w:type="dxa"/>
            <w:tcBorders>
              <w:top w:val="nil"/>
              <w:left w:val="nil"/>
              <w:bottom w:val="single" w:sz="4" w:space="0" w:color="auto"/>
              <w:right w:val="single" w:sz="4" w:space="0" w:color="auto"/>
            </w:tcBorders>
            <w:shd w:val="clear" w:color="auto" w:fill="auto"/>
            <w:noWrap/>
            <w:vAlign w:val="bottom"/>
            <w:hideMark/>
          </w:tcPr>
          <w:p w14:paraId="4549AB24"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+359.6%</w:t>
            </w:r>
          </w:p>
        </w:tc>
        <w:tc>
          <w:tcPr>
            <w:tcW w:w="1421" w:type="dxa"/>
            <w:tcBorders>
              <w:top w:val="nil"/>
              <w:left w:val="nil"/>
              <w:bottom w:val="single" w:sz="4" w:space="0" w:color="auto"/>
              <w:right w:val="single" w:sz="4" w:space="0" w:color="auto"/>
            </w:tcBorders>
            <w:shd w:val="clear" w:color="auto" w:fill="auto"/>
            <w:noWrap/>
            <w:vAlign w:val="bottom"/>
            <w:hideMark/>
          </w:tcPr>
          <w:p w14:paraId="36375706"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w:t>
            </w:r>
          </w:p>
        </w:tc>
      </w:tr>
      <w:tr w:rsidR="00D24507" w14:paraId="186B87D2" w14:textId="77777777" w:rsidTr="006C2106">
        <w:trPr>
          <w:trHeight w:val="258"/>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FAABB72"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1990</w:t>
            </w:r>
          </w:p>
        </w:tc>
        <w:tc>
          <w:tcPr>
            <w:tcW w:w="1890" w:type="dxa"/>
            <w:tcBorders>
              <w:top w:val="nil"/>
              <w:left w:val="nil"/>
              <w:bottom w:val="single" w:sz="4" w:space="0" w:color="auto"/>
              <w:right w:val="single" w:sz="4" w:space="0" w:color="auto"/>
            </w:tcBorders>
            <w:shd w:val="clear" w:color="auto" w:fill="auto"/>
            <w:noWrap/>
            <w:vAlign w:val="bottom"/>
            <w:hideMark/>
          </w:tcPr>
          <w:p w14:paraId="63E5D689"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+12.7%</w:t>
            </w:r>
          </w:p>
        </w:tc>
        <w:tc>
          <w:tcPr>
            <w:tcW w:w="1620" w:type="dxa"/>
            <w:tcBorders>
              <w:top w:val="nil"/>
              <w:left w:val="nil"/>
              <w:bottom w:val="single" w:sz="4" w:space="0" w:color="auto"/>
              <w:right w:val="single" w:sz="4" w:space="0" w:color="auto"/>
            </w:tcBorders>
            <w:shd w:val="clear" w:color="auto" w:fill="auto"/>
            <w:noWrap/>
            <w:vAlign w:val="bottom"/>
            <w:hideMark/>
          </w:tcPr>
          <w:p w14:paraId="0364229C"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+12.4%</w:t>
            </w:r>
          </w:p>
        </w:tc>
        <w:tc>
          <w:tcPr>
            <w:tcW w:w="1620" w:type="dxa"/>
            <w:tcBorders>
              <w:top w:val="nil"/>
              <w:left w:val="nil"/>
              <w:bottom w:val="single" w:sz="4" w:space="0" w:color="auto"/>
              <w:right w:val="single" w:sz="4" w:space="0" w:color="auto"/>
            </w:tcBorders>
            <w:shd w:val="clear" w:color="auto" w:fill="auto"/>
            <w:noWrap/>
            <w:vAlign w:val="bottom"/>
            <w:hideMark/>
          </w:tcPr>
          <w:p w14:paraId="3390702C"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+10.4%</w:t>
            </w:r>
          </w:p>
        </w:tc>
        <w:tc>
          <w:tcPr>
            <w:tcW w:w="1440" w:type="dxa"/>
            <w:tcBorders>
              <w:top w:val="nil"/>
              <w:left w:val="nil"/>
              <w:bottom w:val="single" w:sz="4" w:space="0" w:color="auto"/>
              <w:right w:val="single" w:sz="4" w:space="0" w:color="auto"/>
            </w:tcBorders>
            <w:shd w:val="clear" w:color="auto" w:fill="auto"/>
            <w:noWrap/>
            <w:vAlign w:val="bottom"/>
            <w:hideMark/>
          </w:tcPr>
          <w:p w14:paraId="472C15FC"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+166.2%</w:t>
            </w:r>
          </w:p>
        </w:tc>
        <w:tc>
          <w:tcPr>
            <w:tcW w:w="1421" w:type="dxa"/>
            <w:tcBorders>
              <w:top w:val="nil"/>
              <w:left w:val="nil"/>
              <w:bottom w:val="single" w:sz="4" w:space="0" w:color="auto"/>
              <w:right w:val="single" w:sz="4" w:space="0" w:color="auto"/>
            </w:tcBorders>
            <w:shd w:val="clear" w:color="auto" w:fill="auto"/>
            <w:noWrap/>
            <w:vAlign w:val="bottom"/>
            <w:hideMark/>
          </w:tcPr>
          <w:p w14:paraId="015441C3"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+35.4%</w:t>
            </w:r>
          </w:p>
        </w:tc>
      </w:tr>
      <w:tr w:rsidR="00D24507" w14:paraId="41AB4EC8" w14:textId="77777777" w:rsidTr="006C2106">
        <w:trPr>
          <w:trHeight w:val="258"/>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0463CAF"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2000</w:t>
            </w:r>
          </w:p>
        </w:tc>
        <w:tc>
          <w:tcPr>
            <w:tcW w:w="1890" w:type="dxa"/>
            <w:tcBorders>
              <w:top w:val="nil"/>
              <w:left w:val="nil"/>
              <w:bottom w:val="single" w:sz="4" w:space="0" w:color="auto"/>
              <w:right w:val="single" w:sz="4" w:space="0" w:color="auto"/>
            </w:tcBorders>
            <w:shd w:val="clear" w:color="auto" w:fill="auto"/>
            <w:noWrap/>
            <w:vAlign w:val="bottom"/>
            <w:hideMark/>
          </w:tcPr>
          <w:p w14:paraId="5192F029"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+21.4%</w:t>
            </w:r>
          </w:p>
        </w:tc>
        <w:tc>
          <w:tcPr>
            <w:tcW w:w="1620" w:type="dxa"/>
            <w:tcBorders>
              <w:top w:val="nil"/>
              <w:left w:val="nil"/>
              <w:bottom w:val="single" w:sz="4" w:space="0" w:color="auto"/>
              <w:right w:val="single" w:sz="4" w:space="0" w:color="auto"/>
            </w:tcBorders>
            <w:shd w:val="clear" w:color="auto" w:fill="auto"/>
            <w:noWrap/>
            <w:vAlign w:val="bottom"/>
            <w:hideMark/>
          </w:tcPr>
          <w:p w14:paraId="0D142A64"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+15.9%</w:t>
            </w:r>
          </w:p>
        </w:tc>
        <w:tc>
          <w:tcPr>
            <w:tcW w:w="1620" w:type="dxa"/>
            <w:tcBorders>
              <w:top w:val="nil"/>
              <w:left w:val="nil"/>
              <w:bottom w:val="single" w:sz="4" w:space="0" w:color="auto"/>
              <w:right w:val="single" w:sz="4" w:space="0" w:color="auto"/>
            </w:tcBorders>
            <w:shd w:val="clear" w:color="auto" w:fill="auto"/>
            <w:noWrap/>
            <w:vAlign w:val="bottom"/>
            <w:hideMark/>
          </w:tcPr>
          <w:p w14:paraId="59AAFB78"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+19.3%</w:t>
            </w:r>
          </w:p>
        </w:tc>
        <w:tc>
          <w:tcPr>
            <w:tcW w:w="1440" w:type="dxa"/>
            <w:tcBorders>
              <w:top w:val="nil"/>
              <w:left w:val="nil"/>
              <w:bottom w:val="single" w:sz="4" w:space="0" w:color="auto"/>
              <w:right w:val="single" w:sz="4" w:space="0" w:color="auto"/>
            </w:tcBorders>
            <w:shd w:val="clear" w:color="auto" w:fill="auto"/>
            <w:noWrap/>
            <w:vAlign w:val="bottom"/>
            <w:hideMark/>
          </w:tcPr>
          <w:p w14:paraId="0F7E0CD4"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+117.9%</w:t>
            </w:r>
          </w:p>
        </w:tc>
        <w:tc>
          <w:tcPr>
            <w:tcW w:w="1421" w:type="dxa"/>
            <w:tcBorders>
              <w:top w:val="nil"/>
              <w:left w:val="nil"/>
              <w:bottom w:val="single" w:sz="4" w:space="0" w:color="auto"/>
              <w:right w:val="single" w:sz="4" w:space="0" w:color="auto"/>
            </w:tcBorders>
            <w:shd w:val="clear" w:color="auto" w:fill="auto"/>
            <w:noWrap/>
            <w:vAlign w:val="bottom"/>
            <w:hideMark/>
          </w:tcPr>
          <w:p w14:paraId="71BED982"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+393.9%</w:t>
            </w:r>
          </w:p>
        </w:tc>
      </w:tr>
      <w:tr w:rsidR="00D24507" w14:paraId="778B9C46" w14:textId="77777777" w:rsidTr="006C2106">
        <w:trPr>
          <w:trHeight w:val="258"/>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3FA208D"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2010</w:t>
            </w:r>
          </w:p>
        </w:tc>
        <w:tc>
          <w:tcPr>
            <w:tcW w:w="1890" w:type="dxa"/>
            <w:tcBorders>
              <w:top w:val="nil"/>
              <w:left w:val="nil"/>
              <w:bottom w:val="single" w:sz="4" w:space="0" w:color="auto"/>
              <w:right w:val="single" w:sz="4" w:space="0" w:color="auto"/>
            </w:tcBorders>
            <w:shd w:val="clear" w:color="auto" w:fill="auto"/>
            <w:noWrap/>
            <w:vAlign w:val="bottom"/>
            <w:hideMark/>
          </w:tcPr>
          <w:p w14:paraId="0DBFAF85"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+18.5%</w:t>
            </w:r>
          </w:p>
        </w:tc>
        <w:tc>
          <w:tcPr>
            <w:tcW w:w="1620" w:type="dxa"/>
            <w:tcBorders>
              <w:top w:val="nil"/>
              <w:left w:val="nil"/>
              <w:bottom w:val="single" w:sz="4" w:space="0" w:color="auto"/>
              <w:right w:val="single" w:sz="4" w:space="0" w:color="auto"/>
            </w:tcBorders>
            <w:shd w:val="clear" w:color="auto" w:fill="auto"/>
            <w:noWrap/>
            <w:vAlign w:val="bottom"/>
            <w:hideMark/>
          </w:tcPr>
          <w:p w14:paraId="0DBD432F"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+7.2%</w:t>
            </w:r>
          </w:p>
        </w:tc>
        <w:tc>
          <w:tcPr>
            <w:tcW w:w="1620" w:type="dxa"/>
            <w:tcBorders>
              <w:top w:val="nil"/>
              <w:left w:val="nil"/>
              <w:bottom w:val="single" w:sz="4" w:space="0" w:color="auto"/>
              <w:right w:val="single" w:sz="4" w:space="0" w:color="auto"/>
            </w:tcBorders>
            <w:shd w:val="clear" w:color="auto" w:fill="auto"/>
            <w:noWrap/>
            <w:vAlign w:val="bottom"/>
            <w:hideMark/>
          </w:tcPr>
          <w:p w14:paraId="30C70897"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+16.2%</w:t>
            </w:r>
          </w:p>
        </w:tc>
        <w:tc>
          <w:tcPr>
            <w:tcW w:w="1440" w:type="dxa"/>
            <w:tcBorders>
              <w:top w:val="nil"/>
              <w:left w:val="nil"/>
              <w:bottom w:val="single" w:sz="4" w:space="0" w:color="auto"/>
              <w:right w:val="single" w:sz="4" w:space="0" w:color="auto"/>
            </w:tcBorders>
            <w:shd w:val="clear" w:color="auto" w:fill="auto"/>
            <w:noWrap/>
            <w:vAlign w:val="bottom"/>
            <w:hideMark/>
          </w:tcPr>
          <w:p w14:paraId="5EA14A44"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+81.7%</w:t>
            </w:r>
          </w:p>
        </w:tc>
        <w:tc>
          <w:tcPr>
            <w:tcW w:w="1421" w:type="dxa"/>
            <w:tcBorders>
              <w:top w:val="nil"/>
              <w:left w:val="nil"/>
              <w:bottom w:val="single" w:sz="4" w:space="0" w:color="auto"/>
              <w:right w:val="single" w:sz="4" w:space="0" w:color="auto"/>
            </w:tcBorders>
            <w:shd w:val="clear" w:color="auto" w:fill="auto"/>
            <w:noWrap/>
            <w:vAlign w:val="bottom"/>
            <w:hideMark/>
          </w:tcPr>
          <w:p w14:paraId="6CAB027E"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+111.1%</w:t>
            </w:r>
          </w:p>
        </w:tc>
      </w:tr>
      <w:tr w:rsidR="00D24507" w14:paraId="3667BCD6" w14:textId="77777777" w:rsidTr="006C2106">
        <w:trPr>
          <w:trHeight w:val="271"/>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1F7170D"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2018</w:t>
            </w:r>
          </w:p>
        </w:tc>
        <w:tc>
          <w:tcPr>
            <w:tcW w:w="1890" w:type="dxa"/>
            <w:tcBorders>
              <w:top w:val="nil"/>
              <w:left w:val="nil"/>
              <w:bottom w:val="single" w:sz="4" w:space="0" w:color="auto"/>
              <w:right w:val="single" w:sz="4" w:space="0" w:color="auto"/>
            </w:tcBorders>
            <w:shd w:val="clear" w:color="auto" w:fill="auto"/>
            <w:noWrap/>
            <w:vAlign w:val="bottom"/>
            <w:hideMark/>
          </w:tcPr>
          <w:p w14:paraId="3F3C1DAC"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+6.5%</w:t>
            </w:r>
          </w:p>
        </w:tc>
        <w:tc>
          <w:tcPr>
            <w:tcW w:w="1620" w:type="dxa"/>
            <w:tcBorders>
              <w:top w:val="nil"/>
              <w:left w:val="nil"/>
              <w:bottom w:val="single" w:sz="4" w:space="0" w:color="auto"/>
              <w:right w:val="single" w:sz="4" w:space="0" w:color="auto"/>
            </w:tcBorders>
            <w:shd w:val="clear" w:color="auto" w:fill="auto"/>
            <w:noWrap/>
            <w:vAlign w:val="bottom"/>
            <w:hideMark/>
          </w:tcPr>
          <w:p w14:paraId="004B220F"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+3.4%</w:t>
            </w:r>
          </w:p>
        </w:tc>
        <w:tc>
          <w:tcPr>
            <w:tcW w:w="1620" w:type="dxa"/>
            <w:tcBorders>
              <w:top w:val="nil"/>
              <w:left w:val="nil"/>
              <w:bottom w:val="single" w:sz="4" w:space="0" w:color="auto"/>
              <w:right w:val="single" w:sz="4" w:space="0" w:color="auto"/>
            </w:tcBorders>
            <w:shd w:val="clear" w:color="auto" w:fill="auto"/>
            <w:noWrap/>
            <w:vAlign w:val="bottom"/>
            <w:hideMark/>
          </w:tcPr>
          <w:p w14:paraId="5D66535E"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+6.3%</w:t>
            </w:r>
          </w:p>
        </w:tc>
        <w:tc>
          <w:tcPr>
            <w:tcW w:w="1440" w:type="dxa"/>
            <w:tcBorders>
              <w:top w:val="nil"/>
              <w:left w:val="nil"/>
              <w:bottom w:val="single" w:sz="4" w:space="0" w:color="auto"/>
              <w:right w:val="single" w:sz="4" w:space="0" w:color="auto"/>
            </w:tcBorders>
            <w:shd w:val="clear" w:color="auto" w:fill="auto"/>
            <w:noWrap/>
            <w:vAlign w:val="bottom"/>
            <w:hideMark/>
          </w:tcPr>
          <w:p w14:paraId="399926A6"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+35.6%</w:t>
            </w:r>
          </w:p>
        </w:tc>
        <w:tc>
          <w:tcPr>
            <w:tcW w:w="1421" w:type="dxa"/>
            <w:tcBorders>
              <w:top w:val="nil"/>
              <w:left w:val="nil"/>
              <w:bottom w:val="single" w:sz="4" w:space="0" w:color="auto"/>
              <w:right w:val="single" w:sz="4" w:space="0" w:color="auto"/>
            </w:tcBorders>
            <w:shd w:val="clear" w:color="auto" w:fill="auto"/>
            <w:noWrap/>
            <w:vAlign w:val="bottom"/>
            <w:hideMark/>
          </w:tcPr>
          <w:p w14:paraId="436C8CF0"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+17.0%</w:t>
            </w:r>
          </w:p>
        </w:tc>
      </w:tr>
    </w:tbl>
    <w:p w14:paraId="44C43BED" w14:textId="77777777" w:rsidR="00D24507" w:rsidRDefault="00D24507" w:rsidP="00D24507">
      <w:pPr>
        <w:jc w:val="both"/>
        <w:rPr>
          <w:sz w:val="16"/>
          <w:szCs w:val="16"/>
        </w:rPr>
      </w:pPr>
      <w:r w:rsidRPr="00C224EC">
        <w:rPr>
          <w:sz w:val="16"/>
          <w:szCs w:val="16"/>
        </w:rPr>
        <w:t>Source: U.S. Census Bureau 1970-2010; 2014-2018 American Community Survey</w:t>
      </w:r>
      <w:r>
        <w:rPr>
          <w:sz w:val="16"/>
          <w:szCs w:val="16"/>
        </w:rPr>
        <w:t>:</w:t>
      </w:r>
      <w:r w:rsidRPr="00C224EC">
        <w:rPr>
          <w:sz w:val="16"/>
          <w:szCs w:val="16"/>
        </w:rPr>
        <w:t xml:space="preserve"> B03002</w:t>
      </w:r>
    </w:p>
    <w:p w14:paraId="373BD94D" w14:textId="77777777" w:rsidR="00D24507" w:rsidRPr="00C224EC" w:rsidRDefault="00D24507" w:rsidP="00D24507">
      <w:pPr>
        <w:jc w:val="both"/>
        <w:rPr>
          <w:sz w:val="16"/>
          <w:szCs w:val="16"/>
        </w:rPr>
      </w:pPr>
    </w:p>
    <w:p w14:paraId="0E0C2F86" w14:textId="77777777" w:rsidR="00D24507" w:rsidRDefault="00D24507" w:rsidP="00D24507">
      <w:pPr>
        <w:spacing w:after="160" w:line="276" w:lineRule="auto"/>
        <w:rPr>
          <w:b/>
          <w:bCs/>
          <w:color w:val="404040" w:themeColor="text1" w:themeTint="BF"/>
          <w:sz w:val="16"/>
          <w:szCs w:val="16"/>
        </w:rPr>
      </w:pPr>
      <w:r>
        <w:br w:type="page"/>
      </w:r>
    </w:p>
    <w:p w14:paraId="0487E546" w14:textId="2370EC59" w:rsidR="00D24507" w:rsidRDefault="00D24507" w:rsidP="00D24507">
      <w:pPr>
        <w:pStyle w:val="Caption"/>
      </w:pPr>
      <w:r>
        <w:lastRenderedPageBreak/>
        <w:t xml:space="preserve">Map </w:t>
      </w:r>
      <w:fldSimple w:instr=" SEQ Map \* ARABIC ">
        <w:r w:rsidR="0055251A">
          <w:rPr>
            <w:noProof/>
          </w:rPr>
          <w:t>2</w:t>
        </w:r>
      </w:fldSimple>
      <w:r>
        <w:t xml:space="preserve"> Population Change, 2010-2018</w:t>
      </w:r>
    </w:p>
    <w:p w14:paraId="6C736DBE" w14:textId="77777777" w:rsidR="00D24507" w:rsidRDefault="00D24507" w:rsidP="00D24507">
      <w:pPr>
        <w:rPr>
          <w:sz w:val="16"/>
          <w:szCs w:val="16"/>
        </w:rPr>
      </w:pPr>
      <w:r>
        <w:rPr>
          <w:noProof/>
        </w:rPr>
        <w:drawing>
          <wp:anchor distT="0" distB="0" distL="114300" distR="114300" simplePos="0" relativeHeight="251662336" behindDoc="0" locked="0" layoutInCell="1" allowOverlap="1" wp14:anchorId="68F13755" wp14:editId="08E4B829">
            <wp:simplePos x="0" y="0"/>
            <wp:positionH relativeFrom="column">
              <wp:posOffset>0</wp:posOffset>
            </wp:positionH>
            <wp:positionV relativeFrom="paragraph">
              <wp:posOffset>0</wp:posOffset>
            </wp:positionV>
            <wp:extent cx="5934710" cy="2967355"/>
            <wp:effectExtent l="0" t="0" r="889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EB3">
        <w:rPr>
          <w:sz w:val="16"/>
          <w:szCs w:val="16"/>
        </w:rPr>
        <w:t xml:space="preserve"> </w:t>
      </w: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B030032</w:t>
      </w:r>
    </w:p>
    <w:p w14:paraId="2345FE86" w14:textId="77777777" w:rsidR="00D24507" w:rsidRDefault="00D24507" w:rsidP="00D24507">
      <w:r>
        <w:t xml:space="preserve"> </w:t>
      </w:r>
    </w:p>
    <w:p w14:paraId="1922AE94" w14:textId="77777777" w:rsidR="0039740D" w:rsidRDefault="0039740D" w:rsidP="00D24507">
      <w:pPr>
        <w:pStyle w:val="Caption"/>
      </w:pPr>
    </w:p>
    <w:p w14:paraId="4F420EC1" w14:textId="432D4E44" w:rsidR="00D24507" w:rsidRDefault="00D24507" w:rsidP="00D24507">
      <w:pPr>
        <w:pStyle w:val="Caption"/>
      </w:pPr>
      <w:r>
        <w:t xml:space="preserve">Map </w:t>
      </w:r>
      <w:fldSimple w:instr=" SEQ Map \* ARABIC ">
        <w:r w:rsidR="0055251A">
          <w:rPr>
            <w:noProof/>
          </w:rPr>
          <w:t>3</w:t>
        </w:r>
      </w:fldSimple>
      <w:r>
        <w:t xml:space="preserve"> Minority Population, 2018</w:t>
      </w:r>
    </w:p>
    <w:p w14:paraId="343CE52B" w14:textId="77777777" w:rsidR="00D24507" w:rsidRPr="00315EBF" w:rsidRDefault="00D24507" w:rsidP="00D24507">
      <w:r>
        <w:rPr>
          <w:noProof/>
        </w:rPr>
        <w:drawing>
          <wp:anchor distT="0" distB="0" distL="114300" distR="114300" simplePos="0" relativeHeight="251663360" behindDoc="0" locked="0" layoutInCell="1" allowOverlap="1" wp14:anchorId="4979AF2C" wp14:editId="5C420040">
            <wp:simplePos x="0" y="0"/>
            <wp:positionH relativeFrom="margin">
              <wp:align>right</wp:align>
            </wp:positionH>
            <wp:positionV relativeFrom="paragraph">
              <wp:posOffset>0</wp:posOffset>
            </wp:positionV>
            <wp:extent cx="5934710" cy="2967355"/>
            <wp:effectExtent l="0" t="0" r="889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029">
        <w:rPr>
          <w:sz w:val="16"/>
          <w:szCs w:val="16"/>
        </w:rPr>
        <w:t xml:space="preserve"> </w:t>
      </w: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B030032</w:t>
      </w:r>
      <w:r>
        <w:t xml:space="preserve"> </w:t>
      </w:r>
    </w:p>
    <w:p w14:paraId="1F308168" w14:textId="77777777" w:rsidR="00D24507" w:rsidRDefault="00D24507" w:rsidP="00D24507">
      <w:pPr>
        <w:rPr>
          <w:highlight w:val="cyan"/>
        </w:rPr>
      </w:pPr>
    </w:p>
    <w:p w14:paraId="22E14401" w14:textId="77777777" w:rsidR="00D24507" w:rsidRDefault="00D24507" w:rsidP="00D24507">
      <w:pPr>
        <w:spacing w:after="160" w:line="276" w:lineRule="auto"/>
        <w:rPr>
          <w:b/>
          <w:bCs/>
          <w:color w:val="404040" w:themeColor="text1" w:themeTint="BF"/>
          <w:sz w:val="16"/>
          <w:szCs w:val="16"/>
        </w:rPr>
      </w:pPr>
      <w:r>
        <w:br w:type="page"/>
      </w:r>
    </w:p>
    <w:p w14:paraId="36FAB04F" w14:textId="40854416" w:rsidR="00D24507" w:rsidRPr="00315EBF" w:rsidRDefault="00D24507" w:rsidP="00D24507">
      <w:pPr>
        <w:pStyle w:val="Caption"/>
      </w:pPr>
      <w:r>
        <w:rPr>
          <w:noProof/>
        </w:rPr>
        <w:lastRenderedPageBreak/>
        <w:drawing>
          <wp:anchor distT="0" distB="0" distL="114300" distR="114300" simplePos="0" relativeHeight="251664384" behindDoc="0" locked="0" layoutInCell="1" allowOverlap="1" wp14:anchorId="6B108C36" wp14:editId="74DFE235">
            <wp:simplePos x="0" y="0"/>
            <wp:positionH relativeFrom="margin">
              <wp:align>right</wp:align>
            </wp:positionH>
            <wp:positionV relativeFrom="paragraph">
              <wp:posOffset>132715</wp:posOffset>
            </wp:positionV>
            <wp:extent cx="5934710" cy="2967355"/>
            <wp:effectExtent l="0" t="0" r="889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4</w:t>
        </w:r>
      </w:fldSimple>
      <w:r>
        <w:t xml:space="preserve"> Hispanic Population, 2018</w:t>
      </w:r>
    </w:p>
    <w:p w14:paraId="4A4A8749" w14:textId="77777777" w:rsidR="00D24507" w:rsidRPr="00315EBF" w:rsidRDefault="00D24507" w:rsidP="00D24507">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B030032</w:t>
      </w:r>
      <w:r>
        <w:t xml:space="preserve"> </w:t>
      </w:r>
    </w:p>
    <w:p w14:paraId="2834EB64" w14:textId="77777777" w:rsidR="00D24507" w:rsidRPr="004E3119" w:rsidRDefault="00D24507" w:rsidP="00D24507">
      <w:pPr>
        <w:jc w:val="both"/>
        <w:rPr>
          <w:sz w:val="22"/>
          <w:highlight w:val="cyan"/>
        </w:rPr>
      </w:pPr>
    </w:p>
    <w:p w14:paraId="11371613" w14:textId="77777777" w:rsidR="00D24507" w:rsidRDefault="00D24507" w:rsidP="00D24507">
      <w:pPr>
        <w:pStyle w:val="Heading3"/>
        <w:jc w:val="both"/>
      </w:pPr>
      <w:bookmarkStart w:id="18" w:name="_Toc47639974"/>
      <w:bookmarkStart w:id="19" w:name="_Toc66807908"/>
      <w:r>
        <w:t>Dissimilarity Index</w:t>
      </w:r>
      <w:bookmarkEnd w:id="18"/>
      <w:bookmarkEnd w:id="19"/>
    </w:p>
    <w:p w14:paraId="095699F8" w14:textId="77777777" w:rsidR="00D24507" w:rsidRPr="004E0932" w:rsidRDefault="00D24507" w:rsidP="00D24507">
      <w:pPr>
        <w:spacing w:after="240"/>
        <w:jc w:val="both"/>
      </w:pPr>
      <w:r w:rsidRPr="004E0932">
        <w:t>Residential segregation is a measure of the degree of separation of racial or ethnic groups living in a neighborhood or community. Latent factors, such as attitudes, or overt factors, such as real estate practices, can limit the range of housing opportunities for minorities. A lack of racial or ethnic integration in a community may create other problems, such as reinforcing prejudicial attitudes and behaviors, narrowing opportunities for interaction, and reducing the degree to which community life is considered harmonious. Areas of extreme minority isolation often experience poverty and social problems at rates that are disproportionately high. Racial segregation has been linked to diminished employment prospects, poor educational attainment, increased infant and adult mortality rates and increased homicide rates.</w:t>
      </w:r>
    </w:p>
    <w:p w14:paraId="5A5D6202" w14:textId="77777777" w:rsidR="00D24507" w:rsidRPr="004E0932" w:rsidRDefault="00D24507" w:rsidP="00D24507">
      <w:pPr>
        <w:spacing w:after="240"/>
        <w:jc w:val="both"/>
      </w:pPr>
      <w:r w:rsidRPr="004E0932">
        <w:t>Segregation can be measured using a statistical tool called the dissimilarity index.</w:t>
      </w:r>
      <w:r w:rsidRPr="004E0932">
        <w:rPr>
          <w:vertAlign w:val="superscript"/>
        </w:rPr>
        <w:footnoteReference w:id="3"/>
      </w:r>
      <w:r w:rsidRPr="004E0932">
        <w:t xml:space="preserve"> This index measures the degree of separation between racial or ethnic groups living in a community. Since White residents are the majority in </w:t>
      </w:r>
      <w:r>
        <w:t>North Carolina</w:t>
      </w:r>
      <w:r w:rsidRPr="004E0932">
        <w:t xml:space="preserve">, all other racial and ethnic groups were compared to the White population as a baseline. Dissimilarly index scores were determined for each county for Black, </w:t>
      </w:r>
      <w:proofErr w:type="gramStart"/>
      <w:r w:rsidRPr="004E0932">
        <w:t>Asian</w:t>
      </w:r>
      <w:proofErr w:type="gramEnd"/>
      <w:r w:rsidRPr="004E0932">
        <w:t xml:space="preserve"> and Hispanic populations as well as an aggregated index comparing the non-White population with the White population.</w:t>
      </w:r>
    </w:p>
    <w:p w14:paraId="4B85D94B" w14:textId="77777777" w:rsidR="00D24507" w:rsidRDefault="00D24507" w:rsidP="00D24507">
      <w:pPr>
        <w:spacing w:after="240"/>
        <w:jc w:val="both"/>
      </w:pPr>
      <w:r w:rsidRPr="004E0932">
        <w:t>The index of dissimilarity allows for comparisons between subpopulations (</w:t>
      </w:r>
      <w:proofErr w:type="gramStart"/>
      <w:r w:rsidRPr="004E0932">
        <w:t>i.e.</w:t>
      </w:r>
      <w:proofErr w:type="gramEnd"/>
      <w:r w:rsidRPr="004E0932">
        <w:t xml:space="preserve"> different races/ethnicities), indicating how much one group is spatially separated from another within a community. In other words, it measures the evenness with which two groups are distributed across the neighborhoods that make up a community. The index of dissimilarity is rated on a scale from 0 to 100, in which a score of 0 corresponds to perfect integration and a score of 100 represents </w:t>
      </w:r>
      <w:r w:rsidRPr="004E0932">
        <w:lastRenderedPageBreak/>
        <w:t>total segregation. According to HUD, a score under 40 is considered low, between 40 and 54 is moderate, and above 60 is high segregation.</w:t>
      </w:r>
    </w:p>
    <w:p w14:paraId="68EDE1AB" w14:textId="1882DFDC" w:rsidR="00D24507" w:rsidRDefault="00D24507" w:rsidP="00D24507">
      <w:pPr>
        <w:pStyle w:val="Caption"/>
      </w:pPr>
      <w:r>
        <w:t xml:space="preserve">Table </w:t>
      </w:r>
      <w:fldSimple w:instr=" SEQ Table \* ARABIC ">
        <w:r w:rsidR="0055251A">
          <w:rPr>
            <w:noProof/>
          </w:rPr>
          <w:t>3</w:t>
        </w:r>
      </w:fldSimple>
      <w:r>
        <w:t xml:space="preserve"> Dissimilarity Index, 2010-2018</w:t>
      </w:r>
    </w:p>
    <w:tbl>
      <w:tblPr>
        <w:tblW w:w="8697" w:type="dxa"/>
        <w:tblLook w:val="04A0" w:firstRow="1" w:lastRow="0" w:firstColumn="1" w:lastColumn="0" w:noHBand="0" w:noVBand="1"/>
      </w:tblPr>
      <w:tblGrid>
        <w:gridCol w:w="1049"/>
        <w:gridCol w:w="1446"/>
        <w:gridCol w:w="1267"/>
        <w:gridCol w:w="1284"/>
        <w:gridCol w:w="1217"/>
        <w:gridCol w:w="1217"/>
        <w:gridCol w:w="1217"/>
      </w:tblGrid>
      <w:tr w:rsidR="006C2106" w:rsidRPr="00DE71F5" w14:paraId="2E1E791E" w14:textId="77777777" w:rsidTr="0039740D">
        <w:trPr>
          <w:trHeight w:val="662"/>
        </w:trPr>
        <w:tc>
          <w:tcPr>
            <w:tcW w:w="1049"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08F74BA5"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 </w:t>
            </w:r>
          </w:p>
        </w:tc>
        <w:tc>
          <w:tcPr>
            <w:tcW w:w="1446" w:type="dxa"/>
            <w:tcBorders>
              <w:top w:val="single" w:sz="4" w:space="0" w:color="auto"/>
              <w:left w:val="nil"/>
              <w:bottom w:val="single" w:sz="4" w:space="0" w:color="auto"/>
              <w:right w:val="single" w:sz="4" w:space="0" w:color="auto"/>
            </w:tcBorders>
            <w:shd w:val="clear" w:color="000000" w:fill="4472C4"/>
            <w:vAlign w:val="center"/>
            <w:hideMark/>
          </w:tcPr>
          <w:p w14:paraId="121DA959"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2010 DI with White Population</w:t>
            </w:r>
          </w:p>
        </w:tc>
        <w:tc>
          <w:tcPr>
            <w:tcW w:w="1267" w:type="dxa"/>
            <w:tcBorders>
              <w:top w:val="single" w:sz="4" w:space="0" w:color="auto"/>
              <w:left w:val="nil"/>
              <w:bottom w:val="single" w:sz="4" w:space="0" w:color="auto"/>
              <w:right w:val="single" w:sz="4" w:space="0" w:color="auto"/>
            </w:tcBorders>
            <w:shd w:val="clear" w:color="000000" w:fill="4472C4"/>
            <w:vAlign w:val="center"/>
            <w:hideMark/>
          </w:tcPr>
          <w:p w14:paraId="16F67BD9"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2010 Population</w:t>
            </w:r>
          </w:p>
        </w:tc>
        <w:tc>
          <w:tcPr>
            <w:tcW w:w="1284" w:type="dxa"/>
            <w:tcBorders>
              <w:top w:val="single" w:sz="4" w:space="0" w:color="auto"/>
              <w:left w:val="nil"/>
              <w:bottom w:val="single" w:sz="4" w:space="0" w:color="auto"/>
              <w:right w:val="single" w:sz="4" w:space="0" w:color="auto"/>
            </w:tcBorders>
            <w:shd w:val="clear" w:color="000000" w:fill="4472C4"/>
            <w:vAlign w:val="center"/>
            <w:hideMark/>
          </w:tcPr>
          <w:p w14:paraId="08F9F65F"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2010 % of Total Population</w:t>
            </w:r>
          </w:p>
        </w:tc>
        <w:tc>
          <w:tcPr>
            <w:tcW w:w="1217" w:type="dxa"/>
            <w:tcBorders>
              <w:top w:val="single" w:sz="4" w:space="0" w:color="auto"/>
              <w:left w:val="nil"/>
              <w:bottom w:val="single" w:sz="4" w:space="0" w:color="auto"/>
              <w:right w:val="single" w:sz="4" w:space="0" w:color="auto"/>
            </w:tcBorders>
            <w:shd w:val="clear" w:color="000000" w:fill="4472C4"/>
            <w:vAlign w:val="center"/>
            <w:hideMark/>
          </w:tcPr>
          <w:p w14:paraId="786D5960"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2018 DI with White Population</w:t>
            </w:r>
          </w:p>
        </w:tc>
        <w:tc>
          <w:tcPr>
            <w:tcW w:w="1217" w:type="dxa"/>
            <w:tcBorders>
              <w:top w:val="single" w:sz="4" w:space="0" w:color="auto"/>
              <w:left w:val="nil"/>
              <w:bottom w:val="single" w:sz="4" w:space="0" w:color="auto"/>
              <w:right w:val="single" w:sz="4" w:space="0" w:color="auto"/>
            </w:tcBorders>
            <w:shd w:val="clear" w:color="000000" w:fill="4472C4"/>
            <w:vAlign w:val="center"/>
            <w:hideMark/>
          </w:tcPr>
          <w:p w14:paraId="160AA0ED"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2018 Population</w:t>
            </w:r>
          </w:p>
        </w:tc>
        <w:tc>
          <w:tcPr>
            <w:tcW w:w="1217" w:type="dxa"/>
            <w:tcBorders>
              <w:top w:val="single" w:sz="4" w:space="0" w:color="auto"/>
              <w:left w:val="nil"/>
              <w:bottom w:val="single" w:sz="4" w:space="0" w:color="auto"/>
              <w:right w:val="single" w:sz="4" w:space="0" w:color="auto"/>
            </w:tcBorders>
            <w:shd w:val="clear" w:color="000000" w:fill="4472C4"/>
            <w:vAlign w:val="center"/>
            <w:hideMark/>
          </w:tcPr>
          <w:p w14:paraId="30CC710D" w14:textId="77777777" w:rsidR="006C2106" w:rsidRPr="00DE71F5" w:rsidRDefault="006C2106" w:rsidP="006C2106">
            <w:pPr>
              <w:jc w:val="center"/>
              <w:rPr>
                <w:rFonts w:ascii="Calibri" w:hAnsi="Calibri" w:cs="Calibri"/>
                <w:b/>
                <w:bCs/>
                <w:color w:val="FFFFFF"/>
                <w:sz w:val="22"/>
                <w:szCs w:val="22"/>
              </w:rPr>
            </w:pPr>
            <w:r w:rsidRPr="00DE71F5">
              <w:rPr>
                <w:rFonts w:ascii="Calibri" w:hAnsi="Calibri" w:cs="Calibri"/>
                <w:b/>
                <w:bCs/>
                <w:color w:val="FFFFFF"/>
                <w:sz w:val="22"/>
                <w:szCs w:val="22"/>
              </w:rPr>
              <w:t>2018% of Total Population</w:t>
            </w:r>
          </w:p>
        </w:tc>
      </w:tr>
      <w:tr w:rsidR="006C2106" w:rsidRPr="00DE71F5" w14:paraId="3D9B040B" w14:textId="77777777" w:rsidTr="0039740D">
        <w:trPr>
          <w:trHeight w:val="16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2194E69" w14:textId="77777777" w:rsidR="006C2106" w:rsidRPr="00DE71F5" w:rsidRDefault="006C2106" w:rsidP="006C2106">
            <w:pPr>
              <w:rPr>
                <w:rFonts w:ascii="Calibri" w:hAnsi="Calibri" w:cs="Calibri"/>
                <w:color w:val="000000"/>
                <w:sz w:val="22"/>
                <w:szCs w:val="22"/>
              </w:rPr>
            </w:pPr>
            <w:r w:rsidRPr="00DE71F5">
              <w:rPr>
                <w:rFonts w:ascii="Calibri" w:hAnsi="Calibri" w:cs="Calibri"/>
                <w:color w:val="000000"/>
                <w:sz w:val="22"/>
                <w:szCs w:val="22"/>
              </w:rPr>
              <w:t>White</w:t>
            </w:r>
          </w:p>
        </w:tc>
        <w:tc>
          <w:tcPr>
            <w:tcW w:w="1446" w:type="dxa"/>
            <w:tcBorders>
              <w:top w:val="nil"/>
              <w:left w:val="nil"/>
              <w:bottom w:val="single" w:sz="4" w:space="0" w:color="auto"/>
              <w:right w:val="single" w:sz="4" w:space="0" w:color="auto"/>
            </w:tcBorders>
            <w:shd w:val="clear" w:color="auto" w:fill="auto"/>
            <w:noWrap/>
            <w:vAlign w:val="bottom"/>
            <w:hideMark/>
          </w:tcPr>
          <w:p w14:paraId="7FE1FC2A"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w:t>
            </w:r>
          </w:p>
        </w:tc>
        <w:tc>
          <w:tcPr>
            <w:tcW w:w="1267" w:type="dxa"/>
            <w:tcBorders>
              <w:top w:val="nil"/>
              <w:left w:val="nil"/>
              <w:bottom w:val="single" w:sz="4" w:space="0" w:color="auto"/>
              <w:right w:val="single" w:sz="4" w:space="0" w:color="auto"/>
            </w:tcBorders>
            <w:shd w:val="clear" w:color="auto" w:fill="auto"/>
            <w:noWrap/>
            <w:vAlign w:val="bottom"/>
            <w:hideMark/>
          </w:tcPr>
          <w:p w14:paraId="1B93D849"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6,223,995</w:t>
            </w:r>
          </w:p>
        </w:tc>
        <w:tc>
          <w:tcPr>
            <w:tcW w:w="1284" w:type="dxa"/>
            <w:tcBorders>
              <w:top w:val="nil"/>
              <w:left w:val="nil"/>
              <w:bottom w:val="single" w:sz="4" w:space="0" w:color="auto"/>
              <w:right w:val="single" w:sz="4" w:space="0" w:color="auto"/>
            </w:tcBorders>
            <w:shd w:val="clear" w:color="auto" w:fill="auto"/>
            <w:noWrap/>
            <w:vAlign w:val="bottom"/>
            <w:hideMark/>
          </w:tcPr>
          <w:p w14:paraId="11DD3A45"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65.3%</w:t>
            </w:r>
          </w:p>
        </w:tc>
        <w:tc>
          <w:tcPr>
            <w:tcW w:w="1217" w:type="dxa"/>
            <w:tcBorders>
              <w:top w:val="nil"/>
              <w:left w:val="nil"/>
              <w:bottom w:val="single" w:sz="4" w:space="0" w:color="auto"/>
              <w:right w:val="single" w:sz="4" w:space="0" w:color="auto"/>
            </w:tcBorders>
            <w:shd w:val="clear" w:color="auto" w:fill="auto"/>
            <w:noWrap/>
            <w:vAlign w:val="bottom"/>
            <w:hideMark/>
          </w:tcPr>
          <w:p w14:paraId="6F11230F"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w:t>
            </w:r>
          </w:p>
        </w:tc>
        <w:tc>
          <w:tcPr>
            <w:tcW w:w="1217" w:type="dxa"/>
            <w:tcBorders>
              <w:top w:val="nil"/>
              <w:left w:val="nil"/>
              <w:bottom w:val="single" w:sz="4" w:space="0" w:color="auto"/>
              <w:right w:val="single" w:sz="4" w:space="0" w:color="auto"/>
            </w:tcBorders>
            <w:shd w:val="clear" w:color="auto" w:fill="auto"/>
            <w:noWrap/>
            <w:vAlign w:val="bottom"/>
            <w:hideMark/>
          </w:tcPr>
          <w:p w14:paraId="7F7AE6EA"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6,433,039</w:t>
            </w:r>
          </w:p>
        </w:tc>
        <w:tc>
          <w:tcPr>
            <w:tcW w:w="1217" w:type="dxa"/>
            <w:tcBorders>
              <w:top w:val="nil"/>
              <w:left w:val="nil"/>
              <w:bottom w:val="single" w:sz="4" w:space="0" w:color="auto"/>
              <w:right w:val="single" w:sz="4" w:space="0" w:color="auto"/>
            </w:tcBorders>
            <w:shd w:val="clear" w:color="auto" w:fill="auto"/>
            <w:noWrap/>
            <w:vAlign w:val="bottom"/>
            <w:hideMark/>
          </w:tcPr>
          <w:p w14:paraId="28F99193"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63.3%</w:t>
            </w:r>
          </w:p>
        </w:tc>
      </w:tr>
      <w:tr w:rsidR="006C2106" w:rsidRPr="00DE71F5" w14:paraId="27D001BB" w14:textId="77777777" w:rsidTr="0039740D">
        <w:trPr>
          <w:trHeight w:val="16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EF6ECA3" w14:textId="77777777" w:rsidR="006C2106" w:rsidRPr="00DE71F5" w:rsidRDefault="006C2106" w:rsidP="006C2106">
            <w:pPr>
              <w:rPr>
                <w:rFonts w:ascii="Calibri" w:hAnsi="Calibri" w:cs="Calibri"/>
                <w:color w:val="000000"/>
                <w:sz w:val="22"/>
                <w:szCs w:val="22"/>
              </w:rPr>
            </w:pPr>
            <w:r w:rsidRPr="00DE71F5">
              <w:rPr>
                <w:rFonts w:ascii="Calibri" w:hAnsi="Calibri" w:cs="Calibri"/>
                <w:color w:val="000000"/>
                <w:sz w:val="22"/>
                <w:szCs w:val="22"/>
              </w:rPr>
              <w:t>Black</w:t>
            </w:r>
          </w:p>
        </w:tc>
        <w:tc>
          <w:tcPr>
            <w:tcW w:w="1446" w:type="dxa"/>
            <w:tcBorders>
              <w:top w:val="nil"/>
              <w:left w:val="nil"/>
              <w:bottom w:val="single" w:sz="4" w:space="0" w:color="auto"/>
              <w:right w:val="single" w:sz="4" w:space="0" w:color="auto"/>
            </w:tcBorders>
            <w:shd w:val="clear" w:color="auto" w:fill="auto"/>
            <w:noWrap/>
            <w:vAlign w:val="bottom"/>
            <w:hideMark/>
          </w:tcPr>
          <w:p w14:paraId="61E136D4"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52.2</w:t>
            </w:r>
          </w:p>
        </w:tc>
        <w:tc>
          <w:tcPr>
            <w:tcW w:w="1267" w:type="dxa"/>
            <w:tcBorders>
              <w:top w:val="nil"/>
              <w:left w:val="nil"/>
              <w:bottom w:val="single" w:sz="4" w:space="0" w:color="auto"/>
              <w:right w:val="single" w:sz="4" w:space="0" w:color="auto"/>
            </w:tcBorders>
            <w:shd w:val="clear" w:color="auto" w:fill="auto"/>
            <w:noWrap/>
            <w:vAlign w:val="bottom"/>
            <w:hideMark/>
          </w:tcPr>
          <w:p w14:paraId="1801488C"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2,019,854</w:t>
            </w:r>
          </w:p>
        </w:tc>
        <w:tc>
          <w:tcPr>
            <w:tcW w:w="1284" w:type="dxa"/>
            <w:tcBorders>
              <w:top w:val="nil"/>
              <w:left w:val="nil"/>
              <w:bottom w:val="single" w:sz="4" w:space="0" w:color="auto"/>
              <w:right w:val="single" w:sz="4" w:space="0" w:color="auto"/>
            </w:tcBorders>
            <w:shd w:val="clear" w:color="auto" w:fill="auto"/>
            <w:noWrap/>
            <w:vAlign w:val="bottom"/>
            <w:hideMark/>
          </w:tcPr>
          <w:p w14:paraId="0448DB0F"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21.2%</w:t>
            </w:r>
          </w:p>
        </w:tc>
        <w:tc>
          <w:tcPr>
            <w:tcW w:w="1217" w:type="dxa"/>
            <w:tcBorders>
              <w:top w:val="nil"/>
              <w:left w:val="nil"/>
              <w:bottom w:val="single" w:sz="4" w:space="0" w:color="auto"/>
              <w:right w:val="single" w:sz="4" w:space="0" w:color="auto"/>
            </w:tcBorders>
            <w:shd w:val="clear" w:color="auto" w:fill="auto"/>
            <w:noWrap/>
            <w:vAlign w:val="bottom"/>
            <w:hideMark/>
          </w:tcPr>
          <w:p w14:paraId="7A088AC3"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51.3</w:t>
            </w:r>
          </w:p>
        </w:tc>
        <w:tc>
          <w:tcPr>
            <w:tcW w:w="1217" w:type="dxa"/>
            <w:tcBorders>
              <w:top w:val="nil"/>
              <w:left w:val="nil"/>
              <w:bottom w:val="single" w:sz="4" w:space="0" w:color="auto"/>
              <w:right w:val="single" w:sz="4" w:space="0" w:color="auto"/>
            </w:tcBorders>
            <w:shd w:val="clear" w:color="auto" w:fill="auto"/>
            <w:noWrap/>
            <w:vAlign w:val="bottom"/>
            <w:hideMark/>
          </w:tcPr>
          <w:p w14:paraId="34C06383"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2,146,254</w:t>
            </w:r>
          </w:p>
        </w:tc>
        <w:tc>
          <w:tcPr>
            <w:tcW w:w="1217" w:type="dxa"/>
            <w:tcBorders>
              <w:top w:val="nil"/>
              <w:left w:val="nil"/>
              <w:bottom w:val="single" w:sz="4" w:space="0" w:color="auto"/>
              <w:right w:val="single" w:sz="4" w:space="0" w:color="auto"/>
            </w:tcBorders>
            <w:shd w:val="clear" w:color="auto" w:fill="auto"/>
            <w:noWrap/>
            <w:vAlign w:val="bottom"/>
            <w:hideMark/>
          </w:tcPr>
          <w:p w14:paraId="53B6580E"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21.1%</w:t>
            </w:r>
          </w:p>
        </w:tc>
      </w:tr>
      <w:tr w:rsidR="006C2106" w:rsidRPr="00DE71F5" w14:paraId="6A4E2727" w14:textId="77777777" w:rsidTr="0039740D">
        <w:trPr>
          <w:trHeight w:val="16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1DF205F" w14:textId="77777777" w:rsidR="006C2106" w:rsidRPr="00DE71F5" w:rsidRDefault="006C2106" w:rsidP="006C2106">
            <w:pPr>
              <w:rPr>
                <w:rFonts w:ascii="Calibri" w:hAnsi="Calibri" w:cs="Calibri"/>
                <w:color w:val="000000"/>
                <w:sz w:val="22"/>
                <w:szCs w:val="22"/>
              </w:rPr>
            </w:pPr>
            <w:r w:rsidRPr="00DE71F5">
              <w:rPr>
                <w:rFonts w:ascii="Calibri" w:hAnsi="Calibri" w:cs="Calibri"/>
                <w:color w:val="000000"/>
                <w:sz w:val="22"/>
                <w:szCs w:val="22"/>
              </w:rPr>
              <w:t>Asian</w:t>
            </w:r>
          </w:p>
        </w:tc>
        <w:tc>
          <w:tcPr>
            <w:tcW w:w="1446" w:type="dxa"/>
            <w:tcBorders>
              <w:top w:val="nil"/>
              <w:left w:val="nil"/>
              <w:bottom w:val="single" w:sz="4" w:space="0" w:color="auto"/>
              <w:right w:val="single" w:sz="4" w:space="0" w:color="auto"/>
            </w:tcBorders>
            <w:shd w:val="clear" w:color="auto" w:fill="auto"/>
            <w:noWrap/>
            <w:vAlign w:val="bottom"/>
            <w:hideMark/>
          </w:tcPr>
          <w:p w14:paraId="17E9DA9E"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56.7</w:t>
            </w:r>
          </w:p>
        </w:tc>
        <w:tc>
          <w:tcPr>
            <w:tcW w:w="1267" w:type="dxa"/>
            <w:tcBorders>
              <w:top w:val="nil"/>
              <w:left w:val="nil"/>
              <w:bottom w:val="single" w:sz="4" w:space="0" w:color="auto"/>
              <w:right w:val="single" w:sz="4" w:space="0" w:color="auto"/>
            </w:tcBorders>
            <w:shd w:val="clear" w:color="auto" w:fill="auto"/>
            <w:noWrap/>
            <w:vAlign w:val="bottom"/>
            <w:hideMark/>
          </w:tcPr>
          <w:p w14:paraId="0174ADDA"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206,579</w:t>
            </w:r>
          </w:p>
        </w:tc>
        <w:tc>
          <w:tcPr>
            <w:tcW w:w="1284" w:type="dxa"/>
            <w:tcBorders>
              <w:top w:val="nil"/>
              <w:left w:val="nil"/>
              <w:bottom w:val="single" w:sz="4" w:space="0" w:color="auto"/>
              <w:right w:val="single" w:sz="4" w:space="0" w:color="auto"/>
            </w:tcBorders>
            <w:shd w:val="clear" w:color="auto" w:fill="auto"/>
            <w:noWrap/>
            <w:vAlign w:val="bottom"/>
            <w:hideMark/>
          </w:tcPr>
          <w:p w14:paraId="743E3E7D"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2.2%</w:t>
            </w:r>
          </w:p>
        </w:tc>
        <w:tc>
          <w:tcPr>
            <w:tcW w:w="1217" w:type="dxa"/>
            <w:tcBorders>
              <w:top w:val="nil"/>
              <w:left w:val="nil"/>
              <w:bottom w:val="single" w:sz="4" w:space="0" w:color="auto"/>
              <w:right w:val="single" w:sz="4" w:space="0" w:color="auto"/>
            </w:tcBorders>
            <w:shd w:val="clear" w:color="auto" w:fill="auto"/>
            <w:noWrap/>
            <w:vAlign w:val="bottom"/>
            <w:hideMark/>
          </w:tcPr>
          <w:p w14:paraId="12F02764"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56.0</w:t>
            </w:r>
          </w:p>
        </w:tc>
        <w:tc>
          <w:tcPr>
            <w:tcW w:w="1217" w:type="dxa"/>
            <w:tcBorders>
              <w:top w:val="nil"/>
              <w:left w:val="nil"/>
              <w:bottom w:val="single" w:sz="4" w:space="0" w:color="auto"/>
              <w:right w:val="single" w:sz="4" w:space="0" w:color="auto"/>
            </w:tcBorders>
            <w:shd w:val="clear" w:color="auto" w:fill="auto"/>
            <w:noWrap/>
            <w:vAlign w:val="bottom"/>
            <w:hideMark/>
          </w:tcPr>
          <w:p w14:paraId="2223EE96"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280,059</w:t>
            </w:r>
          </w:p>
        </w:tc>
        <w:tc>
          <w:tcPr>
            <w:tcW w:w="1217" w:type="dxa"/>
            <w:tcBorders>
              <w:top w:val="nil"/>
              <w:left w:val="nil"/>
              <w:bottom w:val="single" w:sz="4" w:space="0" w:color="auto"/>
              <w:right w:val="single" w:sz="4" w:space="0" w:color="auto"/>
            </w:tcBorders>
            <w:shd w:val="clear" w:color="auto" w:fill="auto"/>
            <w:noWrap/>
            <w:vAlign w:val="bottom"/>
            <w:hideMark/>
          </w:tcPr>
          <w:p w14:paraId="5784C05D"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2.8%</w:t>
            </w:r>
          </w:p>
        </w:tc>
      </w:tr>
      <w:tr w:rsidR="006C2106" w:rsidRPr="00DE71F5" w14:paraId="4A749417" w14:textId="77777777" w:rsidTr="0039740D">
        <w:trPr>
          <w:trHeight w:val="165"/>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340EC4B" w14:textId="77777777" w:rsidR="006C2106" w:rsidRPr="00DE71F5" w:rsidRDefault="006C2106" w:rsidP="006C2106">
            <w:pPr>
              <w:rPr>
                <w:rFonts w:ascii="Calibri" w:hAnsi="Calibri" w:cs="Calibri"/>
                <w:color w:val="000000"/>
                <w:sz w:val="22"/>
                <w:szCs w:val="22"/>
              </w:rPr>
            </w:pPr>
            <w:r w:rsidRPr="00DE71F5">
              <w:rPr>
                <w:rFonts w:ascii="Calibri" w:hAnsi="Calibri" w:cs="Calibri"/>
                <w:color w:val="000000"/>
                <w:sz w:val="22"/>
                <w:szCs w:val="22"/>
              </w:rPr>
              <w:t>Hispanic</w:t>
            </w:r>
          </w:p>
        </w:tc>
        <w:tc>
          <w:tcPr>
            <w:tcW w:w="1446" w:type="dxa"/>
            <w:tcBorders>
              <w:top w:val="nil"/>
              <w:left w:val="nil"/>
              <w:bottom w:val="single" w:sz="4" w:space="0" w:color="auto"/>
              <w:right w:val="single" w:sz="4" w:space="0" w:color="auto"/>
            </w:tcBorders>
            <w:shd w:val="clear" w:color="auto" w:fill="auto"/>
            <w:noWrap/>
            <w:vAlign w:val="bottom"/>
            <w:hideMark/>
          </w:tcPr>
          <w:p w14:paraId="7CB5CD03"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46.0</w:t>
            </w:r>
          </w:p>
        </w:tc>
        <w:tc>
          <w:tcPr>
            <w:tcW w:w="1267" w:type="dxa"/>
            <w:tcBorders>
              <w:top w:val="nil"/>
              <w:left w:val="nil"/>
              <w:bottom w:val="single" w:sz="4" w:space="0" w:color="auto"/>
              <w:right w:val="single" w:sz="4" w:space="0" w:color="auto"/>
            </w:tcBorders>
            <w:shd w:val="clear" w:color="auto" w:fill="auto"/>
            <w:noWrap/>
            <w:vAlign w:val="bottom"/>
            <w:hideMark/>
          </w:tcPr>
          <w:p w14:paraId="6586EF23"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800,120</w:t>
            </w:r>
          </w:p>
        </w:tc>
        <w:tc>
          <w:tcPr>
            <w:tcW w:w="1284" w:type="dxa"/>
            <w:tcBorders>
              <w:top w:val="nil"/>
              <w:left w:val="nil"/>
              <w:bottom w:val="single" w:sz="4" w:space="0" w:color="auto"/>
              <w:right w:val="single" w:sz="4" w:space="0" w:color="auto"/>
            </w:tcBorders>
            <w:shd w:val="clear" w:color="auto" w:fill="auto"/>
            <w:noWrap/>
            <w:vAlign w:val="bottom"/>
            <w:hideMark/>
          </w:tcPr>
          <w:p w14:paraId="04910615"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8.4%</w:t>
            </w:r>
          </w:p>
        </w:tc>
        <w:tc>
          <w:tcPr>
            <w:tcW w:w="1217" w:type="dxa"/>
            <w:tcBorders>
              <w:top w:val="nil"/>
              <w:left w:val="nil"/>
              <w:bottom w:val="single" w:sz="4" w:space="0" w:color="auto"/>
              <w:right w:val="single" w:sz="4" w:space="0" w:color="auto"/>
            </w:tcBorders>
            <w:shd w:val="clear" w:color="auto" w:fill="auto"/>
            <w:noWrap/>
            <w:vAlign w:val="bottom"/>
            <w:hideMark/>
          </w:tcPr>
          <w:p w14:paraId="4AA30A7A"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42.8</w:t>
            </w:r>
          </w:p>
        </w:tc>
        <w:tc>
          <w:tcPr>
            <w:tcW w:w="1217" w:type="dxa"/>
            <w:tcBorders>
              <w:top w:val="nil"/>
              <w:left w:val="nil"/>
              <w:bottom w:val="single" w:sz="4" w:space="0" w:color="auto"/>
              <w:right w:val="single" w:sz="4" w:space="0" w:color="auto"/>
            </w:tcBorders>
            <w:shd w:val="clear" w:color="auto" w:fill="auto"/>
            <w:noWrap/>
            <w:vAlign w:val="bottom"/>
            <w:hideMark/>
          </w:tcPr>
          <w:p w14:paraId="6BD5C2A9"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935,950</w:t>
            </w:r>
          </w:p>
        </w:tc>
        <w:tc>
          <w:tcPr>
            <w:tcW w:w="1217" w:type="dxa"/>
            <w:tcBorders>
              <w:top w:val="nil"/>
              <w:left w:val="nil"/>
              <w:bottom w:val="single" w:sz="4" w:space="0" w:color="auto"/>
              <w:right w:val="single" w:sz="4" w:space="0" w:color="auto"/>
            </w:tcBorders>
            <w:shd w:val="clear" w:color="auto" w:fill="auto"/>
            <w:noWrap/>
            <w:vAlign w:val="bottom"/>
            <w:hideMark/>
          </w:tcPr>
          <w:p w14:paraId="0299AD28" w14:textId="77777777" w:rsidR="006C2106" w:rsidRPr="00DE71F5" w:rsidRDefault="006C2106" w:rsidP="006C2106">
            <w:pPr>
              <w:jc w:val="right"/>
              <w:rPr>
                <w:rFonts w:ascii="Calibri" w:hAnsi="Calibri" w:cs="Calibri"/>
                <w:color w:val="000000"/>
                <w:sz w:val="22"/>
                <w:szCs w:val="22"/>
              </w:rPr>
            </w:pPr>
            <w:r w:rsidRPr="00DE71F5">
              <w:rPr>
                <w:rFonts w:ascii="Calibri" w:hAnsi="Calibri" w:cs="Calibri"/>
                <w:color w:val="000000"/>
                <w:sz w:val="22"/>
                <w:szCs w:val="22"/>
              </w:rPr>
              <w:t>9.2%</w:t>
            </w:r>
          </w:p>
        </w:tc>
      </w:tr>
    </w:tbl>
    <w:p w14:paraId="75620A92" w14:textId="77777777" w:rsidR="00D24507" w:rsidRDefault="00D24507" w:rsidP="00D24507">
      <w:pPr>
        <w:rPr>
          <w:sz w:val="16"/>
          <w:szCs w:val="16"/>
        </w:rPr>
      </w:pP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B030032</w:t>
      </w:r>
    </w:p>
    <w:p w14:paraId="4D3C8989" w14:textId="77777777" w:rsidR="00D24507" w:rsidRDefault="00D24507" w:rsidP="00D24507"/>
    <w:p w14:paraId="26752869" w14:textId="3BEAD266" w:rsidR="00D24507" w:rsidRDefault="00D24507" w:rsidP="00D24507">
      <w:r>
        <w:t xml:space="preserve">In 2018, North Carolina saw moderate levels of segregation in the Black, Asian, and Hispanic populations. With North Carolina becoming increasingly diverse, it is </w:t>
      </w:r>
      <w:r w:rsidR="009F5D92">
        <w:t>notable</w:t>
      </w:r>
      <w:r>
        <w:t xml:space="preserve"> that the state overall is becoming increasingly more integrated. The dissimilarity index was also conducted at the county level. However, counties with a minority group population below 1,000 require caution when interpreting their dissimilarity index. As a result, the dissimilarity index for North Carolina counties’ Asian populations </w:t>
      </w:r>
      <w:r w:rsidR="001A5FD3">
        <w:t>is</w:t>
      </w:r>
      <w:r>
        <w:t xml:space="preserve"> not included. Only three counties showed high levels of segregation for </w:t>
      </w:r>
      <w:proofErr w:type="gramStart"/>
      <w:r>
        <w:t>particular minority</w:t>
      </w:r>
      <w:proofErr w:type="gramEnd"/>
      <w:r>
        <w:t xml:space="preserve"> groups: Swain, Graham, and Gates County.</w:t>
      </w:r>
    </w:p>
    <w:p w14:paraId="779BFD3D" w14:textId="77777777" w:rsidR="00D24507" w:rsidRDefault="00D24507" w:rsidP="00D24507"/>
    <w:p w14:paraId="364EF6BC" w14:textId="617AD6E0" w:rsidR="00D24507" w:rsidRDefault="00D24507" w:rsidP="00D24507">
      <w:pPr>
        <w:pStyle w:val="Caption"/>
        <w:ind w:left="2520"/>
      </w:pPr>
      <w:r>
        <w:t xml:space="preserve">Table </w:t>
      </w:r>
      <w:fldSimple w:instr=" SEQ Table \* ARABIC ">
        <w:r w:rsidR="0055251A">
          <w:rPr>
            <w:noProof/>
          </w:rPr>
          <w:t>4</w:t>
        </w:r>
      </w:fldSimple>
      <w:r>
        <w:t xml:space="preserve"> Counties with High Levels of Segregation, 2018</w:t>
      </w:r>
    </w:p>
    <w:tbl>
      <w:tblPr>
        <w:tblW w:w="4240" w:type="dxa"/>
        <w:jc w:val="center"/>
        <w:tblLook w:val="04A0" w:firstRow="1" w:lastRow="0" w:firstColumn="1" w:lastColumn="0" w:noHBand="0" w:noVBand="1"/>
      </w:tblPr>
      <w:tblGrid>
        <w:gridCol w:w="2520"/>
        <w:gridCol w:w="1720"/>
      </w:tblGrid>
      <w:tr w:rsidR="00D24507" w:rsidRPr="0042295B" w14:paraId="120FF313" w14:textId="77777777" w:rsidTr="006C2106">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0E5C6197" w14:textId="77777777" w:rsidR="00D24507" w:rsidRPr="0042295B" w:rsidRDefault="00D24507" w:rsidP="006C2106">
            <w:pPr>
              <w:rPr>
                <w:rFonts w:ascii="Calibri" w:hAnsi="Calibri" w:cs="Calibri"/>
                <w:b/>
                <w:bCs/>
                <w:color w:val="FFFFFF"/>
                <w:sz w:val="22"/>
                <w:szCs w:val="22"/>
              </w:rPr>
            </w:pPr>
            <w:r w:rsidRPr="0042295B">
              <w:rPr>
                <w:rFonts w:ascii="Calibri" w:hAnsi="Calibri" w:cs="Calibri"/>
                <w:b/>
                <w:bCs/>
                <w:color w:val="FFFFFF"/>
                <w:sz w:val="22"/>
                <w:szCs w:val="22"/>
              </w:rPr>
              <w:t>County</w:t>
            </w:r>
          </w:p>
        </w:tc>
        <w:tc>
          <w:tcPr>
            <w:tcW w:w="1720" w:type="dxa"/>
            <w:tcBorders>
              <w:top w:val="single" w:sz="4" w:space="0" w:color="auto"/>
              <w:left w:val="nil"/>
              <w:bottom w:val="single" w:sz="4" w:space="0" w:color="auto"/>
              <w:right w:val="single" w:sz="4" w:space="0" w:color="auto"/>
            </w:tcBorders>
            <w:shd w:val="clear" w:color="000000" w:fill="4472C4"/>
            <w:noWrap/>
            <w:vAlign w:val="bottom"/>
            <w:hideMark/>
          </w:tcPr>
          <w:p w14:paraId="0918A8CA" w14:textId="77777777" w:rsidR="00D24507" w:rsidRPr="0042295B" w:rsidRDefault="00D24507" w:rsidP="00B111DA">
            <w:pPr>
              <w:jc w:val="center"/>
              <w:rPr>
                <w:rFonts w:ascii="Calibri" w:hAnsi="Calibri" w:cs="Calibri"/>
                <w:b/>
                <w:bCs/>
                <w:color w:val="FFFFFF"/>
                <w:sz w:val="22"/>
                <w:szCs w:val="22"/>
              </w:rPr>
            </w:pPr>
            <w:r w:rsidRPr="0042295B">
              <w:rPr>
                <w:rFonts w:ascii="Calibri" w:hAnsi="Calibri" w:cs="Calibri"/>
                <w:b/>
                <w:bCs/>
                <w:color w:val="FFFFFF"/>
                <w:sz w:val="22"/>
                <w:szCs w:val="22"/>
              </w:rPr>
              <w:t>2018 DI</w:t>
            </w:r>
          </w:p>
        </w:tc>
      </w:tr>
      <w:tr w:rsidR="00D24507" w:rsidRPr="0042295B" w14:paraId="028F89BB" w14:textId="77777777" w:rsidTr="006C2106">
        <w:trPr>
          <w:trHeight w:val="300"/>
          <w:jc w:val="center"/>
        </w:trPr>
        <w:tc>
          <w:tcPr>
            <w:tcW w:w="4240"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ECE165" w14:textId="77777777" w:rsidR="00D24507" w:rsidRPr="0042295B" w:rsidRDefault="00D24507" w:rsidP="006C2106">
            <w:pPr>
              <w:jc w:val="center"/>
              <w:rPr>
                <w:rFonts w:ascii="Calibri" w:hAnsi="Calibri" w:cs="Calibri"/>
                <w:color w:val="000000"/>
                <w:sz w:val="22"/>
                <w:szCs w:val="22"/>
              </w:rPr>
            </w:pPr>
            <w:r w:rsidRPr="0042295B">
              <w:rPr>
                <w:rFonts w:ascii="Calibri" w:hAnsi="Calibri" w:cs="Calibri"/>
                <w:color w:val="000000"/>
                <w:sz w:val="22"/>
                <w:szCs w:val="22"/>
              </w:rPr>
              <w:t>Black</w:t>
            </w:r>
          </w:p>
        </w:tc>
      </w:tr>
      <w:tr w:rsidR="00D24507" w:rsidRPr="0042295B" w14:paraId="3ED650E5"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7A37A96" w14:textId="77777777" w:rsidR="00D24507" w:rsidRPr="0042295B" w:rsidRDefault="00D24507" w:rsidP="006C2106">
            <w:pPr>
              <w:rPr>
                <w:rFonts w:ascii="Calibri" w:hAnsi="Calibri" w:cs="Calibri"/>
                <w:color w:val="000000"/>
                <w:sz w:val="22"/>
                <w:szCs w:val="22"/>
              </w:rPr>
            </w:pPr>
            <w:r w:rsidRPr="0042295B">
              <w:rPr>
                <w:rFonts w:ascii="Calibri" w:hAnsi="Calibri" w:cs="Calibri"/>
                <w:color w:val="000000"/>
                <w:sz w:val="22"/>
                <w:szCs w:val="22"/>
              </w:rPr>
              <w:t>Swain County</w:t>
            </w:r>
          </w:p>
        </w:tc>
        <w:tc>
          <w:tcPr>
            <w:tcW w:w="1720" w:type="dxa"/>
            <w:tcBorders>
              <w:top w:val="nil"/>
              <w:left w:val="nil"/>
              <w:bottom w:val="single" w:sz="4" w:space="0" w:color="auto"/>
              <w:right w:val="single" w:sz="4" w:space="0" w:color="auto"/>
            </w:tcBorders>
            <w:shd w:val="clear" w:color="auto" w:fill="auto"/>
            <w:noWrap/>
            <w:vAlign w:val="bottom"/>
            <w:hideMark/>
          </w:tcPr>
          <w:p w14:paraId="35A2BA6A" w14:textId="77777777" w:rsidR="00D24507" w:rsidRPr="0042295B" w:rsidRDefault="00D24507" w:rsidP="006C2106">
            <w:pPr>
              <w:jc w:val="right"/>
              <w:rPr>
                <w:rFonts w:ascii="Calibri" w:hAnsi="Calibri" w:cs="Calibri"/>
                <w:color w:val="000000"/>
                <w:sz w:val="22"/>
                <w:szCs w:val="22"/>
              </w:rPr>
            </w:pPr>
            <w:r w:rsidRPr="0042295B">
              <w:rPr>
                <w:rFonts w:ascii="Calibri" w:hAnsi="Calibri" w:cs="Calibri"/>
                <w:color w:val="000000"/>
                <w:sz w:val="22"/>
                <w:szCs w:val="22"/>
              </w:rPr>
              <w:t>82.2</w:t>
            </w:r>
          </w:p>
        </w:tc>
      </w:tr>
      <w:tr w:rsidR="00D24507" w:rsidRPr="0042295B" w14:paraId="2D0FF23C"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EEA399B" w14:textId="77777777" w:rsidR="00D24507" w:rsidRPr="0042295B" w:rsidRDefault="00D24507" w:rsidP="006C2106">
            <w:pPr>
              <w:rPr>
                <w:rFonts w:ascii="Calibri" w:hAnsi="Calibri" w:cs="Calibri"/>
                <w:color w:val="000000"/>
                <w:sz w:val="22"/>
                <w:szCs w:val="22"/>
              </w:rPr>
            </w:pPr>
            <w:r w:rsidRPr="0042295B">
              <w:rPr>
                <w:rFonts w:ascii="Calibri" w:hAnsi="Calibri" w:cs="Calibri"/>
                <w:color w:val="000000"/>
                <w:sz w:val="22"/>
                <w:szCs w:val="22"/>
              </w:rPr>
              <w:t>Graham County</w:t>
            </w:r>
          </w:p>
        </w:tc>
        <w:tc>
          <w:tcPr>
            <w:tcW w:w="1720" w:type="dxa"/>
            <w:tcBorders>
              <w:top w:val="nil"/>
              <w:left w:val="nil"/>
              <w:bottom w:val="single" w:sz="4" w:space="0" w:color="auto"/>
              <w:right w:val="single" w:sz="4" w:space="0" w:color="auto"/>
            </w:tcBorders>
            <w:shd w:val="clear" w:color="auto" w:fill="auto"/>
            <w:noWrap/>
            <w:vAlign w:val="bottom"/>
            <w:hideMark/>
          </w:tcPr>
          <w:p w14:paraId="3AB0D609" w14:textId="46EDFD01" w:rsidR="00D24507" w:rsidRPr="0042295B" w:rsidRDefault="00D24507" w:rsidP="006C2106">
            <w:pPr>
              <w:jc w:val="right"/>
              <w:rPr>
                <w:rFonts w:ascii="Calibri" w:hAnsi="Calibri" w:cs="Calibri"/>
                <w:color w:val="000000"/>
                <w:sz w:val="22"/>
                <w:szCs w:val="22"/>
              </w:rPr>
            </w:pPr>
            <w:r w:rsidRPr="0042295B">
              <w:rPr>
                <w:rFonts w:ascii="Calibri" w:hAnsi="Calibri" w:cs="Calibri"/>
                <w:color w:val="000000"/>
                <w:sz w:val="22"/>
                <w:szCs w:val="22"/>
              </w:rPr>
              <w:t>63</w:t>
            </w:r>
            <w:r w:rsidR="00B111DA">
              <w:rPr>
                <w:rFonts w:ascii="Calibri" w:hAnsi="Calibri" w:cs="Calibri"/>
                <w:color w:val="000000"/>
                <w:sz w:val="22"/>
                <w:szCs w:val="22"/>
              </w:rPr>
              <w:t>.0</w:t>
            </w:r>
          </w:p>
        </w:tc>
      </w:tr>
      <w:tr w:rsidR="00D24507" w:rsidRPr="0042295B" w14:paraId="625EBC37" w14:textId="77777777" w:rsidTr="006C2106">
        <w:trPr>
          <w:trHeight w:val="300"/>
          <w:jc w:val="center"/>
        </w:trPr>
        <w:tc>
          <w:tcPr>
            <w:tcW w:w="4240"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7CCAEE7" w14:textId="77777777" w:rsidR="00D24507" w:rsidRPr="0042295B" w:rsidRDefault="00D24507" w:rsidP="006C2106">
            <w:pPr>
              <w:jc w:val="center"/>
              <w:rPr>
                <w:rFonts w:ascii="Calibri" w:hAnsi="Calibri" w:cs="Calibri"/>
                <w:color w:val="000000"/>
                <w:sz w:val="22"/>
                <w:szCs w:val="22"/>
              </w:rPr>
            </w:pPr>
            <w:r w:rsidRPr="0042295B">
              <w:rPr>
                <w:rFonts w:ascii="Calibri" w:hAnsi="Calibri" w:cs="Calibri"/>
                <w:color w:val="000000"/>
                <w:sz w:val="22"/>
                <w:szCs w:val="22"/>
              </w:rPr>
              <w:t>Hispanic</w:t>
            </w:r>
          </w:p>
        </w:tc>
      </w:tr>
      <w:tr w:rsidR="00D24507" w:rsidRPr="0042295B" w14:paraId="0534A787"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7678430" w14:textId="77777777" w:rsidR="00D24507" w:rsidRPr="0042295B" w:rsidRDefault="00D24507" w:rsidP="006C2106">
            <w:pPr>
              <w:rPr>
                <w:rFonts w:ascii="Calibri" w:hAnsi="Calibri" w:cs="Calibri"/>
                <w:color w:val="000000"/>
                <w:sz w:val="22"/>
                <w:szCs w:val="22"/>
              </w:rPr>
            </w:pPr>
            <w:r w:rsidRPr="0042295B">
              <w:rPr>
                <w:rFonts w:ascii="Calibri" w:hAnsi="Calibri" w:cs="Calibri"/>
                <w:color w:val="000000"/>
                <w:sz w:val="22"/>
                <w:szCs w:val="22"/>
              </w:rPr>
              <w:t>Gates County</w:t>
            </w:r>
          </w:p>
        </w:tc>
        <w:tc>
          <w:tcPr>
            <w:tcW w:w="1720" w:type="dxa"/>
            <w:tcBorders>
              <w:top w:val="nil"/>
              <w:left w:val="nil"/>
              <w:bottom w:val="single" w:sz="4" w:space="0" w:color="auto"/>
              <w:right w:val="single" w:sz="4" w:space="0" w:color="auto"/>
            </w:tcBorders>
            <w:shd w:val="clear" w:color="auto" w:fill="auto"/>
            <w:noWrap/>
            <w:vAlign w:val="bottom"/>
            <w:hideMark/>
          </w:tcPr>
          <w:p w14:paraId="09470919" w14:textId="77777777" w:rsidR="00D24507" w:rsidRPr="0042295B" w:rsidRDefault="00D24507" w:rsidP="006C2106">
            <w:pPr>
              <w:jc w:val="right"/>
              <w:rPr>
                <w:rFonts w:ascii="Calibri" w:hAnsi="Calibri" w:cs="Calibri"/>
                <w:color w:val="000000"/>
                <w:sz w:val="22"/>
                <w:szCs w:val="22"/>
              </w:rPr>
            </w:pPr>
            <w:r w:rsidRPr="0042295B">
              <w:rPr>
                <w:rFonts w:ascii="Calibri" w:hAnsi="Calibri" w:cs="Calibri"/>
                <w:color w:val="000000"/>
                <w:sz w:val="22"/>
                <w:szCs w:val="22"/>
              </w:rPr>
              <w:t>65.9</w:t>
            </w:r>
          </w:p>
        </w:tc>
      </w:tr>
    </w:tbl>
    <w:p w14:paraId="500B964C" w14:textId="77777777" w:rsidR="00D24507" w:rsidRDefault="00D24507" w:rsidP="00D24507">
      <w:pPr>
        <w:ind w:left="2520"/>
        <w:rPr>
          <w:sz w:val="16"/>
          <w:szCs w:val="16"/>
        </w:rPr>
      </w:pPr>
      <w:r>
        <w:rPr>
          <w:sz w:val="16"/>
          <w:szCs w:val="16"/>
        </w:rPr>
        <w:t>S</w:t>
      </w:r>
      <w:r w:rsidRPr="00104C93">
        <w:rPr>
          <w:sz w:val="16"/>
          <w:szCs w:val="16"/>
        </w:rPr>
        <w:t>ource: 2014-2018 American Community Survey</w:t>
      </w:r>
      <w:r>
        <w:rPr>
          <w:sz w:val="16"/>
          <w:szCs w:val="16"/>
        </w:rPr>
        <w:t>: B030032</w:t>
      </w:r>
    </w:p>
    <w:p w14:paraId="6791BA8C" w14:textId="77777777" w:rsidR="00D24507" w:rsidRPr="0042295B" w:rsidRDefault="00D24507" w:rsidP="00D24507"/>
    <w:p w14:paraId="5CAE7E00" w14:textId="77777777" w:rsidR="00D24507" w:rsidRDefault="00D24507" w:rsidP="00D24507">
      <w:pPr>
        <w:spacing w:after="160" w:line="276" w:lineRule="auto"/>
        <w:rPr>
          <w:b/>
          <w:bCs/>
          <w:color w:val="404040" w:themeColor="text1" w:themeTint="BF"/>
          <w:sz w:val="16"/>
          <w:szCs w:val="16"/>
        </w:rPr>
      </w:pPr>
      <w:r>
        <w:br w:type="page"/>
      </w:r>
    </w:p>
    <w:p w14:paraId="2D24AA7B" w14:textId="0C35ACA5" w:rsidR="00D24507" w:rsidRDefault="00D24507" w:rsidP="00D24507">
      <w:pPr>
        <w:pStyle w:val="Caption"/>
      </w:pPr>
      <w:r>
        <w:rPr>
          <w:noProof/>
        </w:rPr>
        <w:lastRenderedPageBreak/>
        <w:drawing>
          <wp:anchor distT="0" distB="0" distL="114300" distR="114300" simplePos="0" relativeHeight="251665408" behindDoc="0" locked="0" layoutInCell="1" allowOverlap="1" wp14:anchorId="4BF60F5A" wp14:editId="39B7D287">
            <wp:simplePos x="0" y="0"/>
            <wp:positionH relativeFrom="margin">
              <wp:align>right</wp:align>
            </wp:positionH>
            <wp:positionV relativeFrom="paragraph">
              <wp:posOffset>147955</wp:posOffset>
            </wp:positionV>
            <wp:extent cx="5934710" cy="2967355"/>
            <wp:effectExtent l="0" t="0" r="889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5</w:t>
        </w:r>
      </w:fldSimple>
      <w:r>
        <w:t xml:space="preserve"> Black Dissimilarity Index by County, 2018</w:t>
      </w:r>
    </w:p>
    <w:p w14:paraId="72ACFA69" w14:textId="77777777" w:rsidR="00D24507" w:rsidRDefault="00D24507" w:rsidP="00D24507">
      <w:pPr>
        <w:rPr>
          <w:sz w:val="16"/>
          <w:szCs w:val="16"/>
        </w:rPr>
      </w:pPr>
      <w:r>
        <w:rPr>
          <w:sz w:val="16"/>
          <w:szCs w:val="16"/>
        </w:rPr>
        <w:t>S</w:t>
      </w:r>
      <w:r w:rsidRPr="00104C93">
        <w:rPr>
          <w:sz w:val="16"/>
          <w:szCs w:val="16"/>
        </w:rPr>
        <w:t>ource: 2014-2018 American Community Survey</w:t>
      </w:r>
      <w:r>
        <w:rPr>
          <w:sz w:val="16"/>
          <w:szCs w:val="16"/>
        </w:rPr>
        <w:t>: B030032</w:t>
      </w:r>
    </w:p>
    <w:p w14:paraId="710F8427" w14:textId="77777777" w:rsidR="00D24507" w:rsidRDefault="00D24507" w:rsidP="00D24507"/>
    <w:p w14:paraId="4FC99550" w14:textId="77777777" w:rsidR="0039740D" w:rsidRDefault="0039740D" w:rsidP="00D24507">
      <w:pPr>
        <w:pStyle w:val="Caption"/>
      </w:pPr>
    </w:p>
    <w:p w14:paraId="7B4DCFAA" w14:textId="2A4A75B2" w:rsidR="00D24507" w:rsidRDefault="00D24507" w:rsidP="00D24507">
      <w:pPr>
        <w:pStyle w:val="Caption"/>
      </w:pPr>
      <w:r>
        <w:rPr>
          <w:noProof/>
        </w:rPr>
        <w:drawing>
          <wp:anchor distT="0" distB="0" distL="114300" distR="114300" simplePos="0" relativeHeight="251666432" behindDoc="0" locked="0" layoutInCell="1" allowOverlap="1" wp14:anchorId="5C144EEC" wp14:editId="12249153">
            <wp:simplePos x="0" y="0"/>
            <wp:positionH relativeFrom="margin">
              <wp:align>right</wp:align>
            </wp:positionH>
            <wp:positionV relativeFrom="paragraph">
              <wp:posOffset>138430</wp:posOffset>
            </wp:positionV>
            <wp:extent cx="5934710" cy="2967355"/>
            <wp:effectExtent l="0" t="0" r="889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6</w:t>
        </w:r>
      </w:fldSimple>
      <w:r>
        <w:t xml:space="preserve"> Hispanic Dissimilarity Index, 2018</w:t>
      </w:r>
    </w:p>
    <w:p w14:paraId="7324A491" w14:textId="77777777" w:rsidR="00D24507" w:rsidRDefault="00D24507" w:rsidP="00D24507">
      <w:pPr>
        <w:rPr>
          <w:sz w:val="16"/>
          <w:szCs w:val="16"/>
        </w:rPr>
      </w:pPr>
      <w:r>
        <w:rPr>
          <w:sz w:val="16"/>
          <w:szCs w:val="16"/>
        </w:rPr>
        <w:t>S</w:t>
      </w:r>
      <w:r w:rsidRPr="00104C93">
        <w:rPr>
          <w:sz w:val="16"/>
          <w:szCs w:val="16"/>
        </w:rPr>
        <w:t>ource: 2014-2018 American Community Survey</w:t>
      </w:r>
      <w:r>
        <w:rPr>
          <w:sz w:val="16"/>
          <w:szCs w:val="16"/>
        </w:rPr>
        <w:t>: B030032</w:t>
      </w:r>
    </w:p>
    <w:p w14:paraId="5FCA3999" w14:textId="77777777" w:rsidR="00D24507" w:rsidRPr="0042295B" w:rsidRDefault="00D24507" w:rsidP="00D24507"/>
    <w:p w14:paraId="6C108436" w14:textId="77777777" w:rsidR="00D24507" w:rsidRDefault="00D24507" w:rsidP="00D24507">
      <w:pPr>
        <w:pStyle w:val="Heading3"/>
        <w:jc w:val="both"/>
      </w:pPr>
      <w:bookmarkStart w:id="20" w:name="_Toc47639975"/>
      <w:bookmarkStart w:id="21" w:name="_Toc66807909"/>
      <w:r>
        <w:t>Ancestry and National Origin</w:t>
      </w:r>
      <w:bookmarkEnd w:id="20"/>
      <w:bookmarkEnd w:id="21"/>
    </w:p>
    <w:p w14:paraId="50ACFF75" w14:textId="6C8D2CF3" w:rsidR="00D24507" w:rsidRDefault="00D24507" w:rsidP="00D24507">
      <w:r w:rsidRPr="00C24B26">
        <w:t xml:space="preserve">It is illegal to refuse the right to housing based on place of birth or ancestry. Census data on native and foreign-born populations revealed </w:t>
      </w:r>
      <w:r w:rsidRPr="00A434D7">
        <w:t>that 7.9% of North Carolina residents were foreign-born or born outside of the U.S. in Puerto Rico or on U.S. island areas as of 2018.</w:t>
      </w:r>
      <w:r>
        <w:t xml:space="preserve"> Areas with a high concentration of foreign-born residents tend to be counties with large municipalities</w:t>
      </w:r>
      <w:r w:rsidR="00A82C6C">
        <w:t xml:space="preserve"> and</w:t>
      </w:r>
      <w:r>
        <w:t xml:space="preserve"> include Charlotte in Mecklenburg County, Chapel Hill in Orange County, and Wake and </w:t>
      </w:r>
      <w:r>
        <w:lastRenderedPageBreak/>
        <w:t>Durham Counties. The largest foreign-born population in North Carolina, by a large margin, comes from Mexico, accounting for 29.5% of all foreign-born residents. The next largest group comes from India, consisting of 8.3% of all foreign-born residents.</w:t>
      </w:r>
    </w:p>
    <w:p w14:paraId="17D0FE74" w14:textId="77777777" w:rsidR="00D24507" w:rsidRDefault="00D24507" w:rsidP="00D24507"/>
    <w:p w14:paraId="47BE5E8A" w14:textId="4F5332C7" w:rsidR="00D24507" w:rsidRDefault="00D24507" w:rsidP="00D24507">
      <w:pPr>
        <w:pStyle w:val="Caption"/>
        <w:ind w:left="2610"/>
      </w:pPr>
      <w:r>
        <w:t xml:space="preserve"> Table </w:t>
      </w:r>
      <w:fldSimple w:instr=" SEQ Table \* ARABIC ">
        <w:r w:rsidR="0055251A">
          <w:rPr>
            <w:noProof/>
          </w:rPr>
          <w:t>5</w:t>
        </w:r>
      </w:fldSimple>
      <w:r>
        <w:t xml:space="preserve"> Top 10 Countries of Origin for Foreign-born Residents</w:t>
      </w:r>
    </w:p>
    <w:tbl>
      <w:tblPr>
        <w:tblW w:w="4009" w:type="dxa"/>
        <w:jc w:val="center"/>
        <w:tblLook w:val="04A0" w:firstRow="1" w:lastRow="0" w:firstColumn="1" w:lastColumn="0" w:noHBand="0" w:noVBand="1"/>
      </w:tblPr>
      <w:tblGrid>
        <w:gridCol w:w="782"/>
        <w:gridCol w:w="1900"/>
        <w:gridCol w:w="1327"/>
      </w:tblGrid>
      <w:tr w:rsidR="00D24507" w:rsidRPr="00BE3492" w14:paraId="5EDA7C27" w14:textId="77777777" w:rsidTr="006C2106">
        <w:trPr>
          <w:trHeight w:val="279"/>
          <w:jc w:val="center"/>
        </w:trPr>
        <w:tc>
          <w:tcPr>
            <w:tcW w:w="782"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6D3DA906" w14:textId="77777777" w:rsidR="00D24507" w:rsidRPr="00BE3492" w:rsidRDefault="00D24507" w:rsidP="006C2106">
            <w:pPr>
              <w:jc w:val="center"/>
              <w:rPr>
                <w:rFonts w:ascii="Calibri" w:hAnsi="Calibri" w:cs="Calibri"/>
                <w:b/>
                <w:bCs/>
                <w:color w:val="FFFFFF"/>
                <w:sz w:val="22"/>
                <w:szCs w:val="22"/>
              </w:rPr>
            </w:pPr>
            <w:r w:rsidRPr="00BE3492">
              <w:rPr>
                <w:rFonts w:ascii="Calibri" w:hAnsi="Calibri" w:cs="Calibri"/>
                <w:b/>
                <w:bCs/>
                <w:color w:val="FFFFFF"/>
                <w:sz w:val="22"/>
                <w:szCs w:val="22"/>
              </w:rPr>
              <w:t>Rank</w:t>
            </w:r>
          </w:p>
        </w:tc>
        <w:tc>
          <w:tcPr>
            <w:tcW w:w="1900" w:type="dxa"/>
            <w:tcBorders>
              <w:top w:val="single" w:sz="4" w:space="0" w:color="auto"/>
              <w:left w:val="nil"/>
              <w:bottom w:val="single" w:sz="4" w:space="0" w:color="auto"/>
              <w:right w:val="single" w:sz="4" w:space="0" w:color="auto"/>
            </w:tcBorders>
            <w:shd w:val="clear" w:color="000000" w:fill="4472C4"/>
            <w:noWrap/>
            <w:vAlign w:val="bottom"/>
            <w:hideMark/>
          </w:tcPr>
          <w:p w14:paraId="718A43A9" w14:textId="77777777" w:rsidR="00D24507" w:rsidRPr="00BE3492" w:rsidRDefault="00D24507" w:rsidP="006C2106">
            <w:pPr>
              <w:jc w:val="center"/>
              <w:rPr>
                <w:rFonts w:ascii="Calibri" w:hAnsi="Calibri" w:cs="Calibri"/>
                <w:b/>
                <w:bCs/>
                <w:color w:val="FFFFFF"/>
                <w:sz w:val="22"/>
                <w:szCs w:val="22"/>
              </w:rPr>
            </w:pPr>
            <w:r w:rsidRPr="00BE3492">
              <w:rPr>
                <w:rFonts w:ascii="Calibri" w:hAnsi="Calibri" w:cs="Calibri"/>
                <w:b/>
                <w:bCs/>
                <w:color w:val="FFFFFF"/>
                <w:sz w:val="22"/>
                <w:szCs w:val="22"/>
              </w:rPr>
              <w:t>Country of Origin</w:t>
            </w:r>
          </w:p>
        </w:tc>
        <w:tc>
          <w:tcPr>
            <w:tcW w:w="1327" w:type="dxa"/>
            <w:tcBorders>
              <w:top w:val="single" w:sz="4" w:space="0" w:color="auto"/>
              <w:left w:val="nil"/>
              <w:bottom w:val="single" w:sz="4" w:space="0" w:color="auto"/>
              <w:right w:val="single" w:sz="4" w:space="0" w:color="auto"/>
            </w:tcBorders>
            <w:shd w:val="clear" w:color="000000" w:fill="4472C4"/>
            <w:noWrap/>
            <w:vAlign w:val="bottom"/>
            <w:hideMark/>
          </w:tcPr>
          <w:p w14:paraId="6052AD98" w14:textId="77777777" w:rsidR="00D24507" w:rsidRPr="00BE3492" w:rsidRDefault="00D24507" w:rsidP="006C2106">
            <w:pPr>
              <w:jc w:val="center"/>
              <w:rPr>
                <w:rFonts w:ascii="Calibri" w:hAnsi="Calibri" w:cs="Calibri"/>
                <w:b/>
                <w:bCs/>
                <w:color w:val="FFFFFF"/>
                <w:sz w:val="22"/>
                <w:szCs w:val="22"/>
              </w:rPr>
            </w:pPr>
            <w:r w:rsidRPr="00BE3492">
              <w:rPr>
                <w:rFonts w:ascii="Calibri" w:hAnsi="Calibri" w:cs="Calibri"/>
                <w:b/>
                <w:bCs/>
                <w:color w:val="FFFFFF"/>
                <w:sz w:val="22"/>
                <w:szCs w:val="22"/>
              </w:rPr>
              <w:t>Population</w:t>
            </w:r>
          </w:p>
        </w:tc>
      </w:tr>
      <w:tr w:rsidR="00D24507" w:rsidRPr="00BE3492" w14:paraId="62C86C25"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7ED9DF7F"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1</w:t>
            </w:r>
          </w:p>
        </w:tc>
        <w:tc>
          <w:tcPr>
            <w:tcW w:w="1900" w:type="dxa"/>
            <w:tcBorders>
              <w:top w:val="nil"/>
              <w:left w:val="nil"/>
              <w:bottom w:val="single" w:sz="4" w:space="0" w:color="auto"/>
              <w:right w:val="single" w:sz="4" w:space="0" w:color="auto"/>
            </w:tcBorders>
            <w:shd w:val="clear" w:color="auto" w:fill="auto"/>
            <w:noWrap/>
            <w:vAlign w:val="bottom"/>
            <w:hideMark/>
          </w:tcPr>
          <w:p w14:paraId="07600A98"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Mexico</w:t>
            </w:r>
          </w:p>
        </w:tc>
        <w:tc>
          <w:tcPr>
            <w:tcW w:w="1327" w:type="dxa"/>
            <w:tcBorders>
              <w:top w:val="nil"/>
              <w:left w:val="nil"/>
              <w:bottom w:val="single" w:sz="4" w:space="0" w:color="auto"/>
              <w:right w:val="single" w:sz="4" w:space="0" w:color="auto"/>
            </w:tcBorders>
            <w:shd w:val="clear" w:color="auto" w:fill="auto"/>
            <w:noWrap/>
            <w:vAlign w:val="bottom"/>
            <w:hideMark/>
          </w:tcPr>
          <w:p w14:paraId="0A831BA6"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235,756</w:t>
            </w:r>
          </w:p>
        </w:tc>
      </w:tr>
      <w:tr w:rsidR="00D24507" w:rsidRPr="00BE3492" w14:paraId="1F34951B"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3DE9B42A"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2</w:t>
            </w:r>
          </w:p>
        </w:tc>
        <w:tc>
          <w:tcPr>
            <w:tcW w:w="1900" w:type="dxa"/>
            <w:tcBorders>
              <w:top w:val="nil"/>
              <w:left w:val="nil"/>
              <w:bottom w:val="single" w:sz="4" w:space="0" w:color="auto"/>
              <w:right w:val="single" w:sz="4" w:space="0" w:color="auto"/>
            </w:tcBorders>
            <w:shd w:val="clear" w:color="auto" w:fill="auto"/>
            <w:noWrap/>
            <w:vAlign w:val="bottom"/>
            <w:hideMark/>
          </w:tcPr>
          <w:p w14:paraId="49B1783D"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India</w:t>
            </w:r>
          </w:p>
        </w:tc>
        <w:tc>
          <w:tcPr>
            <w:tcW w:w="1327" w:type="dxa"/>
            <w:tcBorders>
              <w:top w:val="nil"/>
              <w:left w:val="nil"/>
              <w:bottom w:val="single" w:sz="4" w:space="0" w:color="auto"/>
              <w:right w:val="single" w:sz="4" w:space="0" w:color="auto"/>
            </w:tcBorders>
            <w:shd w:val="clear" w:color="auto" w:fill="auto"/>
            <w:noWrap/>
            <w:vAlign w:val="bottom"/>
            <w:hideMark/>
          </w:tcPr>
          <w:p w14:paraId="385E92DA"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66,430</w:t>
            </w:r>
          </w:p>
        </w:tc>
      </w:tr>
      <w:tr w:rsidR="00D24507" w:rsidRPr="00BE3492" w14:paraId="164DD903"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3F48F377"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3</w:t>
            </w:r>
          </w:p>
        </w:tc>
        <w:tc>
          <w:tcPr>
            <w:tcW w:w="1900" w:type="dxa"/>
            <w:tcBorders>
              <w:top w:val="nil"/>
              <w:left w:val="nil"/>
              <w:bottom w:val="single" w:sz="4" w:space="0" w:color="auto"/>
              <w:right w:val="single" w:sz="4" w:space="0" w:color="auto"/>
            </w:tcBorders>
            <w:shd w:val="clear" w:color="auto" w:fill="auto"/>
            <w:noWrap/>
            <w:vAlign w:val="bottom"/>
            <w:hideMark/>
          </w:tcPr>
          <w:p w14:paraId="6CB10115"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Honduras</w:t>
            </w:r>
          </w:p>
        </w:tc>
        <w:tc>
          <w:tcPr>
            <w:tcW w:w="1327" w:type="dxa"/>
            <w:tcBorders>
              <w:top w:val="nil"/>
              <w:left w:val="nil"/>
              <w:bottom w:val="single" w:sz="4" w:space="0" w:color="auto"/>
              <w:right w:val="single" w:sz="4" w:space="0" w:color="auto"/>
            </w:tcBorders>
            <w:shd w:val="clear" w:color="auto" w:fill="auto"/>
            <w:noWrap/>
            <w:vAlign w:val="bottom"/>
            <w:hideMark/>
          </w:tcPr>
          <w:p w14:paraId="5D836F33"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32,547</w:t>
            </w:r>
          </w:p>
        </w:tc>
      </w:tr>
      <w:tr w:rsidR="00D24507" w:rsidRPr="00BE3492" w14:paraId="73EEDE13"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438B07A1"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4</w:t>
            </w:r>
          </w:p>
        </w:tc>
        <w:tc>
          <w:tcPr>
            <w:tcW w:w="1900" w:type="dxa"/>
            <w:tcBorders>
              <w:top w:val="nil"/>
              <w:left w:val="nil"/>
              <w:bottom w:val="single" w:sz="4" w:space="0" w:color="auto"/>
              <w:right w:val="single" w:sz="4" w:space="0" w:color="auto"/>
            </w:tcBorders>
            <w:shd w:val="clear" w:color="auto" w:fill="auto"/>
            <w:noWrap/>
            <w:vAlign w:val="bottom"/>
            <w:hideMark/>
          </w:tcPr>
          <w:p w14:paraId="47B08687"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China</w:t>
            </w:r>
          </w:p>
        </w:tc>
        <w:tc>
          <w:tcPr>
            <w:tcW w:w="1327" w:type="dxa"/>
            <w:tcBorders>
              <w:top w:val="nil"/>
              <w:left w:val="nil"/>
              <w:bottom w:val="single" w:sz="4" w:space="0" w:color="auto"/>
              <w:right w:val="single" w:sz="4" w:space="0" w:color="auto"/>
            </w:tcBorders>
            <w:shd w:val="clear" w:color="auto" w:fill="auto"/>
            <w:noWrap/>
            <w:vAlign w:val="bottom"/>
            <w:hideMark/>
          </w:tcPr>
          <w:p w14:paraId="5A25B71E"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32,035</w:t>
            </w:r>
          </w:p>
        </w:tc>
      </w:tr>
      <w:tr w:rsidR="00D24507" w:rsidRPr="00BE3492" w14:paraId="7E544FEB"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2DCA797D"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5</w:t>
            </w:r>
          </w:p>
        </w:tc>
        <w:tc>
          <w:tcPr>
            <w:tcW w:w="1900" w:type="dxa"/>
            <w:tcBorders>
              <w:top w:val="nil"/>
              <w:left w:val="nil"/>
              <w:bottom w:val="single" w:sz="4" w:space="0" w:color="auto"/>
              <w:right w:val="single" w:sz="4" w:space="0" w:color="auto"/>
            </w:tcBorders>
            <w:shd w:val="clear" w:color="auto" w:fill="auto"/>
            <w:noWrap/>
            <w:vAlign w:val="bottom"/>
            <w:hideMark/>
          </w:tcPr>
          <w:p w14:paraId="4BA36A2E"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El Salvador</w:t>
            </w:r>
          </w:p>
        </w:tc>
        <w:tc>
          <w:tcPr>
            <w:tcW w:w="1327" w:type="dxa"/>
            <w:tcBorders>
              <w:top w:val="nil"/>
              <w:left w:val="nil"/>
              <w:bottom w:val="single" w:sz="4" w:space="0" w:color="auto"/>
              <w:right w:val="single" w:sz="4" w:space="0" w:color="auto"/>
            </w:tcBorders>
            <w:shd w:val="clear" w:color="auto" w:fill="auto"/>
            <w:noWrap/>
            <w:vAlign w:val="bottom"/>
            <w:hideMark/>
          </w:tcPr>
          <w:p w14:paraId="572D4246"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30,618</w:t>
            </w:r>
          </w:p>
        </w:tc>
      </w:tr>
      <w:tr w:rsidR="00D24507" w:rsidRPr="00BE3492" w14:paraId="7BAE4663"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038AD812"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6</w:t>
            </w:r>
          </w:p>
        </w:tc>
        <w:tc>
          <w:tcPr>
            <w:tcW w:w="1900" w:type="dxa"/>
            <w:tcBorders>
              <w:top w:val="nil"/>
              <w:left w:val="nil"/>
              <w:bottom w:val="single" w:sz="4" w:space="0" w:color="auto"/>
              <w:right w:val="single" w:sz="4" w:space="0" w:color="auto"/>
            </w:tcBorders>
            <w:shd w:val="clear" w:color="auto" w:fill="auto"/>
            <w:noWrap/>
            <w:vAlign w:val="bottom"/>
            <w:hideMark/>
          </w:tcPr>
          <w:p w14:paraId="008FDB06"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Vietnam</w:t>
            </w:r>
          </w:p>
        </w:tc>
        <w:tc>
          <w:tcPr>
            <w:tcW w:w="1327" w:type="dxa"/>
            <w:tcBorders>
              <w:top w:val="nil"/>
              <w:left w:val="nil"/>
              <w:bottom w:val="single" w:sz="4" w:space="0" w:color="auto"/>
              <w:right w:val="single" w:sz="4" w:space="0" w:color="auto"/>
            </w:tcBorders>
            <w:shd w:val="clear" w:color="auto" w:fill="auto"/>
            <w:noWrap/>
            <w:vAlign w:val="bottom"/>
            <w:hideMark/>
          </w:tcPr>
          <w:p w14:paraId="29D2164D"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23,814</w:t>
            </w:r>
          </w:p>
        </w:tc>
      </w:tr>
      <w:tr w:rsidR="00D24507" w:rsidRPr="00BE3492" w14:paraId="5C7E3C87"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67CF3511"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7</w:t>
            </w:r>
          </w:p>
        </w:tc>
        <w:tc>
          <w:tcPr>
            <w:tcW w:w="1900" w:type="dxa"/>
            <w:tcBorders>
              <w:top w:val="nil"/>
              <w:left w:val="nil"/>
              <w:bottom w:val="single" w:sz="4" w:space="0" w:color="auto"/>
              <w:right w:val="single" w:sz="4" w:space="0" w:color="auto"/>
            </w:tcBorders>
            <w:shd w:val="clear" w:color="auto" w:fill="auto"/>
            <w:noWrap/>
            <w:vAlign w:val="bottom"/>
            <w:hideMark/>
          </w:tcPr>
          <w:p w14:paraId="1333C165"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Canada</w:t>
            </w:r>
          </w:p>
        </w:tc>
        <w:tc>
          <w:tcPr>
            <w:tcW w:w="1327" w:type="dxa"/>
            <w:tcBorders>
              <w:top w:val="nil"/>
              <w:left w:val="nil"/>
              <w:bottom w:val="single" w:sz="4" w:space="0" w:color="auto"/>
              <w:right w:val="single" w:sz="4" w:space="0" w:color="auto"/>
            </w:tcBorders>
            <w:shd w:val="clear" w:color="auto" w:fill="auto"/>
            <w:noWrap/>
            <w:vAlign w:val="bottom"/>
            <w:hideMark/>
          </w:tcPr>
          <w:p w14:paraId="438EE89A"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18,952</w:t>
            </w:r>
          </w:p>
        </w:tc>
      </w:tr>
      <w:tr w:rsidR="00D24507" w:rsidRPr="00BE3492" w14:paraId="3530ADF4"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71E4E60D"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8</w:t>
            </w:r>
          </w:p>
        </w:tc>
        <w:tc>
          <w:tcPr>
            <w:tcW w:w="1900" w:type="dxa"/>
            <w:tcBorders>
              <w:top w:val="nil"/>
              <w:left w:val="nil"/>
              <w:bottom w:val="single" w:sz="4" w:space="0" w:color="auto"/>
              <w:right w:val="single" w:sz="4" w:space="0" w:color="auto"/>
            </w:tcBorders>
            <w:shd w:val="clear" w:color="auto" w:fill="auto"/>
            <w:noWrap/>
            <w:vAlign w:val="bottom"/>
            <w:hideMark/>
          </w:tcPr>
          <w:p w14:paraId="755A66D9"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Guatemala</w:t>
            </w:r>
          </w:p>
        </w:tc>
        <w:tc>
          <w:tcPr>
            <w:tcW w:w="1327" w:type="dxa"/>
            <w:tcBorders>
              <w:top w:val="nil"/>
              <w:left w:val="nil"/>
              <w:bottom w:val="single" w:sz="4" w:space="0" w:color="auto"/>
              <w:right w:val="single" w:sz="4" w:space="0" w:color="auto"/>
            </w:tcBorders>
            <w:shd w:val="clear" w:color="auto" w:fill="auto"/>
            <w:noWrap/>
            <w:vAlign w:val="bottom"/>
            <w:hideMark/>
          </w:tcPr>
          <w:p w14:paraId="282882DA"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18,946</w:t>
            </w:r>
          </w:p>
        </w:tc>
      </w:tr>
      <w:tr w:rsidR="00D24507" w:rsidRPr="00BE3492" w14:paraId="005D13EB"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278E2B6E"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9</w:t>
            </w:r>
          </w:p>
        </w:tc>
        <w:tc>
          <w:tcPr>
            <w:tcW w:w="1900" w:type="dxa"/>
            <w:tcBorders>
              <w:top w:val="nil"/>
              <w:left w:val="nil"/>
              <w:bottom w:val="single" w:sz="4" w:space="0" w:color="auto"/>
              <w:right w:val="single" w:sz="4" w:space="0" w:color="auto"/>
            </w:tcBorders>
            <w:shd w:val="clear" w:color="auto" w:fill="auto"/>
            <w:noWrap/>
            <w:vAlign w:val="bottom"/>
            <w:hideMark/>
          </w:tcPr>
          <w:p w14:paraId="1424E0DF"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Philippines</w:t>
            </w:r>
          </w:p>
        </w:tc>
        <w:tc>
          <w:tcPr>
            <w:tcW w:w="1327" w:type="dxa"/>
            <w:tcBorders>
              <w:top w:val="nil"/>
              <w:left w:val="nil"/>
              <w:bottom w:val="single" w:sz="4" w:space="0" w:color="auto"/>
              <w:right w:val="single" w:sz="4" w:space="0" w:color="auto"/>
            </w:tcBorders>
            <w:shd w:val="clear" w:color="auto" w:fill="auto"/>
            <w:noWrap/>
            <w:vAlign w:val="bottom"/>
            <w:hideMark/>
          </w:tcPr>
          <w:p w14:paraId="65D3908B"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17,509</w:t>
            </w:r>
          </w:p>
        </w:tc>
      </w:tr>
      <w:tr w:rsidR="00D24507" w:rsidRPr="00BE3492" w14:paraId="536E0666" w14:textId="77777777" w:rsidTr="006C2106">
        <w:trPr>
          <w:trHeight w:val="279"/>
          <w:jc w:val="center"/>
        </w:trPr>
        <w:tc>
          <w:tcPr>
            <w:tcW w:w="782" w:type="dxa"/>
            <w:tcBorders>
              <w:top w:val="nil"/>
              <w:left w:val="single" w:sz="4" w:space="0" w:color="auto"/>
              <w:bottom w:val="single" w:sz="4" w:space="0" w:color="auto"/>
              <w:right w:val="single" w:sz="4" w:space="0" w:color="auto"/>
            </w:tcBorders>
            <w:shd w:val="clear" w:color="auto" w:fill="auto"/>
            <w:noWrap/>
            <w:vAlign w:val="bottom"/>
            <w:hideMark/>
          </w:tcPr>
          <w:p w14:paraId="0DD1D5AC"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10</w:t>
            </w:r>
          </w:p>
        </w:tc>
        <w:tc>
          <w:tcPr>
            <w:tcW w:w="1900" w:type="dxa"/>
            <w:tcBorders>
              <w:top w:val="nil"/>
              <w:left w:val="nil"/>
              <w:bottom w:val="single" w:sz="4" w:space="0" w:color="auto"/>
              <w:right w:val="single" w:sz="4" w:space="0" w:color="auto"/>
            </w:tcBorders>
            <w:shd w:val="clear" w:color="auto" w:fill="auto"/>
            <w:noWrap/>
            <w:vAlign w:val="bottom"/>
            <w:hideMark/>
          </w:tcPr>
          <w:p w14:paraId="45FEDCE9" w14:textId="77777777" w:rsidR="00D24507" w:rsidRPr="00BE3492" w:rsidRDefault="00D24507" w:rsidP="006C2106">
            <w:pPr>
              <w:jc w:val="center"/>
              <w:rPr>
                <w:rFonts w:ascii="Calibri" w:hAnsi="Calibri" w:cs="Calibri"/>
                <w:color w:val="000000"/>
                <w:sz w:val="22"/>
                <w:szCs w:val="22"/>
              </w:rPr>
            </w:pPr>
            <w:r w:rsidRPr="00BE3492">
              <w:rPr>
                <w:rFonts w:ascii="Calibri" w:hAnsi="Calibri" w:cs="Calibri"/>
                <w:color w:val="000000"/>
                <w:sz w:val="22"/>
                <w:szCs w:val="22"/>
              </w:rPr>
              <w:t>Germany</w:t>
            </w:r>
          </w:p>
        </w:tc>
        <w:tc>
          <w:tcPr>
            <w:tcW w:w="1327" w:type="dxa"/>
            <w:tcBorders>
              <w:top w:val="nil"/>
              <w:left w:val="nil"/>
              <w:bottom w:val="single" w:sz="4" w:space="0" w:color="auto"/>
              <w:right w:val="single" w:sz="4" w:space="0" w:color="auto"/>
            </w:tcBorders>
            <w:shd w:val="clear" w:color="auto" w:fill="auto"/>
            <w:noWrap/>
            <w:vAlign w:val="bottom"/>
            <w:hideMark/>
          </w:tcPr>
          <w:p w14:paraId="5D6DAC0B" w14:textId="77777777" w:rsidR="00D24507" w:rsidRPr="00BE3492" w:rsidRDefault="00D24507" w:rsidP="006C2106">
            <w:pPr>
              <w:jc w:val="right"/>
              <w:rPr>
                <w:rFonts w:ascii="Calibri" w:hAnsi="Calibri" w:cs="Calibri"/>
                <w:color w:val="000000"/>
                <w:sz w:val="22"/>
                <w:szCs w:val="22"/>
              </w:rPr>
            </w:pPr>
            <w:r w:rsidRPr="00BE3492">
              <w:rPr>
                <w:rFonts w:ascii="Calibri" w:hAnsi="Calibri" w:cs="Calibri"/>
                <w:color w:val="000000"/>
                <w:sz w:val="22"/>
                <w:szCs w:val="22"/>
              </w:rPr>
              <w:t>16,100</w:t>
            </w:r>
          </w:p>
        </w:tc>
      </w:tr>
    </w:tbl>
    <w:p w14:paraId="3EF8602E" w14:textId="77777777" w:rsidR="00D24507" w:rsidRPr="006E6C9C" w:rsidRDefault="00D24507" w:rsidP="00D24507">
      <w:pPr>
        <w:ind w:left="2610"/>
        <w:rPr>
          <w:sz w:val="16"/>
          <w:szCs w:val="16"/>
        </w:rPr>
      </w:pPr>
      <w:r>
        <w:rPr>
          <w:sz w:val="16"/>
          <w:szCs w:val="16"/>
        </w:rPr>
        <w:t xml:space="preserve"> </w:t>
      </w:r>
      <w:r w:rsidRPr="006E6C9C">
        <w:rPr>
          <w:sz w:val="16"/>
          <w:szCs w:val="16"/>
        </w:rPr>
        <w:t>Source: 2014-2018 American Community Survey: B05006</w:t>
      </w:r>
    </w:p>
    <w:p w14:paraId="598E987B" w14:textId="77777777" w:rsidR="00D24507" w:rsidRPr="00C24B26" w:rsidRDefault="00D24507" w:rsidP="00D24507"/>
    <w:p w14:paraId="455A34F0" w14:textId="77777777" w:rsidR="0039740D" w:rsidRDefault="0039740D" w:rsidP="00D24507">
      <w:pPr>
        <w:pStyle w:val="Caption"/>
      </w:pPr>
    </w:p>
    <w:p w14:paraId="4E7C835F" w14:textId="34529299" w:rsidR="00D24507" w:rsidRDefault="00D24507" w:rsidP="00D24507">
      <w:pPr>
        <w:pStyle w:val="Caption"/>
      </w:pPr>
      <w:r>
        <w:t xml:space="preserve">Map </w:t>
      </w:r>
      <w:fldSimple w:instr=" SEQ Map \* ARABIC ">
        <w:r w:rsidR="0055251A">
          <w:rPr>
            <w:noProof/>
          </w:rPr>
          <w:t>7</w:t>
        </w:r>
      </w:fldSimple>
      <w:r>
        <w:t xml:space="preserve"> Foreign-born Population, 2018</w:t>
      </w:r>
    </w:p>
    <w:p w14:paraId="19C8A171" w14:textId="77777777" w:rsidR="00D24507" w:rsidRPr="00456D41" w:rsidRDefault="00D24507" w:rsidP="00D24507">
      <w:pPr>
        <w:rPr>
          <w:highlight w:val="cyan"/>
        </w:rPr>
      </w:pPr>
      <w:r w:rsidRPr="006E6C9C">
        <w:rPr>
          <w:sz w:val="16"/>
          <w:szCs w:val="16"/>
        </w:rPr>
        <w:t>Source: 2014-2018 American Community Survey: B05006</w:t>
      </w:r>
      <w:r>
        <w:rPr>
          <w:noProof/>
        </w:rPr>
        <w:drawing>
          <wp:anchor distT="0" distB="0" distL="114300" distR="114300" simplePos="0" relativeHeight="251667456" behindDoc="0" locked="0" layoutInCell="1" allowOverlap="1" wp14:anchorId="1FE7CB9C" wp14:editId="1A7AEAD4">
            <wp:simplePos x="0" y="0"/>
            <wp:positionH relativeFrom="column">
              <wp:posOffset>0</wp:posOffset>
            </wp:positionH>
            <wp:positionV relativeFrom="paragraph">
              <wp:posOffset>0</wp:posOffset>
            </wp:positionV>
            <wp:extent cx="5934710" cy="2967355"/>
            <wp:effectExtent l="0" t="0" r="889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61BEE" w14:textId="77777777" w:rsidR="00D24507" w:rsidRDefault="00D24507" w:rsidP="00D24507">
      <w:pPr>
        <w:spacing w:after="160" w:line="276" w:lineRule="auto"/>
        <w:rPr>
          <w:rFonts w:asciiTheme="majorHAnsi" w:eastAsiaTheme="majorEastAsia" w:hAnsiTheme="majorHAnsi" w:cstheme="majorBidi"/>
          <w:color w:val="C45911" w:themeColor="accent2" w:themeShade="BF"/>
          <w:sz w:val="32"/>
          <w:szCs w:val="32"/>
        </w:rPr>
      </w:pPr>
      <w:bookmarkStart w:id="22" w:name="_Toc47639976"/>
      <w:r>
        <w:br w:type="page"/>
      </w:r>
    </w:p>
    <w:p w14:paraId="56CA55EC" w14:textId="77777777" w:rsidR="00D24507" w:rsidRDefault="00D24507" w:rsidP="00D24507">
      <w:pPr>
        <w:pStyle w:val="Heading3"/>
        <w:jc w:val="both"/>
      </w:pPr>
      <w:bookmarkStart w:id="23" w:name="_Toc66807910"/>
      <w:r>
        <w:lastRenderedPageBreak/>
        <w:t>Limited English Proficiency</w:t>
      </w:r>
      <w:bookmarkEnd w:id="22"/>
      <w:bookmarkEnd w:id="23"/>
    </w:p>
    <w:p w14:paraId="2B4F1E1F" w14:textId="77777777" w:rsidR="00D24507" w:rsidRDefault="00D24507" w:rsidP="00D24507">
      <w:pPr>
        <w:spacing w:after="240"/>
        <w:jc w:val="both"/>
      </w:pPr>
      <w:r w:rsidRPr="00C24B26">
        <w:t xml:space="preserve">Persons with limited English proficiency (LEP) are defined as persons who have a limited ability to read, write, </w:t>
      </w:r>
      <w:proofErr w:type="gramStart"/>
      <w:r w:rsidRPr="00C24B26">
        <w:t>speak</w:t>
      </w:r>
      <w:proofErr w:type="gramEnd"/>
      <w:r w:rsidRPr="00C24B26">
        <w:t xml:space="preserve"> or understand English.  HUD uses the prevalence of persons with LEP to identify the potential for impediments to fair housing choice due to their inability to comprehend English.  Persons with LEP may encounter obstacles to fair housing by virtue of language and cultural barriers within their new environment.  To assist these individuals, it is important that a community recognizes their presence and the potential for discrimination, whether intentional or inadvertent, and establishes policies to eliminate barriers.</w:t>
      </w:r>
      <w:r>
        <w:t xml:space="preserve"> </w:t>
      </w:r>
      <w:r w:rsidRPr="00C24B26">
        <w:t>It is also incumbent upon HUD entitlement communities to determine the need for language assistance and comply with Title VI of the Civil Rights Act of 1964.</w:t>
      </w:r>
      <w:r>
        <w:t xml:space="preserve"> </w:t>
      </w:r>
    </w:p>
    <w:p w14:paraId="15434782" w14:textId="77777777" w:rsidR="00D24507" w:rsidRDefault="00D24507" w:rsidP="00D24507">
      <w:pPr>
        <w:spacing w:after="240"/>
        <w:jc w:val="both"/>
      </w:pPr>
      <w:r>
        <w:t xml:space="preserve">Local jurisdictions are advised to conduct a four-factor analysis to ensure meaningful access to services for LEP persons. The four factors include: </w:t>
      </w:r>
    </w:p>
    <w:p w14:paraId="511AFB33" w14:textId="77777777" w:rsidR="00D24507" w:rsidRPr="00AA0FE7" w:rsidRDefault="00D24507" w:rsidP="007A55D1">
      <w:pPr>
        <w:pStyle w:val="ListParagraph"/>
        <w:numPr>
          <w:ilvl w:val="0"/>
          <w:numId w:val="1"/>
        </w:numPr>
        <w:spacing w:after="240"/>
        <w:jc w:val="both"/>
        <w:rPr>
          <w:sz w:val="24"/>
        </w:rPr>
      </w:pPr>
      <w:r w:rsidRPr="00AA0FE7">
        <w:rPr>
          <w:sz w:val="24"/>
        </w:rPr>
        <w:t xml:space="preserve">The number or proportion of LEP persons served or encountered in the eligible service </w:t>
      </w:r>
      <w:proofErr w:type="gramStart"/>
      <w:r w:rsidRPr="00AA0FE7">
        <w:rPr>
          <w:sz w:val="24"/>
        </w:rPr>
        <w:t>population</w:t>
      </w:r>
      <w:proofErr w:type="gramEnd"/>
    </w:p>
    <w:p w14:paraId="1323BD7B" w14:textId="77777777" w:rsidR="00D24507" w:rsidRPr="00AA0FE7" w:rsidRDefault="00D24507" w:rsidP="007A55D1">
      <w:pPr>
        <w:pStyle w:val="ListParagraph"/>
        <w:numPr>
          <w:ilvl w:val="0"/>
          <w:numId w:val="1"/>
        </w:numPr>
        <w:spacing w:after="240"/>
        <w:jc w:val="both"/>
        <w:rPr>
          <w:sz w:val="24"/>
        </w:rPr>
      </w:pPr>
      <w:r w:rsidRPr="00AA0FE7">
        <w:rPr>
          <w:sz w:val="24"/>
        </w:rPr>
        <w:t xml:space="preserve">The frequency with which LEP persons come into contact with the </w:t>
      </w:r>
      <w:proofErr w:type="gramStart"/>
      <w:r w:rsidRPr="00AA0FE7">
        <w:rPr>
          <w:sz w:val="24"/>
        </w:rPr>
        <w:t>program</w:t>
      </w:r>
      <w:proofErr w:type="gramEnd"/>
    </w:p>
    <w:p w14:paraId="5D28C504" w14:textId="77777777" w:rsidR="00D24507" w:rsidRPr="00AA0FE7" w:rsidRDefault="00D24507" w:rsidP="007A55D1">
      <w:pPr>
        <w:pStyle w:val="ListParagraph"/>
        <w:numPr>
          <w:ilvl w:val="0"/>
          <w:numId w:val="1"/>
        </w:numPr>
        <w:spacing w:after="240"/>
        <w:jc w:val="both"/>
        <w:rPr>
          <w:sz w:val="24"/>
        </w:rPr>
      </w:pPr>
      <w:r w:rsidRPr="00AA0FE7">
        <w:rPr>
          <w:sz w:val="24"/>
        </w:rPr>
        <w:t xml:space="preserve">The nature and importance of the program, activity, or service </w:t>
      </w:r>
      <w:proofErr w:type="gramStart"/>
      <w:r w:rsidRPr="00AA0FE7">
        <w:rPr>
          <w:sz w:val="24"/>
        </w:rPr>
        <w:t>provided</w:t>
      </w:r>
      <w:proofErr w:type="gramEnd"/>
    </w:p>
    <w:p w14:paraId="001B002D" w14:textId="77777777" w:rsidR="00D24507" w:rsidRPr="00AA0FE7" w:rsidRDefault="00D24507" w:rsidP="007A55D1">
      <w:pPr>
        <w:pStyle w:val="ListParagraph"/>
        <w:numPr>
          <w:ilvl w:val="0"/>
          <w:numId w:val="1"/>
        </w:numPr>
        <w:spacing w:after="240"/>
        <w:jc w:val="both"/>
        <w:rPr>
          <w:sz w:val="24"/>
        </w:rPr>
      </w:pPr>
      <w:r w:rsidRPr="00AA0FE7">
        <w:rPr>
          <w:sz w:val="24"/>
        </w:rPr>
        <w:t>The resources available and costs to the service provider</w:t>
      </w:r>
    </w:p>
    <w:p w14:paraId="26E26A08" w14:textId="0A3A4227" w:rsidR="00D24507" w:rsidRDefault="00651194" w:rsidP="00D24507">
      <w:pPr>
        <w:spacing w:after="240"/>
        <w:jc w:val="both"/>
      </w:pPr>
      <w:r>
        <w:t>Translation of v</w:t>
      </w:r>
      <w:r w:rsidR="00D24507">
        <w:t xml:space="preserve">ital documents </w:t>
      </w:r>
      <w:r w:rsidR="007D3CEF">
        <w:t>would be required</w:t>
      </w:r>
      <w:r w:rsidR="00D24507">
        <w:t xml:space="preserve"> for any language groups that reaches the LEP threshold of 5%, and at least partially, into any languages that reach the safe harbor threshold of 1,000 persons. The ten largest LEP populations are </w:t>
      </w:r>
      <w:r w:rsidR="000F7D36">
        <w:t>listed</w:t>
      </w:r>
      <w:r w:rsidR="00D24507">
        <w:t xml:space="preserve"> in the following table.</w:t>
      </w:r>
    </w:p>
    <w:p w14:paraId="570A8AC6" w14:textId="696A4AF7" w:rsidR="00D24507" w:rsidRDefault="00D24507" w:rsidP="00D24507">
      <w:pPr>
        <w:pStyle w:val="Caption"/>
        <w:spacing w:line="276" w:lineRule="auto"/>
      </w:pPr>
      <w:r>
        <w:t xml:space="preserve">Table </w:t>
      </w:r>
      <w:fldSimple w:instr=" SEQ Table \* ARABIC ">
        <w:r w:rsidR="0055251A">
          <w:rPr>
            <w:noProof/>
          </w:rPr>
          <w:t>6</w:t>
        </w:r>
      </w:fldSimple>
      <w:r>
        <w:t xml:space="preserve"> Limited English Proficient Persons by Language in North Carolina, 2018</w:t>
      </w:r>
    </w:p>
    <w:tbl>
      <w:tblPr>
        <w:tblW w:w="9350" w:type="dxa"/>
        <w:tblLook w:val="04A0" w:firstRow="1" w:lastRow="0" w:firstColumn="1" w:lastColumn="0" w:noHBand="0" w:noVBand="1"/>
      </w:tblPr>
      <w:tblGrid>
        <w:gridCol w:w="1885"/>
        <w:gridCol w:w="4410"/>
        <w:gridCol w:w="1170"/>
        <w:gridCol w:w="990"/>
        <w:gridCol w:w="895"/>
      </w:tblGrid>
      <w:tr w:rsidR="00D24507" w:rsidRPr="006E6C9C" w14:paraId="6E778EBF" w14:textId="77777777" w:rsidTr="006C2106">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A7ABC4C" w14:textId="77777777" w:rsidR="00D24507" w:rsidRPr="006E6C9C" w:rsidRDefault="00D24507" w:rsidP="006C2106">
            <w:pPr>
              <w:jc w:val="center"/>
              <w:rPr>
                <w:rFonts w:ascii="Calibri" w:hAnsi="Calibri" w:cs="Calibri"/>
                <w:b/>
                <w:bCs/>
                <w:color w:val="FFFFFF"/>
                <w:sz w:val="22"/>
                <w:szCs w:val="22"/>
              </w:rPr>
            </w:pPr>
            <w:r w:rsidRPr="006E6C9C">
              <w:rPr>
                <w:rFonts w:ascii="Calibri" w:hAnsi="Calibri" w:cs="Calibri"/>
                <w:b/>
                <w:bCs/>
                <w:color w:val="FFFFFF"/>
                <w:sz w:val="22"/>
                <w:szCs w:val="22"/>
              </w:rPr>
              <w:t>Rank</w:t>
            </w:r>
          </w:p>
        </w:tc>
        <w:tc>
          <w:tcPr>
            <w:tcW w:w="4410" w:type="dxa"/>
            <w:tcBorders>
              <w:top w:val="single" w:sz="4" w:space="0" w:color="auto"/>
              <w:left w:val="nil"/>
              <w:bottom w:val="single" w:sz="4" w:space="0" w:color="auto"/>
              <w:right w:val="single" w:sz="4" w:space="0" w:color="auto"/>
            </w:tcBorders>
            <w:shd w:val="clear" w:color="000000" w:fill="4472C4"/>
            <w:noWrap/>
            <w:vAlign w:val="center"/>
            <w:hideMark/>
          </w:tcPr>
          <w:p w14:paraId="61969ECD" w14:textId="77777777" w:rsidR="00D24507" w:rsidRPr="006E6C9C" w:rsidRDefault="00D24507" w:rsidP="006C2106">
            <w:pPr>
              <w:jc w:val="center"/>
              <w:rPr>
                <w:rFonts w:ascii="Calibri" w:hAnsi="Calibri" w:cs="Calibri"/>
                <w:b/>
                <w:bCs/>
                <w:color w:val="FFFFFF"/>
                <w:sz w:val="22"/>
                <w:szCs w:val="22"/>
              </w:rPr>
            </w:pPr>
            <w:r w:rsidRPr="006E6C9C">
              <w:rPr>
                <w:rFonts w:ascii="Calibri" w:hAnsi="Calibri" w:cs="Calibri"/>
                <w:b/>
                <w:bCs/>
                <w:color w:val="FFFFFF"/>
                <w:sz w:val="22"/>
                <w:szCs w:val="22"/>
              </w:rPr>
              <w:t>Language</w:t>
            </w:r>
          </w:p>
        </w:tc>
        <w:tc>
          <w:tcPr>
            <w:tcW w:w="1170" w:type="dxa"/>
            <w:tcBorders>
              <w:top w:val="single" w:sz="4" w:space="0" w:color="auto"/>
              <w:left w:val="nil"/>
              <w:bottom w:val="single" w:sz="4" w:space="0" w:color="auto"/>
              <w:right w:val="single" w:sz="4" w:space="0" w:color="auto"/>
            </w:tcBorders>
            <w:shd w:val="clear" w:color="000000" w:fill="4472C4"/>
            <w:noWrap/>
            <w:vAlign w:val="center"/>
            <w:hideMark/>
          </w:tcPr>
          <w:p w14:paraId="6A570D97" w14:textId="77777777" w:rsidR="00D24507" w:rsidRPr="006E6C9C" w:rsidRDefault="00D24507" w:rsidP="006C2106">
            <w:pPr>
              <w:jc w:val="center"/>
              <w:rPr>
                <w:rFonts w:ascii="Calibri" w:hAnsi="Calibri" w:cs="Calibri"/>
                <w:b/>
                <w:bCs/>
                <w:color w:val="FFFFFF"/>
                <w:sz w:val="22"/>
                <w:szCs w:val="22"/>
              </w:rPr>
            </w:pPr>
            <w:r w:rsidRPr="006E6C9C">
              <w:rPr>
                <w:rFonts w:ascii="Calibri" w:hAnsi="Calibri" w:cs="Calibri"/>
                <w:b/>
                <w:bCs/>
                <w:color w:val="FFFFFF"/>
                <w:sz w:val="22"/>
                <w:szCs w:val="22"/>
              </w:rPr>
              <w:t>Total Speakers</w:t>
            </w:r>
          </w:p>
        </w:tc>
        <w:tc>
          <w:tcPr>
            <w:tcW w:w="990" w:type="dxa"/>
            <w:tcBorders>
              <w:top w:val="single" w:sz="4" w:space="0" w:color="auto"/>
              <w:left w:val="nil"/>
              <w:bottom w:val="single" w:sz="4" w:space="0" w:color="auto"/>
              <w:right w:val="single" w:sz="4" w:space="0" w:color="auto"/>
            </w:tcBorders>
            <w:shd w:val="clear" w:color="000000" w:fill="4472C4"/>
            <w:noWrap/>
            <w:vAlign w:val="center"/>
            <w:hideMark/>
          </w:tcPr>
          <w:p w14:paraId="28B14202" w14:textId="77777777" w:rsidR="00D24507" w:rsidRPr="006E6C9C" w:rsidRDefault="00D24507" w:rsidP="006C2106">
            <w:pPr>
              <w:jc w:val="center"/>
              <w:rPr>
                <w:rFonts w:ascii="Calibri" w:hAnsi="Calibri" w:cs="Calibri"/>
                <w:b/>
                <w:bCs/>
                <w:color w:val="FFFFFF"/>
                <w:sz w:val="22"/>
                <w:szCs w:val="22"/>
              </w:rPr>
            </w:pPr>
            <w:r w:rsidRPr="006E6C9C">
              <w:rPr>
                <w:rFonts w:ascii="Calibri" w:hAnsi="Calibri" w:cs="Calibri"/>
                <w:b/>
                <w:bCs/>
                <w:color w:val="FFFFFF"/>
                <w:sz w:val="22"/>
                <w:szCs w:val="22"/>
              </w:rPr>
              <w:t># LEP</w:t>
            </w:r>
          </w:p>
        </w:tc>
        <w:tc>
          <w:tcPr>
            <w:tcW w:w="895" w:type="dxa"/>
            <w:tcBorders>
              <w:top w:val="single" w:sz="4" w:space="0" w:color="auto"/>
              <w:left w:val="nil"/>
              <w:bottom w:val="single" w:sz="4" w:space="0" w:color="auto"/>
              <w:right w:val="single" w:sz="4" w:space="0" w:color="auto"/>
            </w:tcBorders>
            <w:shd w:val="clear" w:color="000000" w:fill="4472C4"/>
            <w:noWrap/>
            <w:vAlign w:val="center"/>
            <w:hideMark/>
          </w:tcPr>
          <w:p w14:paraId="333E0CA3" w14:textId="77777777" w:rsidR="00D24507" w:rsidRPr="006E6C9C" w:rsidRDefault="00D24507" w:rsidP="006C2106">
            <w:pPr>
              <w:jc w:val="center"/>
              <w:rPr>
                <w:rFonts w:ascii="Calibri" w:hAnsi="Calibri" w:cs="Calibri"/>
                <w:b/>
                <w:bCs/>
                <w:color w:val="FFFFFF"/>
                <w:sz w:val="22"/>
                <w:szCs w:val="22"/>
              </w:rPr>
            </w:pPr>
            <w:r w:rsidRPr="006E6C9C">
              <w:rPr>
                <w:rFonts w:ascii="Calibri" w:hAnsi="Calibri" w:cs="Calibri"/>
                <w:b/>
                <w:bCs/>
                <w:color w:val="FFFFFF"/>
                <w:sz w:val="22"/>
                <w:szCs w:val="22"/>
              </w:rPr>
              <w:t>% LEP</w:t>
            </w:r>
          </w:p>
        </w:tc>
      </w:tr>
      <w:tr w:rsidR="00D24507" w:rsidRPr="006E6C9C" w14:paraId="47391254"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BAC24CD"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#1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160CD093"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Spanish</w:t>
            </w:r>
          </w:p>
        </w:tc>
        <w:tc>
          <w:tcPr>
            <w:tcW w:w="1170" w:type="dxa"/>
            <w:tcBorders>
              <w:top w:val="nil"/>
              <w:left w:val="nil"/>
              <w:bottom w:val="single" w:sz="4" w:space="0" w:color="auto"/>
              <w:right w:val="single" w:sz="4" w:space="0" w:color="auto"/>
            </w:tcBorders>
            <w:shd w:val="clear" w:color="auto" w:fill="auto"/>
            <w:noWrap/>
            <w:vAlign w:val="bottom"/>
            <w:hideMark/>
          </w:tcPr>
          <w:p w14:paraId="04AA53E0"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761,108</w:t>
            </w:r>
          </w:p>
        </w:tc>
        <w:tc>
          <w:tcPr>
            <w:tcW w:w="990" w:type="dxa"/>
            <w:tcBorders>
              <w:top w:val="nil"/>
              <w:left w:val="nil"/>
              <w:bottom w:val="single" w:sz="4" w:space="0" w:color="auto"/>
              <w:right w:val="single" w:sz="4" w:space="0" w:color="auto"/>
            </w:tcBorders>
            <w:shd w:val="clear" w:color="auto" w:fill="auto"/>
            <w:noWrap/>
            <w:vAlign w:val="bottom"/>
            <w:hideMark/>
          </w:tcPr>
          <w:p w14:paraId="15605BE5"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309,235</w:t>
            </w:r>
          </w:p>
        </w:tc>
        <w:tc>
          <w:tcPr>
            <w:tcW w:w="895" w:type="dxa"/>
            <w:tcBorders>
              <w:top w:val="nil"/>
              <w:left w:val="nil"/>
              <w:bottom w:val="single" w:sz="4" w:space="0" w:color="auto"/>
              <w:right w:val="single" w:sz="4" w:space="0" w:color="auto"/>
            </w:tcBorders>
            <w:shd w:val="clear" w:color="auto" w:fill="auto"/>
            <w:noWrap/>
            <w:vAlign w:val="bottom"/>
            <w:hideMark/>
          </w:tcPr>
          <w:p w14:paraId="2CB2176A"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40.6%</w:t>
            </w:r>
          </w:p>
        </w:tc>
      </w:tr>
      <w:tr w:rsidR="00D24507" w:rsidRPr="006E6C9C" w14:paraId="60C5F611"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380EBAA"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#2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33DDE014"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Chinese (incl. Mandarin,</w:t>
            </w:r>
            <w:r>
              <w:rPr>
                <w:rFonts w:ascii="Calibri" w:hAnsi="Calibri" w:cs="Calibri"/>
                <w:color w:val="000000"/>
                <w:sz w:val="22"/>
                <w:szCs w:val="22"/>
              </w:rPr>
              <w:t xml:space="preserve"> </w:t>
            </w:r>
            <w:r w:rsidRPr="006E6C9C">
              <w:rPr>
                <w:rFonts w:ascii="Calibri" w:hAnsi="Calibri" w:cs="Calibri"/>
                <w:color w:val="000000"/>
                <w:sz w:val="22"/>
                <w:szCs w:val="22"/>
              </w:rPr>
              <w:t>Cantonese)</w:t>
            </w:r>
          </w:p>
        </w:tc>
        <w:tc>
          <w:tcPr>
            <w:tcW w:w="1170" w:type="dxa"/>
            <w:tcBorders>
              <w:top w:val="nil"/>
              <w:left w:val="nil"/>
              <w:bottom w:val="single" w:sz="4" w:space="0" w:color="auto"/>
              <w:right w:val="single" w:sz="4" w:space="0" w:color="auto"/>
            </w:tcBorders>
            <w:shd w:val="clear" w:color="auto" w:fill="auto"/>
            <w:noWrap/>
            <w:vAlign w:val="bottom"/>
            <w:hideMark/>
          </w:tcPr>
          <w:p w14:paraId="61EA3AE7"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43,423</w:t>
            </w:r>
          </w:p>
        </w:tc>
        <w:tc>
          <w:tcPr>
            <w:tcW w:w="990" w:type="dxa"/>
            <w:tcBorders>
              <w:top w:val="nil"/>
              <w:left w:val="nil"/>
              <w:bottom w:val="single" w:sz="4" w:space="0" w:color="auto"/>
              <w:right w:val="single" w:sz="4" w:space="0" w:color="auto"/>
            </w:tcBorders>
            <w:shd w:val="clear" w:color="auto" w:fill="auto"/>
            <w:noWrap/>
            <w:vAlign w:val="bottom"/>
            <w:hideMark/>
          </w:tcPr>
          <w:p w14:paraId="71E28F60"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16,323</w:t>
            </w:r>
          </w:p>
        </w:tc>
        <w:tc>
          <w:tcPr>
            <w:tcW w:w="895" w:type="dxa"/>
            <w:tcBorders>
              <w:top w:val="nil"/>
              <w:left w:val="nil"/>
              <w:bottom w:val="single" w:sz="4" w:space="0" w:color="auto"/>
              <w:right w:val="single" w:sz="4" w:space="0" w:color="auto"/>
            </w:tcBorders>
            <w:shd w:val="clear" w:color="auto" w:fill="auto"/>
            <w:noWrap/>
            <w:vAlign w:val="bottom"/>
            <w:hideMark/>
          </w:tcPr>
          <w:p w14:paraId="1BA33F74"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37.6%</w:t>
            </w:r>
          </w:p>
        </w:tc>
      </w:tr>
      <w:tr w:rsidR="00D24507" w:rsidRPr="006E6C9C" w14:paraId="327D2A6D"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257DDB78"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#3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685956A5"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Vietnamese</w:t>
            </w:r>
          </w:p>
        </w:tc>
        <w:tc>
          <w:tcPr>
            <w:tcW w:w="1170" w:type="dxa"/>
            <w:tcBorders>
              <w:top w:val="nil"/>
              <w:left w:val="nil"/>
              <w:bottom w:val="single" w:sz="4" w:space="0" w:color="auto"/>
              <w:right w:val="single" w:sz="4" w:space="0" w:color="auto"/>
            </w:tcBorders>
            <w:shd w:val="clear" w:color="auto" w:fill="auto"/>
            <w:noWrap/>
            <w:vAlign w:val="bottom"/>
            <w:hideMark/>
          </w:tcPr>
          <w:p w14:paraId="465DDFCB"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21,024</w:t>
            </w:r>
          </w:p>
        </w:tc>
        <w:tc>
          <w:tcPr>
            <w:tcW w:w="990" w:type="dxa"/>
            <w:tcBorders>
              <w:top w:val="nil"/>
              <w:left w:val="nil"/>
              <w:bottom w:val="single" w:sz="4" w:space="0" w:color="auto"/>
              <w:right w:val="single" w:sz="4" w:space="0" w:color="auto"/>
            </w:tcBorders>
            <w:shd w:val="clear" w:color="auto" w:fill="auto"/>
            <w:noWrap/>
            <w:vAlign w:val="bottom"/>
            <w:hideMark/>
          </w:tcPr>
          <w:p w14:paraId="1A5F3F26"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13,641</w:t>
            </w:r>
          </w:p>
        </w:tc>
        <w:tc>
          <w:tcPr>
            <w:tcW w:w="895" w:type="dxa"/>
            <w:tcBorders>
              <w:top w:val="nil"/>
              <w:left w:val="nil"/>
              <w:bottom w:val="single" w:sz="4" w:space="0" w:color="auto"/>
              <w:right w:val="single" w:sz="4" w:space="0" w:color="auto"/>
            </w:tcBorders>
            <w:shd w:val="clear" w:color="auto" w:fill="auto"/>
            <w:noWrap/>
            <w:vAlign w:val="bottom"/>
            <w:hideMark/>
          </w:tcPr>
          <w:p w14:paraId="53064475"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64.9%</w:t>
            </w:r>
          </w:p>
        </w:tc>
      </w:tr>
      <w:tr w:rsidR="00D24507" w:rsidRPr="006E6C9C" w14:paraId="51A2E03C"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06D15CFC"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#4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28E8EAAB"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Arabic</w:t>
            </w:r>
          </w:p>
        </w:tc>
        <w:tc>
          <w:tcPr>
            <w:tcW w:w="1170" w:type="dxa"/>
            <w:tcBorders>
              <w:top w:val="nil"/>
              <w:left w:val="nil"/>
              <w:bottom w:val="single" w:sz="4" w:space="0" w:color="auto"/>
              <w:right w:val="single" w:sz="4" w:space="0" w:color="auto"/>
            </w:tcBorders>
            <w:shd w:val="clear" w:color="auto" w:fill="auto"/>
            <w:noWrap/>
            <w:vAlign w:val="bottom"/>
            <w:hideMark/>
          </w:tcPr>
          <w:p w14:paraId="0A7F61AA"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21,972</w:t>
            </w:r>
          </w:p>
        </w:tc>
        <w:tc>
          <w:tcPr>
            <w:tcW w:w="990" w:type="dxa"/>
            <w:tcBorders>
              <w:top w:val="nil"/>
              <w:left w:val="nil"/>
              <w:bottom w:val="single" w:sz="4" w:space="0" w:color="auto"/>
              <w:right w:val="single" w:sz="4" w:space="0" w:color="auto"/>
            </w:tcBorders>
            <w:shd w:val="clear" w:color="auto" w:fill="auto"/>
            <w:noWrap/>
            <w:vAlign w:val="bottom"/>
            <w:hideMark/>
          </w:tcPr>
          <w:p w14:paraId="53D26B6E"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8,571</w:t>
            </w:r>
          </w:p>
        </w:tc>
        <w:tc>
          <w:tcPr>
            <w:tcW w:w="895" w:type="dxa"/>
            <w:tcBorders>
              <w:top w:val="nil"/>
              <w:left w:val="nil"/>
              <w:bottom w:val="single" w:sz="4" w:space="0" w:color="auto"/>
              <w:right w:val="single" w:sz="4" w:space="0" w:color="auto"/>
            </w:tcBorders>
            <w:shd w:val="clear" w:color="auto" w:fill="auto"/>
            <w:noWrap/>
            <w:vAlign w:val="bottom"/>
            <w:hideMark/>
          </w:tcPr>
          <w:p w14:paraId="4A704F66"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39.0%</w:t>
            </w:r>
          </w:p>
        </w:tc>
      </w:tr>
      <w:tr w:rsidR="00D24507" w:rsidRPr="006E6C9C" w14:paraId="6AFEA0DE"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0813203"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#5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2768A397"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Korean</w:t>
            </w:r>
          </w:p>
        </w:tc>
        <w:tc>
          <w:tcPr>
            <w:tcW w:w="1170" w:type="dxa"/>
            <w:tcBorders>
              <w:top w:val="nil"/>
              <w:left w:val="nil"/>
              <w:bottom w:val="single" w:sz="4" w:space="0" w:color="auto"/>
              <w:right w:val="single" w:sz="4" w:space="0" w:color="auto"/>
            </w:tcBorders>
            <w:shd w:val="clear" w:color="auto" w:fill="auto"/>
            <w:noWrap/>
            <w:vAlign w:val="bottom"/>
            <w:hideMark/>
          </w:tcPr>
          <w:p w14:paraId="74588D20"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17,466</w:t>
            </w:r>
          </w:p>
        </w:tc>
        <w:tc>
          <w:tcPr>
            <w:tcW w:w="990" w:type="dxa"/>
            <w:tcBorders>
              <w:top w:val="nil"/>
              <w:left w:val="nil"/>
              <w:bottom w:val="single" w:sz="4" w:space="0" w:color="auto"/>
              <w:right w:val="single" w:sz="4" w:space="0" w:color="auto"/>
            </w:tcBorders>
            <w:shd w:val="clear" w:color="auto" w:fill="auto"/>
            <w:noWrap/>
            <w:vAlign w:val="bottom"/>
            <w:hideMark/>
          </w:tcPr>
          <w:p w14:paraId="042B0A73"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7,295</w:t>
            </w:r>
          </w:p>
        </w:tc>
        <w:tc>
          <w:tcPr>
            <w:tcW w:w="895" w:type="dxa"/>
            <w:tcBorders>
              <w:top w:val="nil"/>
              <w:left w:val="nil"/>
              <w:bottom w:val="single" w:sz="4" w:space="0" w:color="auto"/>
              <w:right w:val="single" w:sz="4" w:space="0" w:color="auto"/>
            </w:tcBorders>
            <w:shd w:val="clear" w:color="auto" w:fill="auto"/>
            <w:noWrap/>
            <w:vAlign w:val="bottom"/>
            <w:hideMark/>
          </w:tcPr>
          <w:p w14:paraId="023CA124"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41.8%</w:t>
            </w:r>
          </w:p>
        </w:tc>
      </w:tr>
      <w:tr w:rsidR="00D24507" w:rsidRPr="006E6C9C" w14:paraId="5F18A0B7"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456E46BB"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#6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329C5BDC"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French (incl. Cajun)</w:t>
            </w:r>
          </w:p>
        </w:tc>
        <w:tc>
          <w:tcPr>
            <w:tcW w:w="1170" w:type="dxa"/>
            <w:tcBorders>
              <w:top w:val="nil"/>
              <w:left w:val="nil"/>
              <w:bottom w:val="single" w:sz="4" w:space="0" w:color="auto"/>
              <w:right w:val="single" w:sz="4" w:space="0" w:color="auto"/>
            </w:tcBorders>
            <w:shd w:val="clear" w:color="auto" w:fill="auto"/>
            <w:noWrap/>
            <w:vAlign w:val="bottom"/>
            <w:hideMark/>
          </w:tcPr>
          <w:p w14:paraId="337CDE4A"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27,652</w:t>
            </w:r>
          </w:p>
        </w:tc>
        <w:tc>
          <w:tcPr>
            <w:tcW w:w="990" w:type="dxa"/>
            <w:tcBorders>
              <w:top w:val="nil"/>
              <w:left w:val="nil"/>
              <w:bottom w:val="single" w:sz="4" w:space="0" w:color="auto"/>
              <w:right w:val="single" w:sz="4" w:space="0" w:color="auto"/>
            </w:tcBorders>
            <w:shd w:val="clear" w:color="auto" w:fill="auto"/>
            <w:noWrap/>
            <w:vAlign w:val="bottom"/>
            <w:hideMark/>
          </w:tcPr>
          <w:p w14:paraId="58688EC7"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6,989</w:t>
            </w:r>
          </w:p>
        </w:tc>
        <w:tc>
          <w:tcPr>
            <w:tcW w:w="895" w:type="dxa"/>
            <w:tcBorders>
              <w:top w:val="nil"/>
              <w:left w:val="nil"/>
              <w:bottom w:val="single" w:sz="4" w:space="0" w:color="auto"/>
              <w:right w:val="single" w:sz="4" w:space="0" w:color="auto"/>
            </w:tcBorders>
            <w:shd w:val="clear" w:color="auto" w:fill="auto"/>
            <w:noWrap/>
            <w:vAlign w:val="bottom"/>
            <w:hideMark/>
          </w:tcPr>
          <w:p w14:paraId="3E3A5696"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25.3%</w:t>
            </w:r>
          </w:p>
        </w:tc>
      </w:tr>
      <w:tr w:rsidR="00D24507" w:rsidRPr="006E6C9C" w14:paraId="7DDA6012"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4EDA7FB8"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#7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2F629D9F"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Nepali, Marathi, or other Indic languages</w:t>
            </w:r>
          </w:p>
        </w:tc>
        <w:tc>
          <w:tcPr>
            <w:tcW w:w="1170" w:type="dxa"/>
            <w:tcBorders>
              <w:top w:val="nil"/>
              <w:left w:val="nil"/>
              <w:bottom w:val="single" w:sz="4" w:space="0" w:color="auto"/>
              <w:right w:val="single" w:sz="4" w:space="0" w:color="auto"/>
            </w:tcBorders>
            <w:shd w:val="clear" w:color="auto" w:fill="auto"/>
            <w:noWrap/>
            <w:vAlign w:val="bottom"/>
            <w:hideMark/>
          </w:tcPr>
          <w:p w14:paraId="7545A630"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15,266</w:t>
            </w:r>
          </w:p>
        </w:tc>
        <w:tc>
          <w:tcPr>
            <w:tcW w:w="990" w:type="dxa"/>
            <w:tcBorders>
              <w:top w:val="nil"/>
              <w:left w:val="nil"/>
              <w:bottom w:val="single" w:sz="4" w:space="0" w:color="auto"/>
              <w:right w:val="single" w:sz="4" w:space="0" w:color="auto"/>
            </w:tcBorders>
            <w:shd w:val="clear" w:color="auto" w:fill="auto"/>
            <w:noWrap/>
            <w:vAlign w:val="bottom"/>
            <w:hideMark/>
          </w:tcPr>
          <w:p w14:paraId="0C057FF1"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6,005</w:t>
            </w:r>
          </w:p>
        </w:tc>
        <w:tc>
          <w:tcPr>
            <w:tcW w:w="895" w:type="dxa"/>
            <w:tcBorders>
              <w:top w:val="nil"/>
              <w:left w:val="nil"/>
              <w:bottom w:val="single" w:sz="4" w:space="0" w:color="auto"/>
              <w:right w:val="single" w:sz="4" w:space="0" w:color="auto"/>
            </w:tcBorders>
            <w:shd w:val="clear" w:color="auto" w:fill="auto"/>
            <w:noWrap/>
            <w:vAlign w:val="bottom"/>
            <w:hideMark/>
          </w:tcPr>
          <w:p w14:paraId="4A0A07CF"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39.3%</w:t>
            </w:r>
          </w:p>
        </w:tc>
      </w:tr>
      <w:tr w:rsidR="00D24507" w:rsidRPr="006E6C9C" w14:paraId="105A8634"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3DA48481"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#8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6B7C2D57"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Gujarati</w:t>
            </w:r>
          </w:p>
        </w:tc>
        <w:tc>
          <w:tcPr>
            <w:tcW w:w="1170" w:type="dxa"/>
            <w:tcBorders>
              <w:top w:val="nil"/>
              <w:left w:val="nil"/>
              <w:bottom w:val="single" w:sz="4" w:space="0" w:color="auto"/>
              <w:right w:val="single" w:sz="4" w:space="0" w:color="auto"/>
            </w:tcBorders>
            <w:shd w:val="clear" w:color="auto" w:fill="auto"/>
            <w:noWrap/>
            <w:vAlign w:val="bottom"/>
            <w:hideMark/>
          </w:tcPr>
          <w:p w14:paraId="15E452B3"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9,528</w:t>
            </w:r>
          </w:p>
        </w:tc>
        <w:tc>
          <w:tcPr>
            <w:tcW w:w="990" w:type="dxa"/>
            <w:tcBorders>
              <w:top w:val="nil"/>
              <w:left w:val="nil"/>
              <w:bottom w:val="single" w:sz="4" w:space="0" w:color="auto"/>
              <w:right w:val="single" w:sz="4" w:space="0" w:color="auto"/>
            </w:tcBorders>
            <w:shd w:val="clear" w:color="auto" w:fill="auto"/>
            <w:noWrap/>
            <w:vAlign w:val="bottom"/>
            <w:hideMark/>
          </w:tcPr>
          <w:p w14:paraId="73456CAC"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4,890</w:t>
            </w:r>
          </w:p>
        </w:tc>
        <w:tc>
          <w:tcPr>
            <w:tcW w:w="895" w:type="dxa"/>
            <w:tcBorders>
              <w:top w:val="nil"/>
              <w:left w:val="nil"/>
              <w:bottom w:val="single" w:sz="4" w:space="0" w:color="auto"/>
              <w:right w:val="single" w:sz="4" w:space="0" w:color="auto"/>
            </w:tcBorders>
            <w:shd w:val="clear" w:color="auto" w:fill="auto"/>
            <w:noWrap/>
            <w:vAlign w:val="bottom"/>
            <w:hideMark/>
          </w:tcPr>
          <w:p w14:paraId="496705E9"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51.3%</w:t>
            </w:r>
          </w:p>
        </w:tc>
      </w:tr>
      <w:tr w:rsidR="00D24507" w:rsidRPr="006E6C9C" w14:paraId="464F920C"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BDB2219"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#9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20B8158A"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Russian</w:t>
            </w:r>
          </w:p>
        </w:tc>
        <w:tc>
          <w:tcPr>
            <w:tcW w:w="1170" w:type="dxa"/>
            <w:tcBorders>
              <w:top w:val="nil"/>
              <w:left w:val="nil"/>
              <w:bottom w:val="single" w:sz="4" w:space="0" w:color="auto"/>
              <w:right w:val="single" w:sz="4" w:space="0" w:color="auto"/>
            </w:tcBorders>
            <w:shd w:val="clear" w:color="auto" w:fill="auto"/>
            <w:noWrap/>
            <w:vAlign w:val="bottom"/>
            <w:hideMark/>
          </w:tcPr>
          <w:p w14:paraId="511F1DBB"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12,582</w:t>
            </w:r>
          </w:p>
        </w:tc>
        <w:tc>
          <w:tcPr>
            <w:tcW w:w="990" w:type="dxa"/>
            <w:tcBorders>
              <w:top w:val="nil"/>
              <w:left w:val="nil"/>
              <w:bottom w:val="single" w:sz="4" w:space="0" w:color="auto"/>
              <w:right w:val="single" w:sz="4" w:space="0" w:color="auto"/>
            </w:tcBorders>
            <w:shd w:val="clear" w:color="auto" w:fill="auto"/>
            <w:noWrap/>
            <w:vAlign w:val="bottom"/>
            <w:hideMark/>
          </w:tcPr>
          <w:p w14:paraId="31C47D87"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4,045</w:t>
            </w:r>
          </w:p>
        </w:tc>
        <w:tc>
          <w:tcPr>
            <w:tcW w:w="895" w:type="dxa"/>
            <w:tcBorders>
              <w:top w:val="nil"/>
              <w:left w:val="nil"/>
              <w:bottom w:val="single" w:sz="4" w:space="0" w:color="auto"/>
              <w:right w:val="single" w:sz="4" w:space="0" w:color="auto"/>
            </w:tcBorders>
            <w:shd w:val="clear" w:color="auto" w:fill="auto"/>
            <w:noWrap/>
            <w:vAlign w:val="bottom"/>
            <w:hideMark/>
          </w:tcPr>
          <w:p w14:paraId="5A1081C7"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32.1%</w:t>
            </w:r>
          </w:p>
        </w:tc>
      </w:tr>
      <w:tr w:rsidR="00D24507" w:rsidRPr="006E6C9C" w14:paraId="2498D736" w14:textId="77777777" w:rsidTr="006C2106">
        <w:trPr>
          <w:trHeight w:val="300"/>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5A2BFA1" w14:textId="77777777" w:rsidR="00D24507" w:rsidRPr="006E6C9C" w:rsidRDefault="00D24507" w:rsidP="006C2106">
            <w:pPr>
              <w:jc w:val="center"/>
              <w:rPr>
                <w:rFonts w:ascii="Calibri" w:hAnsi="Calibri" w:cs="Calibri"/>
                <w:color w:val="000000"/>
                <w:sz w:val="22"/>
                <w:szCs w:val="22"/>
              </w:rPr>
            </w:pPr>
            <w:r w:rsidRPr="006E6C9C">
              <w:rPr>
                <w:rFonts w:ascii="Calibri" w:hAnsi="Calibri" w:cs="Calibri"/>
                <w:color w:val="000000"/>
                <w:sz w:val="22"/>
                <w:szCs w:val="22"/>
              </w:rPr>
              <w:t>#10 LEP Language</w:t>
            </w:r>
          </w:p>
        </w:tc>
        <w:tc>
          <w:tcPr>
            <w:tcW w:w="4410" w:type="dxa"/>
            <w:tcBorders>
              <w:top w:val="nil"/>
              <w:left w:val="nil"/>
              <w:bottom w:val="single" w:sz="4" w:space="0" w:color="auto"/>
              <w:right w:val="single" w:sz="4" w:space="0" w:color="auto"/>
            </w:tcBorders>
            <w:shd w:val="clear" w:color="auto" w:fill="auto"/>
            <w:noWrap/>
            <w:vAlign w:val="center"/>
            <w:hideMark/>
          </w:tcPr>
          <w:p w14:paraId="7F9E8B8E" w14:textId="77777777" w:rsidR="00D24507" w:rsidRPr="006E6C9C" w:rsidRDefault="00D24507" w:rsidP="006C2106">
            <w:pPr>
              <w:rPr>
                <w:rFonts w:ascii="Calibri" w:hAnsi="Calibri" w:cs="Calibri"/>
                <w:color w:val="000000"/>
                <w:sz w:val="22"/>
                <w:szCs w:val="22"/>
              </w:rPr>
            </w:pPr>
            <w:r w:rsidRPr="006E6C9C">
              <w:rPr>
                <w:rFonts w:ascii="Calibri" w:hAnsi="Calibri" w:cs="Calibri"/>
                <w:color w:val="000000"/>
                <w:sz w:val="22"/>
                <w:szCs w:val="22"/>
              </w:rPr>
              <w:t>Thai, Lao, or other Tai-Kadai languages</w:t>
            </w:r>
          </w:p>
        </w:tc>
        <w:tc>
          <w:tcPr>
            <w:tcW w:w="1170" w:type="dxa"/>
            <w:tcBorders>
              <w:top w:val="nil"/>
              <w:left w:val="nil"/>
              <w:bottom w:val="single" w:sz="4" w:space="0" w:color="auto"/>
              <w:right w:val="single" w:sz="4" w:space="0" w:color="auto"/>
            </w:tcBorders>
            <w:shd w:val="clear" w:color="auto" w:fill="auto"/>
            <w:noWrap/>
            <w:vAlign w:val="bottom"/>
            <w:hideMark/>
          </w:tcPr>
          <w:p w14:paraId="005CC166"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7,626</w:t>
            </w:r>
          </w:p>
        </w:tc>
        <w:tc>
          <w:tcPr>
            <w:tcW w:w="990" w:type="dxa"/>
            <w:tcBorders>
              <w:top w:val="nil"/>
              <w:left w:val="nil"/>
              <w:bottom w:val="single" w:sz="4" w:space="0" w:color="auto"/>
              <w:right w:val="single" w:sz="4" w:space="0" w:color="auto"/>
            </w:tcBorders>
            <w:shd w:val="clear" w:color="auto" w:fill="auto"/>
            <w:noWrap/>
            <w:vAlign w:val="bottom"/>
            <w:hideMark/>
          </w:tcPr>
          <w:p w14:paraId="01740E72"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3,883</w:t>
            </w:r>
          </w:p>
        </w:tc>
        <w:tc>
          <w:tcPr>
            <w:tcW w:w="895" w:type="dxa"/>
            <w:tcBorders>
              <w:top w:val="nil"/>
              <w:left w:val="nil"/>
              <w:bottom w:val="single" w:sz="4" w:space="0" w:color="auto"/>
              <w:right w:val="single" w:sz="4" w:space="0" w:color="auto"/>
            </w:tcBorders>
            <w:shd w:val="clear" w:color="auto" w:fill="auto"/>
            <w:noWrap/>
            <w:vAlign w:val="bottom"/>
            <w:hideMark/>
          </w:tcPr>
          <w:p w14:paraId="5C5ADB38" w14:textId="77777777" w:rsidR="00D24507" w:rsidRPr="006E6C9C" w:rsidRDefault="00D24507" w:rsidP="006C2106">
            <w:pPr>
              <w:jc w:val="right"/>
              <w:rPr>
                <w:rFonts w:ascii="Calibri" w:hAnsi="Calibri" w:cs="Calibri"/>
                <w:color w:val="000000"/>
                <w:sz w:val="22"/>
                <w:szCs w:val="22"/>
              </w:rPr>
            </w:pPr>
            <w:r w:rsidRPr="006E6C9C">
              <w:rPr>
                <w:rFonts w:ascii="Calibri" w:hAnsi="Calibri" w:cs="Calibri"/>
                <w:color w:val="000000"/>
                <w:sz w:val="22"/>
                <w:szCs w:val="22"/>
              </w:rPr>
              <w:t>50.9%</w:t>
            </w:r>
          </w:p>
        </w:tc>
      </w:tr>
    </w:tbl>
    <w:p w14:paraId="168505F1" w14:textId="77777777" w:rsidR="00D24507" w:rsidRPr="00104C93" w:rsidRDefault="00D24507" w:rsidP="00D24507">
      <w:pPr>
        <w:rPr>
          <w:sz w:val="16"/>
          <w:szCs w:val="16"/>
        </w:rPr>
      </w:pPr>
      <w:r w:rsidRPr="00104C93">
        <w:rPr>
          <w:sz w:val="16"/>
          <w:szCs w:val="16"/>
        </w:rPr>
        <w:t>Source: 2014-2018 American Community Survey: S160</w:t>
      </w:r>
      <w:r>
        <w:rPr>
          <w:sz w:val="16"/>
          <w:szCs w:val="16"/>
        </w:rPr>
        <w:t>01</w:t>
      </w:r>
    </w:p>
    <w:p w14:paraId="0841A16E" w14:textId="77777777" w:rsidR="00D24507" w:rsidRDefault="00D24507" w:rsidP="00D24507">
      <w:pPr>
        <w:pStyle w:val="ListParagraph"/>
        <w:jc w:val="both"/>
      </w:pPr>
    </w:p>
    <w:p w14:paraId="0BE10B20" w14:textId="421D04BE" w:rsidR="00D97E0C" w:rsidRDefault="00D97E0C" w:rsidP="0039740D">
      <w:pPr>
        <w:jc w:val="both"/>
      </w:pPr>
      <w:r>
        <w:t>There are over 30 language groups in North Carolina that meet the safe harbor threshold.</w:t>
      </w:r>
      <w:r w:rsidR="000E5051">
        <w:t xml:space="preserve"> The significance of this </w:t>
      </w:r>
      <w:r w:rsidR="00801136">
        <w:t xml:space="preserve">trend lies in the requirement for the state to </w:t>
      </w:r>
      <w:r w:rsidR="006A7343">
        <w:t>provide meaningful access to its programs and services to persons with LEP</w:t>
      </w:r>
      <w:r w:rsidR="00203624">
        <w:t xml:space="preserve">. </w:t>
      </w:r>
      <w:r w:rsidR="00FE3651">
        <w:t xml:space="preserve">The state can target its language assistance services to those counties where the </w:t>
      </w:r>
      <w:r w:rsidR="00CD1151">
        <w:t>LEP populations meet the safe harbor thresholds at the county level</w:t>
      </w:r>
      <w:r w:rsidR="001950A8">
        <w:t>. The following chart provides county-level LEP population data for those coun</w:t>
      </w:r>
      <w:r w:rsidR="002E71A9">
        <w:t>ties where it is made available by the Census</w:t>
      </w:r>
      <w:r w:rsidR="003067BA">
        <w:t xml:space="preserve">. </w:t>
      </w:r>
      <w:r w:rsidR="0034471A">
        <w:t>(N</w:t>
      </w:r>
      <w:r w:rsidR="003067BA">
        <w:t>ote</w:t>
      </w:r>
      <w:r w:rsidR="00963F6B">
        <w:t>:</w:t>
      </w:r>
      <w:r w:rsidR="003067BA">
        <w:t xml:space="preserve"> this data was only available for households, not persons, and may undervalue the number of LEP persons in each county where data was available.</w:t>
      </w:r>
      <w:r w:rsidR="0034471A">
        <w:t>)</w:t>
      </w:r>
    </w:p>
    <w:p w14:paraId="382D5093" w14:textId="7D874A55" w:rsidR="00D97E0C" w:rsidRDefault="00616246" w:rsidP="00616246">
      <w:pPr>
        <w:pStyle w:val="Caption"/>
      </w:pPr>
      <w:r>
        <w:lastRenderedPageBreak/>
        <w:t xml:space="preserve">Table </w:t>
      </w:r>
      <w:fldSimple w:instr=" SEQ Table \* ARABIC ">
        <w:r w:rsidR="0055251A">
          <w:rPr>
            <w:noProof/>
          </w:rPr>
          <w:t>7</w:t>
        </w:r>
      </w:fldSimple>
      <w:r>
        <w:t xml:space="preserve"> </w:t>
      </w:r>
      <w:r w:rsidR="003067BA">
        <w:t>Limited English Proficient Households by Language in North Carolina by County</w:t>
      </w:r>
    </w:p>
    <w:tbl>
      <w:tblPr>
        <w:tblW w:w="9033" w:type="dxa"/>
        <w:tblLook w:val="04A0" w:firstRow="1" w:lastRow="0" w:firstColumn="1" w:lastColumn="0" w:noHBand="0" w:noVBand="1"/>
      </w:tblPr>
      <w:tblGrid>
        <w:gridCol w:w="2713"/>
        <w:gridCol w:w="1419"/>
        <w:gridCol w:w="967"/>
        <w:gridCol w:w="741"/>
        <w:gridCol w:w="1336"/>
        <w:gridCol w:w="957"/>
        <w:gridCol w:w="900"/>
      </w:tblGrid>
      <w:tr w:rsidR="00616246" w:rsidRPr="00616246" w14:paraId="029170E8" w14:textId="77777777" w:rsidTr="0039740D">
        <w:trPr>
          <w:trHeight w:val="240"/>
        </w:trPr>
        <w:tc>
          <w:tcPr>
            <w:tcW w:w="2713" w:type="dxa"/>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4A7AB8D6" w14:textId="67B17268" w:rsidR="00616246" w:rsidRPr="0039740D" w:rsidRDefault="00616246" w:rsidP="00143C02">
            <w:pPr>
              <w:rPr>
                <w:rFonts w:ascii="Calibri" w:hAnsi="Calibri" w:cs="Calibri"/>
                <w:b/>
                <w:bCs/>
                <w:color w:val="FFFFFF" w:themeColor="background1"/>
                <w:sz w:val="22"/>
                <w:szCs w:val="22"/>
              </w:rPr>
            </w:pPr>
          </w:p>
        </w:tc>
        <w:tc>
          <w:tcPr>
            <w:tcW w:w="6320" w:type="dxa"/>
            <w:gridSpan w:val="6"/>
            <w:tcBorders>
              <w:top w:val="single" w:sz="4" w:space="0" w:color="auto"/>
              <w:left w:val="nil"/>
              <w:bottom w:val="single" w:sz="4" w:space="0" w:color="auto"/>
              <w:right w:val="single" w:sz="4" w:space="0" w:color="auto"/>
            </w:tcBorders>
            <w:shd w:val="clear" w:color="auto" w:fill="4472C4"/>
            <w:noWrap/>
            <w:vAlign w:val="center"/>
            <w:hideMark/>
          </w:tcPr>
          <w:p w14:paraId="6111CA79" w14:textId="77777777" w:rsidR="00616246" w:rsidRPr="0039740D" w:rsidRDefault="00616246">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County</w:t>
            </w:r>
          </w:p>
        </w:tc>
      </w:tr>
      <w:tr w:rsidR="00616246" w:rsidRPr="00616246" w14:paraId="26F3B32F"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4472C4"/>
            <w:noWrap/>
            <w:vAlign w:val="bottom"/>
            <w:hideMark/>
          </w:tcPr>
          <w:p w14:paraId="20A52BCE" w14:textId="77777777" w:rsidR="00616246" w:rsidRPr="0039740D" w:rsidRDefault="00616246" w:rsidP="00143C02">
            <w:pPr>
              <w:rPr>
                <w:rFonts w:ascii="Calibri" w:hAnsi="Calibri" w:cs="Calibri"/>
                <w:b/>
                <w:bCs/>
                <w:color w:val="FFFFFF" w:themeColor="background1"/>
                <w:sz w:val="22"/>
                <w:szCs w:val="22"/>
              </w:rPr>
            </w:pPr>
            <w:proofErr w:type="gramStart"/>
            <w:r w:rsidRPr="0039740D">
              <w:rPr>
                <w:rFonts w:ascii="Calibri" w:hAnsi="Calibri" w:cs="Calibri"/>
                <w:b/>
                <w:bCs/>
                <w:color w:val="FFFFFF" w:themeColor="background1"/>
                <w:sz w:val="22"/>
                <w:szCs w:val="22"/>
              </w:rPr>
              <w:t>Languages</w:t>
            </w:r>
            <w:proofErr w:type="gramEnd"/>
            <w:r w:rsidRPr="0039740D">
              <w:rPr>
                <w:rFonts w:ascii="Calibri" w:hAnsi="Calibri" w:cs="Calibri"/>
                <w:b/>
                <w:bCs/>
                <w:color w:val="FFFFFF" w:themeColor="background1"/>
                <w:sz w:val="22"/>
                <w:szCs w:val="22"/>
              </w:rPr>
              <w:t xml:space="preserve"> meeting LEP threshold</w:t>
            </w:r>
          </w:p>
        </w:tc>
        <w:tc>
          <w:tcPr>
            <w:tcW w:w="1419" w:type="dxa"/>
            <w:tcBorders>
              <w:top w:val="nil"/>
              <w:left w:val="nil"/>
              <w:bottom w:val="single" w:sz="4" w:space="0" w:color="auto"/>
              <w:right w:val="single" w:sz="4" w:space="0" w:color="auto"/>
            </w:tcBorders>
            <w:shd w:val="clear" w:color="auto" w:fill="4472C4"/>
            <w:noWrap/>
            <w:vAlign w:val="center"/>
            <w:hideMark/>
          </w:tcPr>
          <w:p w14:paraId="7B8E482A" w14:textId="77777777" w:rsidR="00616246" w:rsidRPr="0039740D" w:rsidRDefault="00616246" w:rsidP="0039740D">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Mecklenburg</w:t>
            </w:r>
          </w:p>
        </w:tc>
        <w:tc>
          <w:tcPr>
            <w:tcW w:w="967" w:type="dxa"/>
            <w:tcBorders>
              <w:top w:val="nil"/>
              <w:left w:val="nil"/>
              <w:bottom w:val="single" w:sz="4" w:space="0" w:color="auto"/>
              <w:right w:val="single" w:sz="4" w:space="0" w:color="auto"/>
            </w:tcBorders>
            <w:shd w:val="clear" w:color="auto" w:fill="4472C4"/>
            <w:noWrap/>
            <w:vAlign w:val="center"/>
            <w:hideMark/>
          </w:tcPr>
          <w:p w14:paraId="1C736B4C" w14:textId="77777777" w:rsidR="00616246" w:rsidRPr="0039740D" w:rsidRDefault="00616246" w:rsidP="0039740D">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Guilford</w:t>
            </w:r>
          </w:p>
        </w:tc>
        <w:tc>
          <w:tcPr>
            <w:tcW w:w="741" w:type="dxa"/>
            <w:tcBorders>
              <w:top w:val="nil"/>
              <w:left w:val="nil"/>
              <w:bottom w:val="single" w:sz="4" w:space="0" w:color="auto"/>
              <w:right w:val="single" w:sz="4" w:space="0" w:color="auto"/>
            </w:tcBorders>
            <w:shd w:val="clear" w:color="auto" w:fill="4472C4"/>
            <w:noWrap/>
            <w:vAlign w:val="center"/>
            <w:hideMark/>
          </w:tcPr>
          <w:p w14:paraId="12E7F5CA" w14:textId="77777777" w:rsidR="00616246" w:rsidRPr="0039740D" w:rsidRDefault="00616246" w:rsidP="0039740D">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Wake</w:t>
            </w:r>
          </w:p>
        </w:tc>
        <w:tc>
          <w:tcPr>
            <w:tcW w:w="1336" w:type="dxa"/>
            <w:tcBorders>
              <w:top w:val="nil"/>
              <w:left w:val="nil"/>
              <w:bottom w:val="single" w:sz="4" w:space="0" w:color="auto"/>
              <w:right w:val="single" w:sz="4" w:space="0" w:color="auto"/>
            </w:tcBorders>
            <w:shd w:val="clear" w:color="auto" w:fill="4472C4"/>
            <w:noWrap/>
            <w:vAlign w:val="center"/>
            <w:hideMark/>
          </w:tcPr>
          <w:p w14:paraId="67CCFC2E" w14:textId="77777777" w:rsidR="00616246" w:rsidRPr="0039740D" w:rsidRDefault="00616246" w:rsidP="0039740D">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Cumberland</w:t>
            </w:r>
          </w:p>
        </w:tc>
        <w:tc>
          <w:tcPr>
            <w:tcW w:w="957" w:type="dxa"/>
            <w:tcBorders>
              <w:top w:val="nil"/>
              <w:left w:val="nil"/>
              <w:bottom w:val="single" w:sz="4" w:space="0" w:color="auto"/>
              <w:right w:val="single" w:sz="4" w:space="0" w:color="auto"/>
            </w:tcBorders>
            <w:shd w:val="clear" w:color="auto" w:fill="4472C4"/>
            <w:noWrap/>
            <w:vAlign w:val="center"/>
            <w:hideMark/>
          </w:tcPr>
          <w:p w14:paraId="3DF35A96" w14:textId="77777777" w:rsidR="00616246" w:rsidRPr="0039740D" w:rsidRDefault="00616246" w:rsidP="0039740D">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Durham</w:t>
            </w:r>
          </w:p>
        </w:tc>
        <w:tc>
          <w:tcPr>
            <w:tcW w:w="900" w:type="dxa"/>
            <w:tcBorders>
              <w:top w:val="nil"/>
              <w:left w:val="nil"/>
              <w:bottom w:val="single" w:sz="4" w:space="0" w:color="auto"/>
              <w:right w:val="single" w:sz="4" w:space="0" w:color="auto"/>
            </w:tcBorders>
            <w:shd w:val="clear" w:color="auto" w:fill="4472C4"/>
            <w:noWrap/>
            <w:vAlign w:val="center"/>
            <w:hideMark/>
          </w:tcPr>
          <w:p w14:paraId="3BE6F938" w14:textId="77777777" w:rsidR="00616246" w:rsidRPr="0039740D" w:rsidRDefault="00616246" w:rsidP="0039740D">
            <w:pPr>
              <w:jc w:val="center"/>
              <w:rPr>
                <w:rFonts w:ascii="Calibri" w:hAnsi="Calibri" w:cs="Calibri"/>
                <w:b/>
                <w:bCs/>
                <w:color w:val="FFFFFF" w:themeColor="background1"/>
                <w:sz w:val="22"/>
                <w:szCs w:val="22"/>
              </w:rPr>
            </w:pPr>
            <w:r w:rsidRPr="0039740D">
              <w:rPr>
                <w:rFonts w:ascii="Calibri" w:hAnsi="Calibri" w:cs="Calibri"/>
                <w:b/>
                <w:bCs/>
                <w:color w:val="FFFFFF" w:themeColor="background1"/>
                <w:sz w:val="22"/>
                <w:szCs w:val="22"/>
              </w:rPr>
              <w:t>Forsyth</w:t>
            </w:r>
          </w:p>
        </w:tc>
      </w:tr>
      <w:tr w:rsidR="00616246" w:rsidRPr="00616246" w14:paraId="57DC3768"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6E2DE3BE"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Spanish</w:t>
            </w:r>
          </w:p>
        </w:tc>
        <w:tc>
          <w:tcPr>
            <w:tcW w:w="1419" w:type="dxa"/>
            <w:tcBorders>
              <w:top w:val="nil"/>
              <w:left w:val="nil"/>
              <w:bottom w:val="single" w:sz="4" w:space="0" w:color="auto"/>
              <w:right w:val="single" w:sz="4" w:space="0" w:color="auto"/>
            </w:tcBorders>
            <w:shd w:val="clear" w:color="auto" w:fill="auto"/>
            <w:noWrap/>
            <w:vAlign w:val="center"/>
            <w:hideMark/>
          </w:tcPr>
          <w:p w14:paraId="7186EFC6" w14:textId="2B4382D3"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13,103</w:t>
            </w:r>
          </w:p>
        </w:tc>
        <w:tc>
          <w:tcPr>
            <w:tcW w:w="967" w:type="dxa"/>
            <w:tcBorders>
              <w:top w:val="nil"/>
              <w:left w:val="nil"/>
              <w:bottom w:val="single" w:sz="4" w:space="0" w:color="auto"/>
              <w:right w:val="single" w:sz="4" w:space="0" w:color="auto"/>
            </w:tcBorders>
            <w:shd w:val="clear" w:color="auto" w:fill="auto"/>
            <w:noWrap/>
            <w:vAlign w:val="center"/>
            <w:hideMark/>
          </w:tcPr>
          <w:p w14:paraId="60A97397" w14:textId="5FE76AE5"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1,913</w:t>
            </w:r>
          </w:p>
        </w:tc>
        <w:tc>
          <w:tcPr>
            <w:tcW w:w="741" w:type="dxa"/>
            <w:tcBorders>
              <w:top w:val="nil"/>
              <w:left w:val="nil"/>
              <w:bottom w:val="single" w:sz="4" w:space="0" w:color="auto"/>
              <w:right w:val="single" w:sz="4" w:space="0" w:color="auto"/>
            </w:tcBorders>
            <w:shd w:val="clear" w:color="auto" w:fill="auto"/>
            <w:noWrap/>
            <w:vAlign w:val="center"/>
            <w:hideMark/>
          </w:tcPr>
          <w:p w14:paraId="5FC46103" w14:textId="387292F9"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5,289</w:t>
            </w:r>
          </w:p>
        </w:tc>
        <w:tc>
          <w:tcPr>
            <w:tcW w:w="1336" w:type="dxa"/>
            <w:tcBorders>
              <w:top w:val="nil"/>
              <w:left w:val="nil"/>
              <w:bottom w:val="single" w:sz="4" w:space="0" w:color="auto"/>
              <w:right w:val="single" w:sz="4" w:space="0" w:color="auto"/>
            </w:tcBorders>
            <w:shd w:val="clear" w:color="auto" w:fill="auto"/>
            <w:noWrap/>
            <w:vAlign w:val="center"/>
            <w:hideMark/>
          </w:tcPr>
          <w:p w14:paraId="0BCAA548" w14:textId="45548D62"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2,172</w:t>
            </w:r>
          </w:p>
        </w:tc>
        <w:tc>
          <w:tcPr>
            <w:tcW w:w="957" w:type="dxa"/>
            <w:tcBorders>
              <w:top w:val="nil"/>
              <w:left w:val="nil"/>
              <w:bottom w:val="single" w:sz="4" w:space="0" w:color="auto"/>
              <w:right w:val="single" w:sz="4" w:space="0" w:color="auto"/>
            </w:tcBorders>
            <w:shd w:val="clear" w:color="auto" w:fill="auto"/>
            <w:noWrap/>
            <w:vAlign w:val="center"/>
            <w:hideMark/>
          </w:tcPr>
          <w:p w14:paraId="783371ED" w14:textId="198B73BE"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3,926</w:t>
            </w:r>
          </w:p>
        </w:tc>
        <w:tc>
          <w:tcPr>
            <w:tcW w:w="900" w:type="dxa"/>
            <w:tcBorders>
              <w:top w:val="nil"/>
              <w:left w:val="nil"/>
              <w:bottom w:val="single" w:sz="4" w:space="0" w:color="auto"/>
              <w:right w:val="single" w:sz="4" w:space="0" w:color="auto"/>
            </w:tcBorders>
            <w:shd w:val="clear" w:color="auto" w:fill="auto"/>
            <w:noWrap/>
            <w:vAlign w:val="center"/>
            <w:hideMark/>
          </w:tcPr>
          <w:p w14:paraId="68A688D5" w14:textId="66153AC1"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3,301</w:t>
            </w:r>
          </w:p>
        </w:tc>
      </w:tr>
      <w:tr w:rsidR="00616246" w:rsidRPr="00616246" w14:paraId="0FC5D418"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3667214D" w14:textId="077C272E"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French, Haitian or Cajun</w:t>
            </w:r>
          </w:p>
        </w:tc>
        <w:tc>
          <w:tcPr>
            <w:tcW w:w="1419" w:type="dxa"/>
            <w:tcBorders>
              <w:top w:val="nil"/>
              <w:left w:val="nil"/>
              <w:bottom w:val="single" w:sz="4" w:space="0" w:color="auto"/>
              <w:right w:val="single" w:sz="4" w:space="0" w:color="auto"/>
            </w:tcBorders>
            <w:shd w:val="clear" w:color="auto" w:fill="auto"/>
            <w:noWrap/>
            <w:vAlign w:val="center"/>
            <w:hideMark/>
          </w:tcPr>
          <w:p w14:paraId="2D754D2F"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680</w:t>
            </w:r>
          </w:p>
        </w:tc>
        <w:tc>
          <w:tcPr>
            <w:tcW w:w="967" w:type="dxa"/>
            <w:tcBorders>
              <w:top w:val="nil"/>
              <w:left w:val="nil"/>
              <w:bottom w:val="single" w:sz="4" w:space="0" w:color="auto"/>
              <w:right w:val="single" w:sz="4" w:space="0" w:color="auto"/>
            </w:tcBorders>
            <w:shd w:val="clear" w:color="auto" w:fill="auto"/>
            <w:noWrap/>
            <w:vAlign w:val="center"/>
            <w:hideMark/>
          </w:tcPr>
          <w:p w14:paraId="081EBF1F"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118</w:t>
            </w:r>
          </w:p>
        </w:tc>
        <w:tc>
          <w:tcPr>
            <w:tcW w:w="741" w:type="dxa"/>
            <w:tcBorders>
              <w:top w:val="nil"/>
              <w:left w:val="nil"/>
              <w:bottom w:val="single" w:sz="4" w:space="0" w:color="auto"/>
              <w:right w:val="single" w:sz="4" w:space="0" w:color="auto"/>
            </w:tcBorders>
            <w:shd w:val="clear" w:color="auto" w:fill="auto"/>
            <w:noWrap/>
            <w:vAlign w:val="center"/>
            <w:hideMark/>
          </w:tcPr>
          <w:p w14:paraId="1E96C0D6"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144</w:t>
            </w:r>
          </w:p>
        </w:tc>
        <w:tc>
          <w:tcPr>
            <w:tcW w:w="1336" w:type="dxa"/>
            <w:tcBorders>
              <w:top w:val="nil"/>
              <w:left w:val="nil"/>
              <w:bottom w:val="single" w:sz="4" w:space="0" w:color="auto"/>
              <w:right w:val="single" w:sz="4" w:space="0" w:color="auto"/>
            </w:tcBorders>
            <w:shd w:val="clear" w:color="auto" w:fill="auto"/>
            <w:noWrap/>
            <w:vAlign w:val="center"/>
            <w:hideMark/>
          </w:tcPr>
          <w:p w14:paraId="18708A8A"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187</w:t>
            </w:r>
          </w:p>
        </w:tc>
        <w:tc>
          <w:tcPr>
            <w:tcW w:w="957" w:type="dxa"/>
            <w:tcBorders>
              <w:top w:val="nil"/>
              <w:left w:val="nil"/>
              <w:bottom w:val="single" w:sz="4" w:space="0" w:color="auto"/>
              <w:right w:val="single" w:sz="4" w:space="0" w:color="auto"/>
            </w:tcBorders>
            <w:shd w:val="clear" w:color="auto" w:fill="auto"/>
            <w:noWrap/>
            <w:vAlign w:val="center"/>
            <w:hideMark/>
          </w:tcPr>
          <w:p w14:paraId="307F9DD6"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14:paraId="2AD6DC15"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35</w:t>
            </w:r>
          </w:p>
        </w:tc>
      </w:tr>
      <w:tr w:rsidR="00616246" w:rsidRPr="00616246" w14:paraId="7D43C436"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3366549E"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German or other West Germanic languages</w:t>
            </w:r>
          </w:p>
        </w:tc>
        <w:tc>
          <w:tcPr>
            <w:tcW w:w="1419" w:type="dxa"/>
            <w:tcBorders>
              <w:top w:val="nil"/>
              <w:left w:val="nil"/>
              <w:bottom w:val="single" w:sz="4" w:space="0" w:color="auto"/>
              <w:right w:val="single" w:sz="4" w:space="0" w:color="auto"/>
            </w:tcBorders>
            <w:shd w:val="clear" w:color="auto" w:fill="auto"/>
            <w:noWrap/>
            <w:vAlign w:val="center"/>
            <w:hideMark/>
          </w:tcPr>
          <w:p w14:paraId="77C8F834"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c>
          <w:tcPr>
            <w:tcW w:w="967" w:type="dxa"/>
            <w:tcBorders>
              <w:top w:val="nil"/>
              <w:left w:val="nil"/>
              <w:bottom w:val="single" w:sz="4" w:space="0" w:color="auto"/>
              <w:right w:val="single" w:sz="4" w:space="0" w:color="auto"/>
            </w:tcBorders>
            <w:shd w:val="clear" w:color="auto" w:fill="auto"/>
            <w:noWrap/>
            <w:vAlign w:val="center"/>
            <w:hideMark/>
          </w:tcPr>
          <w:p w14:paraId="73E6D5AE"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c>
          <w:tcPr>
            <w:tcW w:w="741" w:type="dxa"/>
            <w:tcBorders>
              <w:top w:val="nil"/>
              <w:left w:val="nil"/>
              <w:bottom w:val="single" w:sz="4" w:space="0" w:color="auto"/>
              <w:right w:val="single" w:sz="4" w:space="0" w:color="auto"/>
            </w:tcBorders>
            <w:shd w:val="clear" w:color="auto" w:fill="auto"/>
            <w:noWrap/>
            <w:vAlign w:val="center"/>
            <w:hideMark/>
          </w:tcPr>
          <w:p w14:paraId="79A05889"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c>
          <w:tcPr>
            <w:tcW w:w="1336" w:type="dxa"/>
            <w:tcBorders>
              <w:top w:val="nil"/>
              <w:left w:val="nil"/>
              <w:bottom w:val="single" w:sz="4" w:space="0" w:color="auto"/>
              <w:right w:val="single" w:sz="4" w:space="0" w:color="auto"/>
            </w:tcBorders>
            <w:shd w:val="clear" w:color="auto" w:fill="auto"/>
            <w:noWrap/>
            <w:vAlign w:val="center"/>
            <w:hideMark/>
          </w:tcPr>
          <w:p w14:paraId="1771885E"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110</w:t>
            </w:r>
          </w:p>
        </w:tc>
        <w:tc>
          <w:tcPr>
            <w:tcW w:w="957" w:type="dxa"/>
            <w:tcBorders>
              <w:top w:val="nil"/>
              <w:left w:val="nil"/>
              <w:bottom w:val="single" w:sz="4" w:space="0" w:color="auto"/>
              <w:right w:val="single" w:sz="4" w:space="0" w:color="auto"/>
            </w:tcBorders>
            <w:shd w:val="clear" w:color="auto" w:fill="auto"/>
            <w:noWrap/>
            <w:vAlign w:val="center"/>
            <w:hideMark/>
          </w:tcPr>
          <w:p w14:paraId="798936B7"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236</w:t>
            </w:r>
          </w:p>
        </w:tc>
        <w:tc>
          <w:tcPr>
            <w:tcW w:w="900" w:type="dxa"/>
            <w:tcBorders>
              <w:top w:val="nil"/>
              <w:left w:val="nil"/>
              <w:bottom w:val="single" w:sz="4" w:space="0" w:color="auto"/>
              <w:right w:val="single" w:sz="4" w:space="0" w:color="auto"/>
            </w:tcBorders>
            <w:shd w:val="clear" w:color="auto" w:fill="auto"/>
            <w:noWrap/>
            <w:vAlign w:val="center"/>
            <w:hideMark/>
          </w:tcPr>
          <w:p w14:paraId="20051001"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r>
      <w:tr w:rsidR="00616246" w:rsidRPr="00616246" w14:paraId="578A75C8"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2BCB4142"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Russian, Polish, or other Slavic languages</w:t>
            </w:r>
          </w:p>
        </w:tc>
        <w:tc>
          <w:tcPr>
            <w:tcW w:w="1419" w:type="dxa"/>
            <w:tcBorders>
              <w:top w:val="nil"/>
              <w:left w:val="nil"/>
              <w:bottom w:val="single" w:sz="4" w:space="0" w:color="auto"/>
              <w:right w:val="single" w:sz="4" w:space="0" w:color="auto"/>
            </w:tcBorders>
            <w:shd w:val="clear" w:color="auto" w:fill="auto"/>
            <w:noWrap/>
            <w:vAlign w:val="center"/>
            <w:hideMark/>
          </w:tcPr>
          <w:p w14:paraId="2F933B59"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667</w:t>
            </w:r>
          </w:p>
        </w:tc>
        <w:tc>
          <w:tcPr>
            <w:tcW w:w="967" w:type="dxa"/>
            <w:tcBorders>
              <w:top w:val="nil"/>
              <w:left w:val="nil"/>
              <w:bottom w:val="single" w:sz="4" w:space="0" w:color="auto"/>
              <w:right w:val="single" w:sz="4" w:space="0" w:color="auto"/>
            </w:tcBorders>
            <w:shd w:val="clear" w:color="auto" w:fill="auto"/>
            <w:noWrap/>
            <w:vAlign w:val="center"/>
            <w:hideMark/>
          </w:tcPr>
          <w:p w14:paraId="3E588BEA"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144</w:t>
            </w:r>
          </w:p>
        </w:tc>
        <w:tc>
          <w:tcPr>
            <w:tcW w:w="741" w:type="dxa"/>
            <w:tcBorders>
              <w:top w:val="nil"/>
              <w:left w:val="nil"/>
              <w:bottom w:val="single" w:sz="4" w:space="0" w:color="auto"/>
              <w:right w:val="single" w:sz="4" w:space="0" w:color="auto"/>
            </w:tcBorders>
            <w:shd w:val="clear" w:color="auto" w:fill="auto"/>
            <w:noWrap/>
            <w:vAlign w:val="center"/>
            <w:hideMark/>
          </w:tcPr>
          <w:p w14:paraId="65FC6DE4"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275</w:t>
            </w:r>
          </w:p>
        </w:tc>
        <w:tc>
          <w:tcPr>
            <w:tcW w:w="1336" w:type="dxa"/>
            <w:tcBorders>
              <w:top w:val="nil"/>
              <w:left w:val="nil"/>
              <w:bottom w:val="single" w:sz="4" w:space="0" w:color="auto"/>
              <w:right w:val="single" w:sz="4" w:space="0" w:color="auto"/>
            </w:tcBorders>
            <w:shd w:val="clear" w:color="auto" w:fill="auto"/>
            <w:noWrap/>
            <w:vAlign w:val="center"/>
            <w:hideMark/>
          </w:tcPr>
          <w:p w14:paraId="2010B486"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c>
          <w:tcPr>
            <w:tcW w:w="957" w:type="dxa"/>
            <w:tcBorders>
              <w:top w:val="nil"/>
              <w:left w:val="nil"/>
              <w:bottom w:val="single" w:sz="4" w:space="0" w:color="auto"/>
              <w:right w:val="single" w:sz="4" w:space="0" w:color="auto"/>
            </w:tcBorders>
            <w:shd w:val="clear" w:color="auto" w:fill="auto"/>
            <w:noWrap/>
            <w:vAlign w:val="center"/>
            <w:hideMark/>
          </w:tcPr>
          <w:p w14:paraId="3BEA3359"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71</w:t>
            </w:r>
          </w:p>
        </w:tc>
        <w:tc>
          <w:tcPr>
            <w:tcW w:w="900" w:type="dxa"/>
            <w:tcBorders>
              <w:top w:val="nil"/>
              <w:left w:val="nil"/>
              <w:bottom w:val="single" w:sz="4" w:space="0" w:color="auto"/>
              <w:right w:val="single" w:sz="4" w:space="0" w:color="auto"/>
            </w:tcBorders>
            <w:shd w:val="clear" w:color="auto" w:fill="auto"/>
            <w:noWrap/>
            <w:vAlign w:val="center"/>
            <w:hideMark/>
          </w:tcPr>
          <w:p w14:paraId="22C0BFCA"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139</w:t>
            </w:r>
          </w:p>
        </w:tc>
      </w:tr>
      <w:tr w:rsidR="00616246" w:rsidRPr="00616246" w14:paraId="030102BE"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75D56BD8"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Other Indo-European languages</w:t>
            </w:r>
          </w:p>
        </w:tc>
        <w:tc>
          <w:tcPr>
            <w:tcW w:w="1419" w:type="dxa"/>
            <w:tcBorders>
              <w:top w:val="nil"/>
              <w:left w:val="nil"/>
              <w:bottom w:val="single" w:sz="4" w:space="0" w:color="auto"/>
              <w:right w:val="single" w:sz="4" w:space="0" w:color="auto"/>
            </w:tcBorders>
            <w:shd w:val="clear" w:color="auto" w:fill="auto"/>
            <w:noWrap/>
            <w:vAlign w:val="center"/>
            <w:hideMark/>
          </w:tcPr>
          <w:p w14:paraId="179736C8"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1292</w:t>
            </w:r>
          </w:p>
        </w:tc>
        <w:tc>
          <w:tcPr>
            <w:tcW w:w="967" w:type="dxa"/>
            <w:tcBorders>
              <w:top w:val="nil"/>
              <w:left w:val="nil"/>
              <w:bottom w:val="single" w:sz="4" w:space="0" w:color="auto"/>
              <w:right w:val="single" w:sz="4" w:space="0" w:color="auto"/>
            </w:tcBorders>
            <w:shd w:val="clear" w:color="auto" w:fill="auto"/>
            <w:noWrap/>
            <w:vAlign w:val="center"/>
            <w:hideMark/>
          </w:tcPr>
          <w:p w14:paraId="1F1D4D22"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907</w:t>
            </w:r>
          </w:p>
        </w:tc>
        <w:tc>
          <w:tcPr>
            <w:tcW w:w="741" w:type="dxa"/>
            <w:tcBorders>
              <w:top w:val="nil"/>
              <w:left w:val="nil"/>
              <w:bottom w:val="single" w:sz="4" w:space="0" w:color="auto"/>
              <w:right w:val="single" w:sz="4" w:space="0" w:color="auto"/>
            </w:tcBorders>
            <w:shd w:val="clear" w:color="auto" w:fill="auto"/>
            <w:noWrap/>
            <w:vAlign w:val="center"/>
            <w:hideMark/>
          </w:tcPr>
          <w:p w14:paraId="4224C6DA"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464</w:t>
            </w:r>
          </w:p>
        </w:tc>
        <w:tc>
          <w:tcPr>
            <w:tcW w:w="1336" w:type="dxa"/>
            <w:tcBorders>
              <w:top w:val="nil"/>
              <w:left w:val="nil"/>
              <w:bottom w:val="single" w:sz="4" w:space="0" w:color="auto"/>
              <w:right w:val="single" w:sz="4" w:space="0" w:color="auto"/>
            </w:tcBorders>
            <w:shd w:val="clear" w:color="auto" w:fill="auto"/>
            <w:noWrap/>
            <w:vAlign w:val="center"/>
            <w:hideMark/>
          </w:tcPr>
          <w:p w14:paraId="17ED6733"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184</w:t>
            </w:r>
          </w:p>
        </w:tc>
        <w:tc>
          <w:tcPr>
            <w:tcW w:w="957" w:type="dxa"/>
            <w:tcBorders>
              <w:top w:val="nil"/>
              <w:left w:val="nil"/>
              <w:bottom w:val="single" w:sz="4" w:space="0" w:color="auto"/>
              <w:right w:val="single" w:sz="4" w:space="0" w:color="auto"/>
            </w:tcBorders>
            <w:shd w:val="clear" w:color="auto" w:fill="auto"/>
            <w:noWrap/>
            <w:vAlign w:val="center"/>
            <w:hideMark/>
          </w:tcPr>
          <w:p w14:paraId="099CC661"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211</w:t>
            </w:r>
          </w:p>
        </w:tc>
        <w:tc>
          <w:tcPr>
            <w:tcW w:w="900" w:type="dxa"/>
            <w:tcBorders>
              <w:top w:val="nil"/>
              <w:left w:val="nil"/>
              <w:bottom w:val="single" w:sz="4" w:space="0" w:color="auto"/>
              <w:right w:val="single" w:sz="4" w:space="0" w:color="auto"/>
            </w:tcBorders>
            <w:shd w:val="clear" w:color="auto" w:fill="auto"/>
            <w:noWrap/>
            <w:vAlign w:val="center"/>
            <w:hideMark/>
          </w:tcPr>
          <w:p w14:paraId="5E732937"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576</w:t>
            </w:r>
          </w:p>
        </w:tc>
      </w:tr>
      <w:tr w:rsidR="00616246" w:rsidRPr="00616246" w14:paraId="514A1ACD"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58D2EBBE"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Korean</w:t>
            </w:r>
          </w:p>
        </w:tc>
        <w:tc>
          <w:tcPr>
            <w:tcW w:w="1419" w:type="dxa"/>
            <w:tcBorders>
              <w:top w:val="nil"/>
              <w:left w:val="nil"/>
              <w:bottom w:val="single" w:sz="4" w:space="0" w:color="auto"/>
              <w:right w:val="single" w:sz="4" w:space="0" w:color="auto"/>
            </w:tcBorders>
            <w:shd w:val="clear" w:color="auto" w:fill="auto"/>
            <w:noWrap/>
            <w:vAlign w:val="center"/>
            <w:hideMark/>
          </w:tcPr>
          <w:p w14:paraId="2EAAC51F"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333</w:t>
            </w:r>
          </w:p>
        </w:tc>
        <w:tc>
          <w:tcPr>
            <w:tcW w:w="967" w:type="dxa"/>
            <w:tcBorders>
              <w:top w:val="nil"/>
              <w:left w:val="nil"/>
              <w:bottom w:val="single" w:sz="4" w:space="0" w:color="auto"/>
              <w:right w:val="single" w:sz="4" w:space="0" w:color="auto"/>
            </w:tcBorders>
            <w:shd w:val="clear" w:color="auto" w:fill="auto"/>
            <w:noWrap/>
            <w:vAlign w:val="center"/>
            <w:hideMark/>
          </w:tcPr>
          <w:p w14:paraId="685912B9"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158</w:t>
            </w:r>
          </w:p>
        </w:tc>
        <w:tc>
          <w:tcPr>
            <w:tcW w:w="741" w:type="dxa"/>
            <w:tcBorders>
              <w:top w:val="nil"/>
              <w:left w:val="nil"/>
              <w:bottom w:val="single" w:sz="4" w:space="0" w:color="auto"/>
              <w:right w:val="single" w:sz="4" w:space="0" w:color="auto"/>
            </w:tcBorders>
            <w:shd w:val="clear" w:color="auto" w:fill="auto"/>
            <w:noWrap/>
            <w:vAlign w:val="center"/>
            <w:hideMark/>
          </w:tcPr>
          <w:p w14:paraId="3C302297"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443</w:t>
            </w:r>
          </w:p>
        </w:tc>
        <w:tc>
          <w:tcPr>
            <w:tcW w:w="1336" w:type="dxa"/>
            <w:tcBorders>
              <w:top w:val="nil"/>
              <w:left w:val="nil"/>
              <w:bottom w:val="single" w:sz="4" w:space="0" w:color="auto"/>
              <w:right w:val="single" w:sz="4" w:space="0" w:color="auto"/>
            </w:tcBorders>
            <w:shd w:val="clear" w:color="auto" w:fill="auto"/>
            <w:noWrap/>
            <w:vAlign w:val="center"/>
            <w:hideMark/>
          </w:tcPr>
          <w:p w14:paraId="1DABDD77"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385</w:t>
            </w:r>
          </w:p>
        </w:tc>
        <w:tc>
          <w:tcPr>
            <w:tcW w:w="957" w:type="dxa"/>
            <w:tcBorders>
              <w:top w:val="nil"/>
              <w:left w:val="nil"/>
              <w:bottom w:val="single" w:sz="4" w:space="0" w:color="auto"/>
              <w:right w:val="single" w:sz="4" w:space="0" w:color="auto"/>
            </w:tcBorders>
            <w:shd w:val="clear" w:color="auto" w:fill="auto"/>
            <w:noWrap/>
            <w:vAlign w:val="center"/>
            <w:hideMark/>
          </w:tcPr>
          <w:p w14:paraId="655BD334"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131</w:t>
            </w:r>
          </w:p>
        </w:tc>
        <w:tc>
          <w:tcPr>
            <w:tcW w:w="900" w:type="dxa"/>
            <w:tcBorders>
              <w:top w:val="nil"/>
              <w:left w:val="nil"/>
              <w:bottom w:val="single" w:sz="4" w:space="0" w:color="auto"/>
              <w:right w:val="single" w:sz="4" w:space="0" w:color="auto"/>
            </w:tcBorders>
            <w:shd w:val="clear" w:color="auto" w:fill="auto"/>
            <w:noWrap/>
            <w:vAlign w:val="center"/>
            <w:hideMark/>
          </w:tcPr>
          <w:p w14:paraId="0EC25BD8"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110</w:t>
            </w:r>
          </w:p>
        </w:tc>
      </w:tr>
      <w:tr w:rsidR="00616246" w:rsidRPr="00616246" w14:paraId="0DD61133"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22F30031"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Chinese (incl. Mandarin, Cantonese)</w:t>
            </w:r>
          </w:p>
        </w:tc>
        <w:tc>
          <w:tcPr>
            <w:tcW w:w="1419" w:type="dxa"/>
            <w:tcBorders>
              <w:top w:val="nil"/>
              <w:left w:val="nil"/>
              <w:bottom w:val="single" w:sz="4" w:space="0" w:color="auto"/>
              <w:right w:val="single" w:sz="4" w:space="0" w:color="auto"/>
            </w:tcBorders>
            <w:shd w:val="clear" w:color="auto" w:fill="auto"/>
            <w:noWrap/>
            <w:vAlign w:val="center"/>
            <w:hideMark/>
          </w:tcPr>
          <w:p w14:paraId="5F5B29D8"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691</w:t>
            </w:r>
          </w:p>
        </w:tc>
        <w:tc>
          <w:tcPr>
            <w:tcW w:w="967" w:type="dxa"/>
            <w:tcBorders>
              <w:top w:val="nil"/>
              <w:left w:val="nil"/>
              <w:bottom w:val="single" w:sz="4" w:space="0" w:color="auto"/>
              <w:right w:val="single" w:sz="4" w:space="0" w:color="auto"/>
            </w:tcBorders>
            <w:shd w:val="clear" w:color="auto" w:fill="auto"/>
            <w:noWrap/>
            <w:vAlign w:val="center"/>
            <w:hideMark/>
          </w:tcPr>
          <w:p w14:paraId="47613FB3"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522</w:t>
            </w:r>
          </w:p>
        </w:tc>
        <w:tc>
          <w:tcPr>
            <w:tcW w:w="741" w:type="dxa"/>
            <w:tcBorders>
              <w:top w:val="nil"/>
              <w:left w:val="nil"/>
              <w:bottom w:val="single" w:sz="4" w:space="0" w:color="auto"/>
              <w:right w:val="single" w:sz="4" w:space="0" w:color="auto"/>
            </w:tcBorders>
            <w:shd w:val="clear" w:color="auto" w:fill="auto"/>
            <w:noWrap/>
            <w:vAlign w:val="center"/>
            <w:hideMark/>
          </w:tcPr>
          <w:p w14:paraId="78D59602"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766</w:t>
            </w:r>
          </w:p>
        </w:tc>
        <w:tc>
          <w:tcPr>
            <w:tcW w:w="1336" w:type="dxa"/>
            <w:tcBorders>
              <w:top w:val="nil"/>
              <w:left w:val="nil"/>
              <w:bottom w:val="single" w:sz="4" w:space="0" w:color="auto"/>
              <w:right w:val="single" w:sz="4" w:space="0" w:color="auto"/>
            </w:tcBorders>
            <w:shd w:val="clear" w:color="auto" w:fill="auto"/>
            <w:noWrap/>
            <w:vAlign w:val="center"/>
            <w:hideMark/>
          </w:tcPr>
          <w:p w14:paraId="34E8BEB7"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16</w:t>
            </w:r>
          </w:p>
        </w:tc>
        <w:tc>
          <w:tcPr>
            <w:tcW w:w="957" w:type="dxa"/>
            <w:tcBorders>
              <w:top w:val="nil"/>
              <w:left w:val="nil"/>
              <w:bottom w:val="single" w:sz="4" w:space="0" w:color="auto"/>
              <w:right w:val="single" w:sz="4" w:space="0" w:color="auto"/>
            </w:tcBorders>
            <w:shd w:val="clear" w:color="auto" w:fill="auto"/>
            <w:noWrap/>
            <w:vAlign w:val="center"/>
            <w:hideMark/>
          </w:tcPr>
          <w:p w14:paraId="5FE95336"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124</w:t>
            </w:r>
          </w:p>
        </w:tc>
        <w:tc>
          <w:tcPr>
            <w:tcW w:w="900" w:type="dxa"/>
            <w:tcBorders>
              <w:top w:val="nil"/>
              <w:left w:val="nil"/>
              <w:bottom w:val="single" w:sz="4" w:space="0" w:color="auto"/>
              <w:right w:val="single" w:sz="4" w:space="0" w:color="auto"/>
            </w:tcBorders>
            <w:shd w:val="clear" w:color="auto" w:fill="auto"/>
            <w:noWrap/>
            <w:vAlign w:val="center"/>
            <w:hideMark/>
          </w:tcPr>
          <w:p w14:paraId="152A2B91"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124</w:t>
            </w:r>
          </w:p>
        </w:tc>
      </w:tr>
      <w:tr w:rsidR="00616246" w:rsidRPr="00616246" w14:paraId="2BEC4AE8"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685E9BDB"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Vietnamese</w:t>
            </w:r>
          </w:p>
        </w:tc>
        <w:tc>
          <w:tcPr>
            <w:tcW w:w="1419" w:type="dxa"/>
            <w:tcBorders>
              <w:top w:val="nil"/>
              <w:left w:val="nil"/>
              <w:bottom w:val="single" w:sz="4" w:space="0" w:color="auto"/>
              <w:right w:val="single" w:sz="4" w:space="0" w:color="auto"/>
            </w:tcBorders>
            <w:shd w:val="clear" w:color="auto" w:fill="auto"/>
            <w:noWrap/>
            <w:vAlign w:val="center"/>
            <w:hideMark/>
          </w:tcPr>
          <w:p w14:paraId="108E0198"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733</w:t>
            </w:r>
          </w:p>
        </w:tc>
        <w:tc>
          <w:tcPr>
            <w:tcW w:w="967" w:type="dxa"/>
            <w:tcBorders>
              <w:top w:val="nil"/>
              <w:left w:val="nil"/>
              <w:bottom w:val="single" w:sz="4" w:space="0" w:color="auto"/>
              <w:right w:val="single" w:sz="4" w:space="0" w:color="auto"/>
            </w:tcBorders>
            <w:shd w:val="clear" w:color="auto" w:fill="auto"/>
            <w:noWrap/>
            <w:vAlign w:val="center"/>
            <w:hideMark/>
          </w:tcPr>
          <w:p w14:paraId="32DFE050"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164</w:t>
            </w:r>
          </w:p>
        </w:tc>
        <w:tc>
          <w:tcPr>
            <w:tcW w:w="741" w:type="dxa"/>
            <w:tcBorders>
              <w:top w:val="nil"/>
              <w:left w:val="nil"/>
              <w:bottom w:val="single" w:sz="4" w:space="0" w:color="auto"/>
              <w:right w:val="single" w:sz="4" w:space="0" w:color="auto"/>
            </w:tcBorders>
            <w:shd w:val="clear" w:color="auto" w:fill="auto"/>
            <w:noWrap/>
            <w:vAlign w:val="center"/>
            <w:hideMark/>
          </w:tcPr>
          <w:p w14:paraId="51AD2A76"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241</w:t>
            </w:r>
          </w:p>
        </w:tc>
        <w:tc>
          <w:tcPr>
            <w:tcW w:w="1336" w:type="dxa"/>
            <w:tcBorders>
              <w:top w:val="nil"/>
              <w:left w:val="nil"/>
              <w:bottom w:val="single" w:sz="4" w:space="0" w:color="auto"/>
              <w:right w:val="single" w:sz="4" w:space="0" w:color="auto"/>
            </w:tcBorders>
            <w:shd w:val="clear" w:color="auto" w:fill="auto"/>
            <w:noWrap/>
            <w:vAlign w:val="center"/>
            <w:hideMark/>
          </w:tcPr>
          <w:p w14:paraId="7B42E30E"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74</w:t>
            </w:r>
          </w:p>
        </w:tc>
        <w:tc>
          <w:tcPr>
            <w:tcW w:w="957" w:type="dxa"/>
            <w:tcBorders>
              <w:top w:val="nil"/>
              <w:left w:val="nil"/>
              <w:bottom w:val="single" w:sz="4" w:space="0" w:color="auto"/>
              <w:right w:val="single" w:sz="4" w:space="0" w:color="auto"/>
            </w:tcBorders>
            <w:shd w:val="clear" w:color="auto" w:fill="auto"/>
            <w:noWrap/>
            <w:vAlign w:val="center"/>
            <w:hideMark/>
          </w:tcPr>
          <w:p w14:paraId="500D8965"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229</w:t>
            </w:r>
          </w:p>
        </w:tc>
        <w:tc>
          <w:tcPr>
            <w:tcW w:w="900" w:type="dxa"/>
            <w:tcBorders>
              <w:top w:val="nil"/>
              <w:left w:val="nil"/>
              <w:bottom w:val="single" w:sz="4" w:space="0" w:color="auto"/>
              <w:right w:val="single" w:sz="4" w:space="0" w:color="auto"/>
            </w:tcBorders>
            <w:shd w:val="clear" w:color="auto" w:fill="auto"/>
            <w:noWrap/>
            <w:vAlign w:val="center"/>
            <w:hideMark/>
          </w:tcPr>
          <w:p w14:paraId="325CC487"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87</w:t>
            </w:r>
          </w:p>
        </w:tc>
      </w:tr>
      <w:tr w:rsidR="00616246" w:rsidRPr="00616246" w14:paraId="1FC7F0FE"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23027449"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Tagalog (incl. Filipino)</w:t>
            </w:r>
          </w:p>
        </w:tc>
        <w:tc>
          <w:tcPr>
            <w:tcW w:w="1419" w:type="dxa"/>
            <w:tcBorders>
              <w:top w:val="nil"/>
              <w:left w:val="nil"/>
              <w:bottom w:val="single" w:sz="4" w:space="0" w:color="auto"/>
              <w:right w:val="single" w:sz="4" w:space="0" w:color="auto"/>
            </w:tcBorders>
            <w:shd w:val="clear" w:color="auto" w:fill="auto"/>
            <w:noWrap/>
            <w:vAlign w:val="center"/>
            <w:hideMark/>
          </w:tcPr>
          <w:p w14:paraId="3033CB5E"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78</w:t>
            </w:r>
          </w:p>
        </w:tc>
        <w:tc>
          <w:tcPr>
            <w:tcW w:w="967" w:type="dxa"/>
            <w:tcBorders>
              <w:top w:val="nil"/>
              <w:left w:val="nil"/>
              <w:bottom w:val="single" w:sz="4" w:space="0" w:color="auto"/>
              <w:right w:val="single" w:sz="4" w:space="0" w:color="auto"/>
            </w:tcBorders>
            <w:shd w:val="clear" w:color="auto" w:fill="auto"/>
            <w:noWrap/>
            <w:vAlign w:val="center"/>
            <w:hideMark/>
          </w:tcPr>
          <w:p w14:paraId="4E0DAD7D"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57</w:t>
            </w:r>
          </w:p>
        </w:tc>
        <w:tc>
          <w:tcPr>
            <w:tcW w:w="741" w:type="dxa"/>
            <w:tcBorders>
              <w:top w:val="nil"/>
              <w:left w:val="nil"/>
              <w:bottom w:val="single" w:sz="4" w:space="0" w:color="auto"/>
              <w:right w:val="single" w:sz="4" w:space="0" w:color="auto"/>
            </w:tcBorders>
            <w:shd w:val="clear" w:color="auto" w:fill="auto"/>
            <w:noWrap/>
            <w:vAlign w:val="center"/>
            <w:hideMark/>
          </w:tcPr>
          <w:p w14:paraId="7DC5742A"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77</w:t>
            </w:r>
          </w:p>
        </w:tc>
        <w:tc>
          <w:tcPr>
            <w:tcW w:w="1336" w:type="dxa"/>
            <w:tcBorders>
              <w:top w:val="nil"/>
              <w:left w:val="nil"/>
              <w:bottom w:val="single" w:sz="4" w:space="0" w:color="auto"/>
              <w:right w:val="single" w:sz="4" w:space="0" w:color="auto"/>
            </w:tcBorders>
            <w:shd w:val="clear" w:color="auto" w:fill="auto"/>
            <w:noWrap/>
            <w:vAlign w:val="center"/>
            <w:hideMark/>
          </w:tcPr>
          <w:p w14:paraId="1B0674B5"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124</w:t>
            </w:r>
          </w:p>
        </w:tc>
        <w:tc>
          <w:tcPr>
            <w:tcW w:w="957" w:type="dxa"/>
            <w:tcBorders>
              <w:top w:val="nil"/>
              <w:left w:val="nil"/>
              <w:bottom w:val="single" w:sz="4" w:space="0" w:color="auto"/>
              <w:right w:val="single" w:sz="4" w:space="0" w:color="auto"/>
            </w:tcBorders>
            <w:shd w:val="clear" w:color="auto" w:fill="auto"/>
            <w:noWrap/>
            <w:vAlign w:val="center"/>
            <w:hideMark/>
          </w:tcPr>
          <w:p w14:paraId="61B80A8F"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14:paraId="6C7A02BD"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r>
      <w:tr w:rsidR="00616246" w:rsidRPr="00616246" w14:paraId="559C138B" w14:textId="77777777" w:rsidTr="0039740D">
        <w:trPr>
          <w:trHeight w:val="240"/>
        </w:trPr>
        <w:tc>
          <w:tcPr>
            <w:tcW w:w="2713" w:type="dxa"/>
            <w:tcBorders>
              <w:top w:val="nil"/>
              <w:left w:val="single" w:sz="4" w:space="0" w:color="auto"/>
              <w:bottom w:val="single" w:sz="4" w:space="0" w:color="auto"/>
              <w:right w:val="single" w:sz="4" w:space="0" w:color="auto"/>
            </w:tcBorders>
            <w:shd w:val="clear" w:color="auto" w:fill="auto"/>
            <w:noWrap/>
            <w:vAlign w:val="bottom"/>
            <w:hideMark/>
          </w:tcPr>
          <w:p w14:paraId="5474FC24" w14:textId="77777777" w:rsidR="00616246" w:rsidRPr="00616246" w:rsidRDefault="00616246" w:rsidP="00143C02">
            <w:pPr>
              <w:rPr>
                <w:rFonts w:ascii="Calibri" w:hAnsi="Calibri" w:cs="Calibri"/>
                <w:color w:val="000000"/>
                <w:sz w:val="22"/>
                <w:szCs w:val="22"/>
              </w:rPr>
            </w:pPr>
            <w:r w:rsidRPr="00616246">
              <w:rPr>
                <w:rFonts w:ascii="Calibri" w:hAnsi="Calibri" w:cs="Calibri"/>
                <w:color w:val="000000"/>
                <w:sz w:val="22"/>
                <w:szCs w:val="22"/>
              </w:rPr>
              <w:t>Arabic</w:t>
            </w:r>
          </w:p>
        </w:tc>
        <w:tc>
          <w:tcPr>
            <w:tcW w:w="1419" w:type="dxa"/>
            <w:tcBorders>
              <w:top w:val="nil"/>
              <w:left w:val="nil"/>
              <w:bottom w:val="single" w:sz="4" w:space="0" w:color="auto"/>
              <w:right w:val="single" w:sz="4" w:space="0" w:color="auto"/>
            </w:tcBorders>
            <w:shd w:val="clear" w:color="auto" w:fill="auto"/>
            <w:noWrap/>
            <w:vAlign w:val="center"/>
            <w:hideMark/>
          </w:tcPr>
          <w:p w14:paraId="26F9CFF0"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517</w:t>
            </w:r>
          </w:p>
        </w:tc>
        <w:tc>
          <w:tcPr>
            <w:tcW w:w="967" w:type="dxa"/>
            <w:tcBorders>
              <w:top w:val="nil"/>
              <w:left w:val="nil"/>
              <w:bottom w:val="single" w:sz="4" w:space="0" w:color="auto"/>
              <w:right w:val="single" w:sz="4" w:space="0" w:color="auto"/>
            </w:tcBorders>
            <w:shd w:val="clear" w:color="auto" w:fill="auto"/>
            <w:noWrap/>
            <w:vAlign w:val="center"/>
            <w:hideMark/>
          </w:tcPr>
          <w:p w14:paraId="58AB0260"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277</w:t>
            </w:r>
          </w:p>
        </w:tc>
        <w:tc>
          <w:tcPr>
            <w:tcW w:w="741" w:type="dxa"/>
            <w:tcBorders>
              <w:top w:val="nil"/>
              <w:left w:val="nil"/>
              <w:bottom w:val="single" w:sz="4" w:space="0" w:color="auto"/>
              <w:right w:val="single" w:sz="4" w:space="0" w:color="auto"/>
            </w:tcBorders>
            <w:shd w:val="clear" w:color="auto" w:fill="auto"/>
            <w:noWrap/>
            <w:vAlign w:val="center"/>
            <w:hideMark/>
          </w:tcPr>
          <w:p w14:paraId="33871510"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237</w:t>
            </w:r>
          </w:p>
        </w:tc>
        <w:tc>
          <w:tcPr>
            <w:tcW w:w="1336" w:type="dxa"/>
            <w:tcBorders>
              <w:top w:val="nil"/>
              <w:left w:val="nil"/>
              <w:bottom w:val="single" w:sz="4" w:space="0" w:color="auto"/>
              <w:right w:val="single" w:sz="4" w:space="0" w:color="auto"/>
            </w:tcBorders>
            <w:shd w:val="clear" w:color="auto" w:fill="auto"/>
            <w:noWrap/>
            <w:vAlign w:val="center"/>
            <w:hideMark/>
          </w:tcPr>
          <w:p w14:paraId="603FC7C6"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111</w:t>
            </w:r>
          </w:p>
        </w:tc>
        <w:tc>
          <w:tcPr>
            <w:tcW w:w="957" w:type="dxa"/>
            <w:tcBorders>
              <w:top w:val="nil"/>
              <w:left w:val="nil"/>
              <w:bottom w:val="single" w:sz="4" w:space="0" w:color="auto"/>
              <w:right w:val="single" w:sz="4" w:space="0" w:color="auto"/>
            </w:tcBorders>
            <w:shd w:val="clear" w:color="auto" w:fill="auto"/>
            <w:noWrap/>
            <w:vAlign w:val="center"/>
            <w:hideMark/>
          </w:tcPr>
          <w:p w14:paraId="09DFE348"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60</w:t>
            </w:r>
          </w:p>
        </w:tc>
        <w:tc>
          <w:tcPr>
            <w:tcW w:w="900" w:type="dxa"/>
            <w:tcBorders>
              <w:top w:val="nil"/>
              <w:left w:val="nil"/>
              <w:bottom w:val="single" w:sz="4" w:space="0" w:color="auto"/>
              <w:right w:val="single" w:sz="4" w:space="0" w:color="auto"/>
            </w:tcBorders>
            <w:shd w:val="clear" w:color="auto" w:fill="auto"/>
            <w:noWrap/>
            <w:vAlign w:val="center"/>
            <w:hideMark/>
          </w:tcPr>
          <w:p w14:paraId="6D1EE74B" w14:textId="77777777" w:rsidR="00616246" w:rsidRPr="00616246" w:rsidRDefault="00616246">
            <w:pPr>
              <w:jc w:val="right"/>
              <w:rPr>
                <w:rFonts w:ascii="Calibri" w:hAnsi="Calibri" w:cs="Calibri"/>
                <w:color w:val="000000"/>
                <w:sz w:val="22"/>
                <w:szCs w:val="22"/>
              </w:rPr>
            </w:pPr>
            <w:r w:rsidRPr="00616246">
              <w:rPr>
                <w:rFonts w:ascii="Calibri" w:hAnsi="Calibri" w:cs="Calibri"/>
                <w:color w:val="000000"/>
                <w:sz w:val="22"/>
                <w:szCs w:val="22"/>
              </w:rPr>
              <w:t>0</w:t>
            </w:r>
          </w:p>
        </w:tc>
      </w:tr>
      <w:tr w:rsidR="003067BA" w:rsidRPr="00616246" w14:paraId="197B024B" w14:textId="77777777" w:rsidTr="0039740D">
        <w:trPr>
          <w:trHeight w:val="240"/>
        </w:trPr>
        <w:tc>
          <w:tcPr>
            <w:tcW w:w="2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550C2" w14:textId="7D22F2C0" w:rsidR="003067BA" w:rsidRPr="00616246" w:rsidRDefault="003067BA" w:rsidP="003067BA">
            <w:pPr>
              <w:rPr>
                <w:rFonts w:ascii="Calibri" w:hAnsi="Calibri" w:cs="Calibri"/>
                <w:color w:val="000000"/>
                <w:sz w:val="22"/>
                <w:szCs w:val="22"/>
              </w:rPr>
            </w:pPr>
            <w:r w:rsidRPr="00616246">
              <w:rPr>
                <w:rFonts w:ascii="Calibri" w:hAnsi="Calibri" w:cs="Calibri"/>
                <w:color w:val="000000"/>
                <w:sz w:val="22"/>
                <w:szCs w:val="22"/>
              </w:rPr>
              <w:t>Other Asian and Pacific Island languages</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55814BE" w14:textId="40C79F18" w:rsidR="003067BA" w:rsidRPr="00616246" w:rsidRDefault="003067BA" w:rsidP="00143C02">
            <w:pPr>
              <w:jc w:val="right"/>
              <w:rPr>
                <w:rFonts w:ascii="Calibri" w:hAnsi="Calibri" w:cs="Calibri"/>
                <w:color w:val="000000"/>
                <w:sz w:val="22"/>
                <w:szCs w:val="22"/>
              </w:rPr>
            </w:pPr>
            <w:r w:rsidRPr="00616246">
              <w:rPr>
                <w:rFonts w:ascii="Calibri" w:hAnsi="Calibri" w:cs="Calibri"/>
                <w:color w:val="000000"/>
                <w:sz w:val="22"/>
                <w:szCs w:val="22"/>
              </w:rPr>
              <w:t>2,066</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F2096F1" w14:textId="452F3290" w:rsidR="003067BA" w:rsidRPr="00616246" w:rsidRDefault="003067BA">
            <w:pPr>
              <w:jc w:val="right"/>
              <w:rPr>
                <w:rFonts w:ascii="Calibri" w:hAnsi="Calibri" w:cs="Calibri"/>
                <w:color w:val="000000"/>
                <w:sz w:val="22"/>
                <w:szCs w:val="22"/>
              </w:rPr>
            </w:pPr>
            <w:r w:rsidRPr="00616246">
              <w:rPr>
                <w:rFonts w:ascii="Calibri" w:hAnsi="Calibri" w:cs="Calibri"/>
                <w:color w:val="000000"/>
                <w:sz w:val="22"/>
                <w:szCs w:val="22"/>
              </w:rPr>
              <w:t>522</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04B4DD3" w14:textId="3EB385CB" w:rsidR="003067BA" w:rsidRPr="00616246" w:rsidRDefault="003067BA">
            <w:pPr>
              <w:jc w:val="right"/>
              <w:rPr>
                <w:rFonts w:ascii="Calibri" w:hAnsi="Calibri" w:cs="Calibri"/>
                <w:color w:val="000000"/>
                <w:sz w:val="22"/>
                <w:szCs w:val="22"/>
              </w:rPr>
            </w:pPr>
            <w:r w:rsidRPr="00616246">
              <w:rPr>
                <w:rFonts w:ascii="Calibri" w:hAnsi="Calibri" w:cs="Calibri"/>
                <w:color w:val="000000"/>
                <w:sz w:val="22"/>
                <w:szCs w:val="22"/>
              </w:rPr>
              <w:t>667</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13F59349" w14:textId="0820A187" w:rsidR="003067BA" w:rsidRPr="00616246" w:rsidRDefault="003067BA">
            <w:pPr>
              <w:jc w:val="right"/>
              <w:rPr>
                <w:rFonts w:ascii="Calibri" w:hAnsi="Calibri" w:cs="Calibri"/>
                <w:color w:val="000000"/>
                <w:sz w:val="22"/>
                <w:szCs w:val="22"/>
              </w:rPr>
            </w:pPr>
            <w:r w:rsidRPr="00616246">
              <w:rPr>
                <w:rFonts w:ascii="Calibri" w:hAnsi="Calibri" w:cs="Calibri"/>
                <w:color w:val="000000"/>
                <w:sz w:val="22"/>
                <w:szCs w:val="22"/>
              </w:rPr>
              <w:t>169</w:t>
            </w:r>
          </w:p>
        </w:tc>
        <w:tc>
          <w:tcPr>
            <w:tcW w:w="957" w:type="dxa"/>
            <w:tcBorders>
              <w:top w:val="single" w:sz="4" w:space="0" w:color="auto"/>
              <w:left w:val="nil"/>
              <w:bottom w:val="single" w:sz="4" w:space="0" w:color="auto"/>
              <w:right w:val="single" w:sz="4" w:space="0" w:color="auto"/>
            </w:tcBorders>
            <w:shd w:val="clear" w:color="auto" w:fill="auto"/>
            <w:noWrap/>
            <w:vAlign w:val="center"/>
          </w:tcPr>
          <w:p w14:paraId="4F202645" w14:textId="66E17748" w:rsidR="003067BA" w:rsidRPr="00616246" w:rsidRDefault="003067BA">
            <w:pPr>
              <w:jc w:val="right"/>
              <w:rPr>
                <w:rFonts w:ascii="Calibri" w:hAnsi="Calibri" w:cs="Calibri"/>
                <w:color w:val="000000"/>
                <w:sz w:val="22"/>
                <w:szCs w:val="22"/>
              </w:rPr>
            </w:pPr>
            <w:r w:rsidRPr="00616246">
              <w:rPr>
                <w:rFonts w:ascii="Calibri" w:hAnsi="Calibri" w:cs="Calibri"/>
                <w:color w:val="000000"/>
                <w:sz w:val="22"/>
                <w:szCs w:val="22"/>
              </w:rPr>
              <w:t>225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F68FB3C" w14:textId="72A9EAAE" w:rsidR="003067BA" w:rsidRPr="00616246" w:rsidRDefault="003067BA">
            <w:pPr>
              <w:jc w:val="right"/>
              <w:rPr>
                <w:rFonts w:ascii="Calibri" w:hAnsi="Calibri" w:cs="Calibri"/>
                <w:color w:val="000000"/>
                <w:sz w:val="22"/>
                <w:szCs w:val="22"/>
              </w:rPr>
            </w:pPr>
            <w:r w:rsidRPr="00616246">
              <w:rPr>
                <w:rFonts w:ascii="Calibri" w:hAnsi="Calibri" w:cs="Calibri"/>
                <w:color w:val="000000"/>
                <w:sz w:val="22"/>
                <w:szCs w:val="22"/>
              </w:rPr>
              <w:t>170</w:t>
            </w:r>
          </w:p>
        </w:tc>
      </w:tr>
    </w:tbl>
    <w:p w14:paraId="3CEB5A05" w14:textId="2F41E6A1" w:rsidR="003067BA" w:rsidRPr="00104C93" w:rsidRDefault="003067BA" w:rsidP="003067BA">
      <w:pPr>
        <w:rPr>
          <w:sz w:val="16"/>
          <w:szCs w:val="16"/>
        </w:rPr>
      </w:pPr>
      <w:r w:rsidRPr="00104C93">
        <w:rPr>
          <w:sz w:val="16"/>
          <w:szCs w:val="16"/>
        </w:rPr>
        <w:t>Source: 2014-2018 American Community Survey: S160</w:t>
      </w:r>
      <w:r>
        <w:rPr>
          <w:sz w:val="16"/>
          <w:szCs w:val="16"/>
        </w:rPr>
        <w:t>02</w:t>
      </w:r>
    </w:p>
    <w:p w14:paraId="06457BC7" w14:textId="77777777" w:rsidR="003067BA" w:rsidRPr="00143C02" w:rsidRDefault="003067BA" w:rsidP="0039740D"/>
    <w:p w14:paraId="7D73AC75" w14:textId="5ABE9D8D" w:rsidR="00D24507" w:rsidRDefault="00D24507" w:rsidP="00D24507">
      <w:pPr>
        <w:pStyle w:val="Heading3"/>
        <w:jc w:val="both"/>
      </w:pPr>
      <w:bookmarkStart w:id="24" w:name="_Toc47639977"/>
      <w:bookmarkStart w:id="25" w:name="_Toc66807911"/>
      <w:r>
        <w:t>Disability</w:t>
      </w:r>
      <w:bookmarkEnd w:id="24"/>
      <w:bookmarkEnd w:id="25"/>
    </w:p>
    <w:p w14:paraId="59AC023B" w14:textId="77777777" w:rsidR="00D24507" w:rsidRPr="00CA543D" w:rsidRDefault="00D24507" w:rsidP="00D24507">
      <w:pPr>
        <w:spacing w:after="240"/>
        <w:jc w:val="both"/>
      </w:pPr>
      <w:r w:rsidRPr="00CA543D">
        <w:t xml:space="preserve">As defined by the Census Bureau, a disability is a long-lasting physical, mental, or emotional condition that can make it difficult for a person to engage in activities such as walking, climbing stairs, dressing, bathing, </w:t>
      </w:r>
      <w:proofErr w:type="gramStart"/>
      <w:r w:rsidRPr="00CA543D">
        <w:t>learning</w:t>
      </w:r>
      <w:proofErr w:type="gramEnd"/>
      <w:r w:rsidRPr="00CA543D">
        <w:t xml:space="preserve"> or remembering. This condition can also impede a person from being able to go outside the home alone or to work at a job or business.</w:t>
      </w:r>
    </w:p>
    <w:p w14:paraId="36DE89D8" w14:textId="04B5F0E0" w:rsidR="00D24507" w:rsidRDefault="00D24507" w:rsidP="00D24507">
      <w:pPr>
        <w:spacing w:after="240"/>
        <w:jc w:val="both"/>
      </w:pPr>
      <w:r w:rsidRPr="00CA543D">
        <w:t>The Fair Housing Act prohibits discrimination based on physical, mental, or emotional disability, provided “reasonable accommodation” can be made. This may include changes to address the needs of persons with disabilities, such as adaptive structural changes (e.g., constructing an entrance ramp) or administrative changes (e.g., permitting the use of a service animal).</w:t>
      </w:r>
      <w:r w:rsidR="002E71A9">
        <w:t xml:space="preserve"> </w:t>
      </w:r>
      <w:r>
        <w:t xml:space="preserve">In North Carolina, 13.3% of the population is estimated to have at least one disability in 2018, with the elderly more likely to have a disability than any other age group. Additionally, the counties with large towns and cities had lower </w:t>
      </w:r>
      <w:r w:rsidR="002855D3">
        <w:t>rates of persons with disabilities</w:t>
      </w:r>
      <w:r>
        <w:t xml:space="preserve"> compared to the rest of the State.</w:t>
      </w:r>
    </w:p>
    <w:p w14:paraId="4D30F1BF" w14:textId="77777777" w:rsidR="00143C02" w:rsidRDefault="00143C02">
      <w:pPr>
        <w:spacing w:after="160" w:line="259" w:lineRule="auto"/>
        <w:rPr>
          <w:b/>
          <w:bCs/>
          <w:color w:val="404040" w:themeColor="text1" w:themeTint="BF"/>
          <w:sz w:val="16"/>
          <w:szCs w:val="16"/>
        </w:rPr>
      </w:pPr>
      <w:r>
        <w:br w:type="page"/>
      </w:r>
    </w:p>
    <w:p w14:paraId="125AF957" w14:textId="198E83D2" w:rsidR="00D24507" w:rsidRDefault="00D24507" w:rsidP="00D24507">
      <w:pPr>
        <w:pStyle w:val="Caption"/>
      </w:pPr>
      <w:r>
        <w:lastRenderedPageBreak/>
        <w:t xml:space="preserve">Table </w:t>
      </w:r>
      <w:fldSimple w:instr=" SEQ Table \* ARABIC ">
        <w:r w:rsidR="0055251A">
          <w:rPr>
            <w:noProof/>
          </w:rPr>
          <w:t>8</w:t>
        </w:r>
      </w:fldSimple>
      <w:r>
        <w:t xml:space="preserve"> </w:t>
      </w:r>
      <w:r w:rsidRPr="00D176D5">
        <w:t>Disability Type by Age</w:t>
      </w:r>
      <w:r>
        <w:t xml:space="preserve"> in North Carolina</w:t>
      </w:r>
      <w:r w:rsidRPr="00D176D5">
        <w:t>, 2018</w:t>
      </w:r>
      <w:r w:rsidRPr="00CA543D">
        <w:t xml:space="preserve"> </w:t>
      </w:r>
    </w:p>
    <w:tbl>
      <w:tblPr>
        <w:tblW w:w="9431" w:type="dxa"/>
        <w:tblLook w:val="04A0" w:firstRow="1" w:lastRow="0" w:firstColumn="1" w:lastColumn="0" w:noHBand="0" w:noVBand="1"/>
      </w:tblPr>
      <w:tblGrid>
        <w:gridCol w:w="2348"/>
        <w:gridCol w:w="1396"/>
        <w:gridCol w:w="1252"/>
        <w:gridCol w:w="1512"/>
        <w:gridCol w:w="908"/>
        <w:gridCol w:w="1107"/>
        <w:gridCol w:w="908"/>
      </w:tblGrid>
      <w:tr w:rsidR="00D24507" w:rsidRPr="00D176D5" w14:paraId="6B24A119" w14:textId="77777777" w:rsidTr="006C2106">
        <w:trPr>
          <w:trHeight w:val="200"/>
        </w:trPr>
        <w:tc>
          <w:tcPr>
            <w:tcW w:w="2348"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471C383A" w14:textId="77777777" w:rsidR="00D24507" w:rsidRPr="00D176D5" w:rsidRDefault="00D24507" w:rsidP="006C2106">
            <w:pPr>
              <w:rPr>
                <w:rFonts w:ascii="Calibri" w:hAnsi="Calibri" w:cs="Calibri"/>
                <w:b/>
                <w:bCs/>
                <w:color w:val="FFFFFF"/>
                <w:sz w:val="22"/>
                <w:szCs w:val="22"/>
              </w:rPr>
            </w:pPr>
            <w:r w:rsidRPr="00D176D5">
              <w:rPr>
                <w:rFonts w:ascii="Calibri" w:hAnsi="Calibri" w:cs="Calibri"/>
                <w:b/>
                <w:bCs/>
                <w:color w:val="FFFFFF"/>
                <w:sz w:val="22"/>
                <w:szCs w:val="22"/>
              </w:rPr>
              <w:t> </w:t>
            </w:r>
          </w:p>
        </w:tc>
        <w:tc>
          <w:tcPr>
            <w:tcW w:w="2648"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20A5D6B3" w14:textId="77777777" w:rsidR="00D24507" w:rsidRPr="00D176D5" w:rsidRDefault="00D24507" w:rsidP="006C2106">
            <w:pPr>
              <w:jc w:val="center"/>
              <w:rPr>
                <w:rFonts w:ascii="Calibri" w:hAnsi="Calibri" w:cs="Calibri"/>
                <w:b/>
                <w:bCs/>
                <w:color w:val="FFFFFF"/>
                <w:sz w:val="22"/>
                <w:szCs w:val="22"/>
              </w:rPr>
            </w:pPr>
            <w:r w:rsidRPr="00D176D5">
              <w:rPr>
                <w:rFonts w:ascii="Calibri" w:hAnsi="Calibri" w:cs="Calibri"/>
                <w:b/>
                <w:bCs/>
                <w:color w:val="FFFFFF"/>
                <w:sz w:val="22"/>
                <w:szCs w:val="22"/>
              </w:rPr>
              <w:t>Children (under 18 years)</w:t>
            </w:r>
          </w:p>
        </w:tc>
        <w:tc>
          <w:tcPr>
            <w:tcW w:w="2420"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152A4B66" w14:textId="77777777" w:rsidR="00D24507" w:rsidRPr="00D176D5" w:rsidRDefault="00D24507" w:rsidP="006C2106">
            <w:pPr>
              <w:jc w:val="center"/>
              <w:rPr>
                <w:rFonts w:ascii="Calibri" w:hAnsi="Calibri" w:cs="Calibri"/>
                <w:b/>
                <w:bCs/>
                <w:color w:val="FFFFFF"/>
                <w:sz w:val="22"/>
                <w:szCs w:val="22"/>
              </w:rPr>
            </w:pPr>
            <w:r w:rsidRPr="00D176D5">
              <w:rPr>
                <w:rFonts w:ascii="Calibri" w:hAnsi="Calibri" w:cs="Calibri"/>
                <w:b/>
                <w:bCs/>
                <w:color w:val="FFFFFF"/>
                <w:sz w:val="22"/>
                <w:szCs w:val="22"/>
              </w:rPr>
              <w:t>Population 18 to 64 years</w:t>
            </w:r>
          </w:p>
        </w:tc>
        <w:tc>
          <w:tcPr>
            <w:tcW w:w="2015"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129B4EA4" w14:textId="77777777" w:rsidR="00D24507" w:rsidRPr="00D176D5" w:rsidRDefault="00D24507" w:rsidP="006C2106">
            <w:pPr>
              <w:jc w:val="center"/>
              <w:rPr>
                <w:rFonts w:ascii="Calibri" w:hAnsi="Calibri" w:cs="Calibri"/>
                <w:b/>
                <w:bCs/>
                <w:color w:val="FFFFFF"/>
                <w:sz w:val="22"/>
                <w:szCs w:val="22"/>
              </w:rPr>
            </w:pPr>
            <w:r w:rsidRPr="00D176D5">
              <w:rPr>
                <w:rFonts w:ascii="Calibri" w:hAnsi="Calibri" w:cs="Calibri"/>
                <w:b/>
                <w:bCs/>
                <w:color w:val="FFFFFF"/>
                <w:sz w:val="22"/>
                <w:szCs w:val="22"/>
              </w:rPr>
              <w:t>Elderly (65 years and over)</w:t>
            </w:r>
          </w:p>
        </w:tc>
      </w:tr>
      <w:tr w:rsidR="00D24507" w:rsidRPr="00D176D5" w14:paraId="6C721637" w14:textId="77777777" w:rsidTr="006C2106">
        <w:trPr>
          <w:trHeight w:val="200"/>
        </w:trPr>
        <w:tc>
          <w:tcPr>
            <w:tcW w:w="2348" w:type="dxa"/>
            <w:tcBorders>
              <w:top w:val="nil"/>
              <w:left w:val="single" w:sz="4" w:space="0" w:color="auto"/>
              <w:bottom w:val="single" w:sz="4" w:space="0" w:color="auto"/>
              <w:right w:val="single" w:sz="4" w:space="0" w:color="auto"/>
            </w:tcBorders>
            <w:shd w:val="clear" w:color="000000" w:fill="B4C6E7"/>
            <w:noWrap/>
            <w:vAlign w:val="bottom"/>
            <w:hideMark/>
          </w:tcPr>
          <w:p w14:paraId="77452CC5" w14:textId="77777777" w:rsidR="00D24507" w:rsidRPr="00D176D5" w:rsidRDefault="00D24507" w:rsidP="006C2106">
            <w:pPr>
              <w:rPr>
                <w:rFonts w:ascii="Calibri" w:hAnsi="Calibri" w:cs="Calibri"/>
                <w:sz w:val="22"/>
                <w:szCs w:val="22"/>
              </w:rPr>
            </w:pPr>
            <w:r w:rsidRPr="00D176D5">
              <w:rPr>
                <w:rFonts w:ascii="Calibri" w:hAnsi="Calibri" w:cs="Calibri"/>
                <w:sz w:val="22"/>
                <w:szCs w:val="22"/>
              </w:rPr>
              <w:t>Population Type</w:t>
            </w:r>
          </w:p>
        </w:tc>
        <w:tc>
          <w:tcPr>
            <w:tcW w:w="1396" w:type="dxa"/>
            <w:tcBorders>
              <w:top w:val="nil"/>
              <w:left w:val="nil"/>
              <w:bottom w:val="single" w:sz="4" w:space="0" w:color="auto"/>
              <w:right w:val="single" w:sz="4" w:space="0" w:color="auto"/>
            </w:tcBorders>
            <w:shd w:val="clear" w:color="000000" w:fill="B4C6E7"/>
            <w:noWrap/>
            <w:vAlign w:val="bottom"/>
            <w:hideMark/>
          </w:tcPr>
          <w:p w14:paraId="33D388F7" w14:textId="77777777" w:rsidR="00D24507" w:rsidRPr="00D176D5" w:rsidRDefault="00D24507" w:rsidP="006C2106">
            <w:pPr>
              <w:jc w:val="center"/>
              <w:rPr>
                <w:rFonts w:ascii="Calibri" w:hAnsi="Calibri" w:cs="Calibri"/>
                <w:sz w:val="22"/>
                <w:szCs w:val="22"/>
              </w:rPr>
            </w:pPr>
            <w:r w:rsidRPr="00D176D5">
              <w:rPr>
                <w:rFonts w:ascii="Calibri" w:hAnsi="Calibri" w:cs="Calibri"/>
                <w:sz w:val="22"/>
                <w:szCs w:val="22"/>
              </w:rPr>
              <w:t>Total</w:t>
            </w:r>
          </w:p>
        </w:tc>
        <w:tc>
          <w:tcPr>
            <w:tcW w:w="1252" w:type="dxa"/>
            <w:tcBorders>
              <w:top w:val="nil"/>
              <w:left w:val="nil"/>
              <w:bottom w:val="single" w:sz="4" w:space="0" w:color="auto"/>
              <w:right w:val="single" w:sz="4" w:space="0" w:color="auto"/>
            </w:tcBorders>
            <w:shd w:val="clear" w:color="000000" w:fill="B4C6E7"/>
            <w:noWrap/>
            <w:vAlign w:val="bottom"/>
            <w:hideMark/>
          </w:tcPr>
          <w:p w14:paraId="553A27E6" w14:textId="77777777" w:rsidR="00D24507" w:rsidRPr="00D176D5" w:rsidRDefault="00D24507" w:rsidP="006C2106">
            <w:pPr>
              <w:jc w:val="center"/>
              <w:rPr>
                <w:rFonts w:ascii="Calibri" w:hAnsi="Calibri" w:cs="Calibri"/>
                <w:sz w:val="22"/>
                <w:szCs w:val="22"/>
              </w:rPr>
            </w:pPr>
            <w:r w:rsidRPr="00D176D5">
              <w:rPr>
                <w:rFonts w:ascii="Calibri" w:hAnsi="Calibri" w:cs="Calibri"/>
                <w:sz w:val="22"/>
                <w:szCs w:val="22"/>
              </w:rPr>
              <w:t>Percent</w:t>
            </w:r>
          </w:p>
        </w:tc>
        <w:tc>
          <w:tcPr>
            <w:tcW w:w="1512" w:type="dxa"/>
            <w:tcBorders>
              <w:top w:val="nil"/>
              <w:left w:val="nil"/>
              <w:bottom w:val="single" w:sz="4" w:space="0" w:color="auto"/>
              <w:right w:val="single" w:sz="4" w:space="0" w:color="auto"/>
            </w:tcBorders>
            <w:shd w:val="clear" w:color="000000" w:fill="B4C6E7"/>
            <w:noWrap/>
            <w:vAlign w:val="bottom"/>
            <w:hideMark/>
          </w:tcPr>
          <w:p w14:paraId="331976ED" w14:textId="77777777" w:rsidR="00D24507" w:rsidRPr="00D176D5" w:rsidRDefault="00D24507" w:rsidP="006C2106">
            <w:pPr>
              <w:jc w:val="center"/>
              <w:rPr>
                <w:rFonts w:ascii="Calibri" w:hAnsi="Calibri" w:cs="Calibri"/>
                <w:sz w:val="22"/>
                <w:szCs w:val="22"/>
              </w:rPr>
            </w:pPr>
            <w:r w:rsidRPr="00D176D5">
              <w:rPr>
                <w:rFonts w:ascii="Calibri" w:hAnsi="Calibri" w:cs="Calibri"/>
                <w:sz w:val="22"/>
                <w:szCs w:val="22"/>
              </w:rPr>
              <w:t>Total</w:t>
            </w:r>
          </w:p>
        </w:tc>
        <w:tc>
          <w:tcPr>
            <w:tcW w:w="908" w:type="dxa"/>
            <w:tcBorders>
              <w:top w:val="nil"/>
              <w:left w:val="nil"/>
              <w:bottom w:val="single" w:sz="4" w:space="0" w:color="auto"/>
              <w:right w:val="single" w:sz="4" w:space="0" w:color="auto"/>
            </w:tcBorders>
            <w:shd w:val="clear" w:color="000000" w:fill="B4C6E7"/>
            <w:noWrap/>
            <w:vAlign w:val="bottom"/>
            <w:hideMark/>
          </w:tcPr>
          <w:p w14:paraId="72F429CD" w14:textId="77777777" w:rsidR="00D24507" w:rsidRPr="00D176D5" w:rsidRDefault="00D24507" w:rsidP="006C2106">
            <w:pPr>
              <w:jc w:val="center"/>
              <w:rPr>
                <w:rFonts w:ascii="Calibri" w:hAnsi="Calibri" w:cs="Calibri"/>
                <w:sz w:val="22"/>
                <w:szCs w:val="22"/>
              </w:rPr>
            </w:pPr>
            <w:r w:rsidRPr="00D176D5">
              <w:rPr>
                <w:rFonts w:ascii="Calibri" w:hAnsi="Calibri" w:cs="Calibri"/>
                <w:sz w:val="22"/>
                <w:szCs w:val="22"/>
              </w:rPr>
              <w:t>Percent</w:t>
            </w:r>
          </w:p>
        </w:tc>
        <w:tc>
          <w:tcPr>
            <w:tcW w:w="1107" w:type="dxa"/>
            <w:tcBorders>
              <w:top w:val="nil"/>
              <w:left w:val="nil"/>
              <w:bottom w:val="single" w:sz="4" w:space="0" w:color="auto"/>
              <w:right w:val="single" w:sz="4" w:space="0" w:color="auto"/>
            </w:tcBorders>
            <w:shd w:val="clear" w:color="000000" w:fill="B4C6E7"/>
            <w:noWrap/>
            <w:vAlign w:val="bottom"/>
            <w:hideMark/>
          </w:tcPr>
          <w:p w14:paraId="1BF49729" w14:textId="77777777" w:rsidR="00D24507" w:rsidRPr="00D176D5" w:rsidRDefault="00D24507" w:rsidP="006C2106">
            <w:pPr>
              <w:jc w:val="center"/>
              <w:rPr>
                <w:rFonts w:ascii="Calibri" w:hAnsi="Calibri" w:cs="Calibri"/>
                <w:sz w:val="22"/>
                <w:szCs w:val="22"/>
              </w:rPr>
            </w:pPr>
            <w:r w:rsidRPr="00D176D5">
              <w:rPr>
                <w:rFonts w:ascii="Calibri" w:hAnsi="Calibri" w:cs="Calibri"/>
                <w:sz w:val="22"/>
                <w:szCs w:val="22"/>
              </w:rPr>
              <w:t>Total</w:t>
            </w:r>
          </w:p>
        </w:tc>
        <w:tc>
          <w:tcPr>
            <w:tcW w:w="908" w:type="dxa"/>
            <w:tcBorders>
              <w:top w:val="nil"/>
              <w:left w:val="nil"/>
              <w:bottom w:val="single" w:sz="4" w:space="0" w:color="auto"/>
              <w:right w:val="single" w:sz="4" w:space="0" w:color="auto"/>
            </w:tcBorders>
            <w:shd w:val="clear" w:color="000000" w:fill="B4C6E7"/>
            <w:noWrap/>
            <w:vAlign w:val="bottom"/>
            <w:hideMark/>
          </w:tcPr>
          <w:p w14:paraId="1157B2C6" w14:textId="77777777" w:rsidR="00D24507" w:rsidRPr="00D176D5" w:rsidRDefault="00D24507" w:rsidP="006C2106">
            <w:pPr>
              <w:jc w:val="center"/>
              <w:rPr>
                <w:rFonts w:ascii="Calibri" w:hAnsi="Calibri" w:cs="Calibri"/>
                <w:sz w:val="22"/>
                <w:szCs w:val="22"/>
              </w:rPr>
            </w:pPr>
            <w:r w:rsidRPr="00D176D5">
              <w:rPr>
                <w:rFonts w:ascii="Calibri" w:hAnsi="Calibri" w:cs="Calibri"/>
                <w:sz w:val="22"/>
                <w:szCs w:val="22"/>
              </w:rPr>
              <w:t>Percent</w:t>
            </w:r>
          </w:p>
        </w:tc>
      </w:tr>
      <w:tr w:rsidR="00D24507" w:rsidRPr="00D176D5" w14:paraId="4062F165"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6FCB3656" w14:textId="77777777" w:rsidR="00D24507" w:rsidRPr="00D176D5" w:rsidRDefault="00D24507" w:rsidP="006C2106">
            <w:pPr>
              <w:rPr>
                <w:rFonts w:ascii="Calibri" w:hAnsi="Calibri" w:cs="Calibri"/>
                <w:color w:val="000000"/>
                <w:sz w:val="22"/>
                <w:szCs w:val="22"/>
              </w:rPr>
            </w:pPr>
            <w:r w:rsidRPr="00D176D5">
              <w:rPr>
                <w:rFonts w:ascii="Calibri" w:hAnsi="Calibri" w:cs="Calibri"/>
                <w:color w:val="000000"/>
                <w:sz w:val="22"/>
                <w:szCs w:val="22"/>
              </w:rPr>
              <w:t>Total Civilian Population</w:t>
            </w:r>
          </w:p>
        </w:tc>
        <w:tc>
          <w:tcPr>
            <w:tcW w:w="1396" w:type="dxa"/>
            <w:tcBorders>
              <w:top w:val="nil"/>
              <w:left w:val="nil"/>
              <w:bottom w:val="single" w:sz="4" w:space="0" w:color="auto"/>
              <w:right w:val="single" w:sz="4" w:space="0" w:color="auto"/>
            </w:tcBorders>
            <w:shd w:val="clear" w:color="auto" w:fill="auto"/>
            <w:noWrap/>
            <w:vAlign w:val="center"/>
            <w:hideMark/>
          </w:tcPr>
          <w:p w14:paraId="61F072E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2,293,730</w:t>
            </w:r>
          </w:p>
        </w:tc>
        <w:tc>
          <w:tcPr>
            <w:tcW w:w="1252" w:type="dxa"/>
            <w:tcBorders>
              <w:top w:val="nil"/>
              <w:left w:val="nil"/>
              <w:bottom w:val="single" w:sz="4" w:space="0" w:color="auto"/>
              <w:right w:val="single" w:sz="4" w:space="0" w:color="auto"/>
            </w:tcBorders>
            <w:shd w:val="clear" w:color="auto" w:fill="auto"/>
            <w:noWrap/>
            <w:vAlign w:val="center"/>
            <w:hideMark/>
          </w:tcPr>
          <w:p w14:paraId="60751D40"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22.5%</w:t>
            </w:r>
          </w:p>
        </w:tc>
        <w:tc>
          <w:tcPr>
            <w:tcW w:w="1512" w:type="dxa"/>
            <w:tcBorders>
              <w:top w:val="nil"/>
              <w:left w:val="nil"/>
              <w:bottom w:val="single" w:sz="4" w:space="0" w:color="auto"/>
              <w:right w:val="single" w:sz="4" w:space="0" w:color="auto"/>
            </w:tcBorders>
            <w:shd w:val="clear" w:color="auto" w:fill="auto"/>
            <w:noWrap/>
            <w:vAlign w:val="center"/>
            <w:hideMark/>
          </w:tcPr>
          <w:p w14:paraId="07EFFA7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6,240,946</w:t>
            </w:r>
          </w:p>
        </w:tc>
        <w:tc>
          <w:tcPr>
            <w:tcW w:w="908" w:type="dxa"/>
            <w:tcBorders>
              <w:top w:val="nil"/>
              <w:left w:val="nil"/>
              <w:bottom w:val="single" w:sz="4" w:space="0" w:color="auto"/>
              <w:right w:val="single" w:sz="4" w:space="0" w:color="auto"/>
            </w:tcBorders>
            <w:shd w:val="clear" w:color="auto" w:fill="auto"/>
            <w:noWrap/>
            <w:vAlign w:val="center"/>
            <w:hideMark/>
          </w:tcPr>
          <w:p w14:paraId="1C687562"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61.3%</w:t>
            </w:r>
          </w:p>
        </w:tc>
        <w:tc>
          <w:tcPr>
            <w:tcW w:w="1107" w:type="dxa"/>
            <w:tcBorders>
              <w:top w:val="nil"/>
              <w:left w:val="nil"/>
              <w:bottom w:val="single" w:sz="4" w:space="0" w:color="auto"/>
              <w:right w:val="single" w:sz="4" w:space="0" w:color="auto"/>
            </w:tcBorders>
            <w:shd w:val="clear" w:color="auto" w:fill="auto"/>
            <w:noWrap/>
            <w:vAlign w:val="center"/>
            <w:hideMark/>
          </w:tcPr>
          <w:p w14:paraId="6E6BF562"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1,649,045</w:t>
            </w:r>
          </w:p>
        </w:tc>
        <w:tc>
          <w:tcPr>
            <w:tcW w:w="908" w:type="dxa"/>
            <w:tcBorders>
              <w:top w:val="nil"/>
              <w:left w:val="nil"/>
              <w:bottom w:val="single" w:sz="4" w:space="0" w:color="auto"/>
              <w:right w:val="single" w:sz="4" w:space="0" w:color="auto"/>
            </w:tcBorders>
            <w:shd w:val="clear" w:color="auto" w:fill="auto"/>
            <w:noWrap/>
            <w:vAlign w:val="center"/>
            <w:hideMark/>
          </w:tcPr>
          <w:p w14:paraId="3EB1A710"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16.2%</w:t>
            </w:r>
          </w:p>
        </w:tc>
      </w:tr>
      <w:tr w:rsidR="00D24507" w:rsidRPr="00D176D5" w14:paraId="3FF7E921" w14:textId="77777777" w:rsidTr="0039740D">
        <w:trPr>
          <w:trHeight w:val="200"/>
        </w:trPr>
        <w:tc>
          <w:tcPr>
            <w:tcW w:w="2348" w:type="dxa"/>
            <w:tcBorders>
              <w:top w:val="nil"/>
              <w:left w:val="single" w:sz="4" w:space="0" w:color="auto"/>
              <w:bottom w:val="single" w:sz="4" w:space="0" w:color="auto"/>
              <w:right w:val="single" w:sz="4" w:space="0" w:color="auto"/>
            </w:tcBorders>
            <w:shd w:val="clear" w:color="auto" w:fill="FFF2CC"/>
            <w:noWrap/>
            <w:vAlign w:val="bottom"/>
            <w:hideMark/>
          </w:tcPr>
          <w:p w14:paraId="2ED38EB4" w14:textId="77777777" w:rsidR="00D24507" w:rsidRPr="00D176D5" w:rsidRDefault="00D24507" w:rsidP="006C2106">
            <w:pPr>
              <w:rPr>
                <w:rFonts w:ascii="Calibri" w:hAnsi="Calibri" w:cs="Calibri"/>
                <w:color w:val="000000"/>
                <w:sz w:val="22"/>
                <w:szCs w:val="22"/>
              </w:rPr>
            </w:pPr>
            <w:r w:rsidRPr="00D176D5">
              <w:rPr>
                <w:rFonts w:ascii="Calibri" w:hAnsi="Calibri" w:cs="Calibri"/>
                <w:color w:val="000000"/>
                <w:sz w:val="22"/>
                <w:szCs w:val="22"/>
              </w:rPr>
              <w:t>With a Disability</w:t>
            </w:r>
          </w:p>
        </w:tc>
        <w:tc>
          <w:tcPr>
            <w:tcW w:w="1396" w:type="dxa"/>
            <w:tcBorders>
              <w:top w:val="nil"/>
              <w:left w:val="nil"/>
              <w:bottom w:val="single" w:sz="4" w:space="0" w:color="auto"/>
              <w:right w:val="single" w:sz="4" w:space="0" w:color="auto"/>
            </w:tcBorders>
            <w:shd w:val="clear" w:color="auto" w:fill="FFF2CC"/>
            <w:noWrap/>
            <w:vAlign w:val="center"/>
            <w:hideMark/>
          </w:tcPr>
          <w:p w14:paraId="05164F29"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104,014</w:t>
            </w:r>
          </w:p>
        </w:tc>
        <w:tc>
          <w:tcPr>
            <w:tcW w:w="1252" w:type="dxa"/>
            <w:tcBorders>
              <w:top w:val="nil"/>
              <w:left w:val="nil"/>
              <w:bottom w:val="single" w:sz="4" w:space="0" w:color="auto"/>
              <w:right w:val="single" w:sz="4" w:space="0" w:color="auto"/>
            </w:tcBorders>
            <w:shd w:val="clear" w:color="auto" w:fill="FFF2CC"/>
            <w:noWrap/>
            <w:vAlign w:val="center"/>
            <w:hideMark/>
          </w:tcPr>
          <w:p w14:paraId="43E77B1C"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4.5%</w:t>
            </w:r>
          </w:p>
        </w:tc>
        <w:tc>
          <w:tcPr>
            <w:tcW w:w="1512" w:type="dxa"/>
            <w:tcBorders>
              <w:top w:val="nil"/>
              <w:left w:val="nil"/>
              <w:bottom w:val="single" w:sz="4" w:space="0" w:color="auto"/>
              <w:right w:val="single" w:sz="4" w:space="0" w:color="auto"/>
            </w:tcBorders>
            <w:shd w:val="clear" w:color="auto" w:fill="FFF2CC"/>
            <w:noWrap/>
            <w:vAlign w:val="center"/>
            <w:hideMark/>
          </w:tcPr>
          <w:p w14:paraId="226AC940"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680,863</w:t>
            </w:r>
          </w:p>
        </w:tc>
        <w:tc>
          <w:tcPr>
            <w:tcW w:w="908" w:type="dxa"/>
            <w:tcBorders>
              <w:top w:val="nil"/>
              <w:left w:val="nil"/>
              <w:bottom w:val="single" w:sz="4" w:space="0" w:color="auto"/>
              <w:right w:val="single" w:sz="4" w:space="0" w:color="auto"/>
            </w:tcBorders>
            <w:shd w:val="clear" w:color="auto" w:fill="FFF2CC"/>
            <w:noWrap/>
            <w:vAlign w:val="center"/>
            <w:hideMark/>
          </w:tcPr>
          <w:p w14:paraId="75B75B30"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10.9%</w:t>
            </w:r>
          </w:p>
        </w:tc>
        <w:tc>
          <w:tcPr>
            <w:tcW w:w="1107" w:type="dxa"/>
            <w:tcBorders>
              <w:top w:val="nil"/>
              <w:left w:val="nil"/>
              <w:bottom w:val="single" w:sz="4" w:space="0" w:color="auto"/>
              <w:right w:val="single" w:sz="4" w:space="0" w:color="auto"/>
            </w:tcBorders>
            <w:shd w:val="clear" w:color="auto" w:fill="FFF2CC"/>
            <w:noWrap/>
            <w:vAlign w:val="center"/>
            <w:hideMark/>
          </w:tcPr>
          <w:p w14:paraId="16323075"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566,292</w:t>
            </w:r>
          </w:p>
        </w:tc>
        <w:tc>
          <w:tcPr>
            <w:tcW w:w="908" w:type="dxa"/>
            <w:tcBorders>
              <w:top w:val="nil"/>
              <w:left w:val="nil"/>
              <w:bottom w:val="single" w:sz="4" w:space="0" w:color="auto"/>
              <w:right w:val="single" w:sz="4" w:space="0" w:color="auto"/>
            </w:tcBorders>
            <w:shd w:val="clear" w:color="auto" w:fill="FFF2CC"/>
            <w:noWrap/>
            <w:vAlign w:val="center"/>
            <w:hideMark/>
          </w:tcPr>
          <w:p w14:paraId="1E79C143"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34.3%</w:t>
            </w:r>
          </w:p>
        </w:tc>
      </w:tr>
      <w:tr w:rsidR="00D24507" w:rsidRPr="00D176D5" w14:paraId="58842D40"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24B75CE6" w14:textId="77777777" w:rsidR="00D24507" w:rsidRPr="00D176D5" w:rsidRDefault="00D24507" w:rsidP="006C2106">
            <w:pPr>
              <w:ind w:left="720"/>
              <w:rPr>
                <w:rFonts w:ascii="Calibri" w:hAnsi="Calibri" w:cs="Calibri"/>
                <w:color w:val="000000"/>
                <w:sz w:val="22"/>
                <w:szCs w:val="22"/>
              </w:rPr>
            </w:pPr>
            <w:r w:rsidRPr="00D176D5">
              <w:rPr>
                <w:rFonts w:ascii="Calibri" w:hAnsi="Calibri" w:cs="Calibri"/>
                <w:color w:val="000000"/>
                <w:sz w:val="22"/>
                <w:szCs w:val="22"/>
              </w:rPr>
              <w:t>Hearing Difficulty</w:t>
            </w:r>
          </w:p>
        </w:tc>
        <w:tc>
          <w:tcPr>
            <w:tcW w:w="1396" w:type="dxa"/>
            <w:tcBorders>
              <w:top w:val="nil"/>
              <w:left w:val="nil"/>
              <w:bottom w:val="single" w:sz="4" w:space="0" w:color="auto"/>
              <w:right w:val="single" w:sz="4" w:space="0" w:color="auto"/>
            </w:tcBorders>
            <w:shd w:val="clear" w:color="auto" w:fill="auto"/>
            <w:noWrap/>
            <w:vAlign w:val="center"/>
            <w:hideMark/>
          </w:tcPr>
          <w:p w14:paraId="2973A917"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15,066</w:t>
            </w:r>
          </w:p>
        </w:tc>
        <w:tc>
          <w:tcPr>
            <w:tcW w:w="1252" w:type="dxa"/>
            <w:tcBorders>
              <w:top w:val="nil"/>
              <w:left w:val="nil"/>
              <w:bottom w:val="single" w:sz="4" w:space="0" w:color="auto"/>
              <w:right w:val="single" w:sz="4" w:space="0" w:color="auto"/>
            </w:tcBorders>
            <w:shd w:val="clear" w:color="auto" w:fill="auto"/>
            <w:noWrap/>
            <w:vAlign w:val="center"/>
            <w:hideMark/>
          </w:tcPr>
          <w:p w14:paraId="552AA069"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0.7%</w:t>
            </w:r>
          </w:p>
        </w:tc>
        <w:tc>
          <w:tcPr>
            <w:tcW w:w="1512" w:type="dxa"/>
            <w:tcBorders>
              <w:top w:val="nil"/>
              <w:left w:val="nil"/>
              <w:bottom w:val="single" w:sz="4" w:space="0" w:color="auto"/>
              <w:right w:val="single" w:sz="4" w:space="0" w:color="auto"/>
            </w:tcBorders>
            <w:shd w:val="clear" w:color="auto" w:fill="auto"/>
            <w:noWrap/>
            <w:vAlign w:val="center"/>
            <w:hideMark/>
          </w:tcPr>
          <w:p w14:paraId="5F58B9CE"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134,780</w:t>
            </w:r>
          </w:p>
        </w:tc>
        <w:tc>
          <w:tcPr>
            <w:tcW w:w="908" w:type="dxa"/>
            <w:tcBorders>
              <w:top w:val="nil"/>
              <w:left w:val="nil"/>
              <w:bottom w:val="single" w:sz="4" w:space="0" w:color="auto"/>
              <w:right w:val="single" w:sz="4" w:space="0" w:color="auto"/>
            </w:tcBorders>
            <w:shd w:val="clear" w:color="auto" w:fill="auto"/>
            <w:noWrap/>
            <w:vAlign w:val="center"/>
            <w:hideMark/>
          </w:tcPr>
          <w:p w14:paraId="69DCEF9F"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2.2%</w:t>
            </w:r>
          </w:p>
        </w:tc>
        <w:tc>
          <w:tcPr>
            <w:tcW w:w="1107" w:type="dxa"/>
            <w:tcBorders>
              <w:top w:val="nil"/>
              <w:left w:val="nil"/>
              <w:bottom w:val="single" w:sz="4" w:space="0" w:color="auto"/>
              <w:right w:val="single" w:sz="4" w:space="0" w:color="auto"/>
            </w:tcBorders>
            <w:shd w:val="clear" w:color="auto" w:fill="auto"/>
            <w:noWrap/>
            <w:vAlign w:val="center"/>
            <w:hideMark/>
          </w:tcPr>
          <w:p w14:paraId="5BE1942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238,724</w:t>
            </w:r>
          </w:p>
        </w:tc>
        <w:tc>
          <w:tcPr>
            <w:tcW w:w="908" w:type="dxa"/>
            <w:tcBorders>
              <w:top w:val="nil"/>
              <w:left w:val="nil"/>
              <w:bottom w:val="single" w:sz="4" w:space="0" w:color="auto"/>
              <w:right w:val="single" w:sz="4" w:space="0" w:color="auto"/>
            </w:tcBorders>
            <w:shd w:val="clear" w:color="auto" w:fill="auto"/>
            <w:noWrap/>
            <w:vAlign w:val="center"/>
            <w:hideMark/>
          </w:tcPr>
          <w:p w14:paraId="77FDA3DC"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14.5%</w:t>
            </w:r>
          </w:p>
        </w:tc>
      </w:tr>
      <w:tr w:rsidR="00D24507" w:rsidRPr="00D176D5" w14:paraId="1EBD27D2"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61C8D3AE" w14:textId="77777777" w:rsidR="00D24507" w:rsidRPr="00D176D5" w:rsidRDefault="00D24507" w:rsidP="006C2106">
            <w:pPr>
              <w:ind w:left="720"/>
              <w:rPr>
                <w:rFonts w:ascii="Calibri" w:hAnsi="Calibri" w:cs="Calibri"/>
                <w:color w:val="000000"/>
                <w:sz w:val="22"/>
                <w:szCs w:val="22"/>
              </w:rPr>
            </w:pPr>
            <w:r w:rsidRPr="00D176D5">
              <w:rPr>
                <w:rFonts w:ascii="Calibri" w:hAnsi="Calibri" w:cs="Calibri"/>
                <w:color w:val="000000"/>
                <w:sz w:val="22"/>
                <w:szCs w:val="22"/>
              </w:rPr>
              <w:t>Vision Difficulty</w:t>
            </w:r>
          </w:p>
        </w:tc>
        <w:tc>
          <w:tcPr>
            <w:tcW w:w="1396" w:type="dxa"/>
            <w:tcBorders>
              <w:top w:val="nil"/>
              <w:left w:val="nil"/>
              <w:bottom w:val="single" w:sz="4" w:space="0" w:color="auto"/>
              <w:right w:val="single" w:sz="4" w:space="0" w:color="auto"/>
            </w:tcBorders>
            <w:shd w:val="clear" w:color="auto" w:fill="auto"/>
            <w:noWrap/>
            <w:vAlign w:val="center"/>
            <w:hideMark/>
          </w:tcPr>
          <w:p w14:paraId="706D9579"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17,605</w:t>
            </w:r>
          </w:p>
        </w:tc>
        <w:tc>
          <w:tcPr>
            <w:tcW w:w="1252" w:type="dxa"/>
            <w:tcBorders>
              <w:top w:val="nil"/>
              <w:left w:val="nil"/>
              <w:bottom w:val="single" w:sz="4" w:space="0" w:color="auto"/>
              <w:right w:val="single" w:sz="4" w:space="0" w:color="auto"/>
            </w:tcBorders>
            <w:shd w:val="clear" w:color="auto" w:fill="auto"/>
            <w:noWrap/>
            <w:vAlign w:val="center"/>
            <w:hideMark/>
          </w:tcPr>
          <w:p w14:paraId="370C25F0"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0.8%</w:t>
            </w:r>
          </w:p>
        </w:tc>
        <w:tc>
          <w:tcPr>
            <w:tcW w:w="1512" w:type="dxa"/>
            <w:tcBorders>
              <w:top w:val="nil"/>
              <w:left w:val="nil"/>
              <w:bottom w:val="single" w:sz="4" w:space="0" w:color="auto"/>
              <w:right w:val="single" w:sz="4" w:space="0" w:color="auto"/>
            </w:tcBorders>
            <w:shd w:val="clear" w:color="auto" w:fill="auto"/>
            <w:noWrap/>
            <w:vAlign w:val="center"/>
            <w:hideMark/>
          </w:tcPr>
          <w:p w14:paraId="68184014"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139,131</w:t>
            </w:r>
          </w:p>
        </w:tc>
        <w:tc>
          <w:tcPr>
            <w:tcW w:w="908" w:type="dxa"/>
            <w:tcBorders>
              <w:top w:val="nil"/>
              <w:left w:val="nil"/>
              <w:bottom w:val="single" w:sz="4" w:space="0" w:color="auto"/>
              <w:right w:val="single" w:sz="4" w:space="0" w:color="auto"/>
            </w:tcBorders>
            <w:shd w:val="clear" w:color="auto" w:fill="auto"/>
            <w:noWrap/>
            <w:vAlign w:val="center"/>
            <w:hideMark/>
          </w:tcPr>
          <w:p w14:paraId="055F1B95"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2.2%</w:t>
            </w:r>
          </w:p>
        </w:tc>
        <w:tc>
          <w:tcPr>
            <w:tcW w:w="1107" w:type="dxa"/>
            <w:tcBorders>
              <w:top w:val="nil"/>
              <w:left w:val="nil"/>
              <w:bottom w:val="single" w:sz="4" w:space="0" w:color="auto"/>
              <w:right w:val="single" w:sz="4" w:space="0" w:color="auto"/>
            </w:tcBorders>
            <w:shd w:val="clear" w:color="auto" w:fill="auto"/>
            <w:noWrap/>
            <w:vAlign w:val="center"/>
            <w:hideMark/>
          </w:tcPr>
          <w:p w14:paraId="2CB1CE37"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102609</w:t>
            </w:r>
          </w:p>
        </w:tc>
        <w:tc>
          <w:tcPr>
            <w:tcW w:w="908" w:type="dxa"/>
            <w:tcBorders>
              <w:top w:val="nil"/>
              <w:left w:val="nil"/>
              <w:bottom w:val="single" w:sz="4" w:space="0" w:color="auto"/>
              <w:right w:val="single" w:sz="4" w:space="0" w:color="auto"/>
            </w:tcBorders>
            <w:shd w:val="clear" w:color="auto" w:fill="auto"/>
            <w:noWrap/>
            <w:vAlign w:val="center"/>
            <w:hideMark/>
          </w:tcPr>
          <w:p w14:paraId="3C40D877"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6.2%</w:t>
            </w:r>
          </w:p>
        </w:tc>
      </w:tr>
      <w:tr w:rsidR="00D24507" w:rsidRPr="00D176D5" w14:paraId="201C2F77"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59AD6DEB" w14:textId="77777777" w:rsidR="00D24507" w:rsidRPr="00D176D5" w:rsidRDefault="00D24507" w:rsidP="006C2106">
            <w:pPr>
              <w:ind w:left="720"/>
              <w:rPr>
                <w:rFonts w:ascii="Calibri" w:hAnsi="Calibri" w:cs="Calibri"/>
                <w:color w:val="000000"/>
                <w:sz w:val="22"/>
                <w:szCs w:val="22"/>
              </w:rPr>
            </w:pPr>
            <w:r w:rsidRPr="00D176D5">
              <w:rPr>
                <w:rFonts w:ascii="Calibri" w:hAnsi="Calibri" w:cs="Calibri"/>
                <w:color w:val="000000"/>
                <w:sz w:val="22"/>
                <w:szCs w:val="22"/>
              </w:rPr>
              <w:t>Cognitive Difficulty</w:t>
            </w:r>
          </w:p>
        </w:tc>
        <w:tc>
          <w:tcPr>
            <w:tcW w:w="1396" w:type="dxa"/>
            <w:tcBorders>
              <w:top w:val="nil"/>
              <w:left w:val="nil"/>
              <w:bottom w:val="single" w:sz="4" w:space="0" w:color="auto"/>
              <w:right w:val="single" w:sz="4" w:space="0" w:color="auto"/>
            </w:tcBorders>
            <w:shd w:val="clear" w:color="auto" w:fill="auto"/>
            <w:noWrap/>
            <w:vAlign w:val="center"/>
            <w:hideMark/>
          </w:tcPr>
          <w:p w14:paraId="6D5EA6E9"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76,363</w:t>
            </w:r>
          </w:p>
        </w:tc>
        <w:tc>
          <w:tcPr>
            <w:tcW w:w="1252" w:type="dxa"/>
            <w:tcBorders>
              <w:top w:val="nil"/>
              <w:left w:val="nil"/>
              <w:bottom w:val="single" w:sz="4" w:space="0" w:color="auto"/>
              <w:right w:val="single" w:sz="4" w:space="0" w:color="auto"/>
            </w:tcBorders>
            <w:shd w:val="clear" w:color="auto" w:fill="auto"/>
            <w:noWrap/>
            <w:vAlign w:val="center"/>
            <w:hideMark/>
          </w:tcPr>
          <w:p w14:paraId="633630F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3.3%</w:t>
            </w:r>
          </w:p>
        </w:tc>
        <w:tc>
          <w:tcPr>
            <w:tcW w:w="1512" w:type="dxa"/>
            <w:tcBorders>
              <w:top w:val="nil"/>
              <w:left w:val="nil"/>
              <w:bottom w:val="single" w:sz="4" w:space="0" w:color="auto"/>
              <w:right w:val="single" w:sz="4" w:space="0" w:color="auto"/>
            </w:tcBorders>
            <w:shd w:val="clear" w:color="auto" w:fill="auto"/>
            <w:noWrap/>
            <w:vAlign w:val="center"/>
            <w:hideMark/>
          </w:tcPr>
          <w:p w14:paraId="3101DC3C"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280,543</w:t>
            </w:r>
          </w:p>
        </w:tc>
        <w:tc>
          <w:tcPr>
            <w:tcW w:w="908" w:type="dxa"/>
            <w:tcBorders>
              <w:top w:val="nil"/>
              <w:left w:val="nil"/>
              <w:bottom w:val="single" w:sz="4" w:space="0" w:color="auto"/>
              <w:right w:val="single" w:sz="4" w:space="0" w:color="auto"/>
            </w:tcBorders>
            <w:shd w:val="clear" w:color="auto" w:fill="auto"/>
            <w:noWrap/>
            <w:vAlign w:val="center"/>
            <w:hideMark/>
          </w:tcPr>
          <w:p w14:paraId="2F6AB57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4.5%</w:t>
            </w:r>
          </w:p>
        </w:tc>
        <w:tc>
          <w:tcPr>
            <w:tcW w:w="1107" w:type="dxa"/>
            <w:tcBorders>
              <w:top w:val="nil"/>
              <w:left w:val="nil"/>
              <w:bottom w:val="single" w:sz="4" w:space="0" w:color="auto"/>
              <w:right w:val="single" w:sz="4" w:space="0" w:color="auto"/>
            </w:tcBorders>
            <w:shd w:val="clear" w:color="auto" w:fill="auto"/>
            <w:noWrap/>
            <w:vAlign w:val="center"/>
            <w:hideMark/>
          </w:tcPr>
          <w:p w14:paraId="2BC0CE55"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142846</w:t>
            </w:r>
          </w:p>
        </w:tc>
        <w:tc>
          <w:tcPr>
            <w:tcW w:w="908" w:type="dxa"/>
            <w:tcBorders>
              <w:top w:val="nil"/>
              <w:left w:val="nil"/>
              <w:bottom w:val="single" w:sz="4" w:space="0" w:color="auto"/>
              <w:right w:val="single" w:sz="4" w:space="0" w:color="auto"/>
            </w:tcBorders>
            <w:shd w:val="clear" w:color="auto" w:fill="auto"/>
            <w:noWrap/>
            <w:vAlign w:val="center"/>
            <w:hideMark/>
          </w:tcPr>
          <w:p w14:paraId="1EB85185"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8.7%</w:t>
            </w:r>
          </w:p>
        </w:tc>
      </w:tr>
      <w:tr w:rsidR="00D24507" w:rsidRPr="00D176D5" w14:paraId="4C5BFCDA"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74559B07" w14:textId="77777777" w:rsidR="00D24507" w:rsidRPr="00D176D5" w:rsidRDefault="00D24507" w:rsidP="006C2106">
            <w:pPr>
              <w:ind w:left="720"/>
              <w:rPr>
                <w:rFonts w:ascii="Calibri" w:hAnsi="Calibri" w:cs="Calibri"/>
                <w:color w:val="000000"/>
                <w:sz w:val="22"/>
                <w:szCs w:val="22"/>
              </w:rPr>
            </w:pPr>
            <w:r w:rsidRPr="00D176D5">
              <w:rPr>
                <w:rFonts w:ascii="Calibri" w:hAnsi="Calibri" w:cs="Calibri"/>
                <w:color w:val="000000"/>
                <w:sz w:val="22"/>
                <w:szCs w:val="22"/>
              </w:rPr>
              <w:t>Ambulatory Difficulty</w:t>
            </w:r>
          </w:p>
        </w:tc>
        <w:tc>
          <w:tcPr>
            <w:tcW w:w="1396" w:type="dxa"/>
            <w:tcBorders>
              <w:top w:val="nil"/>
              <w:left w:val="nil"/>
              <w:bottom w:val="single" w:sz="4" w:space="0" w:color="auto"/>
              <w:right w:val="single" w:sz="4" w:space="0" w:color="auto"/>
            </w:tcBorders>
            <w:shd w:val="clear" w:color="auto" w:fill="auto"/>
            <w:noWrap/>
            <w:vAlign w:val="center"/>
            <w:hideMark/>
          </w:tcPr>
          <w:p w14:paraId="1329619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9,571</w:t>
            </w:r>
          </w:p>
        </w:tc>
        <w:tc>
          <w:tcPr>
            <w:tcW w:w="1252" w:type="dxa"/>
            <w:tcBorders>
              <w:top w:val="nil"/>
              <w:left w:val="nil"/>
              <w:bottom w:val="single" w:sz="4" w:space="0" w:color="auto"/>
              <w:right w:val="single" w:sz="4" w:space="0" w:color="auto"/>
            </w:tcBorders>
            <w:shd w:val="clear" w:color="auto" w:fill="auto"/>
            <w:noWrap/>
            <w:vAlign w:val="center"/>
            <w:hideMark/>
          </w:tcPr>
          <w:p w14:paraId="3591B60C"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0.4%</w:t>
            </w:r>
          </w:p>
        </w:tc>
        <w:tc>
          <w:tcPr>
            <w:tcW w:w="1512" w:type="dxa"/>
            <w:tcBorders>
              <w:top w:val="nil"/>
              <w:left w:val="nil"/>
              <w:bottom w:val="single" w:sz="4" w:space="0" w:color="auto"/>
              <w:right w:val="single" w:sz="4" w:space="0" w:color="auto"/>
            </w:tcBorders>
            <w:shd w:val="clear" w:color="auto" w:fill="auto"/>
            <w:noWrap/>
            <w:vAlign w:val="center"/>
            <w:hideMark/>
          </w:tcPr>
          <w:p w14:paraId="3201BC2F"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340,363</w:t>
            </w:r>
          </w:p>
        </w:tc>
        <w:tc>
          <w:tcPr>
            <w:tcW w:w="908" w:type="dxa"/>
            <w:tcBorders>
              <w:top w:val="nil"/>
              <w:left w:val="nil"/>
              <w:bottom w:val="single" w:sz="4" w:space="0" w:color="auto"/>
              <w:right w:val="single" w:sz="4" w:space="0" w:color="auto"/>
            </w:tcBorders>
            <w:shd w:val="clear" w:color="auto" w:fill="auto"/>
            <w:noWrap/>
            <w:vAlign w:val="center"/>
            <w:hideMark/>
          </w:tcPr>
          <w:p w14:paraId="079D180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5.5%</w:t>
            </w:r>
          </w:p>
        </w:tc>
        <w:tc>
          <w:tcPr>
            <w:tcW w:w="1107" w:type="dxa"/>
            <w:tcBorders>
              <w:top w:val="nil"/>
              <w:left w:val="nil"/>
              <w:bottom w:val="single" w:sz="4" w:space="0" w:color="auto"/>
              <w:right w:val="single" w:sz="4" w:space="0" w:color="auto"/>
            </w:tcBorders>
            <w:shd w:val="clear" w:color="auto" w:fill="auto"/>
            <w:noWrap/>
            <w:vAlign w:val="center"/>
            <w:hideMark/>
          </w:tcPr>
          <w:p w14:paraId="30AFFD9E"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349,193</w:t>
            </w:r>
          </w:p>
        </w:tc>
        <w:tc>
          <w:tcPr>
            <w:tcW w:w="908" w:type="dxa"/>
            <w:tcBorders>
              <w:top w:val="nil"/>
              <w:left w:val="nil"/>
              <w:bottom w:val="single" w:sz="4" w:space="0" w:color="auto"/>
              <w:right w:val="single" w:sz="4" w:space="0" w:color="auto"/>
            </w:tcBorders>
            <w:shd w:val="clear" w:color="auto" w:fill="auto"/>
            <w:noWrap/>
            <w:vAlign w:val="center"/>
            <w:hideMark/>
          </w:tcPr>
          <w:p w14:paraId="6AA162E6"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21.2%</w:t>
            </w:r>
          </w:p>
        </w:tc>
      </w:tr>
      <w:tr w:rsidR="00D24507" w:rsidRPr="00D176D5" w14:paraId="03BBF9BD"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0000153C" w14:textId="77777777" w:rsidR="00D24507" w:rsidRPr="00D176D5" w:rsidRDefault="00D24507" w:rsidP="006C2106">
            <w:pPr>
              <w:ind w:left="720"/>
              <w:rPr>
                <w:rFonts w:ascii="Calibri" w:hAnsi="Calibri" w:cs="Calibri"/>
                <w:color w:val="000000"/>
                <w:sz w:val="22"/>
                <w:szCs w:val="22"/>
              </w:rPr>
            </w:pPr>
            <w:r w:rsidRPr="00D176D5">
              <w:rPr>
                <w:rFonts w:ascii="Calibri" w:hAnsi="Calibri" w:cs="Calibri"/>
                <w:color w:val="000000"/>
                <w:sz w:val="22"/>
                <w:szCs w:val="22"/>
              </w:rPr>
              <w:t>Self-Care Difficulty</w:t>
            </w:r>
          </w:p>
        </w:tc>
        <w:tc>
          <w:tcPr>
            <w:tcW w:w="1396" w:type="dxa"/>
            <w:tcBorders>
              <w:top w:val="nil"/>
              <w:left w:val="nil"/>
              <w:bottom w:val="single" w:sz="4" w:space="0" w:color="auto"/>
              <w:right w:val="single" w:sz="4" w:space="0" w:color="auto"/>
            </w:tcBorders>
            <w:shd w:val="clear" w:color="auto" w:fill="auto"/>
            <w:noWrap/>
            <w:vAlign w:val="center"/>
            <w:hideMark/>
          </w:tcPr>
          <w:p w14:paraId="1E3B50B4"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15,272</w:t>
            </w:r>
          </w:p>
        </w:tc>
        <w:tc>
          <w:tcPr>
            <w:tcW w:w="1252" w:type="dxa"/>
            <w:tcBorders>
              <w:top w:val="nil"/>
              <w:left w:val="nil"/>
              <w:bottom w:val="single" w:sz="4" w:space="0" w:color="auto"/>
              <w:right w:val="single" w:sz="4" w:space="0" w:color="auto"/>
            </w:tcBorders>
            <w:shd w:val="clear" w:color="auto" w:fill="auto"/>
            <w:noWrap/>
            <w:vAlign w:val="center"/>
            <w:hideMark/>
          </w:tcPr>
          <w:p w14:paraId="6493BBD1"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0.7%</w:t>
            </w:r>
          </w:p>
        </w:tc>
        <w:tc>
          <w:tcPr>
            <w:tcW w:w="1512" w:type="dxa"/>
            <w:tcBorders>
              <w:top w:val="nil"/>
              <w:left w:val="nil"/>
              <w:bottom w:val="single" w:sz="4" w:space="0" w:color="auto"/>
              <w:right w:val="single" w:sz="4" w:space="0" w:color="auto"/>
            </w:tcBorders>
            <w:shd w:val="clear" w:color="auto" w:fill="auto"/>
            <w:noWrap/>
            <w:vAlign w:val="center"/>
            <w:hideMark/>
          </w:tcPr>
          <w:p w14:paraId="129931EC"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124,291</w:t>
            </w:r>
          </w:p>
        </w:tc>
        <w:tc>
          <w:tcPr>
            <w:tcW w:w="908" w:type="dxa"/>
            <w:tcBorders>
              <w:top w:val="nil"/>
              <w:left w:val="nil"/>
              <w:bottom w:val="single" w:sz="4" w:space="0" w:color="auto"/>
              <w:right w:val="single" w:sz="4" w:space="0" w:color="auto"/>
            </w:tcBorders>
            <w:shd w:val="clear" w:color="auto" w:fill="auto"/>
            <w:noWrap/>
            <w:vAlign w:val="center"/>
            <w:hideMark/>
          </w:tcPr>
          <w:p w14:paraId="1A1CDAE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2.0%</w:t>
            </w:r>
          </w:p>
        </w:tc>
        <w:tc>
          <w:tcPr>
            <w:tcW w:w="1107" w:type="dxa"/>
            <w:tcBorders>
              <w:top w:val="nil"/>
              <w:left w:val="nil"/>
              <w:bottom w:val="single" w:sz="4" w:space="0" w:color="auto"/>
              <w:right w:val="single" w:sz="4" w:space="0" w:color="auto"/>
            </w:tcBorders>
            <w:shd w:val="clear" w:color="auto" w:fill="auto"/>
            <w:noWrap/>
            <w:vAlign w:val="center"/>
            <w:hideMark/>
          </w:tcPr>
          <w:p w14:paraId="600714F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117,240</w:t>
            </w:r>
          </w:p>
        </w:tc>
        <w:tc>
          <w:tcPr>
            <w:tcW w:w="908" w:type="dxa"/>
            <w:tcBorders>
              <w:top w:val="nil"/>
              <w:left w:val="nil"/>
              <w:bottom w:val="single" w:sz="4" w:space="0" w:color="auto"/>
              <w:right w:val="single" w:sz="4" w:space="0" w:color="auto"/>
            </w:tcBorders>
            <w:shd w:val="clear" w:color="auto" w:fill="auto"/>
            <w:noWrap/>
            <w:vAlign w:val="center"/>
            <w:hideMark/>
          </w:tcPr>
          <w:p w14:paraId="0ABCB016"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7.1%</w:t>
            </w:r>
          </w:p>
        </w:tc>
      </w:tr>
      <w:tr w:rsidR="00D24507" w:rsidRPr="00D176D5" w14:paraId="2BB89932" w14:textId="77777777" w:rsidTr="006C2106">
        <w:trPr>
          <w:trHeight w:val="200"/>
        </w:trPr>
        <w:tc>
          <w:tcPr>
            <w:tcW w:w="2348" w:type="dxa"/>
            <w:tcBorders>
              <w:top w:val="nil"/>
              <w:left w:val="single" w:sz="4" w:space="0" w:color="auto"/>
              <w:bottom w:val="single" w:sz="4" w:space="0" w:color="auto"/>
              <w:right w:val="single" w:sz="4" w:space="0" w:color="auto"/>
            </w:tcBorders>
            <w:shd w:val="clear" w:color="auto" w:fill="auto"/>
            <w:noWrap/>
            <w:vAlign w:val="bottom"/>
            <w:hideMark/>
          </w:tcPr>
          <w:p w14:paraId="5D686E8C" w14:textId="77777777" w:rsidR="00D24507" w:rsidRPr="00D176D5" w:rsidRDefault="00D24507" w:rsidP="006C2106">
            <w:pPr>
              <w:ind w:left="720"/>
              <w:rPr>
                <w:rFonts w:ascii="Calibri" w:hAnsi="Calibri" w:cs="Calibri"/>
                <w:color w:val="000000"/>
                <w:sz w:val="22"/>
                <w:szCs w:val="22"/>
              </w:rPr>
            </w:pPr>
            <w:r w:rsidRPr="00D176D5">
              <w:rPr>
                <w:rFonts w:ascii="Calibri" w:hAnsi="Calibri" w:cs="Calibri"/>
                <w:color w:val="000000"/>
                <w:sz w:val="22"/>
                <w:szCs w:val="22"/>
              </w:rPr>
              <w:t>Independent Living Difficulty</w:t>
            </w:r>
          </w:p>
        </w:tc>
        <w:tc>
          <w:tcPr>
            <w:tcW w:w="1396" w:type="dxa"/>
            <w:tcBorders>
              <w:top w:val="nil"/>
              <w:left w:val="nil"/>
              <w:bottom w:val="single" w:sz="4" w:space="0" w:color="auto"/>
              <w:right w:val="single" w:sz="4" w:space="0" w:color="auto"/>
            </w:tcBorders>
            <w:shd w:val="clear" w:color="auto" w:fill="auto"/>
            <w:noWrap/>
            <w:vAlign w:val="center"/>
            <w:hideMark/>
          </w:tcPr>
          <w:p w14:paraId="0A65D51E"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w:t>
            </w:r>
          </w:p>
        </w:tc>
        <w:tc>
          <w:tcPr>
            <w:tcW w:w="1252" w:type="dxa"/>
            <w:tcBorders>
              <w:top w:val="nil"/>
              <w:left w:val="nil"/>
              <w:bottom w:val="single" w:sz="4" w:space="0" w:color="auto"/>
              <w:right w:val="single" w:sz="4" w:space="0" w:color="auto"/>
            </w:tcBorders>
            <w:shd w:val="clear" w:color="auto" w:fill="auto"/>
            <w:noWrap/>
            <w:vAlign w:val="center"/>
            <w:hideMark/>
          </w:tcPr>
          <w:p w14:paraId="7FAD94B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w:t>
            </w:r>
          </w:p>
        </w:tc>
        <w:tc>
          <w:tcPr>
            <w:tcW w:w="1512" w:type="dxa"/>
            <w:tcBorders>
              <w:top w:val="nil"/>
              <w:left w:val="nil"/>
              <w:bottom w:val="single" w:sz="4" w:space="0" w:color="auto"/>
              <w:right w:val="single" w:sz="4" w:space="0" w:color="auto"/>
            </w:tcBorders>
            <w:shd w:val="clear" w:color="auto" w:fill="auto"/>
            <w:noWrap/>
            <w:vAlign w:val="center"/>
            <w:hideMark/>
          </w:tcPr>
          <w:p w14:paraId="412F593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244,352</w:t>
            </w:r>
          </w:p>
        </w:tc>
        <w:tc>
          <w:tcPr>
            <w:tcW w:w="908" w:type="dxa"/>
            <w:tcBorders>
              <w:top w:val="nil"/>
              <w:left w:val="nil"/>
              <w:bottom w:val="single" w:sz="4" w:space="0" w:color="auto"/>
              <w:right w:val="single" w:sz="4" w:space="0" w:color="auto"/>
            </w:tcBorders>
            <w:shd w:val="clear" w:color="auto" w:fill="auto"/>
            <w:noWrap/>
            <w:vAlign w:val="center"/>
            <w:hideMark/>
          </w:tcPr>
          <w:p w14:paraId="507E954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3.9%</w:t>
            </w:r>
          </w:p>
        </w:tc>
        <w:tc>
          <w:tcPr>
            <w:tcW w:w="1107" w:type="dxa"/>
            <w:tcBorders>
              <w:top w:val="nil"/>
              <w:left w:val="nil"/>
              <w:bottom w:val="single" w:sz="4" w:space="0" w:color="auto"/>
              <w:right w:val="single" w:sz="4" w:space="0" w:color="auto"/>
            </w:tcBorders>
            <w:shd w:val="clear" w:color="auto" w:fill="auto"/>
            <w:noWrap/>
            <w:vAlign w:val="center"/>
            <w:hideMark/>
          </w:tcPr>
          <w:p w14:paraId="2331C021"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223,786</w:t>
            </w:r>
          </w:p>
        </w:tc>
        <w:tc>
          <w:tcPr>
            <w:tcW w:w="908" w:type="dxa"/>
            <w:tcBorders>
              <w:top w:val="nil"/>
              <w:left w:val="nil"/>
              <w:bottom w:val="single" w:sz="4" w:space="0" w:color="auto"/>
              <w:right w:val="single" w:sz="4" w:space="0" w:color="auto"/>
            </w:tcBorders>
            <w:shd w:val="clear" w:color="auto" w:fill="auto"/>
            <w:noWrap/>
            <w:vAlign w:val="center"/>
            <w:hideMark/>
          </w:tcPr>
          <w:p w14:paraId="46A464B7"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13.6%</w:t>
            </w:r>
          </w:p>
        </w:tc>
      </w:tr>
    </w:tbl>
    <w:p w14:paraId="63D9EF66" w14:textId="77777777" w:rsidR="00D24507" w:rsidRDefault="00D24507" w:rsidP="00D24507">
      <w:pPr>
        <w:spacing w:after="240"/>
        <w:jc w:val="both"/>
      </w:pPr>
      <w:r w:rsidRPr="00104C93">
        <w:rPr>
          <w:sz w:val="16"/>
          <w:szCs w:val="16"/>
        </w:rPr>
        <w:t xml:space="preserve">Source: 2014-2018 American Community Survey: </w:t>
      </w:r>
      <w:r>
        <w:rPr>
          <w:sz w:val="16"/>
          <w:szCs w:val="16"/>
        </w:rPr>
        <w:t>S1810</w:t>
      </w:r>
    </w:p>
    <w:p w14:paraId="3AC20CE6" w14:textId="11BA5792" w:rsidR="00D24507" w:rsidRDefault="00D24507" w:rsidP="00D24507">
      <w:pPr>
        <w:spacing w:after="240"/>
        <w:jc w:val="both"/>
      </w:pPr>
      <w:r w:rsidRPr="0067228E">
        <w:t>Among the civilian noninstitutionalized population between the ages of 18 to 64, there are significant differences in labor force participation rates among those with and without a disability</w:t>
      </w:r>
      <w:r>
        <w:t xml:space="preserve">. </w:t>
      </w:r>
      <w:r w:rsidR="00520CC1">
        <w:t xml:space="preserve">In 2018, </w:t>
      </w:r>
      <w:r w:rsidRPr="00D176D5">
        <w:t>39.0% of persons with a disability participate in the labor force compared to 80.6% of persons without a disability. Among those participating in the labor force, 13.6% of persons with disabilities are unemployed compared to 5.7% of persons without a disability.</w:t>
      </w:r>
    </w:p>
    <w:p w14:paraId="41759C29" w14:textId="7AD74DDE" w:rsidR="00D24507" w:rsidRDefault="00D24507" w:rsidP="00D24507">
      <w:pPr>
        <w:pStyle w:val="Caption"/>
        <w:ind w:left="360"/>
      </w:pPr>
      <w:r>
        <w:t xml:space="preserve">Table </w:t>
      </w:r>
      <w:fldSimple w:instr=" SEQ Table \* ARABIC ">
        <w:r w:rsidR="0055251A">
          <w:rPr>
            <w:noProof/>
          </w:rPr>
          <w:t>9</w:t>
        </w:r>
      </w:fldSimple>
      <w:r>
        <w:t xml:space="preserve"> </w:t>
      </w:r>
      <w:r w:rsidRPr="00D176D5">
        <w:t>Employment Status for Individuals by Disability Status in North Carolina, 2018</w:t>
      </w:r>
    </w:p>
    <w:tbl>
      <w:tblPr>
        <w:tblW w:w="8600" w:type="dxa"/>
        <w:jc w:val="center"/>
        <w:tblLook w:val="04A0" w:firstRow="1" w:lastRow="0" w:firstColumn="1" w:lastColumn="0" w:noHBand="0" w:noVBand="1"/>
      </w:tblPr>
      <w:tblGrid>
        <w:gridCol w:w="2520"/>
        <w:gridCol w:w="1695"/>
        <w:gridCol w:w="1565"/>
        <w:gridCol w:w="1581"/>
        <w:gridCol w:w="1239"/>
      </w:tblGrid>
      <w:tr w:rsidR="00D24507" w:rsidRPr="00D176D5" w14:paraId="4CC90249" w14:textId="77777777" w:rsidTr="006C2106">
        <w:trPr>
          <w:trHeight w:val="300"/>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7F4AB1B" w14:textId="77777777" w:rsidR="00D24507" w:rsidRPr="00D176D5" w:rsidRDefault="00D24507" w:rsidP="006C2106">
            <w:pPr>
              <w:jc w:val="center"/>
              <w:rPr>
                <w:rFonts w:ascii="Calibri" w:hAnsi="Calibri" w:cs="Calibri"/>
                <w:b/>
                <w:bCs/>
                <w:color w:val="FFFFFF"/>
                <w:sz w:val="22"/>
                <w:szCs w:val="22"/>
              </w:rPr>
            </w:pPr>
            <w:r w:rsidRPr="00D176D5">
              <w:rPr>
                <w:rFonts w:ascii="Calibri" w:hAnsi="Calibri" w:cs="Calibri"/>
                <w:b/>
                <w:bCs/>
                <w:color w:val="FFFFFF"/>
                <w:sz w:val="22"/>
                <w:szCs w:val="22"/>
              </w:rPr>
              <w:t>Employment Status</w:t>
            </w:r>
          </w:p>
        </w:tc>
        <w:tc>
          <w:tcPr>
            <w:tcW w:w="3260" w:type="dxa"/>
            <w:gridSpan w:val="2"/>
            <w:tcBorders>
              <w:top w:val="single" w:sz="4" w:space="0" w:color="auto"/>
              <w:left w:val="nil"/>
              <w:bottom w:val="single" w:sz="4" w:space="0" w:color="auto"/>
              <w:right w:val="single" w:sz="4" w:space="0" w:color="000000"/>
            </w:tcBorders>
            <w:shd w:val="clear" w:color="000000" w:fill="4472C4"/>
            <w:noWrap/>
            <w:vAlign w:val="bottom"/>
            <w:hideMark/>
          </w:tcPr>
          <w:p w14:paraId="60551F52" w14:textId="77777777" w:rsidR="00D24507" w:rsidRPr="00D176D5" w:rsidRDefault="00D24507" w:rsidP="006C2106">
            <w:pPr>
              <w:jc w:val="center"/>
              <w:rPr>
                <w:rFonts w:ascii="Calibri" w:hAnsi="Calibri" w:cs="Calibri"/>
                <w:b/>
                <w:bCs/>
                <w:color w:val="FFFFFF"/>
                <w:sz w:val="22"/>
                <w:szCs w:val="22"/>
              </w:rPr>
            </w:pPr>
            <w:r w:rsidRPr="00D176D5">
              <w:rPr>
                <w:rFonts w:ascii="Calibri" w:hAnsi="Calibri" w:cs="Calibri"/>
                <w:b/>
                <w:bCs/>
                <w:color w:val="FFFFFF"/>
                <w:sz w:val="22"/>
                <w:szCs w:val="22"/>
              </w:rPr>
              <w:t>With a disability</w:t>
            </w:r>
          </w:p>
        </w:tc>
        <w:tc>
          <w:tcPr>
            <w:tcW w:w="2820" w:type="dxa"/>
            <w:gridSpan w:val="2"/>
            <w:tcBorders>
              <w:top w:val="single" w:sz="4" w:space="0" w:color="auto"/>
              <w:left w:val="nil"/>
              <w:bottom w:val="single" w:sz="4" w:space="0" w:color="auto"/>
              <w:right w:val="single" w:sz="4" w:space="0" w:color="000000"/>
            </w:tcBorders>
            <w:shd w:val="clear" w:color="000000" w:fill="4472C4"/>
            <w:noWrap/>
            <w:vAlign w:val="bottom"/>
            <w:hideMark/>
          </w:tcPr>
          <w:p w14:paraId="3C9F77F0" w14:textId="77777777" w:rsidR="00D24507" w:rsidRPr="00D176D5" w:rsidRDefault="00D24507" w:rsidP="006C2106">
            <w:pPr>
              <w:jc w:val="center"/>
              <w:rPr>
                <w:rFonts w:ascii="Calibri" w:hAnsi="Calibri" w:cs="Calibri"/>
                <w:b/>
                <w:bCs/>
                <w:color w:val="FFFFFF"/>
                <w:sz w:val="22"/>
                <w:szCs w:val="22"/>
              </w:rPr>
            </w:pPr>
            <w:r w:rsidRPr="00D176D5">
              <w:rPr>
                <w:rFonts w:ascii="Calibri" w:hAnsi="Calibri" w:cs="Calibri"/>
                <w:b/>
                <w:bCs/>
                <w:color w:val="FFFFFF"/>
                <w:sz w:val="22"/>
                <w:szCs w:val="22"/>
              </w:rPr>
              <w:t>Without a disability</w:t>
            </w:r>
          </w:p>
        </w:tc>
      </w:tr>
      <w:tr w:rsidR="00D24507" w:rsidRPr="00D176D5" w14:paraId="585730B9" w14:textId="77777777" w:rsidTr="006C2106">
        <w:trPr>
          <w:trHeight w:val="300"/>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56698B07" w14:textId="77777777" w:rsidR="00D24507" w:rsidRPr="00D176D5" w:rsidRDefault="00D24507" w:rsidP="006C2106">
            <w:pPr>
              <w:rPr>
                <w:rFonts w:ascii="Calibri" w:hAnsi="Calibri" w:cs="Calibri"/>
                <w:b/>
                <w:bCs/>
                <w:color w:val="FFFFFF"/>
                <w:sz w:val="22"/>
                <w:szCs w:val="22"/>
              </w:rPr>
            </w:pPr>
          </w:p>
        </w:tc>
        <w:tc>
          <w:tcPr>
            <w:tcW w:w="1695" w:type="dxa"/>
            <w:tcBorders>
              <w:top w:val="nil"/>
              <w:left w:val="nil"/>
              <w:bottom w:val="single" w:sz="4" w:space="0" w:color="auto"/>
              <w:right w:val="single" w:sz="4" w:space="0" w:color="auto"/>
            </w:tcBorders>
            <w:shd w:val="clear" w:color="000000" w:fill="B4C6E7"/>
            <w:noWrap/>
            <w:vAlign w:val="bottom"/>
            <w:hideMark/>
          </w:tcPr>
          <w:p w14:paraId="2A076396" w14:textId="77777777" w:rsidR="00D24507" w:rsidRPr="00D176D5" w:rsidRDefault="00D24507" w:rsidP="00E409C2">
            <w:pPr>
              <w:jc w:val="center"/>
              <w:rPr>
                <w:rFonts w:ascii="Calibri" w:hAnsi="Calibri" w:cs="Calibri"/>
                <w:color w:val="000000"/>
                <w:sz w:val="22"/>
                <w:szCs w:val="22"/>
              </w:rPr>
            </w:pPr>
            <w:r w:rsidRPr="00D176D5">
              <w:rPr>
                <w:rFonts w:ascii="Calibri" w:hAnsi="Calibri" w:cs="Calibri"/>
                <w:color w:val="000000"/>
                <w:sz w:val="22"/>
                <w:szCs w:val="22"/>
              </w:rPr>
              <w:t>Subtotal</w:t>
            </w:r>
          </w:p>
        </w:tc>
        <w:tc>
          <w:tcPr>
            <w:tcW w:w="1565" w:type="dxa"/>
            <w:tcBorders>
              <w:top w:val="nil"/>
              <w:left w:val="nil"/>
              <w:bottom w:val="single" w:sz="4" w:space="0" w:color="auto"/>
              <w:right w:val="single" w:sz="4" w:space="0" w:color="auto"/>
            </w:tcBorders>
            <w:shd w:val="clear" w:color="000000" w:fill="B4C6E7"/>
            <w:noWrap/>
            <w:vAlign w:val="bottom"/>
            <w:hideMark/>
          </w:tcPr>
          <w:p w14:paraId="78843560" w14:textId="77777777" w:rsidR="00D24507" w:rsidRPr="00D176D5" w:rsidRDefault="00D24507" w:rsidP="00E409C2">
            <w:pPr>
              <w:jc w:val="center"/>
              <w:rPr>
                <w:rFonts w:ascii="Calibri" w:hAnsi="Calibri" w:cs="Calibri"/>
                <w:color w:val="000000"/>
                <w:sz w:val="22"/>
                <w:szCs w:val="22"/>
              </w:rPr>
            </w:pPr>
            <w:r w:rsidRPr="00D176D5">
              <w:rPr>
                <w:rFonts w:ascii="Calibri" w:hAnsi="Calibri" w:cs="Calibri"/>
                <w:color w:val="000000"/>
                <w:sz w:val="22"/>
                <w:szCs w:val="22"/>
              </w:rPr>
              <w:t>Percent</w:t>
            </w:r>
          </w:p>
        </w:tc>
        <w:tc>
          <w:tcPr>
            <w:tcW w:w="1581" w:type="dxa"/>
            <w:tcBorders>
              <w:top w:val="nil"/>
              <w:left w:val="nil"/>
              <w:bottom w:val="single" w:sz="4" w:space="0" w:color="auto"/>
              <w:right w:val="single" w:sz="4" w:space="0" w:color="auto"/>
            </w:tcBorders>
            <w:shd w:val="clear" w:color="000000" w:fill="B4C6E7"/>
            <w:noWrap/>
            <w:vAlign w:val="bottom"/>
            <w:hideMark/>
          </w:tcPr>
          <w:p w14:paraId="03009373" w14:textId="77777777" w:rsidR="00D24507" w:rsidRPr="00D176D5" w:rsidRDefault="00D24507" w:rsidP="00E409C2">
            <w:pPr>
              <w:jc w:val="center"/>
              <w:rPr>
                <w:rFonts w:ascii="Calibri" w:hAnsi="Calibri" w:cs="Calibri"/>
                <w:color w:val="000000"/>
                <w:sz w:val="22"/>
                <w:szCs w:val="22"/>
              </w:rPr>
            </w:pPr>
            <w:r w:rsidRPr="00D176D5">
              <w:rPr>
                <w:rFonts w:ascii="Calibri" w:hAnsi="Calibri" w:cs="Calibri"/>
                <w:color w:val="000000"/>
                <w:sz w:val="22"/>
                <w:szCs w:val="22"/>
              </w:rPr>
              <w:t>Subtotal</w:t>
            </w:r>
          </w:p>
        </w:tc>
        <w:tc>
          <w:tcPr>
            <w:tcW w:w="1239" w:type="dxa"/>
            <w:tcBorders>
              <w:top w:val="nil"/>
              <w:left w:val="nil"/>
              <w:bottom w:val="single" w:sz="4" w:space="0" w:color="auto"/>
              <w:right w:val="single" w:sz="4" w:space="0" w:color="auto"/>
            </w:tcBorders>
            <w:shd w:val="clear" w:color="000000" w:fill="B4C6E7"/>
            <w:noWrap/>
            <w:vAlign w:val="bottom"/>
            <w:hideMark/>
          </w:tcPr>
          <w:p w14:paraId="482541B9" w14:textId="77777777" w:rsidR="00D24507" w:rsidRPr="00D176D5" w:rsidRDefault="00D24507" w:rsidP="00E409C2">
            <w:pPr>
              <w:jc w:val="center"/>
              <w:rPr>
                <w:rFonts w:ascii="Calibri" w:hAnsi="Calibri" w:cs="Calibri"/>
                <w:color w:val="000000"/>
                <w:sz w:val="22"/>
                <w:szCs w:val="22"/>
              </w:rPr>
            </w:pPr>
            <w:r w:rsidRPr="00D176D5">
              <w:rPr>
                <w:rFonts w:ascii="Calibri" w:hAnsi="Calibri" w:cs="Calibri"/>
                <w:color w:val="000000"/>
                <w:sz w:val="22"/>
                <w:szCs w:val="22"/>
              </w:rPr>
              <w:t>Percent</w:t>
            </w:r>
          </w:p>
        </w:tc>
      </w:tr>
      <w:tr w:rsidR="00D24507" w:rsidRPr="00D176D5" w14:paraId="4FF97716"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3F503DF" w14:textId="77777777" w:rsidR="00D24507" w:rsidRPr="00D176D5" w:rsidRDefault="00D24507" w:rsidP="006C2106">
            <w:pPr>
              <w:rPr>
                <w:rFonts w:ascii="Calibri" w:hAnsi="Calibri" w:cs="Calibri"/>
                <w:color w:val="000000"/>
                <w:sz w:val="22"/>
                <w:szCs w:val="22"/>
              </w:rPr>
            </w:pPr>
            <w:r w:rsidRPr="00D176D5">
              <w:rPr>
                <w:rFonts w:ascii="Calibri" w:hAnsi="Calibri" w:cs="Calibri"/>
                <w:color w:val="000000"/>
                <w:sz w:val="22"/>
                <w:szCs w:val="22"/>
              </w:rPr>
              <w:t>Not in Labor Force</w:t>
            </w:r>
          </w:p>
        </w:tc>
        <w:tc>
          <w:tcPr>
            <w:tcW w:w="1695" w:type="dxa"/>
            <w:tcBorders>
              <w:top w:val="nil"/>
              <w:left w:val="nil"/>
              <w:bottom w:val="single" w:sz="4" w:space="0" w:color="auto"/>
              <w:right w:val="single" w:sz="4" w:space="0" w:color="auto"/>
            </w:tcBorders>
            <w:shd w:val="clear" w:color="auto" w:fill="auto"/>
            <w:noWrap/>
            <w:vAlign w:val="bottom"/>
            <w:hideMark/>
          </w:tcPr>
          <w:p w14:paraId="09A2539D"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429,011</w:t>
            </w:r>
          </w:p>
        </w:tc>
        <w:tc>
          <w:tcPr>
            <w:tcW w:w="1565" w:type="dxa"/>
            <w:tcBorders>
              <w:top w:val="nil"/>
              <w:left w:val="nil"/>
              <w:bottom w:val="single" w:sz="4" w:space="0" w:color="auto"/>
              <w:right w:val="single" w:sz="4" w:space="0" w:color="auto"/>
            </w:tcBorders>
            <w:shd w:val="clear" w:color="auto" w:fill="auto"/>
            <w:noWrap/>
            <w:vAlign w:val="bottom"/>
            <w:hideMark/>
          </w:tcPr>
          <w:p w14:paraId="336E5A1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61.0%</w:t>
            </w:r>
          </w:p>
        </w:tc>
        <w:tc>
          <w:tcPr>
            <w:tcW w:w="1581" w:type="dxa"/>
            <w:tcBorders>
              <w:top w:val="nil"/>
              <w:left w:val="nil"/>
              <w:bottom w:val="single" w:sz="4" w:space="0" w:color="auto"/>
              <w:right w:val="single" w:sz="4" w:space="0" w:color="auto"/>
            </w:tcBorders>
            <w:shd w:val="clear" w:color="auto" w:fill="auto"/>
            <w:noWrap/>
            <w:vAlign w:val="bottom"/>
            <w:hideMark/>
          </w:tcPr>
          <w:p w14:paraId="2B831D11"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1,051,036</w:t>
            </w:r>
          </w:p>
        </w:tc>
        <w:tc>
          <w:tcPr>
            <w:tcW w:w="1239" w:type="dxa"/>
            <w:tcBorders>
              <w:top w:val="nil"/>
              <w:left w:val="nil"/>
              <w:bottom w:val="single" w:sz="4" w:space="0" w:color="auto"/>
              <w:right w:val="single" w:sz="4" w:space="0" w:color="auto"/>
            </w:tcBorders>
            <w:shd w:val="clear" w:color="auto" w:fill="auto"/>
            <w:noWrap/>
            <w:vAlign w:val="bottom"/>
            <w:hideMark/>
          </w:tcPr>
          <w:p w14:paraId="5FFEE08D"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19.4%</w:t>
            </w:r>
          </w:p>
        </w:tc>
      </w:tr>
      <w:tr w:rsidR="00D24507" w:rsidRPr="00D176D5" w14:paraId="74CAA692"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05A561E" w14:textId="77777777" w:rsidR="00D24507" w:rsidRPr="00D176D5" w:rsidRDefault="00D24507" w:rsidP="006C2106">
            <w:pPr>
              <w:rPr>
                <w:rFonts w:ascii="Calibri" w:hAnsi="Calibri" w:cs="Calibri"/>
                <w:color w:val="000000"/>
                <w:sz w:val="22"/>
                <w:szCs w:val="22"/>
              </w:rPr>
            </w:pPr>
            <w:r w:rsidRPr="00D176D5">
              <w:rPr>
                <w:rFonts w:ascii="Calibri" w:hAnsi="Calibri" w:cs="Calibri"/>
                <w:color w:val="000000"/>
                <w:sz w:val="22"/>
                <w:szCs w:val="22"/>
              </w:rPr>
              <w:t>In Labor Force</w:t>
            </w:r>
          </w:p>
        </w:tc>
        <w:tc>
          <w:tcPr>
            <w:tcW w:w="1695" w:type="dxa"/>
            <w:tcBorders>
              <w:top w:val="nil"/>
              <w:left w:val="nil"/>
              <w:bottom w:val="single" w:sz="4" w:space="0" w:color="auto"/>
              <w:right w:val="single" w:sz="4" w:space="0" w:color="auto"/>
            </w:tcBorders>
            <w:shd w:val="clear" w:color="auto" w:fill="auto"/>
            <w:noWrap/>
            <w:vAlign w:val="bottom"/>
            <w:hideMark/>
          </w:tcPr>
          <w:p w14:paraId="14A68F8C"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273,823</w:t>
            </w:r>
          </w:p>
        </w:tc>
        <w:tc>
          <w:tcPr>
            <w:tcW w:w="1565" w:type="dxa"/>
            <w:tcBorders>
              <w:top w:val="nil"/>
              <w:left w:val="nil"/>
              <w:bottom w:val="single" w:sz="4" w:space="0" w:color="auto"/>
              <w:right w:val="single" w:sz="4" w:space="0" w:color="auto"/>
            </w:tcBorders>
            <w:shd w:val="clear" w:color="auto" w:fill="auto"/>
            <w:noWrap/>
            <w:vAlign w:val="bottom"/>
            <w:hideMark/>
          </w:tcPr>
          <w:p w14:paraId="54DDAEBF"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39.0%</w:t>
            </w:r>
          </w:p>
        </w:tc>
        <w:tc>
          <w:tcPr>
            <w:tcW w:w="1581" w:type="dxa"/>
            <w:tcBorders>
              <w:top w:val="nil"/>
              <w:left w:val="nil"/>
              <w:bottom w:val="single" w:sz="4" w:space="0" w:color="auto"/>
              <w:right w:val="single" w:sz="4" w:space="0" w:color="auto"/>
            </w:tcBorders>
            <w:shd w:val="clear" w:color="auto" w:fill="auto"/>
            <w:noWrap/>
            <w:vAlign w:val="bottom"/>
            <w:hideMark/>
          </w:tcPr>
          <w:p w14:paraId="5785BAC3"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4,378,772</w:t>
            </w:r>
          </w:p>
        </w:tc>
        <w:tc>
          <w:tcPr>
            <w:tcW w:w="1239" w:type="dxa"/>
            <w:tcBorders>
              <w:top w:val="nil"/>
              <w:left w:val="nil"/>
              <w:bottom w:val="single" w:sz="4" w:space="0" w:color="auto"/>
              <w:right w:val="single" w:sz="4" w:space="0" w:color="auto"/>
            </w:tcBorders>
            <w:shd w:val="clear" w:color="auto" w:fill="auto"/>
            <w:noWrap/>
            <w:vAlign w:val="bottom"/>
            <w:hideMark/>
          </w:tcPr>
          <w:p w14:paraId="405AC1D4"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80.6%</w:t>
            </w:r>
          </w:p>
        </w:tc>
      </w:tr>
      <w:tr w:rsidR="00D24507" w:rsidRPr="00D176D5" w14:paraId="6B47B373"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D6536F6" w14:textId="77777777" w:rsidR="00D24507" w:rsidRPr="00D176D5" w:rsidRDefault="00D24507" w:rsidP="006C2106">
            <w:pPr>
              <w:rPr>
                <w:rFonts w:ascii="Calibri" w:hAnsi="Calibri" w:cs="Calibri"/>
                <w:color w:val="000000"/>
                <w:sz w:val="22"/>
                <w:szCs w:val="22"/>
              </w:rPr>
            </w:pPr>
            <w:r w:rsidRPr="00D176D5">
              <w:rPr>
                <w:rFonts w:ascii="Calibri" w:hAnsi="Calibri" w:cs="Calibri"/>
                <w:color w:val="000000"/>
                <w:sz w:val="22"/>
                <w:szCs w:val="22"/>
              </w:rPr>
              <w:t xml:space="preserve">      Employed</w:t>
            </w:r>
          </w:p>
        </w:tc>
        <w:tc>
          <w:tcPr>
            <w:tcW w:w="1695" w:type="dxa"/>
            <w:tcBorders>
              <w:top w:val="nil"/>
              <w:left w:val="nil"/>
              <w:bottom w:val="single" w:sz="4" w:space="0" w:color="auto"/>
              <w:right w:val="single" w:sz="4" w:space="0" w:color="auto"/>
            </w:tcBorders>
            <w:shd w:val="clear" w:color="auto" w:fill="auto"/>
            <w:noWrap/>
            <w:vAlign w:val="bottom"/>
            <w:hideMark/>
          </w:tcPr>
          <w:p w14:paraId="4EFA4206"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236,597</w:t>
            </w:r>
          </w:p>
        </w:tc>
        <w:tc>
          <w:tcPr>
            <w:tcW w:w="1565" w:type="dxa"/>
            <w:tcBorders>
              <w:top w:val="nil"/>
              <w:left w:val="nil"/>
              <w:bottom w:val="single" w:sz="4" w:space="0" w:color="auto"/>
              <w:right w:val="single" w:sz="4" w:space="0" w:color="auto"/>
            </w:tcBorders>
            <w:shd w:val="clear" w:color="auto" w:fill="auto"/>
            <w:noWrap/>
            <w:vAlign w:val="bottom"/>
            <w:hideMark/>
          </w:tcPr>
          <w:p w14:paraId="71C3C508"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86.4%</w:t>
            </w:r>
          </w:p>
        </w:tc>
        <w:tc>
          <w:tcPr>
            <w:tcW w:w="1581" w:type="dxa"/>
            <w:tcBorders>
              <w:top w:val="nil"/>
              <w:left w:val="nil"/>
              <w:bottom w:val="single" w:sz="4" w:space="0" w:color="auto"/>
              <w:right w:val="single" w:sz="4" w:space="0" w:color="auto"/>
            </w:tcBorders>
            <w:shd w:val="clear" w:color="auto" w:fill="auto"/>
            <w:noWrap/>
            <w:vAlign w:val="bottom"/>
            <w:hideMark/>
          </w:tcPr>
          <w:p w14:paraId="7E6AB079"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4,129,880</w:t>
            </w:r>
          </w:p>
        </w:tc>
        <w:tc>
          <w:tcPr>
            <w:tcW w:w="1239" w:type="dxa"/>
            <w:tcBorders>
              <w:top w:val="nil"/>
              <w:left w:val="nil"/>
              <w:bottom w:val="single" w:sz="4" w:space="0" w:color="auto"/>
              <w:right w:val="single" w:sz="4" w:space="0" w:color="auto"/>
            </w:tcBorders>
            <w:shd w:val="clear" w:color="auto" w:fill="auto"/>
            <w:noWrap/>
            <w:vAlign w:val="bottom"/>
            <w:hideMark/>
          </w:tcPr>
          <w:p w14:paraId="5E0119CD"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94.3%</w:t>
            </w:r>
          </w:p>
        </w:tc>
      </w:tr>
      <w:tr w:rsidR="00D24507" w:rsidRPr="00D176D5" w14:paraId="6D74F814"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8BC24C9" w14:textId="77777777" w:rsidR="00D24507" w:rsidRPr="00D176D5" w:rsidRDefault="00D24507" w:rsidP="006C2106">
            <w:pPr>
              <w:rPr>
                <w:rFonts w:ascii="Calibri" w:hAnsi="Calibri" w:cs="Calibri"/>
                <w:color w:val="000000"/>
                <w:sz w:val="22"/>
                <w:szCs w:val="22"/>
              </w:rPr>
            </w:pPr>
            <w:r w:rsidRPr="00D176D5">
              <w:rPr>
                <w:rFonts w:ascii="Calibri" w:hAnsi="Calibri" w:cs="Calibri"/>
                <w:color w:val="000000"/>
                <w:sz w:val="22"/>
                <w:szCs w:val="22"/>
              </w:rPr>
              <w:t xml:space="preserve">      Unemployed</w:t>
            </w:r>
          </w:p>
        </w:tc>
        <w:tc>
          <w:tcPr>
            <w:tcW w:w="1695" w:type="dxa"/>
            <w:tcBorders>
              <w:top w:val="nil"/>
              <w:left w:val="nil"/>
              <w:bottom w:val="single" w:sz="4" w:space="0" w:color="auto"/>
              <w:right w:val="single" w:sz="4" w:space="0" w:color="auto"/>
            </w:tcBorders>
            <w:shd w:val="clear" w:color="auto" w:fill="auto"/>
            <w:noWrap/>
            <w:vAlign w:val="bottom"/>
            <w:hideMark/>
          </w:tcPr>
          <w:p w14:paraId="24DBFCF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37,226</w:t>
            </w:r>
          </w:p>
        </w:tc>
        <w:tc>
          <w:tcPr>
            <w:tcW w:w="1565" w:type="dxa"/>
            <w:tcBorders>
              <w:top w:val="nil"/>
              <w:left w:val="nil"/>
              <w:bottom w:val="single" w:sz="4" w:space="0" w:color="auto"/>
              <w:right w:val="single" w:sz="4" w:space="0" w:color="auto"/>
            </w:tcBorders>
            <w:shd w:val="clear" w:color="auto" w:fill="auto"/>
            <w:noWrap/>
            <w:vAlign w:val="bottom"/>
            <w:hideMark/>
          </w:tcPr>
          <w:p w14:paraId="2684C103"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13.6%</w:t>
            </w:r>
          </w:p>
        </w:tc>
        <w:tc>
          <w:tcPr>
            <w:tcW w:w="1581" w:type="dxa"/>
            <w:tcBorders>
              <w:top w:val="nil"/>
              <w:left w:val="nil"/>
              <w:bottom w:val="single" w:sz="4" w:space="0" w:color="auto"/>
              <w:right w:val="single" w:sz="4" w:space="0" w:color="auto"/>
            </w:tcBorders>
            <w:shd w:val="clear" w:color="auto" w:fill="auto"/>
            <w:noWrap/>
            <w:vAlign w:val="bottom"/>
            <w:hideMark/>
          </w:tcPr>
          <w:p w14:paraId="4DED60C9"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248,892</w:t>
            </w:r>
          </w:p>
        </w:tc>
        <w:tc>
          <w:tcPr>
            <w:tcW w:w="1239" w:type="dxa"/>
            <w:tcBorders>
              <w:top w:val="nil"/>
              <w:left w:val="nil"/>
              <w:bottom w:val="single" w:sz="4" w:space="0" w:color="auto"/>
              <w:right w:val="single" w:sz="4" w:space="0" w:color="auto"/>
            </w:tcBorders>
            <w:shd w:val="clear" w:color="auto" w:fill="auto"/>
            <w:noWrap/>
            <w:vAlign w:val="bottom"/>
            <w:hideMark/>
          </w:tcPr>
          <w:p w14:paraId="26A6F0EA" w14:textId="77777777" w:rsidR="00D24507" w:rsidRPr="00D176D5" w:rsidRDefault="00D24507" w:rsidP="006C2106">
            <w:pPr>
              <w:jc w:val="right"/>
              <w:rPr>
                <w:rFonts w:ascii="Calibri" w:hAnsi="Calibri" w:cs="Calibri"/>
                <w:color w:val="000000"/>
                <w:sz w:val="22"/>
                <w:szCs w:val="22"/>
              </w:rPr>
            </w:pPr>
            <w:r w:rsidRPr="00D176D5">
              <w:rPr>
                <w:rFonts w:ascii="Calibri" w:hAnsi="Calibri" w:cs="Calibri"/>
                <w:color w:val="000000"/>
                <w:sz w:val="22"/>
                <w:szCs w:val="22"/>
              </w:rPr>
              <w:t>5.7%</w:t>
            </w:r>
          </w:p>
        </w:tc>
      </w:tr>
    </w:tbl>
    <w:p w14:paraId="3B5E0483" w14:textId="77777777" w:rsidR="00D24507" w:rsidRDefault="00D24507" w:rsidP="00D24507">
      <w:pPr>
        <w:ind w:left="360"/>
        <w:rPr>
          <w:sz w:val="16"/>
          <w:szCs w:val="16"/>
        </w:rPr>
      </w:pPr>
      <w:r w:rsidRPr="00104C93">
        <w:rPr>
          <w:sz w:val="16"/>
          <w:szCs w:val="16"/>
        </w:rPr>
        <w:t xml:space="preserve">Source: 2014-2018 American Community Survey: </w:t>
      </w:r>
      <w:r>
        <w:rPr>
          <w:sz w:val="16"/>
          <w:szCs w:val="16"/>
        </w:rPr>
        <w:t>C18120</w:t>
      </w:r>
    </w:p>
    <w:p w14:paraId="20DFE923" w14:textId="77777777" w:rsidR="00D24507" w:rsidRPr="00D176D5" w:rsidRDefault="00D24507" w:rsidP="00D24507">
      <w:pPr>
        <w:rPr>
          <w:sz w:val="16"/>
          <w:szCs w:val="16"/>
        </w:rPr>
      </w:pPr>
    </w:p>
    <w:p w14:paraId="48FFAB7F" w14:textId="3C92AC8F" w:rsidR="00D24507" w:rsidRDefault="00D24507" w:rsidP="00D24507">
      <w:pPr>
        <w:spacing w:after="240"/>
        <w:jc w:val="both"/>
      </w:pPr>
      <w:r w:rsidRPr="008842EE">
        <w:t xml:space="preserve">According to the National Organization on Disabilities, a significant income gap exists for people with disabilities given their lower rate of employment. Among persons in the labor force with one or more disabilities, 20.6% of persons are living in poverty compared to 13.1% of persons without a disability. The median income for the disabled population was </w:t>
      </w:r>
      <w:r w:rsidR="004D7AA6">
        <w:t xml:space="preserve">equivalent to only </w:t>
      </w:r>
      <w:r w:rsidR="00A5540C">
        <w:t xml:space="preserve">69% of the </w:t>
      </w:r>
      <w:r w:rsidR="003968FB">
        <w:t>median income of</w:t>
      </w:r>
      <w:r w:rsidRPr="008842EE">
        <w:t xml:space="preserve"> $31,672 for the non-disabled population. Even in the absence of discrimination, people with disabilities often experience greater obstacles in securing affordable housing that is accessible due to the higher potential for lower wages and rates of employment.</w:t>
      </w:r>
    </w:p>
    <w:p w14:paraId="19243881" w14:textId="77777777" w:rsidR="00143C02" w:rsidRDefault="00143C02">
      <w:pPr>
        <w:spacing w:after="160" w:line="259" w:lineRule="auto"/>
        <w:rPr>
          <w:b/>
          <w:bCs/>
          <w:color w:val="404040" w:themeColor="text1" w:themeTint="BF"/>
          <w:sz w:val="16"/>
          <w:szCs w:val="16"/>
        </w:rPr>
      </w:pPr>
      <w:r>
        <w:br w:type="page"/>
      </w:r>
    </w:p>
    <w:p w14:paraId="1363016E" w14:textId="7E48F6A5" w:rsidR="00D24507" w:rsidRDefault="00D24507" w:rsidP="00D24507">
      <w:pPr>
        <w:pStyle w:val="Caption"/>
        <w:ind w:left="1710"/>
      </w:pPr>
      <w:r>
        <w:lastRenderedPageBreak/>
        <w:t xml:space="preserve"> Table </w:t>
      </w:r>
      <w:fldSimple w:instr=" SEQ Table \* ARABIC ">
        <w:r w:rsidR="0055251A">
          <w:rPr>
            <w:noProof/>
          </w:rPr>
          <w:t>10</w:t>
        </w:r>
      </w:fldSimple>
      <w:r>
        <w:t xml:space="preserve"> </w:t>
      </w:r>
      <w:r w:rsidRPr="001F21DA">
        <w:t xml:space="preserve">Median </w:t>
      </w:r>
      <w:r w:rsidR="00277793">
        <w:t>Income</w:t>
      </w:r>
      <w:r w:rsidRPr="001F21DA">
        <w:t xml:space="preserve"> and Poverty Rates by Disability Status in North Carolina, 2018</w:t>
      </w:r>
    </w:p>
    <w:tbl>
      <w:tblPr>
        <w:tblW w:w="5780" w:type="dxa"/>
        <w:jc w:val="center"/>
        <w:tblLook w:val="04A0" w:firstRow="1" w:lastRow="0" w:firstColumn="1" w:lastColumn="0" w:noHBand="0" w:noVBand="1"/>
      </w:tblPr>
      <w:tblGrid>
        <w:gridCol w:w="2520"/>
        <w:gridCol w:w="1720"/>
        <w:gridCol w:w="1540"/>
      </w:tblGrid>
      <w:tr w:rsidR="00D24507" w:rsidRPr="001F21DA" w14:paraId="7D91BD03" w14:textId="77777777" w:rsidTr="006C2106">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83A87B7" w14:textId="77777777" w:rsidR="00D24507" w:rsidRPr="001F21DA" w:rsidRDefault="00D24507" w:rsidP="006C2106">
            <w:pPr>
              <w:jc w:val="center"/>
              <w:rPr>
                <w:rFonts w:ascii="Calibri" w:hAnsi="Calibri" w:cs="Calibri"/>
                <w:b/>
                <w:bCs/>
                <w:color w:val="FFFFFF"/>
                <w:sz w:val="22"/>
                <w:szCs w:val="22"/>
              </w:rPr>
            </w:pPr>
            <w:r w:rsidRPr="001F21DA">
              <w:rPr>
                <w:rFonts w:ascii="Calibri" w:hAnsi="Calibri" w:cs="Calibri"/>
                <w:b/>
                <w:bCs/>
                <w:color w:val="FFFFFF"/>
                <w:sz w:val="22"/>
                <w:szCs w:val="22"/>
              </w:rPr>
              <w:t>Population</w:t>
            </w:r>
          </w:p>
        </w:tc>
        <w:tc>
          <w:tcPr>
            <w:tcW w:w="1720" w:type="dxa"/>
            <w:tcBorders>
              <w:top w:val="single" w:sz="4" w:space="0" w:color="auto"/>
              <w:left w:val="nil"/>
              <w:bottom w:val="single" w:sz="4" w:space="0" w:color="auto"/>
              <w:right w:val="single" w:sz="4" w:space="0" w:color="auto"/>
            </w:tcBorders>
            <w:shd w:val="clear" w:color="000000" w:fill="4472C4"/>
            <w:noWrap/>
            <w:vAlign w:val="center"/>
            <w:hideMark/>
          </w:tcPr>
          <w:p w14:paraId="58755E81" w14:textId="77777777" w:rsidR="00D24507" w:rsidRPr="001F21DA" w:rsidRDefault="00D24507" w:rsidP="006C2106">
            <w:pPr>
              <w:jc w:val="center"/>
              <w:rPr>
                <w:rFonts w:ascii="Calibri" w:hAnsi="Calibri" w:cs="Calibri"/>
                <w:b/>
                <w:bCs/>
                <w:color w:val="FFFFFF"/>
                <w:sz w:val="22"/>
                <w:szCs w:val="22"/>
              </w:rPr>
            </w:pPr>
            <w:r w:rsidRPr="001F21DA">
              <w:rPr>
                <w:rFonts w:ascii="Calibri" w:hAnsi="Calibri" w:cs="Calibri"/>
                <w:b/>
                <w:bCs/>
                <w:color w:val="FFFFFF"/>
                <w:sz w:val="22"/>
                <w:szCs w:val="22"/>
              </w:rPr>
              <w:t>Median Annual Income</w:t>
            </w:r>
          </w:p>
        </w:tc>
        <w:tc>
          <w:tcPr>
            <w:tcW w:w="1540" w:type="dxa"/>
            <w:tcBorders>
              <w:top w:val="single" w:sz="4" w:space="0" w:color="auto"/>
              <w:left w:val="nil"/>
              <w:bottom w:val="single" w:sz="4" w:space="0" w:color="auto"/>
              <w:right w:val="single" w:sz="4" w:space="0" w:color="auto"/>
            </w:tcBorders>
            <w:shd w:val="clear" w:color="000000" w:fill="4472C4"/>
            <w:noWrap/>
            <w:vAlign w:val="center"/>
            <w:hideMark/>
          </w:tcPr>
          <w:p w14:paraId="29B771B4" w14:textId="77777777" w:rsidR="00D24507" w:rsidRPr="001F21DA" w:rsidRDefault="00D24507" w:rsidP="006C2106">
            <w:pPr>
              <w:jc w:val="center"/>
              <w:rPr>
                <w:rFonts w:ascii="Calibri" w:hAnsi="Calibri" w:cs="Calibri"/>
                <w:b/>
                <w:bCs/>
                <w:color w:val="FFFFFF"/>
                <w:sz w:val="22"/>
                <w:szCs w:val="22"/>
              </w:rPr>
            </w:pPr>
            <w:r w:rsidRPr="001F21DA">
              <w:rPr>
                <w:rFonts w:ascii="Calibri" w:hAnsi="Calibri" w:cs="Calibri"/>
                <w:b/>
                <w:bCs/>
                <w:color w:val="FFFFFF"/>
                <w:sz w:val="22"/>
                <w:szCs w:val="22"/>
              </w:rPr>
              <w:t>Poverty Rate</w:t>
            </w:r>
          </w:p>
        </w:tc>
      </w:tr>
      <w:tr w:rsidR="00D24507" w:rsidRPr="001F21DA" w14:paraId="5738B470"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B0D05E3" w14:textId="77777777" w:rsidR="00D24507" w:rsidRPr="001F21DA" w:rsidRDefault="00D24507" w:rsidP="006C2106">
            <w:pPr>
              <w:rPr>
                <w:rFonts w:ascii="Calibri" w:hAnsi="Calibri" w:cs="Calibri"/>
                <w:color w:val="000000"/>
                <w:sz w:val="22"/>
                <w:szCs w:val="22"/>
              </w:rPr>
            </w:pPr>
            <w:r w:rsidRPr="001F21DA">
              <w:rPr>
                <w:rFonts w:ascii="Calibri" w:hAnsi="Calibri" w:cs="Calibri"/>
                <w:color w:val="000000"/>
                <w:sz w:val="22"/>
                <w:szCs w:val="22"/>
              </w:rPr>
              <w:t>Total Population</w:t>
            </w:r>
          </w:p>
        </w:tc>
        <w:tc>
          <w:tcPr>
            <w:tcW w:w="1720" w:type="dxa"/>
            <w:tcBorders>
              <w:top w:val="nil"/>
              <w:left w:val="nil"/>
              <w:bottom w:val="single" w:sz="4" w:space="0" w:color="auto"/>
              <w:right w:val="single" w:sz="4" w:space="0" w:color="auto"/>
            </w:tcBorders>
            <w:shd w:val="clear" w:color="auto" w:fill="auto"/>
            <w:noWrap/>
            <w:vAlign w:val="bottom"/>
            <w:hideMark/>
          </w:tcPr>
          <w:p w14:paraId="1DA7C197" w14:textId="77777777" w:rsidR="00D24507" w:rsidRPr="001F21DA" w:rsidRDefault="00D24507" w:rsidP="006C2106">
            <w:pPr>
              <w:jc w:val="right"/>
              <w:rPr>
                <w:rFonts w:ascii="Calibri" w:hAnsi="Calibri" w:cs="Calibri"/>
                <w:color w:val="000000"/>
                <w:sz w:val="22"/>
                <w:szCs w:val="22"/>
              </w:rPr>
            </w:pPr>
            <w:r w:rsidRPr="001F21DA">
              <w:rPr>
                <w:rFonts w:ascii="Calibri" w:hAnsi="Calibri" w:cs="Calibri"/>
                <w:color w:val="000000"/>
                <w:sz w:val="22"/>
                <w:szCs w:val="22"/>
              </w:rPr>
              <w:t xml:space="preserve">$31,206 </w:t>
            </w:r>
          </w:p>
        </w:tc>
        <w:tc>
          <w:tcPr>
            <w:tcW w:w="1540" w:type="dxa"/>
            <w:tcBorders>
              <w:top w:val="nil"/>
              <w:left w:val="nil"/>
              <w:bottom w:val="single" w:sz="4" w:space="0" w:color="auto"/>
              <w:right w:val="single" w:sz="4" w:space="0" w:color="auto"/>
            </w:tcBorders>
            <w:shd w:val="clear" w:color="auto" w:fill="auto"/>
            <w:noWrap/>
            <w:vAlign w:val="bottom"/>
            <w:hideMark/>
          </w:tcPr>
          <w:p w14:paraId="47BA7574" w14:textId="77777777" w:rsidR="00D24507" w:rsidRPr="001F21DA" w:rsidRDefault="00D24507" w:rsidP="006C2106">
            <w:pPr>
              <w:jc w:val="right"/>
              <w:rPr>
                <w:rFonts w:ascii="Calibri" w:hAnsi="Calibri" w:cs="Calibri"/>
                <w:color w:val="000000"/>
                <w:sz w:val="22"/>
                <w:szCs w:val="22"/>
              </w:rPr>
            </w:pPr>
            <w:r w:rsidRPr="001F21DA">
              <w:rPr>
                <w:rFonts w:ascii="Calibri" w:hAnsi="Calibri" w:cs="Calibri"/>
                <w:color w:val="000000"/>
                <w:sz w:val="22"/>
                <w:szCs w:val="22"/>
              </w:rPr>
              <w:t>14.0%</w:t>
            </w:r>
          </w:p>
        </w:tc>
      </w:tr>
      <w:tr w:rsidR="00D24507" w:rsidRPr="001F21DA" w14:paraId="5AEFACB3"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56F0999" w14:textId="77777777" w:rsidR="00D24507" w:rsidRPr="001F21DA" w:rsidRDefault="00D24507" w:rsidP="006C2106">
            <w:pPr>
              <w:rPr>
                <w:rFonts w:ascii="Calibri" w:hAnsi="Calibri" w:cs="Calibri"/>
                <w:color w:val="000000"/>
                <w:sz w:val="22"/>
                <w:szCs w:val="22"/>
              </w:rPr>
            </w:pPr>
            <w:r w:rsidRPr="001F21DA">
              <w:rPr>
                <w:rFonts w:ascii="Calibri" w:hAnsi="Calibri" w:cs="Calibri"/>
                <w:color w:val="000000"/>
                <w:sz w:val="22"/>
                <w:szCs w:val="22"/>
              </w:rPr>
              <w:t xml:space="preserve">      with a disability</w:t>
            </w:r>
          </w:p>
        </w:tc>
        <w:tc>
          <w:tcPr>
            <w:tcW w:w="1720" w:type="dxa"/>
            <w:tcBorders>
              <w:top w:val="nil"/>
              <w:left w:val="nil"/>
              <w:bottom w:val="single" w:sz="4" w:space="0" w:color="auto"/>
              <w:right w:val="single" w:sz="4" w:space="0" w:color="auto"/>
            </w:tcBorders>
            <w:shd w:val="clear" w:color="auto" w:fill="auto"/>
            <w:noWrap/>
            <w:vAlign w:val="bottom"/>
            <w:hideMark/>
          </w:tcPr>
          <w:p w14:paraId="7FD01569" w14:textId="77777777" w:rsidR="00D24507" w:rsidRPr="001F21DA" w:rsidRDefault="00D24507" w:rsidP="006C2106">
            <w:pPr>
              <w:jc w:val="right"/>
              <w:rPr>
                <w:rFonts w:ascii="Calibri" w:hAnsi="Calibri" w:cs="Calibri"/>
                <w:color w:val="000000"/>
                <w:sz w:val="22"/>
                <w:szCs w:val="22"/>
              </w:rPr>
            </w:pPr>
            <w:r w:rsidRPr="001F21DA">
              <w:rPr>
                <w:rFonts w:ascii="Calibri" w:hAnsi="Calibri" w:cs="Calibri"/>
                <w:color w:val="000000"/>
                <w:sz w:val="22"/>
                <w:szCs w:val="22"/>
              </w:rPr>
              <w:t xml:space="preserve">$21,811 </w:t>
            </w:r>
          </w:p>
        </w:tc>
        <w:tc>
          <w:tcPr>
            <w:tcW w:w="1540" w:type="dxa"/>
            <w:tcBorders>
              <w:top w:val="nil"/>
              <w:left w:val="nil"/>
              <w:bottom w:val="single" w:sz="4" w:space="0" w:color="auto"/>
              <w:right w:val="single" w:sz="4" w:space="0" w:color="auto"/>
            </w:tcBorders>
            <w:shd w:val="clear" w:color="auto" w:fill="auto"/>
            <w:noWrap/>
            <w:vAlign w:val="bottom"/>
            <w:hideMark/>
          </w:tcPr>
          <w:p w14:paraId="6CD24D62" w14:textId="77777777" w:rsidR="00D24507" w:rsidRPr="001F21DA" w:rsidRDefault="00D24507" w:rsidP="006C2106">
            <w:pPr>
              <w:jc w:val="right"/>
              <w:rPr>
                <w:rFonts w:ascii="Calibri" w:hAnsi="Calibri" w:cs="Calibri"/>
                <w:color w:val="000000"/>
                <w:sz w:val="22"/>
                <w:szCs w:val="22"/>
              </w:rPr>
            </w:pPr>
            <w:r w:rsidRPr="001F21DA">
              <w:rPr>
                <w:rFonts w:ascii="Calibri" w:hAnsi="Calibri" w:cs="Calibri"/>
                <w:color w:val="000000"/>
                <w:sz w:val="22"/>
                <w:szCs w:val="22"/>
              </w:rPr>
              <w:t>20.6%</w:t>
            </w:r>
          </w:p>
        </w:tc>
      </w:tr>
      <w:tr w:rsidR="00D24507" w:rsidRPr="001F21DA" w14:paraId="77A01044"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7C131DC" w14:textId="77777777" w:rsidR="00D24507" w:rsidRPr="001F21DA" w:rsidRDefault="00D24507" w:rsidP="006C2106">
            <w:pPr>
              <w:rPr>
                <w:rFonts w:ascii="Calibri" w:hAnsi="Calibri" w:cs="Calibri"/>
                <w:color w:val="000000"/>
                <w:sz w:val="22"/>
                <w:szCs w:val="22"/>
              </w:rPr>
            </w:pPr>
            <w:r w:rsidRPr="001F21DA">
              <w:rPr>
                <w:rFonts w:ascii="Calibri" w:hAnsi="Calibri" w:cs="Calibri"/>
                <w:color w:val="000000"/>
                <w:sz w:val="22"/>
                <w:szCs w:val="22"/>
              </w:rPr>
              <w:t xml:space="preserve">      without a disability</w:t>
            </w:r>
          </w:p>
        </w:tc>
        <w:tc>
          <w:tcPr>
            <w:tcW w:w="1720" w:type="dxa"/>
            <w:tcBorders>
              <w:top w:val="nil"/>
              <w:left w:val="nil"/>
              <w:bottom w:val="single" w:sz="4" w:space="0" w:color="auto"/>
              <w:right w:val="single" w:sz="4" w:space="0" w:color="auto"/>
            </w:tcBorders>
            <w:shd w:val="clear" w:color="auto" w:fill="auto"/>
            <w:noWrap/>
            <w:vAlign w:val="bottom"/>
            <w:hideMark/>
          </w:tcPr>
          <w:p w14:paraId="09A28ECE" w14:textId="77777777" w:rsidR="00D24507" w:rsidRPr="001F21DA" w:rsidRDefault="00D24507" w:rsidP="006C2106">
            <w:pPr>
              <w:jc w:val="right"/>
              <w:rPr>
                <w:rFonts w:ascii="Calibri" w:hAnsi="Calibri" w:cs="Calibri"/>
                <w:color w:val="000000"/>
                <w:sz w:val="22"/>
                <w:szCs w:val="22"/>
              </w:rPr>
            </w:pPr>
            <w:r w:rsidRPr="001F21DA">
              <w:rPr>
                <w:rFonts w:ascii="Calibri" w:hAnsi="Calibri" w:cs="Calibri"/>
                <w:color w:val="000000"/>
                <w:sz w:val="22"/>
                <w:szCs w:val="22"/>
              </w:rPr>
              <w:t xml:space="preserve">$31,672 </w:t>
            </w:r>
          </w:p>
        </w:tc>
        <w:tc>
          <w:tcPr>
            <w:tcW w:w="1540" w:type="dxa"/>
            <w:tcBorders>
              <w:top w:val="nil"/>
              <w:left w:val="nil"/>
              <w:bottom w:val="single" w:sz="4" w:space="0" w:color="auto"/>
              <w:right w:val="single" w:sz="4" w:space="0" w:color="auto"/>
            </w:tcBorders>
            <w:shd w:val="clear" w:color="auto" w:fill="auto"/>
            <w:noWrap/>
            <w:vAlign w:val="bottom"/>
            <w:hideMark/>
          </w:tcPr>
          <w:p w14:paraId="3C4D2C0F" w14:textId="77777777" w:rsidR="00D24507" w:rsidRPr="001F21DA" w:rsidRDefault="00D24507" w:rsidP="006C2106">
            <w:pPr>
              <w:jc w:val="right"/>
              <w:rPr>
                <w:rFonts w:ascii="Calibri" w:hAnsi="Calibri" w:cs="Calibri"/>
                <w:color w:val="000000"/>
                <w:sz w:val="22"/>
                <w:szCs w:val="22"/>
              </w:rPr>
            </w:pPr>
            <w:r w:rsidRPr="001F21DA">
              <w:rPr>
                <w:rFonts w:ascii="Calibri" w:hAnsi="Calibri" w:cs="Calibri"/>
                <w:color w:val="000000"/>
                <w:sz w:val="22"/>
                <w:szCs w:val="22"/>
              </w:rPr>
              <w:t>13.1%</w:t>
            </w:r>
          </w:p>
        </w:tc>
      </w:tr>
    </w:tbl>
    <w:p w14:paraId="529CF238" w14:textId="77777777" w:rsidR="00D24507" w:rsidRDefault="00D24507" w:rsidP="00D24507">
      <w:pPr>
        <w:ind w:left="1710"/>
        <w:rPr>
          <w:sz w:val="16"/>
          <w:szCs w:val="16"/>
        </w:rPr>
      </w:pPr>
      <w:r>
        <w:rPr>
          <w:sz w:val="16"/>
          <w:szCs w:val="16"/>
        </w:rPr>
        <w:t xml:space="preserve"> </w:t>
      </w:r>
      <w:r w:rsidRPr="00104C93">
        <w:rPr>
          <w:sz w:val="16"/>
          <w:szCs w:val="16"/>
        </w:rPr>
        <w:t xml:space="preserve">Source: 2014-2018 American Community Survey: </w:t>
      </w:r>
      <w:r>
        <w:rPr>
          <w:sz w:val="16"/>
          <w:szCs w:val="16"/>
        </w:rPr>
        <w:t>C18130</w:t>
      </w:r>
    </w:p>
    <w:p w14:paraId="6A052F60" w14:textId="77777777" w:rsidR="00D24507" w:rsidRDefault="00D24507" w:rsidP="00D24507"/>
    <w:p w14:paraId="63F75854" w14:textId="1D4A6AE8" w:rsidR="00D24507" w:rsidRDefault="00D24507" w:rsidP="00D24507">
      <w:pPr>
        <w:pStyle w:val="Caption"/>
      </w:pPr>
      <w:r>
        <w:rPr>
          <w:noProof/>
        </w:rPr>
        <w:drawing>
          <wp:anchor distT="0" distB="0" distL="114300" distR="114300" simplePos="0" relativeHeight="251668480" behindDoc="0" locked="0" layoutInCell="1" allowOverlap="1" wp14:anchorId="788F819B" wp14:editId="346C1929">
            <wp:simplePos x="0" y="0"/>
            <wp:positionH relativeFrom="margin">
              <wp:align>right</wp:align>
            </wp:positionH>
            <wp:positionV relativeFrom="paragraph">
              <wp:posOffset>186055</wp:posOffset>
            </wp:positionV>
            <wp:extent cx="5934710" cy="2967355"/>
            <wp:effectExtent l="0" t="0" r="889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8</w:t>
        </w:r>
      </w:fldSimple>
      <w:r>
        <w:t xml:space="preserve"> Population with a Disability, 2018</w:t>
      </w:r>
    </w:p>
    <w:p w14:paraId="23048248" w14:textId="77777777" w:rsidR="00D24507" w:rsidRDefault="00D24507" w:rsidP="00D24507">
      <w:pPr>
        <w:spacing w:after="240"/>
        <w:jc w:val="both"/>
        <w:rPr>
          <w:sz w:val="16"/>
          <w:szCs w:val="16"/>
        </w:rPr>
      </w:pPr>
      <w:r w:rsidRPr="00104C93">
        <w:rPr>
          <w:sz w:val="16"/>
          <w:szCs w:val="16"/>
        </w:rPr>
        <w:t xml:space="preserve">Source: 2014-2018 American Community Survey: </w:t>
      </w:r>
      <w:r>
        <w:rPr>
          <w:sz w:val="16"/>
          <w:szCs w:val="16"/>
        </w:rPr>
        <w:t>S1810</w:t>
      </w:r>
    </w:p>
    <w:p w14:paraId="109F7AE5" w14:textId="77777777" w:rsidR="0039740D" w:rsidRDefault="0039740D" w:rsidP="00D24507">
      <w:pPr>
        <w:pStyle w:val="Caption"/>
      </w:pPr>
    </w:p>
    <w:p w14:paraId="4365C97E" w14:textId="2BFED8FB" w:rsidR="00D24507" w:rsidRDefault="00D24507" w:rsidP="00D24507">
      <w:pPr>
        <w:pStyle w:val="Caption"/>
      </w:pPr>
      <w:r>
        <w:t xml:space="preserve">Map </w:t>
      </w:r>
      <w:fldSimple w:instr=" SEQ Map \* ARABIC ">
        <w:r w:rsidR="0055251A">
          <w:rPr>
            <w:noProof/>
          </w:rPr>
          <w:t>9</w:t>
        </w:r>
      </w:fldSimple>
      <w:r>
        <w:t xml:space="preserve"> Unemployment Rate of Persons with at Least One Disability, 2018</w:t>
      </w:r>
    </w:p>
    <w:p w14:paraId="32EFC39C" w14:textId="77777777" w:rsidR="00D24507" w:rsidRPr="003B6DCB" w:rsidRDefault="00D24507" w:rsidP="00D24507">
      <w:pPr>
        <w:spacing w:after="240"/>
        <w:jc w:val="both"/>
        <w:rPr>
          <w:sz w:val="16"/>
          <w:szCs w:val="16"/>
        </w:rPr>
      </w:pPr>
      <w:r>
        <w:rPr>
          <w:noProof/>
        </w:rPr>
        <w:drawing>
          <wp:anchor distT="0" distB="0" distL="114300" distR="114300" simplePos="0" relativeHeight="251669504" behindDoc="0" locked="0" layoutInCell="1" allowOverlap="1" wp14:anchorId="320E0B7E" wp14:editId="5FDBB331">
            <wp:simplePos x="0" y="0"/>
            <wp:positionH relativeFrom="column">
              <wp:posOffset>0</wp:posOffset>
            </wp:positionH>
            <wp:positionV relativeFrom="paragraph">
              <wp:posOffset>0</wp:posOffset>
            </wp:positionV>
            <wp:extent cx="5934710" cy="2967355"/>
            <wp:effectExtent l="0" t="0" r="889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A33">
        <w:rPr>
          <w:sz w:val="16"/>
          <w:szCs w:val="16"/>
        </w:rPr>
        <w:t xml:space="preserve"> </w:t>
      </w:r>
      <w:r w:rsidRPr="00104C93">
        <w:rPr>
          <w:sz w:val="16"/>
          <w:szCs w:val="16"/>
        </w:rPr>
        <w:t xml:space="preserve">Source: 2014-2018 American Community Survey: </w:t>
      </w:r>
      <w:r>
        <w:rPr>
          <w:sz w:val="16"/>
          <w:szCs w:val="16"/>
        </w:rPr>
        <w:t>C18120</w:t>
      </w:r>
    </w:p>
    <w:p w14:paraId="33301389" w14:textId="77777777" w:rsidR="00D24507" w:rsidRDefault="00D24507" w:rsidP="00D24507">
      <w:pPr>
        <w:pStyle w:val="Heading3"/>
        <w:jc w:val="both"/>
      </w:pPr>
      <w:bookmarkStart w:id="26" w:name="_Toc47639978"/>
      <w:bookmarkStart w:id="27" w:name="_Toc66807912"/>
      <w:r>
        <w:lastRenderedPageBreak/>
        <w:t>Household Type</w:t>
      </w:r>
      <w:bookmarkEnd w:id="26"/>
      <w:bookmarkEnd w:id="27"/>
    </w:p>
    <w:p w14:paraId="566A3CC5" w14:textId="77777777" w:rsidR="00D24507" w:rsidRDefault="00D24507" w:rsidP="00D24507">
      <w:pPr>
        <w:spacing w:after="240"/>
        <w:jc w:val="both"/>
      </w:pPr>
      <w:r w:rsidRPr="000A2F52">
        <w:t>The Census Bureau defines households as either family or non-family. Family households are married couples with or without children, single parents with children, and other families comprised of related persons. Non-family households are either single persons living alone or two or more non-related persons living together.</w:t>
      </w:r>
    </w:p>
    <w:p w14:paraId="44AA2EC7" w14:textId="77777777" w:rsidR="00D24507" w:rsidRDefault="00D24507" w:rsidP="00D24507">
      <w:pPr>
        <w:spacing w:after="240"/>
        <w:jc w:val="both"/>
      </w:pPr>
      <w:r w:rsidRPr="00C24B26">
        <w:t>Title VIII of the Civil Rights Act of 1968 protects against gender discrimination in housing. Protection for families with children was added in the 1988 amendments to Title VIII. Except in limited circumstances involving elderly housing and owner-occupied buildings of one to four units, it is unlawful to refuse to rent or sell to families with children.</w:t>
      </w:r>
    </w:p>
    <w:p w14:paraId="34774E0C" w14:textId="6B7E8783" w:rsidR="00143C02" w:rsidRPr="0039740D" w:rsidRDefault="00D24507" w:rsidP="0039740D">
      <w:r>
        <w:t>Family households comprise</w:t>
      </w:r>
      <w:r w:rsidR="001225F4">
        <w:t>d</w:t>
      </w:r>
      <w:r>
        <w:t xml:space="preserve"> </w:t>
      </w:r>
      <w:proofErr w:type="gramStart"/>
      <w:r w:rsidR="009828A5">
        <w:t>the majority of</w:t>
      </w:r>
      <w:proofErr w:type="gramEnd"/>
      <w:r>
        <w:t xml:space="preserve"> North Carolina </w:t>
      </w:r>
      <w:r w:rsidR="009828A5">
        <w:t xml:space="preserve">households </w:t>
      </w:r>
      <w:r>
        <w:t xml:space="preserve">at 65.7% in 2018. This is a slight decrease </w:t>
      </w:r>
      <w:r w:rsidR="00F315F0">
        <w:t>from</w:t>
      </w:r>
      <w:r>
        <w:t xml:space="preserve"> 2010</w:t>
      </w:r>
      <w:r w:rsidR="00B869B1">
        <w:t xml:space="preserve"> </w:t>
      </w:r>
      <w:r w:rsidR="00F315F0">
        <w:t>when it was</w:t>
      </w:r>
      <w:r>
        <w:t xml:space="preserve"> 66.8%. Household compositions have remained mostly consistent between 2010 and 2018, with the most notable difference being a 5.8</w:t>
      </w:r>
      <w:r w:rsidR="00AD3381">
        <w:t>-</w:t>
      </w:r>
      <w:r>
        <w:t xml:space="preserve"> percentage point decrease in female-headed households with children.</w:t>
      </w:r>
    </w:p>
    <w:p w14:paraId="5A8B6DC1" w14:textId="14ABA65A" w:rsidR="00D24507" w:rsidRDefault="00D24507" w:rsidP="0039740D">
      <w:pPr>
        <w:pStyle w:val="Caption"/>
        <w:spacing w:before="240"/>
      </w:pPr>
      <w:r>
        <w:t xml:space="preserve">Table </w:t>
      </w:r>
      <w:fldSimple w:instr=" SEQ Table \* ARABIC ">
        <w:r w:rsidR="0055251A">
          <w:rPr>
            <w:noProof/>
          </w:rPr>
          <w:t>11</w:t>
        </w:r>
      </w:fldSimple>
      <w:r>
        <w:t xml:space="preserve"> </w:t>
      </w:r>
      <w:r w:rsidRPr="00E032A6">
        <w:t>Household Type and Presence of Children</w:t>
      </w:r>
      <w:r>
        <w:t xml:space="preserve"> in North Carolina, 2010-2018</w:t>
      </w:r>
    </w:p>
    <w:tbl>
      <w:tblPr>
        <w:tblW w:w="9389" w:type="dxa"/>
        <w:tblLook w:val="04A0" w:firstRow="1" w:lastRow="0" w:firstColumn="1" w:lastColumn="0" w:noHBand="0" w:noVBand="1"/>
      </w:tblPr>
      <w:tblGrid>
        <w:gridCol w:w="2873"/>
        <w:gridCol w:w="1947"/>
        <w:gridCol w:w="1547"/>
        <w:gridCol w:w="1685"/>
        <w:gridCol w:w="1337"/>
      </w:tblGrid>
      <w:tr w:rsidR="00D24507" w14:paraId="0D0C3A7B" w14:textId="77777777" w:rsidTr="006C2106">
        <w:trPr>
          <w:trHeight w:val="232"/>
        </w:trPr>
        <w:tc>
          <w:tcPr>
            <w:tcW w:w="2873"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14:paraId="31FE7236"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Household Type</w:t>
            </w:r>
          </w:p>
        </w:tc>
        <w:tc>
          <w:tcPr>
            <w:tcW w:w="3494" w:type="dxa"/>
            <w:gridSpan w:val="2"/>
            <w:tcBorders>
              <w:top w:val="single" w:sz="8" w:space="0" w:color="auto"/>
              <w:left w:val="nil"/>
              <w:bottom w:val="single" w:sz="8" w:space="0" w:color="auto"/>
              <w:right w:val="single" w:sz="8" w:space="0" w:color="000000"/>
            </w:tcBorders>
            <w:shd w:val="clear" w:color="000000" w:fill="4472C4"/>
            <w:noWrap/>
            <w:vAlign w:val="center"/>
            <w:hideMark/>
          </w:tcPr>
          <w:p w14:paraId="09704714"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2010</w:t>
            </w:r>
          </w:p>
        </w:tc>
        <w:tc>
          <w:tcPr>
            <w:tcW w:w="3022" w:type="dxa"/>
            <w:gridSpan w:val="2"/>
            <w:tcBorders>
              <w:top w:val="single" w:sz="8" w:space="0" w:color="auto"/>
              <w:left w:val="nil"/>
              <w:bottom w:val="single" w:sz="8" w:space="0" w:color="auto"/>
              <w:right w:val="single" w:sz="8" w:space="0" w:color="000000"/>
            </w:tcBorders>
            <w:shd w:val="clear" w:color="000000" w:fill="4472C4"/>
            <w:noWrap/>
            <w:vAlign w:val="center"/>
            <w:hideMark/>
          </w:tcPr>
          <w:p w14:paraId="33638C5A"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2018</w:t>
            </w:r>
          </w:p>
        </w:tc>
      </w:tr>
      <w:tr w:rsidR="00D24507" w14:paraId="3ED7D7FF" w14:textId="77777777" w:rsidTr="006C2106">
        <w:trPr>
          <w:trHeight w:val="232"/>
        </w:trPr>
        <w:tc>
          <w:tcPr>
            <w:tcW w:w="2873" w:type="dxa"/>
            <w:vMerge/>
            <w:tcBorders>
              <w:top w:val="single" w:sz="8" w:space="0" w:color="auto"/>
              <w:left w:val="single" w:sz="8" w:space="0" w:color="auto"/>
              <w:bottom w:val="single" w:sz="8" w:space="0" w:color="000000"/>
              <w:right w:val="single" w:sz="8" w:space="0" w:color="auto"/>
            </w:tcBorders>
            <w:vAlign w:val="center"/>
            <w:hideMark/>
          </w:tcPr>
          <w:p w14:paraId="292C35BC" w14:textId="77777777" w:rsidR="00D24507" w:rsidRDefault="00D24507" w:rsidP="006C2106">
            <w:pPr>
              <w:rPr>
                <w:rFonts w:ascii="Calibri" w:hAnsi="Calibri" w:cs="Calibri"/>
                <w:b/>
                <w:bCs/>
                <w:color w:val="FFFFFF"/>
                <w:sz w:val="22"/>
                <w:szCs w:val="22"/>
              </w:rPr>
            </w:pPr>
          </w:p>
        </w:tc>
        <w:tc>
          <w:tcPr>
            <w:tcW w:w="1947" w:type="dxa"/>
            <w:tcBorders>
              <w:top w:val="nil"/>
              <w:left w:val="nil"/>
              <w:bottom w:val="single" w:sz="8" w:space="0" w:color="auto"/>
              <w:right w:val="single" w:sz="8" w:space="0" w:color="auto"/>
            </w:tcBorders>
            <w:shd w:val="clear" w:color="000000" w:fill="4472C4"/>
            <w:noWrap/>
            <w:vAlign w:val="center"/>
            <w:hideMark/>
          </w:tcPr>
          <w:p w14:paraId="201637DA"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1547" w:type="dxa"/>
            <w:tcBorders>
              <w:top w:val="nil"/>
              <w:left w:val="nil"/>
              <w:bottom w:val="single" w:sz="8" w:space="0" w:color="auto"/>
              <w:right w:val="single" w:sz="8" w:space="0" w:color="auto"/>
            </w:tcBorders>
            <w:shd w:val="clear" w:color="000000" w:fill="4472C4"/>
            <w:noWrap/>
            <w:vAlign w:val="center"/>
            <w:hideMark/>
          </w:tcPr>
          <w:p w14:paraId="0F6975C6"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Percent</w:t>
            </w:r>
          </w:p>
        </w:tc>
        <w:tc>
          <w:tcPr>
            <w:tcW w:w="1685" w:type="dxa"/>
            <w:tcBorders>
              <w:top w:val="nil"/>
              <w:left w:val="nil"/>
              <w:bottom w:val="single" w:sz="8" w:space="0" w:color="auto"/>
              <w:right w:val="single" w:sz="8" w:space="0" w:color="auto"/>
            </w:tcBorders>
            <w:shd w:val="clear" w:color="000000" w:fill="4472C4"/>
            <w:noWrap/>
            <w:vAlign w:val="center"/>
            <w:hideMark/>
          </w:tcPr>
          <w:p w14:paraId="5BD7DCA8"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1337" w:type="dxa"/>
            <w:tcBorders>
              <w:top w:val="nil"/>
              <w:left w:val="nil"/>
              <w:bottom w:val="single" w:sz="8" w:space="0" w:color="auto"/>
              <w:right w:val="single" w:sz="8" w:space="0" w:color="auto"/>
            </w:tcBorders>
            <w:shd w:val="clear" w:color="000000" w:fill="4472C4"/>
            <w:noWrap/>
            <w:vAlign w:val="center"/>
            <w:hideMark/>
          </w:tcPr>
          <w:p w14:paraId="03390DEC"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Percent</w:t>
            </w:r>
          </w:p>
        </w:tc>
      </w:tr>
      <w:tr w:rsidR="00D24507" w14:paraId="230C0A39" w14:textId="77777777" w:rsidTr="006C2106">
        <w:trPr>
          <w:trHeight w:val="232"/>
        </w:trPr>
        <w:tc>
          <w:tcPr>
            <w:tcW w:w="2873" w:type="dxa"/>
            <w:tcBorders>
              <w:top w:val="nil"/>
              <w:left w:val="single" w:sz="8" w:space="0" w:color="auto"/>
              <w:bottom w:val="single" w:sz="8" w:space="0" w:color="auto"/>
              <w:right w:val="single" w:sz="8" w:space="0" w:color="auto"/>
            </w:tcBorders>
            <w:shd w:val="clear" w:color="000000" w:fill="B4C6E7"/>
            <w:noWrap/>
            <w:vAlign w:val="center"/>
            <w:hideMark/>
          </w:tcPr>
          <w:p w14:paraId="7986337E"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Family Households</w:t>
            </w:r>
          </w:p>
        </w:tc>
        <w:tc>
          <w:tcPr>
            <w:tcW w:w="1947" w:type="dxa"/>
            <w:tcBorders>
              <w:top w:val="nil"/>
              <w:left w:val="nil"/>
              <w:bottom w:val="single" w:sz="8" w:space="0" w:color="auto"/>
              <w:right w:val="single" w:sz="8" w:space="0" w:color="auto"/>
            </w:tcBorders>
            <w:shd w:val="clear" w:color="000000" w:fill="B4C6E7"/>
            <w:noWrap/>
            <w:vAlign w:val="center"/>
            <w:hideMark/>
          </w:tcPr>
          <w:p w14:paraId="2C726229"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2,422,692</w:t>
            </w:r>
          </w:p>
        </w:tc>
        <w:tc>
          <w:tcPr>
            <w:tcW w:w="1547" w:type="dxa"/>
            <w:tcBorders>
              <w:top w:val="nil"/>
              <w:left w:val="nil"/>
              <w:bottom w:val="single" w:sz="8" w:space="0" w:color="auto"/>
              <w:right w:val="single" w:sz="8" w:space="0" w:color="auto"/>
            </w:tcBorders>
            <w:shd w:val="clear" w:color="000000" w:fill="B4C6E7"/>
            <w:noWrap/>
            <w:vAlign w:val="center"/>
            <w:hideMark/>
          </w:tcPr>
          <w:p w14:paraId="3B2C7C43"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66.8%</w:t>
            </w:r>
          </w:p>
        </w:tc>
        <w:tc>
          <w:tcPr>
            <w:tcW w:w="1685" w:type="dxa"/>
            <w:tcBorders>
              <w:top w:val="nil"/>
              <w:left w:val="nil"/>
              <w:bottom w:val="single" w:sz="8" w:space="0" w:color="auto"/>
              <w:right w:val="single" w:sz="8" w:space="0" w:color="auto"/>
            </w:tcBorders>
            <w:shd w:val="clear" w:color="000000" w:fill="B4C6E7"/>
            <w:noWrap/>
            <w:vAlign w:val="center"/>
            <w:hideMark/>
          </w:tcPr>
          <w:p w14:paraId="34A7E71D"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2,573,526</w:t>
            </w:r>
          </w:p>
        </w:tc>
        <w:tc>
          <w:tcPr>
            <w:tcW w:w="1337" w:type="dxa"/>
            <w:tcBorders>
              <w:top w:val="nil"/>
              <w:left w:val="nil"/>
              <w:bottom w:val="single" w:sz="8" w:space="0" w:color="auto"/>
              <w:right w:val="single" w:sz="8" w:space="0" w:color="auto"/>
            </w:tcBorders>
            <w:shd w:val="clear" w:color="000000" w:fill="B4C6E7"/>
            <w:noWrap/>
            <w:vAlign w:val="center"/>
            <w:hideMark/>
          </w:tcPr>
          <w:p w14:paraId="285A1608"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65.7%</w:t>
            </w:r>
          </w:p>
        </w:tc>
      </w:tr>
      <w:tr w:rsidR="00D24507" w14:paraId="3AAB6DB5" w14:textId="77777777" w:rsidTr="006C2106">
        <w:trPr>
          <w:trHeight w:val="232"/>
        </w:trPr>
        <w:tc>
          <w:tcPr>
            <w:tcW w:w="2873" w:type="dxa"/>
            <w:tcBorders>
              <w:top w:val="nil"/>
              <w:left w:val="single" w:sz="8" w:space="0" w:color="auto"/>
              <w:bottom w:val="single" w:sz="8" w:space="0" w:color="auto"/>
              <w:right w:val="single" w:sz="8" w:space="0" w:color="auto"/>
            </w:tcBorders>
            <w:shd w:val="clear" w:color="000000" w:fill="FFF2CC"/>
            <w:noWrap/>
            <w:vAlign w:val="center"/>
            <w:hideMark/>
          </w:tcPr>
          <w:p w14:paraId="1FF0F3F7"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Married Couples</w:t>
            </w:r>
          </w:p>
        </w:tc>
        <w:tc>
          <w:tcPr>
            <w:tcW w:w="1947" w:type="dxa"/>
            <w:tcBorders>
              <w:top w:val="nil"/>
              <w:left w:val="nil"/>
              <w:bottom w:val="single" w:sz="8" w:space="0" w:color="auto"/>
              <w:right w:val="single" w:sz="8" w:space="0" w:color="auto"/>
            </w:tcBorders>
            <w:shd w:val="clear" w:color="000000" w:fill="FFF2CC"/>
            <w:noWrap/>
            <w:vAlign w:val="center"/>
            <w:hideMark/>
          </w:tcPr>
          <w:p w14:paraId="79CC1A9A"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1,795,126</w:t>
            </w:r>
          </w:p>
        </w:tc>
        <w:tc>
          <w:tcPr>
            <w:tcW w:w="1547" w:type="dxa"/>
            <w:tcBorders>
              <w:top w:val="nil"/>
              <w:left w:val="nil"/>
              <w:bottom w:val="single" w:sz="8" w:space="0" w:color="auto"/>
              <w:right w:val="single" w:sz="8" w:space="0" w:color="auto"/>
            </w:tcBorders>
            <w:shd w:val="clear" w:color="000000" w:fill="FFF2CC"/>
            <w:noWrap/>
            <w:vAlign w:val="center"/>
            <w:hideMark/>
          </w:tcPr>
          <w:p w14:paraId="262577EA"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74.1%</w:t>
            </w:r>
          </w:p>
        </w:tc>
        <w:tc>
          <w:tcPr>
            <w:tcW w:w="1685" w:type="dxa"/>
            <w:tcBorders>
              <w:top w:val="nil"/>
              <w:left w:val="nil"/>
              <w:bottom w:val="single" w:sz="8" w:space="0" w:color="auto"/>
              <w:right w:val="single" w:sz="8" w:space="0" w:color="auto"/>
            </w:tcBorders>
            <w:shd w:val="clear" w:color="000000" w:fill="FFF2CC"/>
            <w:noWrap/>
            <w:vAlign w:val="center"/>
            <w:hideMark/>
          </w:tcPr>
          <w:p w14:paraId="06760A21"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1,886,087</w:t>
            </w:r>
          </w:p>
        </w:tc>
        <w:tc>
          <w:tcPr>
            <w:tcW w:w="1337" w:type="dxa"/>
            <w:tcBorders>
              <w:top w:val="nil"/>
              <w:left w:val="nil"/>
              <w:bottom w:val="single" w:sz="8" w:space="0" w:color="auto"/>
              <w:right w:val="single" w:sz="8" w:space="0" w:color="auto"/>
            </w:tcBorders>
            <w:shd w:val="clear" w:color="000000" w:fill="FFF2CC"/>
            <w:noWrap/>
            <w:vAlign w:val="center"/>
            <w:hideMark/>
          </w:tcPr>
          <w:p w14:paraId="796F375A"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73.3%</w:t>
            </w:r>
          </w:p>
        </w:tc>
      </w:tr>
      <w:tr w:rsidR="00D24507" w14:paraId="2FDACB9C" w14:textId="77777777" w:rsidTr="006C2106">
        <w:trPr>
          <w:trHeight w:val="232"/>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5D9C95E3" w14:textId="77777777" w:rsidR="00D24507" w:rsidRDefault="00D24507" w:rsidP="006C2106">
            <w:pPr>
              <w:rPr>
                <w:rFonts w:ascii="Calibri" w:hAnsi="Calibri" w:cs="Calibri"/>
                <w:i/>
                <w:iCs/>
                <w:color w:val="000000"/>
                <w:sz w:val="22"/>
                <w:szCs w:val="22"/>
              </w:rPr>
            </w:pPr>
            <w:r>
              <w:rPr>
                <w:rFonts w:ascii="Calibri" w:hAnsi="Calibri" w:cs="Calibri"/>
                <w:i/>
                <w:iCs/>
                <w:color w:val="000000"/>
                <w:sz w:val="22"/>
                <w:szCs w:val="22"/>
              </w:rPr>
              <w:t xml:space="preserve">            with children</w:t>
            </w:r>
          </w:p>
        </w:tc>
        <w:tc>
          <w:tcPr>
            <w:tcW w:w="1947" w:type="dxa"/>
            <w:tcBorders>
              <w:top w:val="nil"/>
              <w:left w:val="nil"/>
              <w:bottom w:val="single" w:sz="8" w:space="0" w:color="auto"/>
              <w:right w:val="single" w:sz="8" w:space="0" w:color="auto"/>
            </w:tcBorders>
            <w:shd w:val="clear" w:color="auto" w:fill="auto"/>
            <w:noWrap/>
            <w:vAlign w:val="center"/>
            <w:hideMark/>
          </w:tcPr>
          <w:p w14:paraId="5B2F1D33"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729,708</w:t>
            </w:r>
          </w:p>
        </w:tc>
        <w:tc>
          <w:tcPr>
            <w:tcW w:w="1547" w:type="dxa"/>
            <w:tcBorders>
              <w:top w:val="nil"/>
              <w:left w:val="nil"/>
              <w:bottom w:val="single" w:sz="8" w:space="0" w:color="auto"/>
              <w:right w:val="single" w:sz="8" w:space="0" w:color="auto"/>
            </w:tcBorders>
            <w:shd w:val="clear" w:color="auto" w:fill="auto"/>
            <w:noWrap/>
            <w:vAlign w:val="center"/>
            <w:hideMark/>
          </w:tcPr>
          <w:p w14:paraId="39801168"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40.6%</w:t>
            </w:r>
          </w:p>
        </w:tc>
        <w:tc>
          <w:tcPr>
            <w:tcW w:w="1685" w:type="dxa"/>
            <w:tcBorders>
              <w:top w:val="nil"/>
              <w:left w:val="nil"/>
              <w:bottom w:val="single" w:sz="8" w:space="0" w:color="auto"/>
              <w:right w:val="single" w:sz="8" w:space="0" w:color="auto"/>
            </w:tcBorders>
            <w:shd w:val="clear" w:color="auto" w:fill="auto"/>
            <w:noWrap/>
            <w:vAlign w:val="center"/>
            <w:hideMark/>
          </w:tcPr>
          <w:p w14:paraId="0128A17F"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717,865</w:t>
            </w:r>
          </w:p>
        </w:tc>
        <w:tc>
          <w:tcPr>
            <w:tcW w:w="1337" w:type="dxa"/>
            <w:tcBorders>
              <w:top w:val="nil"/>
              <w:left w:val="nil"/>
              <w:bottom w:val="single" w:sz="8" w:space="0" w:color="auto"/>
              <w:right w:val="single" w:sz="8" w:space="0" w:color="auto"/>
            </w:tcBorders>
            <w:shd w:val="clear" w:color="auto" w:fill="auto"/>
            <w:noWrap/>
            <w:vAlign w:val="center"/>
            <w:hideMark/>
          </w:tcPr>
          <w:p w14:paraId="0EC82908"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38.1%</w:t>
            </w:r>
          </w:p>
        </w:tc>
      </w:tr>
      <w:tr w:rsidR="00D24507" w14:paraId="7B900B84" w14:textId="77777777" w:rsidTr="006C2106">
        <w:trPr>
          <w:trHeight w:val="232"/>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77C1EB62" w14:textId="77777777" w:rsidR="00D24507" w:rsidRDefault="00D24507" w:rsidP="006C2106">
            <w:pPr>
              <w:rPr>
                <w:rFonts w:ascii="Calibri" w:hAnsi="Calibri" w:cs="Calibri"/>
                <w:i/>
                <w:iCs/>
                <w:color w:val="000000"/>
                <w:sz w:val="22"/>
                <w:szCs w:val="22"/>
              </w:rPr>
            </w:pPr>
            <w:r>
              <w:rPr>
                <w:rFonts w:ascii="Calibri" w:hAnsi="Calibri" w:cs="Calibri"/>
                <w:i/>
                <w:iCs/>
                <w:color w:val="000000"/>
                <w:sz w:val="22"/>
                <w:szCs w:val="22"/>
              </w:rPr>
              <w:t xml:space="preserve">            without children</w:t>
            </w:r>
          </w:p>
        </w:tc>
        <w:tc>
          <w:tcPr>
            <w:tcW w:w="1947" w:type="dxa"/>
            <w:tcBorders>
              <w:top w:val="nil"/>
              <w:left w:val="nil"/>
              <w:bottom w:val="single" w:sz="8" w:space="0" w:color="auto"/>
              <w:right w:val="single" w:sz="8" w:space="0" w:color="auto"/>
            </w:tcBorders>
            <w:shd w:val="clear" w:color="auto" w:fill="auto"/>
            <w:noWrap/>
            <w:vAlign w:val="center"/>
            <w:hideMark/>
          </w:tcPr>
          <w:p w14:paraId="657010A3"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1,065,418</w:t>
            </w:r>
          </w:p>
        </w:tc>
        <w:tc>
          <w:tcPr>
            <w:tcW w:w="1547" w:type="dxa"/>
            <w:tcBorders>
              <w:top w:val="nil"/>
              <w:left w:val="nil"/>
              <w:bottom w:val="single" w:sz="8" w:space="0" w:color="auto"/>
              <w:right w:val="single" w:sz="8" w:space="0" w:color="auto"/>
            </w:tcBorders>
            <w:shd w:val="clear" w:color="auto" w:fill="auto"/>
            <w:noWrap/>
            <w:vAlign w:val="center"/>
            <w:hideMark/>
          </w:tcPr>
          <w:p w14:paraId="173B3361"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59.4%</w:t>
            </w:r>
          </w:p>
        </w:tc>
        <w:tc>
          <w:tcPr>
            <w:tcW w:w="1685" w:type="dxa"/>
            <w:tcBorders>
              <w:top w:val="nil"/>
              <w:left w:val="nil"/>
              <w:bottom w:val="single" w:sz="8" w:space="0" w:color="auto"/>
              <w:right w:val="single" w:sz="8" w:space="0" w:color="auto"/>
            </w:tcBorders>
            <w:shd w:val="clear" w:color="auto" w:fill="auto"/>
            <w:noWrap/>
            <w:vAlign w:val="center"/>
            <w:hideMark/>
          </w:tcPr>
          <w:p w14:paraId="552ED4DF"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1,168,222</w:t>
            </w:r>
          </w:p>
        </w:tc>
        <w:tc>
          <w:tcPr>
            <w:tcW w:w="1337" w:type="dxa"/>
            <w:tcBorders>
              <w:top w:val="nil"/>
              <w:left w:val="nil"/>
              <w:bottom w:val="single" w:sz="8" w:space="0" w:color="auto"/>
              <w:right w:val="single" w:sz="8" w:space="0" w:color="auto"/>
            </w:tcBorders>
            <w:shd w:val="clear" w:color="auto" w:fill="auto"/>
            <w:noWrap/>
            <w:vAlign w:val="center"/>
            <w:hideMark/>
          </w:tcPr>
          <w:p w14:paraId="00A9578A"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61.9%</w:t>
            </w:r>
          </w:p>
        </w:tc>
      </w:tr>
      <w:tr w:rsidR="00D24507" w14:paraId="77B13868" w14:textId="77777777" w:rsidTr="006C2106">
        <w:trPr>
          <w:trHeight w:val="232"/>
        </w:trPr>
        <w:tc>
          <w:tcPr>
            <w:tcW w:w="2873" w:type="dxa"/>
            <w:tcBorders>
              <w:top w:val="nil"/>
              <w:left w:val="single" w:sz="8" w:space="0" w:color="auto"/>
              <w:bottom w:val="single" w:sz="8" w:space="0" w:color="auto"/>
              <w:right w:val="single" w:sz="8" w:space="0" w:color="auto"/>
            </w:tcBorders>
            <w:shd w:val="clear" w:color="000000" w:fill="FFF2CC"/>
            <w:noWrap/>
            <w:vAlign w:val="center"/>
            <w:hideMark/>
          </w:tcPr>
          <w:p w14:paraId="6016C49B"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Female-headed Household</w:t>
            </w:r>
          </w:p>
        </w:tc>
        <w:tc>
          <w:tcPr>
            <w:tcW w:w="1947" w:type="dxa"/>
            <w:tcBorders>
              <w:top w:val="nil"/>
              <w:left w:val="nil"/>
              <w:bottom w:val="single" w:sz="8" w:space="0" w:color="auto"/>
              <w:right w:val="single" w:sz="8" w:space="0" w:color="auto"/>
            </w:tcBorders>
            <w:shd w:val="clear" w:color="000000" w:fill="FFF2CC"/>
            <w:noWrap/>
            <w:vAlign w:val="center"/>
            <w:hideMark/>
          </w:tcPr>
          <w:p w14:paraId="64816B36"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473,166</w:t>
            </w:r>
          </w:p>
        </w:tc>
        <w:tc>
          <w:tcPr>
            <w:tcW w:w="1547" w:type="dxa"/>
            <w:tcBorders>
              <w:top w:val="nil"/>
              <w:left w:val="nil"/>
              <w:bottom w:val="single" w:sz="8" w:space="0" w:color="auto"/>
              <w:right w:val="single" w:sz="8" w:space="0" w:color="auto"/>
            </w:tcBorders>
            <w:shd w:val="clear" w:color="000000" w:fill="FFF2CC"/>
            <w:noWrap/>
            <w:vAlign w:val="center"/>
            <w:hideMark/>
          </w:tcPr>
          <w:p w14:paraId="53FAEEF3"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19.5%</w:t>
            </w:r>
          </w:p>
        </w:tc>
        <w:tc>
          <w:tcPr>
            <w:tcW w:w="1685" w:type="dxa"/>
            <w:tcBorders>
              <w:top w:val="nil"/>
              <w:left w:val="nil"/>
              <w:bottom w:val="single" w:sz="8" w:space="0" w:color="auto"/>
              <w:right w:val="single" w:sz="8" w:space="0" w:color="auto"/>
            </w:tcBorders>
            <w:shd w:val="clear" w:color="000000" w:fill="FFF2CC"/>
            <w:noWrap/>
            <w:vAlign w:val="center"/>
            <w:hideMark/>
          </w:tcPr>
          <w:p w14:paraId="5CADD58A"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513,968</w:t>
            </w:r>
          </w:p>
        </w:tc>
        <w:tc>
          <w:tcPr>
            <w:tcW w:w="1337" w:type="dxa"/>
            <w:tcBorders>
              <w:top w:val="nil"/>
              <w:left w:val="nil"/>
              <w:bottom w:val="single" w:sz="8" w:space="0" w:color="auto"/>
              <w:right w:val="single" w:sz="8" w:space="0" w:color="auto"/>
            </w:tcBorders>
            <w:shd w:val="clear" w:color="000000" w:fill="FFF2CC"/>
            <w:noWrap/>
            <w:vAlign w:val="center"/>
            <w:hideMark/>
          </w:tcPr>
          <w:p w14:paraId="13E5F33D"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20.0%</w:t>
            </w:r>
          </w:p>
        </w:tc>
      </w:tr>
      <w:tr w:rsidR="00D24507" w14:paraId="04D65A0A" w14:textId="77777777" w:rsidTr="006C2106">
        <w:trPr>
          <w:trHeight w:val="232"/>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64CDF866" w14:textId="77777777" w:rsidR="00D24507" w:rsidRDefault="00D24507" w:rsidP="006C2106">
            <w:pPr>
              <w:rPr>
                <w:rFonts w:ascii="Calibri" w:hAnsi="Calibri" w:cs="Calibri"/>
                <w:i/>
                <w:iCs/>
                <w:color w:val="000000"/>
                <w:sz w:val="22"/>
                <w:szCs w:val="22"/>
              </w:rPr>
            </w:pPr>
            <w:r>
              <w:rPr>
                <w:rFonts w:ascii="Calibri" w:hAnsi="Calibri" w:cs="Calibri"/>
                <w:i/>
                <w:iCs/>
                <w:color w:val="000000"/>
                <w:sz w:val="22"/>
                <w:szCs w:val="22"/>
              </w:rPr>
              <w:t xml:space="preserve">            with children</w:t>
            </w:r>
          </w:p>
        </w:tc>
        <w:tc>
          <w:tcPr>
            <w:tcW w:w="1947" w:type="dxa"/>
            <w:tcBorders>
              <w:top w:val="nil"/>
              <w:left w:val="nil"/>
              <w:bottom w:val="single" w:sz="8" w:space="0" w:color="auto"/>
              <w:right w:val="single" w:sz="8" w:space="0" w:color="auto"/>
            </w:tcBorders>
            <w:shd w:val="clear" w:color="auto" w:fill="auto"/>
            <w:noWrap/>
            <w:vAlign w:val="center"/>
            <w:hideMark/>
          </w:tcPr>
          <w:p w14:paraId="4CBF3C64"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282,131</w:t>
            </w:r>
          </w:p>
        </w:tc>
        <w:tc>
          <w:tcPr>
            <w:tcW w:w="1547" w:type="dxa"/>
            <w:tcBorders>
              <w:top w:val="nil"/>
              <w:left w:val="nil"/>
              <w:bottom w:val="single" w:sz="8" w:space="0" w:color="auto"/>
              <w:right w:val="single" w:sz="8" w:space="0" w:color="auto"/>
            </w:tcBorders>
            <w:shd w:val="clear" w:color="auto" w:fill="auto"/>
            <w:noWrap/>
            <w:vAlign w:val="center"/>
            <w:hideMark/>
          </w:tcPr>
          <w:p w14:paraId="5F7CB246"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59.6%</w:t>
            </w:r>
          </w:p>
        </w:tc>
        <w:tc>
          <w:tcPr>
            <w:tcW w:w="1685" w:type="dxa"/>
            <w:tcBorders>
              <w:top w:val="nil"/>
              <w:left w:val="nil"/>
              <w:bottom w:val="single" w:sz="8" w:space="0" w:color="auto"/>
              <w:right w:val="single" w:sz="8" w:space="0" w:color="auto"/>
            </w:tcBorders>
            <w:shd w:val="clear" w:color="auto" w:fill="auto"/>
            <w:noWrap/>
            <w:vAlign w:val="center"/>
            <w:hideMark/>
          </w:tcPr>
          <w:p w14:paraId="4DD0217D"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276,724</w:t>
            </w:r>
          </w:p>
        </w:tc>
        <w:tc>
          <w:tcPr>
            <w:tcW w:w="1337" w:type="dxa"/>
            <w:tcBorders>
              <w:top w:val="nil"/>
              <w:left w:val="nil"/>
              <w:bottom w:val="single" w:sz="8" w:space="0" w:color="auto"/>
              <w:right w:val="single" w:sz="8" w:space="0" w:color="auto"/>
            </w:tcBorders>
            <w:shd w:val="clear" w:color="auto" w:fill="auto"/>
            <w:noWrap/>
            <w:vAlign w:val="center"/>
            <w:hideMark/>
          </w:tcPr>
          <w:p w14:paraId="44A18E21"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53.8%</w:t>
            </w:r>
          </w:p>
        </w:tc>
      </w:tr>
      <w:tr w:rsidR="00D24507" w14:paraId="16F4C5E3" w14:textId="77777777" w:rsidTr="006C2106">
        <w:trPr>
          <w:trHeight w:val="232"/>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2E48E124" w14:textId="77777777" w:rsidR="00D24507" w:rsidRDefault="00D24507" w:rsidP="006C2106">
            <w:pPr>
              <w:rPr>
                <w:rFonts w:ascii="Calibri" w:hAnsi="Calibri" w:cs="Calibri"/>
                <w:i/>
                <w:iCs/>
                <w:color w:val="000000"/>
                <w:sz w:val="22"/>
                <w:szCs w:val="22"/>
              </w:rPr>
            </w:pPr>
            <w:r>
              <w:rPr>
                <w:rFonts w:ascii="Calibri" w:hAnsi="Calibri" w:cs="Calibri"/>
                <w:i/>
                <w:iCs/>
                <w:color w:val="000000"/>
                <w:sz w:val="22"/>
                <w:szCs w:val="22"/>
              </w:rPr>
              <w:t xml:space="preserve">            without children</w:t>
            </w:r>
          </w:p>
        </w:tc>
        <w:tc>
          <w:tcPr>
            <w:tcW w:w="1947" w:type="dxa"/>
            <w:tcBorders>
              <w:top w:val="nil"/>
              <w:left w:val="nil"/>
              <w:bottom w:val="single" w:sz="8" w:space="0" w:color="auto"/>
              <w:right w:val="single" w:sz="8" w:space="0" w:color="auto"/>
            </w:tcBorders>
            <w:shd w:val="clear" w:color="auto" w:fill="auto"/>
            <w:noWrap/>
            <w:vAlign w:val="center"/>
            <w:hideMark/>
          </w:tcPr>
          <w:p w14:paraId="3CF1DBB3"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191,035</w:t>
            </w:r>
          </w:p>
        </w:tc>
        <w:tc>
          <w:tcPr>
            <w:tcW w:w="1547" w:type="dxa"/>
            <w:tcBorders>
              <w:top w:val="nil"/>
              <w:left w:val="nil"/>
              <w:bottom w:val="single" w:sz="8" w:space="0" w:color="auto"/>
              <w:right w:val="single" w:sz="8" w:space="0" w:color="auto"/>
            </w:tcBorders>
            <w:shd w:val="clear" w:color="auto" w:fill="auto"/>
            <w:noWrap/>
            <w:vAlign w:val="center"/>
            <w:hideMark/>
          </w:tcPr>
          <w:p w14:paraId="25862FA8"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40.4%</w:t>
            </w:r>
          </w:p>
        </w:tc>
        <w:tc>
          <w:tcPr>
            <w:tcW w:w="1685" w:type="dxa"/>
            <w:tcBorders>
              <w:top w:val="nil"/>
              <w:left w:val="nil"/>
              <w:bottom w:val="single" w:sz="8" w:space="0" w:color="auto"/>
              <w:right w:val="single" w:sz="8" w:space="0" w:color="auto"/>
            </w:tcBorders>
            <w:shd w:val="clear" w:color="auto" w:fill="auto"/>
            <w:noWrap/>
            <w:vAlign w:val="center"/>
            <w:hideMark/>
          </w:tcPr>
          <w:p w14:paraId="27DEFA67"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237,244</w:t>
            </w:r>
          </w:p>
        </w:tc>
        <w:tc>
          <w:tcPr>
            <w:tcW w:w="1337" w:type="dxa"/>
            <w:tcBorders>
              <w:top w:val="nil"/>
              <w:left w:val="nil"/>
              <w:bottom w:val="single" w:sz="8" w:space="0" w:color="auto"/>
              <w:right w:val="single" w:sz="8" w:space="0" w:color="auto"/>
            </w:tcBorders>
            <w:shd w:val="clear" w:color="auto" w:fill="auto"/>
            <w:noWrap/>
            <w:vAlign w:val="center"/>
            <w:hideMark/>
          </w:tcPr>
          <w:p w14:paraId="30390800"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46.2%</w:t>
            </w:r>
          </w:p>
        </w:tc>
      </w:tr>
      <w:tr w:rsidR="00D24507" w14:paraId="464C2E95" w14:textId="77777777" w:rsidTr="006C2106">
        <w:trPr>
          <w:trHeight w:val="232"/>
        </w:trPr>
        <w:tc>
          <w:tcPr>
            <w:tcW w:w="2873" w:type="dxa"/>
            <w:tcBorders>
              <w:top w:val="nil"/>
              <w:left w:val="single" w:sz="8" w:space="0" w:color="auto"/>
              <w:bottom w:val="single" w:sz="8" w:space="0" w:color="auto"/>
              <w:right w:val="single" w:sz="8" w:space="0" w:color="auto"/>
            </w:tcBorders>
            <w:shd w:val="clear" w:color="000000" w:fill="FFF2CC"/>
            <w:noWrap/>
            <w:vAlign w:val="center"/>
            <w:hideMark/>
          </w:tcPr>
          <w:p w14:paraId="47585FCB"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Male-headed Households</w:t>
            </w:r>
          </w:p>
        </w:tc>
        <w:tc>
          <w:tcPr>
            <w:tcW w:w="1947" w:type="dxa"/>
            <w:tcBorders>
              <w:top w:val="nil"/>
              <w:left w:val="nil"/>
              <w:bottom w:val="single" w:sz="8" w:space="0" w:color="auto"/>
              <w:right w:val="single" w:sz="8" w:space="0" w:color="auto"/>
            </w:tcBorders>
            <w:shd w:val="clear" w:color="000000" w:fill="FFF2CC"/>
            <w:noWrap/>
            <w:vAlign w:val="center"/>
            <w:hideMark/>
          </w:tcPr>
          <w:p w14:paraId="245FCFC8"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154,400</w:t>
            </w:r>
          </w:p>
        </w:tc>
        <w:tc>
          <w:tcPr>
            <w:tcW w:w="1547" w:type="dxa"/>
            <w:tcBorders>
              <w:top w:val="nil"/>
              <w:left w:val="nil"/>
              <w:bottom w:val="single" w:sz="8" w:space="0" w:color="auto"/>
              <w:right w:val="single" w:sz="8" w:space="0" w:color="auto"/>
            </w:tcBorders>
            <w:shd w:val="clear" w:color="000000" w:fill="FFF2CC"/>
            <w:noWrap/>
            <w:vAlign w:val="center"/>
            <w:hideMark/>
          </w:tcPr>
          <w:p w14:paraId="0AB2E7C1"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6.4%</w:t>
            </w:r>
          </w:p>
        </w:tc>
        <w:tc>
          <w:tcPr>
            <w:tcW w:w="1685" w:type="dxa"/>
            <w:tcBorders>
              <w:top w:val="nil"/>
              <w:left w:val="nil"/>
              <w:bottom w:val="single" w:sz="8" w:space="0" w:color="auto"/>
              <w:right w:val="single" w:sz="8" w:space="0" w:color="auto"/>
            </w:tcBorders>
            <w:shd w:val="clear" w:color="000000" w:fill="FFF2CC"/>
            <w:noWrap/>
            <w:vAlign w:val="center"/>
            <w:hideMark/>
          </w:tcPr>
          <w:p w14:paraId="0C717E28"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173,471</w:t>
            </w:r>
          </w:p>
        </w:tc>
        <w:tc>
          <w:tcPr>
            <w:tcW w:w="1337" w:type="dxa"/>
            <w:tcBorders>
              <w:top w:val="nil"/>
              <w:left w:val="nil"/>
              <w:bottom w:val="single" w:sz="8" w:space="0" w:color="auto"/>
              <w:right w:val="single" w:sz="8" w:space="0" w:color="auto"/>
            </w:tcBorders>
            <w:shd w:val="clear" w:color="000000" w:fill="FFF2CC"/>
            <w:noWrap/>
            <w:vAlign w:val="center"/>
            <w:hideMark/>
          </w:tcPr>
          <w:p w14:paraId="790169FE"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6.7%</w:t>
            </w:r>
          </w:p>
        </w:tc>
      </w:tr>
      <w:tr w:rsidR="00D24507" w14:paraId="76E9A026" w14:textId="77777777" w:rsidTr="006C2106">
        <w:trPr>
          <w:trHeight w:val="232"/>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73A3E6F6" w14:textId="77777777" w:rsidR="00D24507" w:rsidRDefault="00D24507" w:rsidP="006C2106">
            <w:pPr>
              <w:rPr>
                <w:rFonts w:ascii="Calibri" w:hAnsi="Calibri" w:cs="Calibri"/>
                <w:i/>
                <w:iCs/>
                <w:color w:val="000000"/>
                <w:sz w:val="22"/>
                <w:szCs w:val="22"/>
              </w:rPr>
            </w:pPr>
            <w:r>
              <w:rPr>
                <w:rFonts w:ascii="Calibri" w:hAnsi="Calibri" w:cs="Calibri"/>
                <w:i/>
                <w:iCs/>
                <w:color w:val="000000"/>
                <w:sz w:val="22"/>
                <w:szCs w:val="22"/>
              </w:rPr>
              <w:t xml:space="preserve">            with children</w:t>
            </w:r>
          </w:p>
        </w:tc>
        <w:tc>
          <w:tcPr>
            <w:tcW w:w="1947" w:type="dxa"/>
            <w:tcBorders>
              <w:top w:val="nil"/>
              <w:left w:val="nil"/>
              <w:bottom w:val="single" w:sz="8" w:space="0" w:color="auto"/>
              <w:right w:val="single" w:sz="8" w:space="0" w:color="auto"/>
            </w:tcBorders>
            <w:shd w:val="clear" w:color="auto" w:fill="auto"/>
            <w:noWrap/>
            <w:vAlign w:val="center"/>
            <w:hideMark/>
          </w:tcPr>
          <w:p w14:paraId="71E06D97"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78,051</w:t>
            </w:r>
          </w:p>
        </w:tc>
        <w:tc>
          <w:tcPr>
            <w:tcW w:w="1547" w:type="dxa"/>
            <w:tcBorders>
              <w:top w:val="nil"/>
              <w:left w:val="nil"/>
              <w:bottom w:val="single" w:sz="8" w:space="0" w:color="auto"/>
              <w:right w:val="single" w:sz="8" w:space="0" w:color="auto"/>
            </w:tcBorders>
            <w:shd w:val="clear" w:color="auto" w:fill="auto"/>
            <w:noWrap/>
            <w:vAlign w:val="center"/>
            <w:hideMark/>
          </w:tcPr>
          <w:p w14:paraId="49D92E5E"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50.6%</w:t>
            </w:r>
          </w:p>
        </w:tc>
        <w:tc>
          <w:tcPr>
            <w:tcW w:w="1685" w:type="dxa"/>
            <w:tcBorders>
              <w:top w:val="nil"/>
              <w:left w:val="nil"/>
              <w:bottom w:val="single" w:sz="8" w:space="0" w:color="auto"/>
              <w:right w:val="single" w:sz="8" w:space="0" w:color="auto"/>
            </w:tcBorders>
            <w:shd w:val="clear" w:color="auto" w:fill="auto"/>
            <w:noWrap/>
            <w:vAlign w:val="center"/>
            <w:hideMark/>
          </w:tcPr>
          <w:p w14:paraId="2BD4B75F"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85,921</w:t>
            </w:r>
          </w:p>
        </w:tc>
        <w:tc>
          <w:tcPr>
            <w:tcW w:w="1337" w:type="dxa"/>
            <w:tcBorders>
              <w:top w:val="nil"/>
              <w:left w:val="nil"/>
              <w:bottom w:val="single" w:sz="8" w:space="0" w:color="auto"/>
              <w:right w:val="single" w:sz="8" w:space="0" w:color="auto"/>
            </w:tcBorders>
            <w:shd w:val="clear" w:color="auto" w:fill="auto"/>
            <w:noWrap/>
            <w:vAlign w:val="center"/>
            <w:hideMark/>
          </w:tcPr>
          <w:p w14:paraId="1A8B8E95"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49.5%</w:t>
            </w:r>
          </w:p>
        </w:tc>
      </w:tr>
      <w:tr w:rsidR="00D24507" w14:paraId="488C9BBA" w14:textId="77777777" w:rsidTr="006C2106">
        <w:trPr>
          <w:trHeight w:val="232"/>
        </w:trPr>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7BB1D094" w14:textId="77777777" w:rsidR="00D24507" w:rsidRDefault="00D24507" w:rsidP="006C2106">
            <w:pPr>
              <w:rPr>
                <w:rFonts w:ascii="Calibri" w:hAnsi="Calibri" w:cs="Calibri"/>
                <w:i/>
                <w:iCs/>
                <w:color w:val="000000"/>
                <w:sz w:val="22"/>
                <w:szCs w:val="22"/>
              </w:rPr>
            </w:pPr>
            <w:r>
              <w:rPr>
                <w:rFonts w:ascii="Calibri" w:hAnsi="Calibri" w:cs="Calibri"/>
                <w:i/>
                <w:iCs/>
                <w:color w:val="000000"/>
                <w:sz w:val="22"/>
                <w:szCs w:val="22"/>
              </w:rPr>
              <w:t xml:space="preserve">            without children</w:t>
            </w:r>
          </w:p>
        </w:tc>
        <w:tc>
          <w:tcPr>
            <w:tcW w:w="1947" w:type="dxa"/>
            <w:tcBorders>
              <w:top w:val="nil"/>
              <w:left w:val="nil"/>
              <w:bottom w:val="single" w:sz="8" w:space="0" w:color="auto"/>
              <w:right w:val="single" w:sz="8" w:space="0" w:color="auto"/>
            </w:tcBorders>
            <w:shd w:val="clear" w:color="auto" w:fill="auto"/>
            <w:noWrap/>
            <w:vAlign w:val="center"/>
            <w:hideMark/>
          </w:tcPr>
          <w:p w14:paraId="6F9BCADA"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76,249</w:t>
            </w:r>
          </w:p>
        </w:tc>
        <w:tc>
          <w:tcPr>
            <w:tcW w:w="1547" w:type="dxa"/>
            <w:tcBorders>
              <w:top w:val="nil"/>
              <w:left w:val="nil"/>
              <w:bottom w:val="single" w:sz="8" w:space="0" w:color="auto"/>
              <w:right w:val="single" w:sz="8" w:space="0" w:color="auto"/>
            </w:tcBorders>
            <w:shd w:val="clear" w:color="auto" w:fill="auto"/>
            <w:noWrap/>
            <w:vAlign w:val="center"/>
            <w:hideMark/>
          </w:tcPr>
          <w:p w14:paraId="46C20E99"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49.4%</w:t>
            </w:r>
          </w:p>
        </w:tc>
        <w:tc>
          <w:tcPr>
            <w:tcW w:w="1685" w:type="dxa"/>
            <w:tcBorders>
              <w:top w:val="nil"/>
              <w:left w:val="nil"/>
              <w:bottom w:val="single" w:sz="8" w:space="0" w:color="auto"/>
              <w:right w:val="single" w:sz="8" w:space="0" w:color="auto"/>
            </w:tcBorders>
            <w:shd w:val="clear" w:color="auto" w:fill="auto"/>
            <w:noWrap/>
            <w:vAlign w:val="center"/>
            <w:hideMark/>
          </w:tcPr>
          <w:p w14:paraId="1DB6D1BC"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87,550</w:t>
            </w:r>
          </w:p>
        </w:tc>
        <w:tc>
          <w:tcPr>
            <w:tcW w:w="1337" w:type="dxa"/>
            <w:tcBorders>
              <w:top w:val="nil"/>
              <w:left w:val="nil"/>
              <w:bottom w:val="single" w:sz="8" w:space="0" w:color="auto"/>
              <w:right w:val="single" w:sz="8" w:space="0" w:color="auto"/>
            </w:tcBorders>
            <w:shd w:val="clear" w:color="auto" w:fill="auto"/>
            <w:noWrap/>
            <w:vAlign w:val="center"/>
            <w:hideMark/>
          </w:tcPr>
          <w:p w14:paraId="0998DE16" w14:textId="77777777" w:rsidR="00D24507" w:rsidRDefault="00D24507" w:rsidP="006C2106">
            <w:pPr>
              <w:jc w:val="right"/>
              <w:rPr>
                <w:rFonts w:ascii="Calibri" w:hAnsi="Calibri" w:cs="Calibri"/>
                <w:i/>
                <w:iCs/>
                <w:color w:val="000000"/>
                <w:sz w:val="22"/>
                <w:szCs w:val="22"/>
              </w:rPr>
            </w:pPr>
            <w:r>
              <w:rPr>
                <w:rFonts w:ascii="Calibri" w:hAnsi="Calibri" w:cs="Calibri"/>
                <w:i/>
                <w:iCs/>
                <w:color w:val="000000"/>
                <w:sz w:val="22"/>
                <w:szCs w:val="22"/>
              </w:rPr>
              <w:t>50.5%</w:t>
            </w:r>
          </w:p>
        </w:tc>
      </w:tr>
      <w:tr w:rsidR="00D24507" w14:paraId="7B5ED089" w14:textId="77777777" w:rsidTr="006C2106">
        <w:trPr>
          <w:trHeight w:val="232"/>
        </w:trPr>
        <w:tc>
          <w:tcPr>
            <w:tcW w:w="2873" w:type="dxa"/>
            <w:tcBorders>
              <w:top w:val="nil"/>
              <w:left w:val="single" w:sz="8" w:space="0" w:color="auto"/>
              <w:bottom w:val="single" w:sz="8" w:space="0" w:color="auto"/>
              <w:right w:val="single" w:sz="8" w:space="0" w:color="auto"/>
            </w:tcBorders>
            <w:shd w:val="clear" w:color="000000" w:fill="B4C6E7"/>
            <w:noWrap/>
            <w:vAlign w:val="center"/>
            <w:hideMark/>
          </w:tcPr>
          <w:p w14:paraId="553F0F14"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Nonfamily Households</w:t>
            </w:r>
          </w:p>
        </w:tc>
        <w:tc>
          <w:tcPr>
            <w:tcW w:w="1947" w:type="dxa"/>
            <w:tcBorders>
              <w:top w:val="nil"/>
              <w:left w:val="nil"/>
              <w:bottom w:val="single" w:sz="8" w:space="0" w:color="auto"/>
              <w:right w:val="single" w:sz="8" w:space="0" w:color="auto"/>
            </w:tcBorders>
            <w:shd w:val="clear" w:color="000000" w:fill="B4C6E7"/>
            <w:noWrap/>
            <w:vAlign w:val="center"/>
            <w:hideMark/>
          </w:tcPr>
          <w:p w14:paraId="6F324A4E"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1,203,487</w:t>
            </w:r>
          </w:p>
        </w:tc>
        <w:tc>
          <w:tcPr>
            <w:tcW w:w="1547" w:type="dxa"/>
            <w:tcBorders>
              <w:top w:val="nil"/>
              <w:left w:val="nil"/>
              <w:bottom w:val="single" w:sz="8" w:space="0" w:color="auto"/>
              <w:right w:val="single" w:sz="8" w:space="0" w:color="auto"/>
            </w:tcBorders>
            <w:shd w:val="clear" w:color="000000" w:fill="B4C6E7"/>
            <w:noWrap/>
            <w:vAlign w:val="center"/>
            <w:hideMark/>
          </w:tcPr>
          <w:p w14:paraId="77597C95"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33.2%</w:t>
            </w:r>
          </w:p>
        </w:tc>
        <w:tc>
          <w:tcPr>
            <w:tcW w:w="1685" w:type="dxa"/>
            <w:tcBorders>
              <w:top w:val="nil"/>
              <w:left w:val="nil"/>
              <w:bottom w:val="single" w:sz="8" w:space="0" w:color="auto"/>
              <w:right w:val="single" w:sz="8" w:space="0" w:color="auto"/>
            </w:tcBorders>
            <w:shd w:val="clear" w:color="000000" w:fill="B4C6E7"/>
            <w:noWrap/>
            <w:vAlign w:val="center"/>
            <w:hideMark/>
          </w:tcPr>
          <w:p w14:paraId="3F0D4FD9"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1,345,071</w:t>
            </w:r>
          </w:p>
        </w:tc>
        <w:tc>
          <w:tcPr>
            <w:tcW w:w="1337" w:type="dxa"/>
            <w:tcBorders>
              <w:top w:val="nil"/>
              <w:left w:val="nil"/>
              <w:bottom w:val="single" w:sz="8" w:space="0" w:color="auto"/>
              <w:right w:val="single" w:sz="8" w:space="0" w:color="auto"/>
            </w:tcBorders>
            <w:shd w:val="clear" w:color="000000" w:fill="B4C6E7"/>
            <w:noWrap/>
            <w:vAlign w:val="center"/>
            <w:hideMark/>
          </w:tcPr>
          <w:p w14:paraId="7CBD0B13"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34.3%</w:t>
            </w:r>
          </w:p>
        </w:tc>
      </w:tr>
      <w:tr w:rsidR="00D24507" w14:paraId="0B835AB6" w14:textId="77777777" w:rsidTr="006C2106">
        <w:trPr>
          <w:trHeight w:val="232"/>
        </w:trPr>
        <w:tc>
          <w:tcPr>
            <w:tcW w:w="2873" w:type="dxa"/>
            <w:tcBorders>
              <w:top w:val="nil"/>
              <w:left w:val="single" w:sz="8" w:space="0" w:color="auto"/>
              <w:bottom w:val="single" w:sz="8" w:space="0" w:color="auto"/>
              <w:right w:val="single" w:sz="8" w:space="0" w:color="auto"/>
            </w:tcBorders>
            <w:shd w:val="clear" w:color="000000" w:fill="D6DCE4"/>
            <w:noWrap/>
            <w:vAlign w:val="center"/>
            <w:hideMark/>
          </w:tcPr>
          <w:p w14:paraId="7F7302B0" w14:textId="77777777" w:rsidR="00D24507" w:rsidRDefault="00D24507" w:rsidP="006C2106">
            <w:pPr>
              <w:jc w:val="right"/>
              <w:rPr>
                <w:rFonts w:ascii="Calibri" w:hAnsi="Calibri" w:cs="Calibri"/>
                <w:b/>
                <w:bCs/>
                <w:color w:val="000000"/>
                <w:sz w:val="22"/>
                <w:szCs w:val="22"/>
              </w:rPr>
            </w:pPr>
            <w:r>
              <w:rPr>
                <w:rFonts w:ascii="Calibri" w:hAnsi="Calibri" w:cs="Calibri"/>
                <w:b/>
                <w:bCs/>
                <w:color w:val="000000"/>
                <w:sz w:val="22"/>
                <w:szCs w:val="22"/>
              </w:rPr>
              <w:t>Total Households</w:t>
            </w:r>
          </w:p>
        </w:tc>
        <w:tc>
          <w:tcPr>
            <w:tcW w:w="1947" w:type="dxa"/>
            <w:tcBorders>
              <w:top w:val="nil"/>
              <w:left w:val="nil"/>
              <w:bottom w:val="single" w:sz="8" w:space="0" w:color="auto"/>
              <w:right w:val="single" w:sz="8" w:space="0" w:color="auto"/>
            </w:tcBorders>
            <w:shd w:val="clear" w:color="000000" w:fill="D6DCE4"/>
            <w:noWrap/>
            <w:vAlign w:val="center"/>
            <w:hideMark/>
          </w:tcPr>
          <w:p w14:paraId="7A3B21EE" w14:textId="77777777" w:rsidR="00D24507" w:rsidRDefault="00D24507" w:rsidP="006C2106">
            <w:pPr>
              <w:jc w:val="right"/>
              <w:rPr>
                <w:rFonts w:ascii="Calibri" w:hAnsi="Calibri" w:cs="Calibri"/>
                <w:b/>
                <w:bCs/>
                <w:color w:val="000000"/>
                <w:sz w:val="22"/>
                <w:szCs w:val="22"/>
              </w:rPr>
            </w:pPr>
            <w:r>
              <w:rPr>
                <w:rFonts w:ascii="Calibri" w:hAnsi="Calibri" w:cs="Calibri"/>
                <w:b/>
                <w:bCs/>
                <w:color w:val="000000"/>
                <w:sz w:val="22"/>
                <w:szCs w:val="22"/>
              </w:rPr>
              <w:t>3,626,179</w:t>
            </w:r>
          </w:p>
        </w:tc>
        <w:tc>
          <w:tcPr>
            <w:tcW w:w="1547" w:type="dxa"/>
            <w:tcBorders>
              <w:top w:val="nil"/>
              <w:left w:val="nil"/>
              <w:bottom w:val="single" w:sz="8" w:space="0" w:color="auto"/>
              <w:right w:val="single" w:sz="8" w:space="0" w:color="auto"/>
            </w:tcBorders>
            <w:shd w:val="clear" w:color="000000" w:fill="D6DCE4"/>
            <w:noWrap/>
            <w:vAlign w:val="center"/>
            <w:hideMark/>
          </w:tcPr>
          <w:p w14:paraId="49919B60"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w:t>
            </w:r>
          </w:p>
        </w:tc>
        <w:tc>
          <w:tcPr>
            <w:tcW w:w="1685" w:type="dxa"/>
            <w:tcBorders>
              <w:top w:val="nil"/>
              <w:left w:val="nil"/>
              <w:bottom w:val="single" w:sz="8" w:space="0" w:color="auto"/>
              <w:right w:val="single" w:sz="8" w:space="0" w:color="auto"/>
            </w:tcBorders>
            <w:shd w:val="clear" w:color="000000" w:fill="D6DCE4"/>
            <w:noWrap/>
            <w:vAlign w:val="center"/>
            <w:hideMark/>
          </w:tcPr>
          <w:p w14:paraId="72028BB6" w14:textId="77777777" w:rsidR="00D24507" w:rsidRDefault="00D24507" w:rsidP="006C2106">
            <w:pPr>
              <w:jc w:val="right"/>
              <w:rPr>
                <w:rFonts w:ascii="Calibri" w:hAnsi="Calibri" w:cs="Calibri"/>
                <w:b/>
                <w:bCs/>
                <w:color w:val="000000"/>
                <w:sz w:val="22"/>
                <w:szCs w:val="22"/>
              </w:rPr>
            </w:pPr>
            <w:r>
              <w:rPr>
                <w:rFonts w:ascii="Calibri" w:hAnsi="Calibri" w:cs="Calibri"/>
                <w:b/>
                <w:bCs/>
                <w:color w:val="000000"/>
                <w:sz w:val="22"/>
                <w:szCs w:val="22"/>
              </w:rPr>
              <w:t>3,918,597</w:t>
            </w:r>
          </w:p>
        </w:tc>
        <w:tc>
          <w:tcPr>
            <w:tcW w:w="1337" w:type="dxa"/>
            <w:tcBorders>
              <w:top w:val="nil"/>
              <w:left w:val="nil"/>
              <w:bottom w:val="single" w:sz="8" w:space="0" w:color="auto"/>
              <w:right w:val="single" w:sz="8" w:space="0" w:color="auto"/>
            </w:tcBorders>
            <w:shd w:val="clear" w:color="000000" w:fill="D6DCE4"/>
            <w:noWrap/>
            <w:vAlign w:val="center"/>
            <w:hideMark/>
          </w:tcPr>
          <w:p w14:paraId="66B6BD26" w14:textId="77777777" w:rsidR="00D24507" w:rsidRDefault="00D24507" w:rsidP="006C2106">
            <w:pPr>
              <w:jc w:val="right"/>
              <w:rPr>
                <w:rFonts w:ascii="Calibri" w:hAnsi="Calibri" w:cs="Calibri"/>
                <w:color w:val="000000"/>
                <w:sz w:val="22"/>
                <w:szCs w:val="22"/>
              </w:rPr>
            </w:pPr>
            <w:r>
              <w:rPr>
                <w:rFonts w:ascii="Calibri" w:hAnsi="Calibri" w:cs="Calibri"/>
                <w:color w:val="000000"/>
                <w:sz w:val="22"/>
                <w:szCs w:val="22"/>
              </w:rPr>
              <w:t>-</w:t>
            </w:r>
          </w:p>
        </w:tc>
      </w:tr>
    </w:tbl>
    <w:p w14:paraId="493BADEA" w14:textId="77777777" w:rsidR="00D24507" w:rsidRPr="00A3751A" w:rsidRDefault="00D24507" w:rsidP="00D24507">
      <w:pPr>
        <w:rPr>
          <w:sz w:val="16"/>
          <w:szCs w:val="16"/>
        </w:rPr>
      </w:pPr>
      <w:r w:rsidRPr="00104C93">
        <w:rPr>
          <w:sz w:val="16"/>
          <w:szCs w:val="16"/>
        </w:rPr>
        <w:t xml:space="preserve">Source: 2014-2018 American Community Survey: </w:t>
      </w:r>
      <w:r>
        <w:rPr>
          <w:sz w:val="16"/>
          <w:szCs w:val="16"/>
        </w:rPr>
        <w:t xml:space="preserve">B11001, </w:t>
      </w:r>
      <w:r w:rsidRPr="00E032A6">
        <w:rPr>
          <w:sz w:val="16"/>
          <w:szCs w:val="16"/>
        </w:rPr>
        <w:t>K201101</w:t>
      </w:r>
    </w:p>
    <w:p w14:paraId="118BD3E2" w14:textId="77777777" w:rsidR="00D24507" w:rsidRDefault="00D24507" w:rsidP="00D24507">
      <w:pPr>
        <w:jc w:val="both"/>
      </w:pPr>
    </w:p>
    <w:p w14:paraId="3C4C51D4" w14:textId="77777777" w:rsidR="00D24507" w:rsidRDefault="00D24507" w:rsidP="00D24507">
      <w:pPr>
        <w:spacing w:after="240"/>
        <w:jc w:val="both"/>
      </w:pPr>
      <w:r w:rsidRPr="006D71F1">
        <w:t xml:space="preserve">Female-headed households with children often </w:t>
      </w:r>
      <w:proofErr w:type="gramStart"/>
      <w:r w:rsidRPr="006D71F1">
        <w:t>experience difficulty</w:t>
      </w:r>
      <w:proofErr w:type="gramEnd"/>
      <w:r w:rsidRPr="006D71F1">
        <w:t xml:space="preserve"> in obtaining housing as a result of lower incomes and higher expenses such as childcare.  </w:t>
      </w:r>
      <w:r w:rsidRPr="00A3751A">
        <w:t>In 2018, 42.1% of female-headed households with children were living in poverty compared to 23.8% of male-headed households with children and 7.4% of married-couple households with children.</w:t>
      </w:r>
      <w:r w:rsidRPr="006D71F1">
        <w:t xml:space="preserve"> </w:t>
      </w:r>
    </w:p>
    <w:p w14:paraId="3D3A50EA" w14:textId="77777777" w:rsidR="00143C02" w:rsidRDefault="00143C02">
      <w:pPr>
        <w:spacing w:after="160" w:line="259" w:lineRule="auto"/>
        <w:rPr>
          <w:b/>
          <w:bCs/>
          <w:color w:val="404040" w:themeColor="text1" w:themeTint="BF"/>
          <w:sz w:val="16"/>
          <w:szCs w:val="16"/>
        </w:rPr>
      </w:pPr>
      <w:r>
        <w:br w:type="page"/>
      </w:r>
    </w:p>
    <w:p w14:paraId="56EC0BDB" w14:textId="13FE7F09" w:rsidR="00D24507" w:rsidRDefault="00D24507" w:rsidP="00D24507">
      <w:pPr>
        <w:pStyle w:val="Caption"/>
        <w:ind w:left="1080"/>
      </w:pPr>
      <w:r>
        <w:lastRenderedPageBreak/>
        <w:t xml:space="preserve">Table </w:t>
      </w:r>
      <w:fldSimple w:instr=" SEQ Table \* ARABIC ">
        <w:r w:rsidR="0055251A">
          <w:rPr>
            <w:noProof/>
          </w:rPr>
          <w:t>12</w:t>
        </w:r>
      </w:fldSimple>
      <w:r>
        <w:t xml:space="preserve"> </w:t>
      </w:r>
      <w:r w:rsidRPr="000E6845">
        <w:t>Poverty Status by Family Household Type and Number of Children</w:t>
      </w:r>
    </w:p>
    <w:tbl>
      <w:tblPr>
        <w:tblW w:w="7195" w:type="dxa"/>
        <w:jc w:val="center"/>
        <w:tblLook w:val="04A0" w:firstRow="1" w:lastRow="0" w:firstColumn="1" w:lastColumn="0" w:noHBand="0" w:noVBand="1"/>
      </w:tblPr>
      <w:tblGrid>
        <w:gridCol w:w="5768"/>
        <w:gridCol w:w="1427"/>
      </w:tblGrid>
      <w:tr w:rsidR="00D24507" w:rsidRPr="000E6845" w14:paraId="7B8D8EE0" w14:textId="77777777" w:rsidTr="006C2106">
        <w:trPr>
          <w:trHeight w:val="247"/>
          <w:jc w:val="center"/>
        </w:trPr>
        <w:tc>
          <w:tcPr>
            <w:tcW w:w="5768"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88FA23B" w14:textId="77777777" w:rsidR="00D24507" w:rsidRPr="000E6845" w:rsidRDefault="00D24507" w:rsidP="006C2106">
            <w:pPr>
              <w:jc w:val="center"/>
              <w:rPr>
                <w:rFonts w:ascii="Calibri" w:hAnsi="Calibri" w:cs="Calibri"/>
                <w:b/>
                <w:bCs/>
                <w:color w:val="FFFFFF"/>
                <w:sz w:val="22"/>
                <w:szCs w:val="22"/>
              </w:rPr>
            </w:pPr>
            <w:r w:rsidRPr="000E6845">
              <w:rPr>
                <w:rFonts w:ascii="Calibri" w:hAnsi="Calibri" w:cs="Calibri"/>
                <w:b/>
                <w:bCs/>
                <w:color w:val="FFFFFF"/>
                <w:sz w:val="22"/>
                <w:szCs w:val="22"/>
              </w:rPr>
              <w:t>Household Type</w:t>
            </w:r>
          </w:p>
        </w:tc>
        <w:tc>
          <w:tcPr>
            <w:tcW w:w="1427" w:type="dxa"/>
            <w:tcBorders>
              <w:top w:val="single" w:sz="4" w:space="0" w:color="auto"/>
              <w:left w:val="nil"/>
              <w:bottom w:val="single" w:sz="4" w:space="0" w:color="auto"/>
              <w:right w:val="single" w:sz="4" w:space="0" w:color="auto"/>
            </w:tcBorders>
            <w:shd w:val="clear" w:color="000000" w:fill="4472C4"/>
            <w:noWrap/>
            <w:vAlign w:val="center"/>
            <w:hideMark/>
          </w:tcPr>
          <w:p w14:paraId="794F8AD2" w14:textId="77777777" w:rsidR="00D24507" w:rsidRPr="000E6845" w:rsidRDefault="00D24507" w:rsidP="006C2106">
            <w:pPr>
              <w:jc w:val="center"/>
              <w:rPr>
                <w:rFonts w:ascii="Calibri" w:hAnsi="Calibri" w:cs="Calibri"/>
                <w:b/>
                <w:bCs/>
                <w:color w:val="FFFFFF"/>
                <w:sz w:val="22"/>
                <w:szCs w:val="22"/>
              </w:rPr>
            </w:pPr>
            <w:r w:rsidRPr="000E6845">
              <w:rPr>
                <w:rFonts w:ascii="Calibri" w:hAnsi="Calibri" w:cs="Calibri"/>
                <w:b/>
                <w:bCs/>
                <w:color w:val="FFFFFF"/>
                <w:sz w:val="22"/>
                <w:szCs w:val="22"/>
              </w:rPr>
              <w:t>Poverty Rate</w:t>
            </w:r>
          </w:p>
        </w:tc>
      </w:tr>
      <w:tr w:rsidR="00D24507" w:rsidRPr="000E6845" w14:paraId="1F4C0082"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000000" w:fill="B4C6E7"/>
            <w:noWrap/>
            <w:vAlign w:val="bottom"/>
            <w:hideMark/>
          </w:tcPr>
          <w:p w14:paraId="00AF197F"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Family Households</w:t>
            </w:r>
          </w:p>
        </w:tc>
        <w:tc>
          <w:tcPr>
            <w:tcW w:w="1427" w:type="dxa"/>
            <w:tcBorders>
              <w:top w:val="nil"/>
              <w:left w:val="nil"/>
              <w:bottom w:val="single" w:sz="4" w:space="0" w:color="auto"/>
              <w:right w:val="single" w:sz="4" w:space="0" w:color="auto"/>
            </w:tcBorders>
            <w:shd w:val="clear" w:color="000000" w:fill="B4C6E7"/>
            <w:noWrap/>
            <w:vAlign w:val="bottom"/>
            <w:hideMark/>
          </w:tcPr>
          <w:p w14:paraId="5871C2D3"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10.2%</w:t>
            </w:r>
          </w:p>
        </w:tc>
      </w:tr>
      <w:tr w:rsidR="00D24507" w:rsidRPr="000E6845" w14:paraId="5EC94740"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000000" w:fill="FFF2CC"/>
            <w:noWrap/>
            <w:vAlign w:val="bottom"/>
            <w:hideMark/>
          </w:tcPr>
          <w:p w14:paraId="41BC30BA"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without children</w:t>
            </w:r>
          </w:p>
        </w:tc>
        <w:tc>
          <w:tcPr>
            <w:tcW w:w="1427" w:type="dxa"/>
            <w:tcBorders>
              <w:top w:val="nil"/>
              <w:left w:val="nil"/>
              <w:bottom w:val="single" w:sz="4" w:space="0" w:color="auto"/>
              <w:right w:val="single" w:sz="4" w:space="0" w:color="auto"/>
            </w:tcBorders>
            <w:shd w:val="clear" w:color="000000" w:fill="FFF2CC"/>
            <w:noWrap/>
            <w:vAlign w:val="bottom"/>
            <w:hideMark/>
          </w:tcPr>
          <w:p w14:paraId="6BA61D91"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5.0%</w:t>
            </w:r>
          </w:p>
        </w:tc>
      </w:tr>
      <w:tr w:rsidR="00D24507" w:rsidRPr="000E6845" w14:paraId="00007020"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000000" w:fill="FFF2CC"/>
            <w:noWrap/>
            <w:vAlign w:val="bottom"/>
            <w:hideMark/>
          </w:tcPr>
          <w:p w14:paraId="6ABF3A97"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with children</w:t>
            </w:r>
          </w:p>
        </w:tc>
        <w:tc>
          <w:tcPr>
            <w:tcW w:w="1427" w:type="dxa"/>
            <w:tcBorders>
              <w:top w:val="nil"/>
              <w:left w:val="nil"/>
              <w:bottom w:val="single" w:sz="4" w:space="0" w:color="auto"/>
              <w:right w:val="single" w:sz="4" w:space="0" w:color="auto"/>
            </w:tcBorders>
            <w:shd w:val="clear" w:color="000000" w:fill="FFF2CC"/>
            <w:noWrap/>
            <w:vAlign w:val="bottom"/>
            <w:hideMark/>
          </w:tcPr>
          <w:p w14:paraId="4537929D"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16.4%</w:t>
            </w:r>
          </w:p>
        </w:tc>
      </w:tr>
      <w:tr w:rsidR="00D24507" w:rsidRPr="000E6845" w14:paraId="272C4DF5"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auto" w:fill="auto"/>
            <w:noWrap/>
            <w:vAlign w:val="bottom"/>
            <w:hideMark/>
          </w:tcPr>
          <w:p w14:paraId="2BDA1BFF"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1 or 2 children</w:t>
            </w:r>
          </w:p>
        </w:tc>
        <w:tc>
          <w:tcPr>
            <w:tcW w:w="1427" w:type="dxa"/>
            <w:tcBorders>
              <w:top w:val="nil"/>
              <w:left w:val="nil"/>
              <w:bottom w:val="single" w:sz="4" w:space="0" w:color="auto"/>
              <w:right w:val="single" w:sz="4" w:space="0" w:color="auto"/>
            </w:tcBorders>
            <w:shd w:val="clear" w:color="auto" w:fill="auto"/>
            <w:noWrap/>
            <w:vAlign w:val="bottom"/>
            <w:hideMark/>
          </w:tcPr>
          <w:p w14:paraId="6970CB18"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13.6%</w:t>
            </w:r>
          </w:p>
        </w:tc>
      </w:tr>
      <w:tr w:rsidR="00D24507" w:rsidRPr="000E6845" w14:paraId="0F99A83F"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auto" w:fill="auto"/>
            <w:noWrap/>
            <w:vAlign w:val="bottom"/>
            <w:hideMark/>
          </w:tcPr>
          <w:p w14:paraId="69B77B9B"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3 or 4 children</w:t>
            </w:r>
          </w:p>
        </w:tc>
        <w:tc>
          <w:tcPr>
            <w:tcW w:w="1427" w:type="dxa"/>
            <w:tcBorders>
              <w:top w:val="nil"/>
              <w:left w:val="nil"/>
              <w:bottom w:val="single" w:sz="4" w:space="0" w:color="auto"/>
              <w:right w:val="single" w:sz="4" w:space="0" w:color="auto"/>
            </w:tcBorders>
            <w:shd w:val="clear" w:color="auto" w:fill="auto"/>
            <w:noWrap/>
            <w:vAlign w:val="bottom"/>
            <w:hideMark/>
          </w:tcPr>
          <w:p w14:paraId="3F0DCDB6"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27.3%</w:t>
            </w:r>
          </w:p>
        </w:tc>
      </w:tr>
      <w:tr w:rsidR="00D24507" w:rsidRPr="000E6845" w14:paraId="526B89C0"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auto" w:fill="auto"/>
            <w:noWrap/>
            <w:vAlign w:val="bottom"/>
            <w:hideMark/>
          </w:tcPr>
          <w:p w14:paraId="14D8264C"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5 or more children</w:t>
            </w:r>
          </w:p>
        </w:tc>
        <w:tc>
          <w:tcPr>
            <w:tcW w:w="1427" w:type="dxa"/>
            <w:tcBorders>
              <w:top w:val="nil"/>
              <w:left w:val="nil"/>
              <w:bottom w:val="single" w:sz="4" w:space="0" w:color="auto"/>
              <w:right w:val="single" w:sz="4" w:space="0" w:color="auto"/>
            </w:tcBorders>
            <w:shd w:val="clear" w:color="auto" w:fill="auto"/>
            <w:noWrap/>
            <w:vAlign w:val="bottom"/>
            <w:hideMark/>
          </w:tcPr>
          <w:p w14:paraId="4341E7EF"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41.5%</w:t>
            </w:r>
          </w:p>
        </w:tc>
      </w:tr>
      <w:tr w:rsidR="00D24507" w:rsidRPr="000E6845" w14:paraId="45EC27AF"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000000" w:fill="FFF2CC"/>
            <w:noWrap/>
            <w:vAlign w:val="bottom"/>
          </w:tcPr>
          <w:p w14:paraId="029060FF" w14:textId="77777777" w:rsidR="00D24507" w:rsidRPr="000E6845" w:rsidRDefault="00D24507" w:rsidP="006C2106">
            <w:pPr>
              <w:rPr>
                <w:rFonts w:ascii="Calibri" w:hAnsi="Calibri" w:cs="Calibri"/>
                <w:color w:val="000000"/>
                <w:sz w:val="22"/>
                <w:szCs w:val="22"/>
              </w:rPr>
            </w:pPr>
            <w:r>
              <w:rPr>
                <w:rFonts w:ascii="Calibri" w:hAnsi="Calibri" w:cs="Calibri"/>
                <w:color w:val="000000"/>
                <w:sz w:val="22"/>
                <w:szCs w:val="22"/>
              </w:rPr>
              <w:t xml:space="preserve">      Married-couple family with children</w:t>
            </w:r>
          </w:p>
        </w:tc>
        <w:tc>
          <w:tcPr>
            <w:tcW w:w="1427" w:type="dxa"/>
            <w:tcBorders>
              <w:top w:val="nil"/>
              <w:left w:val="nil"/>
              <w:bottom w:val="single" w:sz="4" w:space="0" w:color="auto"/>
              <w:right w:val="single" w:sz="4" w:space="0" w:color="auto"/>
            </w:tcBorders>
            <w:shd w:val="clear" w:color="000000" w:fill="FFF2CC"/>
            <w:noWrap/>
            <w:vAlign w:val="bottom"/>
          </w:tcPr>
          <w:p w14:paraId="77E5CCBB" w14:textId="77777777" w:rsidR="00D24507" w:rsidRPr="000E6845" w:rsidRDefault="00D24507" w:rsidP="006C2106">
            <w:pPr>
              <w:jc w:val="right"/>
              <w:rPr>
                <w:rFonts w:ascii="Calibri" w:hAnsi="Calibri" w:cs="Calibri"/>
                <w:color w:val="000000"/>
                <w:sz w:val="22"/>
                <w:szCs w:val="22"/>
              </w:rPr>
            </w:pPr>
            <w:r>
              <w:rPr>
                <w:rFonts w:ascii="Calibri" w:hAnsi="Calibri" w:cs="Calibri"/>
                <w:color w:val="000000"/>
                <w:sz w:val="22"/>
                <w:szCs w:val="22"/>
              </w:rPr>
              <w:t>7.4%</w:t>
            </w:r>
          </w:p>
        </w:tc>
      </w:tr>
      <w:tr w:rsidR="00D24507" w:rsidRPr="000E6845" w14:paraId="27CE69B9"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000000" w:fill="FFF2CC"/>
            <w:noWrap/>
            <w:vAlign w:val="bottom"/>
            <w:hideMark/>
          </w:tcPr>
          <w:p w14:paraId="0FBB37D3"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Male householder, no wife present, with children</w:t>
            </w:r>
          </w:p>
        </w:tc>
        <w:tc>
          <w:tcPr>
            <w:tcW w:w="1427" w:type="dxa"/>
            <w:tcBorders>
              <w:top w:val="nil"/>
              <w:left w:val="nil"/>
              <w:bottom w:val="single" w:sz="4" w:space="0" w:color="auto"/>
              <w:right w:val="single" w:sz="4" w:space="0" w:color="auto"/>
            </w:tcBorders>
            <w:shd w:val="clear" w:color="000000" w:fill="FFF2CC"/>
            <w:noWrap/>
            <w:vAlign w:val="bottom"/>
            <w:hideMark/>
          </w:tcPr>
          <w:p w14:paraId="1C594590"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23.8%</w:t>
            </w:r>
          </w:p>
        </w:tc>
      </w:tr>
      <w:tr w:rsidR="00D24507" w:rsidRPr="000E6845" w14:paraId="626F955E" w14:textId="77777777" w:rsidTr="006C2106">
        <w:trPr>
          <w:trHeight w:val="247"/>
          <w:jc w:val="center"/>
        </w:trPr>
        <w:tc>
          <w:tcPr>
            <w:tcW w:w="5768" w:type="dxa"/>
            <w:tcBorders>
              <w:top w:val="nil"/>
              <w:left w:val="single" w:sz="4" w:space="0" w:color="auto"/>
              <w:bottom w:val="single" w:sz="4" w:space="0" w:color="auto"/>
              <w:right w:val="single" w:sz="4" w:space="0" w:color="auto"/>
            </w:tcBorders>
            <w:shd w:val="clear" w:color="000000" w:fill="FFF2CC"/>
            <w:noWrap/>
            <w:vAlign w:val="bottom"/>
            <w:hideMark/>
          </w:tcPr>
          <w:p w14:paraId="34BAB1D4" w14:textId="77777777" w:rsidR="00D24507" w:rsidRPr="000E6845" w:rsidRDefault="00D24507" w:rsidP="006C2106">
            <w:pPr>
              <w:rPr>
                <w:rFonts w:ascii="Calibri" w:hAnsi="Calibri" w:cs="Calibri"/>
                <w:color w:val="000000"/>
                <w:sz w:val="22"/>
                <w:szCs w:val="22"/>
              </w:rPr>
            </w:pPr>
            <w:r w:rsidRPr="000E6845">
              <w:rPr>
                <w:rFonts w:ascii="Calibri" w:hAnsi="Calibri" w:cs="Calibri"/>
                <w:color w:val="000000"/>
                <w:sz w:val="22"/>
                <w:szCs w:val="22"/>
              </w:rPr>
              <w:t xml:space="preserve">      Female householder, no husband present, with children</w:t>
            </w:r>
          </w:p>
        </w:tc>
        <w:tc>
          <w:tcPr>
            <w:tcW w:w="1427" w:type="dxa"/>
            <w:tcBorders>
              <w:top w:val="nil"/>
              <w:left w:val="nil"/>
              <w:bottom w:val="single" w:sz="4" w:space="0" w:color="auto"/>
              <w:right w:val="single" w:sz="4" w:space="0" w:color="auto"/>
            </w:tcBorders>
            <w:shd w:val="clear" w:color="000000" w:fill="FFF2CC"/>
            <w:noWrap/>
            <w:vAlign w:val="bottom"/>
            <w:hideMark/>
          </w:tcPr>
          <w:p w14:paraId="7944E0C3" w14:textId="77777777" w:rsidR="00D24507" w:rsidRPr="000E6845" w:rsidRDefault="00D24507" w:rsidP="006C2106">
            <w:pPr>
              <w:jc w:val="right"/>
              <w:rPr>
                <w:rFonts w:ascii="Calibri" w:hAnsi="Calibri" w:cs="Calibri"/>
                <w:color w:val="000000"/>
                <w:sz w:val="22"/>
                <w:szCs w:val="22"/>
              </w:rPr>
            </w:pPr>
            <w:r w:rsidRPr="000E6845">
              <w:rPr>
                <w:rFonts w:ascii="Calibri" w:hAnsi="Calibri" w:cs="Calibri"/>
                <w:color w:val="000000"/>
                <w:sz w:val="22"/>
                <w:szCs w:val="22"/>
              </w:rPr>
              <w:t>42.1%</w:t>
            </w:r>
          </w:p>
        </w:tc>
      </w:tr>
    </w:tbl>
    <w:p w14:paraId="6DC23327" w14:textId="77777777" w:rsidR="00D24507" w:rsidRPr="000E6845" w:rsidRDefault="00D24507" w:rsidP="00D24507">
      <w:pPr>
        <w:ind w:left="1080"/>
        <w:rPr>
          <w:sz w:val="16"/>
          <w:szCs w:val="16"/>
        </w:rPr>
      </w:pPr>
      <w:r w:rsidRPr="00104C93">
        <w:rPr>
          <w:sz w:val="16"/>
          <w:szCs w:val="16"/>
        </w:rPr>
        <w:t xml:space="preserve">Source: 2014-2018 American Community Survey: </w:t>
      </w:r>
      <w:r>
        <w:rPr>
          <w:sz w:val="16"/>
          <w:szCs w:val="16"/>
        </w:rPr>
        <w:t>B17006, B17023</w:t>
      </w:r>
    </w:p>
    <w:p w14:paraId="45F93158" w14:textId="77777777" w:rsidR="0039740D" w:rsidRDefault="0039740D" w:rsidP="00D24507">
      <w:pPr>
        <w:pStyle w:val="Heading3"/>
        <w:jc w:val="both"/>
      </w:pPr>
      <w:bookmarkStart w:id="28" w:name="_Toc47639979"/>
    </w:p>
    <w:p w14:paraId="4E31509C" w14:textId="513A55C4" w:rsidR="00D24507" w:rsidRDefault="00D24507" w:rsidP="00D24507">
      <w:pPr>
        <w:pStyle w:val="Heading3"/>
        <w:jc w:val="both"/>
      </w:pPr>
      <w:bookmarkStart w:id="29" w:name="_Toc66807913"/>
      <w:r>
        <w:t>Income, Unemployment and Poverty</w:t>
      </w:r>
      <w:bookmarkEnd w:id="28"/>
      <w:bookmarkEnd w:id="29"/>
    </w:p>
    <w:p w14:paraId="54EE4ACF" w14:textId="77777777" w:rsidR="00D24507" w:rsidRPr="009752B1" w:rsidRDefault="00D24507" w:rsidP="00D24507">
      <w:pPr>
        <w:spacing w:after="240"/>
        <w:jc w:val="both"/>
      </w:pPr>
      <w:r w:rsidRPr="009752B1">
        <w:t>Household income is strongly related to housing choice, as household income is one of several factors used to determine eligibility for a home mortgage loan or rental lease.</w:t>
      </w:r>
      <w:r>
        <w:t xml:space="preserve"> </w:t>
      </w:r>
      <w:r w:rsidRPr="000860EA">
        <w:t xml:space="preserve">Employment greatly influences an individual’s poverty status and housing choice. Lower earnings due to unemployment and income disparities limit a household’s ability to afford </w:t>
      </w:r>
      <w:proofErr w:type="gramStart"/>
      <w:r w:rsidRPr="000860EA">
        <w:t>housing</w:t>
      </w:r>
      <w:proofErr w:type="gramEnd"/>
    </w:p>
    <w:p w14:paraId="54B8D4BE" w14:textId="6A2BB188" w:rsidR="00D24507" w:rsidRDefault="00D24507" w:rsidP="00D24507">
      <w:pPr>
        <w:spacing w:after="240"/>
        <w:jc w:val="both"/>
      </w:pPr>
      <w:r w:rsidRPr="005623AE">
        <w:t xml:space="preserve">The 2018 North Carolina median household income was $52,413, slightly lower than the national average of $53,855. When adjusted for inflation, household income has remained almost stagnant between 2010 and 2018. Apart from Asian households - whose incomes increased by 16.8% - wages have remained relatively stagnant. White households had </w:t>
      </w:r>
      <w:r w:rsidR="005F57DD">
        <w:t xml:space="preserve">a </w:t>
      </w:r>
      <w:r w:rsidRPr="005623AE">
        <w:t xml:space="preserve">slight 1.1% decrease between 2010 and 2018 while slight increases were seen </w:t>
      </w:r>
      <w:r w:rsidR="005F57DD">
        <w:t>among</w:t>
      </w:r>
      <w:r w:rsidRPr="005623AE">
        <w:t xml:space="preserve"> Black households (1.2%) and Hispanic households (0.6%).</w:t>
      </w:r>
      <w:r>
        <w:t xml:space="preserve"> Counties with above average household incomes were clustered in more urban areas and along the coast.</w:t>
      </w:r>
    </w:p>
    <w:p w14:paraId="51C66C4B" w14:textId="01C2FC40" w:rsidR="00D24507" w:rsidRPr="00A3751A" w:rsidRDefault="00D24507" w:rsidP="00D24507">
      <w:pPr>
        <w:pStyle w:val="Caption"/>
        <w:tabs>
          <w:tab w:val="left" w:pos="810"/>
        </w:tabs>
      </w:pPr>
      <w:r>
        <w:lastRenderedPageBreak/>
        <w:t xml:space="preserve">Figure </w:t>
      </w:r>
      <w:fldSimple w:instr=" SEQ Figure \* ARABIC ">
        <w:r w:rsidR="0055251A">
          <w:rPr>
            <w:noProof/>
          </w:rPr>
          <w:t>2</w:t>
        </w:r>
      </w:fldSimple>
      <w:r>
        <w:t xml:space="preserve"> Statewide Median Household Income, 2000-2018 (adjusted to 2018 dollars)</w:t>
      </w:r>
      <w:r>
        <w:rPr>
          <w:noProof/>
        </w:rPr>
        <w:drawing>
          <wp:anchor distT="0" distB="0" distL="114300" distR="114300" simplePos="0" relativeHeight="251659264" behindDoc="0" locked="0" layoutInCell="1" allowOverlap="1" wp14:anchorId="0A765784" wp14:editId="790807F7">
            <wp:simplePos x="0" y="0"/>
            <wp:positionH relativeFrom="column">
              <wp:posOffset>0</wp:posOffset>
            </wp:positionH>
            <wp:positionV relativeFrom="paragraph">
              <wp:posOffset>180340</wp:posOffset>
            </wp:positionV>
            <wp:extent cx="5943600" cy="3574415"/>
            <wp:effectExtent l="0" t="0" r="0" b="6985"/>
            <wp:wrapTopAndBottom/>
            <wp:docPr id="2" name="Chart 2">
              <a:extLst xmlns:a="http://schemas.openxmlformats.org/drawingml/2006/main">
                <a:ext uri="{FF2B5EF4-FFF2-40B4-BE49-F238E27FC236}">
                  <a16:creationId xmlns:a16="http://schemas.microsoft.com/office/drawing/2014/main" id="{5EFB991C-B054-49B1-9B0C-CA8E95228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43548F8" w14:textId="77777777" w:rsidR="00D24507" w:rsidRDefault="00D24507" w:rsidP="00D24507">
      <w:pPr>
        <w:rPr>
          <w:sz w:val="16"/>
          <w:szCs w:val="16"/>
        </w:rPr>
      </w:pPr>
      <w:bookmarkStart w:id="30" w:name="_Hlk45803588"/>
      <w:r>
        <w:rPr>
          <w:sz w:val="16"/>
          <w:szCs w:val="16"/>
        </w:rPr>
        <w:t>S</w:t>
      </w:r>
      <w:r w:rsidRPr="00104C93">
        <w:rPr>
          <w:sz w:val="16"/>
          <w:szCs w:val="16"/>
        </w:rPr>
        <w:t xml:space="preserve">ource: 2014-2018 American Community Survey: </w:t>
      </w:r>
      <w:r>
        <w:rPr>
          <w:sz w:val="16"/>
          <w:szCs w:val="16"/>
        </w:rPr>
        <w:t>S1903</w:t>
      </w:r>
    </w:p>
    <w:p w14:paraId="4B3D361F" w14:textId="77777777" w:rsidR="00D24507" w:rsidRPr="005623AE" w:rsidRDefault="00D24507" w:rsidP="00D24507">
      <w:pPr>
        <w:rPr>
          <w:sz w:val="16"/>
          <w:szCs w:val="16"/>
        </w:rPr>
      </w:pPr>
    </w:p>
    <w:p w14:paraId="4B63C282" w14:textId="77777777" w:rsidR="0039740D" w:rsidRDefault="0039740D" w:rsidP="00D24507">
      <w:pPr>
        <w:pStyle w:val="Caption"/>
      </w:pPr>
    </w:p>
    <w:p w14:paraId="06522FE9" w14:textId="4CB244ED" w:rsidR="00D24507" w:rsidRDefault="00D24507" w:rsidP="00D24507">
      <w:pPr>
        <w:pStyle w:val="Caption"/>
      </w:pPr>
      <w:r>
        <w:t xml:space="preserve">Table </w:t>
      </w:r>
      <w:fldSimple w:instr=" SEQ Table \* ARABIC ">
        <w:r w:rsidR="0055251A">
          <w:rPr>
            <w:noProof/>
          </w:rPr>
          <w:t>13</w:t>
        </w:r>
      </w:fldSimple>
      <w:r>
        <w:t xml:space="preserve"> </w:t>
      </w:r>
      <w:r w:rsidRPr="005623AE">
        <w:t>Statewide Median Household Income by Race/Ethnicity, 2010-2018 (adjusted to 2018</w:t>
      </w:r>
      <w:r>
        <w:t xml:space="preserve"> dollars)</w:t>
      </w:r>
    </w:p>
    <w:tbl>
      <w:tblPr>
        <w:tblW w:w="9350" w:type="dxa"/>
        <w:tblLook w:val="04A0" w:firstRow="1" w:lastRow="0" w:firstColumn="1" w:lastColumn="0" w:noHBand="0" w:noVBand="1"/>
      </w:tblPr>
      <w:tblGrid>
        <w:gridCol w:w="3255"/>
        <w:gridCol w:w="2259"/>
        <w:gridCol w:w="2002"/>
        <w:gridCol w:w="1834"/>
      </w:tblGrid>
      <w:tr w:rsidR="00D24507" w14:paraId="62AF9797" w14:textId="77777777" w:rsidTr="006C2106">
        <w:trPr>
          <w:trHeight w:val="159"/>
        </w:trPr>
        <w:tc>
          <w:tcPr>
            <w:tcW w:w="3255"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1A04BFA9"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 </w:t>
            </w:r>
          </w:p>
        </w:tc>
        <w:tc>
          <w:tcPr>
            <w:tcW w:w="2259" w:type="dxa"/>
            <w:tcBorders>
              <w:top w:val="single" w:sz="4" w:space="0" w:color="auto"/>
              <w:left w:val="nil"/>
              <w:bottom w:val="single" w:sz="4" w:space="0" w:color="auto"/>
              <w:right w:val="single" w:sz="4" w:space="0" w:color="auto"/>
            </w:tcBorders>
            <w:shd w:val="clear" w:color="000000" w:fill="4472C4"/>
            <w:noWrap/>
            <w:vAlign w:val="bottom"/>
            <w:hideMark/>
          </w:tcPr>
          <w:p w14:paraId="43396AD8"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2010</w:t>
            </w:r>
          </w:p>
        </w:tc>
        <w:tc>
          <w:tcPr>
            <w:tcW w:w="2002" w:type="dxa"/>
            <w:tcBorders>
              <w:top w:val="single" w:sz="4" w:space="0" w:color="auto"/>
              <w:left w:val="nil"/>
              <w:bottom w:val="single" w:sz="4" w:space="0" w:color="auto"/>
              <w:right w:val="single" w:sz="4" w:space="0" w:color="auto"/>
            </w:tcBorders>
            <w:shd w:val="clear" w:color="000000" w:fill="4472C4"/>
            <w:noWrap/>
            <w:vAlign w:val="bottom"/>
            <w:hideMark/>
          </w:tcPr>
          <w:p w14:paraId="0CC4C001"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2018</w:t>
            </w:r>
          </w:p>
        </w:tc>
        <w:tc>
          <w:tcPr>
            <w:tcW w:w="1834" w:type="dxa"/>
            <w:tcBorders>
              <w:top w:val="single" w:sz="4" w:space="0" w:color="auto"/>
              <w:left w:val="nil"/>
              <w:bottom w:val="single" w:sz="4" w:space="0" w:color="auto"/>
              <w:right w:val="single" w:sz="4" w:space="0" w:color="auto"/>
            </w:tcBorders>
            <w:shd w:val="clear" w:color="000000" w:fill="4472C4"/>
            <w:noWrap/>
            <w:vAlign w:val="bottom"/>
            <w:hideMark/>
          </w:tcPr>
          <w:p w14:paraId="7306B08A" w14:textId="77777777" w:rsidR="00D24507" w:rsidRDefault="00D24507" w:rsidP="006C2106">
            <w:pPr>
              <w:jc w:val="center"/>
              <w:rPr>
                <w:rFonts w:ascii="Calibri" w:hAnsi="Calibri" w:cs="Calibri"/>
                <w:b/>
                <w:bCs/>
                <w:color w:val="FFFFFF"/>
                <w:sz w:val="22"/>
                <w:szCs w:val="22"/>
              </w:rPr>
            </w:pPr>
            <w:r>
              <w:rPr>
                <w:rFonts w:ascii="Calibri" w:hAnsi="Calibri" w:cs="Calibri"/>
                <w:b/>
                <w:bCs/>
                <w:color w:val="FFFFFF"/>
                <w:sz w:val="22"/>
                <w:szCs w:val="22"/>
              </w:rPr>
              <w:t>% Change</w:t>
            </w:r>
          </w:p>
        </w:tc>
      </w:tr>
      <w:tr w:rsidR="00D24507" w14:paraId="395A0469" w14:textId="77777777" w:rsidTr="006C2106">
        <w:trPr>
          <w:trHeight w:val="159"/>
        </w:trPr>
        <w:tc>
          <w:tcPr>
            <w:tcW w:w="3255" w:type="dxa"/>
            <w:tcBorders>
              <w:top w:val="nil"/>
              <w:left w:val="single" w:sz="4" w:space="0" w:color="auto"/>
              <w:bottom w:val="single" w:sz="4" w:space="0" w:color="auto"/>
              <w:right w:val="single" w:sz="4" w:space="0" w:color="auto"/>
            </w:tcBorders>
            <w:shd w:val="clear" w:color="000000" w:fill="B4C6E7"/>
            <w:noWrap/>
            <w:vAlign w:val="bottom"/>
            <w:hideMark/>
          </w:tcPr>
          <w:p w14:paraId="055766A2"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Statewide</w:t>
            </w:r>
          </w:p>
        </w:tc>
        <w:tc>
          <w:tcPr>
            <w:tcW w:w="2259" w:type="dxa"/>
            <w:tcBorders>
              <w:top w:val="nil"/>
              <w:left w:val="nil"/>
              <w:bottom w:val="single" w:sz="4" w:space="0" w:color="auto"/>
              <w:right w:val="single" w:sz="4" w:space="0" w:color="auto"/>
            </w:tcBorders>
            <w:shd w:val="clear" w:color="000000" w:fill="B4C6E7"/>
            <w:noWrap/>
            <w:vAlign w:val="bottom"/>
            <w:hideMark/>
          </w:tcPr>
          <w:p w14:paraId="0509021D"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52,465</w:t>
            </w:r>
          </w:p>
        </w:tc>
        <w:tc>
          <w:tcPr>
            <w:tcW w:w="2002" w:type="dxa"/>
            <w:tcBorders>
              <w:top w:val="nil"/>
              <w:left w:val="nil"/>
              <w:bottom w:val="single" w:sz="4" w:space="0" w:color="auto"/>
              <w:right w:val="single" w:sz="4" w:space="0" w:color="auto"/>
            </w:tcBorders>
            <w:shd w:val="clear" w:color="000000" w:fill="B4C6E7"/>
            <w:noWrap/>
            <w:vAlign w:val="bottom"/>
            <w:hideMark/>
          </w:tcPr>
          <w:p w14:paraId="45A2BAEC"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52,413</w:t>
            </w:r>
          </w:p>
        </w:tc>
        <w:tc>
          <w:tcPr>
            <w:tcW w:w="1834" w:type="dxa"/>
            <w:tcBorders>
              <w:top w:val="nil"/>
              <w:left w:val="nil"/>
              <w:bottom w:val="single" w:sz="4" w:space="0" w:color="auto"/>
              <w:right w:val="single" w:sz="4" w:space="0" w:color="auto"/>
            </w:tcBorders>
            <w:shd w:val="clear" w:color="000000" w:fill="B4C6E7"/>
            <w:noWrap/>
            <w:vAlign w:val="bottom"/>
            <w:hideMark/>
          </w:tcPr>
          <w:p w14:paraId="0EE9C5E8"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-0.1%</w:t>
            </w:r>
          </w:p>
        </w:tc>
      </w:tr>
      <w:tr w:rsidR="00D24507" w14:paraId="62D56008" w14:textId="77777777" w:rsidTr="006C2106">
        <w:trPr>
          <w:trHeight w:val="159"/>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4D6813A6"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White</w:t>
            </w:r>
          </w:p>
        </w:tc>
        <w:tc>
          <w:tcPr>
            <w:tcW w:w="2259" w:type="dxa"/>
            <w:tcBorders>
              <w:top w:val="nil"/>
              <w:left w:val="nil"/>
              <w:bottom w:val="single" w:sz="4" w:space="0" w:color="auto"/>
              <w:right w:val="single" w:sz="4" w:space="0" w:color="auto"/>
            </w:tcBorders>
            <w:shd w:val="clear" w:color="auto" w:fill="auto"/>
            <w:noWrap/>
            <w:vAlign w:val="bottom"/>
            <w:hideMark/>
          </w:tcPr>
          <w:p w14:paraId="2CC6A98A"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58,844</w:t>
            </w:r>
          </w:p>
        </w:tc>
        <w:tc>
          <w:tcPr>
            <w:tcW w:w="2002" w:type="dxa"/>
            <w:tcBorders>
              <w:top w:val="nil"/>
              <w:left w:val="nil"/>
              <w:bottom w:val="single" w:sz="4" w:space="0" w:color="auto"/>
              <w:right w:val="single" w:sz="4" w:space="0" w:color="auto"/>
            </w:tcBorders>
            <w:shd w:val="clear" w:color="auto" w:fill="auto"/>
            <w:noWrap/>
            <w:vAlign w:val="bottom"/>
            <w:hideMark/>
          </w:tcPr>
          <w:p w14:paraId="5C62CBA1"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58,171</w:t>
            </w:r>
          </w:p>
        </w:tc>
        <w:tc>
          <w:tcPr>
            <w:tcW w:w="1834" w:type="dxa"/>
            <w:tcBorders>
              <w:top w:val="nil"/>
              <w:left w:val="nil"/>
              <w:bottom w:val="single" w:sz="4" w:space="0" w:color="auto"/>
              <w:right w:val="single" w:sz="4" w:space="0" w:color="auto"/>
            </w:tcBorders>
            <w:shd w:val="clear" w:color="auto" w:fill="auto"/>
            <w:noWrap/>
            <w:vAlign w:val="bottom"/>
            <w:hideMark/>
          </w:tcPr>
          <w:p w14:paraId="552AB7AE"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-1.1%</w:t>
            </w:r>
          </w:p>
        </w:tc>
      </w:tr>
      <w:tr w:rsidR="00D24507" w14:paraId="586EDE0D" w14:textId="77777777" w:rsidTr="006C2106">
        <w:trPr>
          <w:trHeight w:val="159"/>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2ED1FA3C"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Black</w:t>
            </w:r>
          </w:p>
        </w:tc>
        <w:tc>
          <w:tcPr>
            <w:tcW w:w="2259" w:type="dxa"/>
            <w:tcBorders>
              <w:top w:val="nil"/>
              <w:left w:val="nil"/>
              <w:bottom w:val="single" w:sz="4" w:space="0" w:color="auto"/>
              <w:right w:val="single" w:sz="4" w:space="0" w:color="auto"/>
            </w:tcBorders>
            <w:shd w:val="clear" w:color="auto" w:fill="auto"/>
            <w:noWrap/>
            <w:vAlign w:val="bottom"/>
            <w:hideMark/>
          </w:tcPr>
          <w:p w14:paraId="487995C8"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36,815</w:t>
            </w:r>
          </w:p>
        </w:tc>
        <w:tc>
          <w:tcPr>
            <w:tcW w:w="2002" w:type="dxa"/>
            <w:tcBorders>
              <w:top w:val="nil"/>
              <w:left w:val="nil"/>
              <w:bottom w:val="single" w:sz="4" w:space="0" w:color="auto"/>
              <w:right w:val="single" w:sz="4" w:space="0" w:color="auto"/>
            </w:tcBorders>
            <w:shd w:val="clear" w:color="auto" w:fill="auto"/>
            <w:noWrap/>
            <w:vAlign w:val="bottom"/>
            <w:hideMark/>
          </w:tcPr>
          <w:p w14:paraId="7B73E628"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37,242</w:t>
            </w:r>
          </w:p>
        </w:tc>
        <w:tc>
          <w:tcPr>
            <w:tcW w:w="1834" w:type="dxa"/>
            <w:tcBorders>
              <w:top w:val="nil"/>
              <w:left w:val="nil"/>
              <w:bottom w:val="single" w:sz="4" w:space="0" w:color="auto"/>
              <w:right w:val="single" w:sz="4" w:space="0" w:color="auto"/>
            </w:tcBorders>
            <w:shd w:val="clear" w:color="auto" w:fill="auto"/>
            <w:noWrap/>
            <w:vAlign w:val="bottom"/>
            <w:hideMark/>
          </w:tcPr>
          <w:p w14:paraId="285177D5"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1.2%</w:t>
            </w:r>
          </w:p>
        </w:tc>
      </w:tr>
      <w:tr w:rsidR="00D24507" w14:paraId="28311B83" w14:textId="77777777" w:rsidTr="006C2106">
        <w:trPr>
          <w:trHeight w:val="159"/>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304970FD"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Asian</w:t>
            </w:r>
          </w:p>
        </w:tc>
        <w:tc>
          <w:tcPr>
            <w:tcW w:w="2259" w:type="dxa"/>
            <w:tcBorders>
              <w:top w:val="nil"/>
              <w:left w:val="nil"/>
              <w:bottom w:val="single" w:sz="4" w:space="0" w:color="auto"/>
              <w:right w:val="single" w:sz="4" w:space="0" w:color="auto"/>
            </w:tcBorders>
            <w:shd w:val="clear" w:color="auto" w:fill="auto"/>
            <w:noWrap/>
            <w:vAlign w:val="bottom"/>
            <w:hideMark/>
          </w:tcPr>
          <w:p w14:paraId="0C8072B4"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68,898</w:t>
            </w:r>
          </w:p>
        </w:tc>
        <w:tc>
          <w:tcPr>
            <w:tcW w:w="2002" w:type="dxa"/>
            <w:tcBorders>
              <w:top w:val="nil"/>
              <w:left w:val="nil"/>
              <w:bottom w:val="single" w:sz="4" w:space="0" w:color="auto"/>
              <w:right w:val="single" w:sz="4" w:space="0" w:color="auto"/>
            </w:tcBorders>
            <w:shd w:val="clear" w:color="auto" w:fill="auto"/>
            <w:noWrap/>
            <w:vAlign w:val="bottom"/>
            <w:hideMark/>
          </w:tcPr>
          <w:p w14:paraId="36BD203C"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80,500</w:t>
            </w:r>
          </w:p>
        </w:tc>
        <w:tc>
          <w:tcPr>
            <w:tcW w:w="1834" w:type="dxa"/>
            <w:tcBorders>
              <w:top w:val="nil"/>
              <w:left w:val="nil"/>
              <w:bottom w:val="single" w:sz="4" w:space="0" w:color="auto"/>
              <w:right w:val="single" w:sz="4" w:space="0" w:color="auto"/>
            </w:tcBorders>
            <w:shd w:val="clear" w:color="auto" w:fill="auto"/>
            <w:noWrap/>
            <w:vAlign w:val="bottom"/>
            <w:hideMark/>
          </w:tcPr>
          <w:p w14:paraId="108A6428"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16.8%</w:t>
            </w:r>
          </w:p>
        </w:tc>
      </w:tr>
      <w:tr w:rsidR="00D24507" w14:paraId="5528FF01" w14:textId="77777777" w:rsidTr="006C2106">
        <w:trPr>
          <w:trHeight w:val="159"/>
        </w:trPr>
        <w:tc>
          <w:tcPr>
            <w:tcW w:w="3255" w:type="dxa"/>
            <w:tcBorders>
              <w:top w:val="nil"/>
              <w:left w:val="single" w:sz="4" w:space="0" w:color="auto"/>
              <w:bottom w:val="single" w:sz="4" w:space="0" w:color="auto"/>
              <w:right w:val="single" w:sz="4" w:space="0" w:color="auto"/>
            </w:tcBorders>
            <w:shd w:val="clear" w:color="auto" w:fill="auto"/>
            <w:noWrap/>
            <w:vAlign w:val="bottom"/>
            <w:hideMark/>
          </w:tcPr>
          <w:p w14:paraId="7EF94747" w14:textId="77777777" w:rsidR="00D24507" w:rsidRDefault="00D24507" w:rsidP="006C2106">
            <w:pPr>
              <w:rPr>
                <w:rFonts w:ascii="Calibri" w:hAnsi="Calibri" w:cs="Calibri"/>
                <w:color w:val="000000"/>
                <w:sz w:val="22"/>
                <w:szCs w:val="22"/>
              </w:rPr>
            </w:pPr>
            <w:r>
              <w:rPr>
                <w:rFonts w:ascii="Calibri" w:hAnsi="Calibri" w:cs="Calibri"/>
                <w:color w:val="000000"/>
                <w:sz w:val="22"/>
                <w:szCs w:val="22"/>
              </w:rPr>
              <w:t xml:space="preserve">      Hispanic</w:t>
            </w:r>
          </w:p>
        </w:tc>
        <w:tc>
          <w:tcPr>
            <w:tcW w:w="2259" w:type="dxa"/>
            <w:tcBorders>
              <w:top w:val="nil"/>
              <w:left w:val="nil"/>
              <w:bottom w:val="single" w:sz="4" w:space="0" w:color="auto"/>
              <w:right w:val="single" w:sz="4" w:space="0" w:color="auto"/>
            </w:tcBorders>
            <w:shd w:val="clear" w:color="auto" w:fill="auto"/>
            <w:noWrap/>
            <w:vAlign w:val="bottom"/>
            <w:hideMark/>
          </w:tcPr>
          <w:p w14:paraId="3C307511"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39,747</w:t>
            </w:r>
          </w:p>
        </w:tc>
        <w:tc>
          <w:tcPr>
            <w:tcW w:w="2002" w:type="dxa"/>
            <w:tcBorders>
              <w:top w:val="nil"/>
              <w:left w:val="nil"/>
              <w:bottom w:val="single" w:sz="4" w:space="0" w:color="auto"/>
              <w:right w:val="single" w:sz="4" w:space="0" w:color="auto"/>
            </w:tcBorders>
            <w:shd w:val="clear" w:color="auto" w:fill="auto"/>
            <w:noWrap/>
            <w:vAlign w:val="bottom"/>
            <w:hideMark/>
          </w:tcPr>
          <w:p w14:paraId="2A07D3D6"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               40,001</w:t>
            </w:r>
          </w:p>
        </w:tc>
        <w:tc>
          <w:tcPr>
            <w:tcW w:w="1834" w:type="dxa"/>
            <w:tcBorders>
              <w:top w:val="nil"/>
              <w:left w:val="nil"/>
              <w:bottom w:val="single" w:sz="4" w:space="0" w:color="auto"/>
              <w:right w:val="single" w:sz="4" w:space="0" w:color="auto"/>
            </w:tcBorders>
            <w:shd w:val="clear" w:color="auto" w:fill="auto"/>
            <w:noWrap/>
            <w:vAlign w:val="bottom"/>
            <w:hideMark/>
          </w:tcPr>
          <w:p w14:paraId="0956773C" w14:textId="77777777" w:rsidR="00D24507" w:rsidRDefault="00D24507" w:rsidP="006C2106">
            <w:pPr>
              <w:jc w:val="center"/>
              <w:rPr>
                <w:rFonts w:ascii="Calibri" w:hAnsi="Calibri" w:cs="Calibri"/>
                <w:color w:val="000000"/>
                <w:sz w:val="22"/>
                <w:szCs w:val="22"/>
              </w:rPr>
            </w:pPr>
            <w:r>
              <w:rPr>
                <w:rFonts w:ascii="Calibri" w:hAnsi="Calibri" w:cs="Calibri"/>
                <w:color w:val="000000"/>
                <w:sz w:val="22"/>
                <w:szCs w:val="22"/>
              </w:rPr>
              <w:t>0.6%</w:t>
            </w:r>
          </w:p>
        </w:tc>
      </w:tr>
    </w:tbl>
    <w:p w14:paraId="20CBAAC6" w14:textId="77777777" w:rsidR="00D24507" w:rsidRPr="00F43ADC" w:rsidRDefault="00D24507" w:rsidP="00D24507">
      <w:pPr>
        <w:rPr>
          <w:sz w:val="16"/>
          <w:szCs w:val="16"/>
        </w:rPr>
      </w:pPr>
      <w:r>
        <w:rPr>
          <w:sz w:val="16"/>
          <w:szCs w:val="16"/>
        </w:rPr>
        <w:t>S</w:t>
      </w:r>
      <w:r w:rsidRPr="00104C93">
        <w:rPr>
          <w:sz w:val="16"/>
          <w:szCs w:val="16"/>
        </w:rPr>
        <w:t xml:space="preserve">ource: 2014-2018 American Community Survey: </w:t>
      </w:r>
      <w:r>
        <w:rPr>
          <w:sz w:val="16"/>
          <w:szCs w:val="16"/>
        </w:rPr>
        <w:t>S1903</w:t>
      </w:r>
    </w:p>
    <w:p w14:paraId="40632680" w14:textId="77777777" w:rsidR="00D24507" w:rsidRDefault="00D24507" w:rsidP="00D24507">
      <w:pPr>
        <w:pStyle w:val="Caption"/>
      </w:pPr>
    </w:p>
    <w:p w14:paraId="36C8DBA9" w14:textId="77777777" w:rsidR="00D24507" w:rsidRDefault="00D24507" w:rsidP="00D24507">
      <w:pPr>
        <w:spacing w:after="160" w:line="276" w:lineRule="auto"/>
        <w:rPr>
          <w:b/>
          <w:bCs/>
          <w:color w:val="404040" w:themeColor="text1" w:themeTint="BF"/>
          <w:sz w:val="16"/>
          <w:szCs w:val="16"/>
        </w:rPr>
      </w:pPr>
      <w:r>
        <w:br w:type="page"/>
      </w:r>
    </w:p>
    <w:p w14:paraId="529FB018" w14:textId="7DDA02E3" w:rsidR="00D24507" w:rsidRDefault="00D24507" w:rsidP="00D24507">
      <w:pPr>
        <w:pStyle w:val="Caption"/>
      </w:pPr>
      <w:r>
        <w:rPr>
          <w:noProof/>
        </w:rPr>
        <w:lastRenderedPageBreak/>
        <w:drawing>
          <wp:anchor distT="0" distB="0" distL="114300" distR="114300" simplePos="0" relativeHeight="251670528" behindDoc="0" locked="0" layoutInCell="1" allowOverlap="1" wp14:anchorId="44268498" wp14:editId="14B98A6C">
            <wp:simplePos x="0" y="0"/>
            <wp:positionH relativeFrom="margin">
              <wp:align>right</wp:align>
            </wp:positionH>
            <wp:positionV relativeFrom="paragraph">
              <wp:posOffset>119380</wp:posOffset>
            </wp:positionV>
            <wp:extent cx="5934710" cy="2967355"/>
            <wp:effectExtent l="0" t="0" r="889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10</w:t>
        </w:r>
      </w:fldSimple>
      <w:r>
        <w:t xml:space="preserve"> Median Household Income, 2018</w:t>
      </w:r>
    </w:p>
    <w:p w14:paraId="5333706B" w14:textId="77777777" w:rsidR="00D24507" w:rsidRDefault="00D24507" w:rsidP="00D24507">
      <w:pPr>
        <w:rPr>
          <w:sz w:val="16"/>
          <w:szCs w:val="16"/>
        </w:rPr>
      </w:pPr>
      <w:r>
        <w:rPr>
          <w:sz w:val="16"/>
          <w:szCs w:val="16"/>
        </w:rPr>
        <w:t>S</w:t>
      </w:r>
      <w:r w:rsidRPr="00104C93">
        <w:rPr>
          <w:sz w:val="16"/>
          <w:szCs w:val="16"/>
        </w:rPr>
        <w:t xml:space="preserve">ource: 2014-2018 American Community Survey: </w:t>
      </w:r>
      <w:r>
        <w:rPr>
          <w:sz w:val="16"/>
          <w:szCs w:val="16"/>
        </w:rPr>
        <w:t>S1903</w:t>
      </w:r>
    </w:p>
    <w:p w14:paraId="776CA1B1" w14:textId="77777777" w:rsidR="00D24507" w:rsidRPr="00F43ADC" w:rsidRDefault="00D24507" w:rsidP="00D24507"/>
    <w:p w14:paraId="1D8407ED" w14:textId="171E4E6D" w:rsidR="00D24507" w:rsidRDefault="00D24507" w:rsidP="00D24507">
      <w:pPr>
        <w:spacing w:after="240"/>
        <w:jc w:val="both"/>
      </w:pPr>
      <w:r w:rsidRPr="00524C4B">
        <w:t xml:space="preserve">The 2018 Statewide unemployment rate was 6.3%. With an unemployment rate of 5.5%, males were slightly less likely than females (5.9%) to be unemployed. </w:t>
      </w:r>
      <w:r>
        <w:t xml:space="preserve">In terms of race and ethnicity, Black civilians </w:t>
      </w:r>
      <w:r w:rsidR="00D96738">
        <w:t>had the highest</w:t>
      </w:r>
      <w:r>
        <w:t xml:space="preserve"> rates of unemployment (10.3%)</w:t>
      </w:r>
      <w:r w:rsidRPr="000A3095">
        <w:t xml:space="preserve"> </w:t>
      </w:r>
      <w:r>
        <w:t xml:space="preserve">compared to other groups. Areas with the highest rates of unemployment tend to </w:t>
      </w:r>
      <w:proofErr w:type="gramStart"/>
      <w:r>
        <w:t>be located in</w:t>
      </w:r>
      <w:proofErr w:type="gramEnd"/>
      <w:r>
        <w:t xml:space="preserve"> the Coastal Plains region</w:t>
      </w:r>
      <w:r w:rsidR="00971BDC">
        <w:t xml:space="preserve"> with </w:t>
      </w:r>
      <w:r>
        <w:t xml:space="preserve">especially high </w:t>
      </w:r>
      <w:r w:rsidR="00971BDC">
        <w:t xml:space="preserve">rates </w:t>
      </w:r>
      <w:r>
        <w:t>in areas around the Chowan River, Lenoir County, and Scotland County.</w:t>
      </w:r>
    </w:p>
    <w:p w14:paraId="6D30D60D" w14:textId="5CB53AE2" w:rsidR="00D24507" w:rsidRDefault="00D24507" w:rsidP="00D24507">
      <w:pPr>
        <w:pStyle w:val="Caption"/>
      </w:pPr>
      <w:r>
        <w:t xml:space="preserve">Table </w:t>
      </w:r>
      <w:fldSimple w:instr=" SEQ Table \* ARABIC ">
        <w:r w:rsidR="0055251A">
          <w:rPr>
            <w:noProof/>
          </w:rPr>
          <w:t>14</w:t>
        </w:r>
      </w:fldSimple>
      <w:r>
        <w:t xml:space="preserve"> </w:t>
      </w:r>
      <w:r w:rsidRPr="005623AE">
        <w:t>Civilian Labor Force by Sex &amp; Race/Ethnicity</w:t>
      </w:r>
      <w:r>
        <w:t xml:space="preserve"> in North Carolina</w:t>
      </w:r>
      <w:r w:rsidRPr="005623AE">
        <w:t>, 2018</w:t>
      </w:r>
    </w:p>
    <w:tbl>
      <w:tblPr>
        <w:tblW w:w="9386" w:type="dxa"/>
        <w:tblLook w:val="04A0" w:firstRow="1" w:lastRow="0" w:firstColumn="1" w:lastColumn="0" w:noHBand="0" w:noVBand="1"/>
      </w:tblPr>
      <w:tblGrid>
        <w:gridCol w:w="4054"/>
        <w:gridCol w:w="2855"/>
        <w:gridCol w:w="2477"/>
      </w:tblGrid>
      <w:tr w:rsidR="00D24507" w:rsidRPr="005623AE" w14:paraId="5F33DD6E" w14:textId="77777777" w:rsidTr="006C2106">
        <w:trPr>
          <w:trHeight w:val="209"/>
        </w:trPr>
        <w:tc>
          <w:tcPr>
            <w:tcW w:w="4054"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0590B174" w14:textId="77777777" w:rsidR="00D24507" w:rsidRPr="005623AE" w:rsidRDefault="00D24507" w:rsidP="006C2106">
            <w:pPr>
              <w:rPr>
                <w:rFonts w:ascii="Calibri" w:hAnsi="Calibri" w:cs="Calibri"/>
                <w:b/>
                <w:bCs/>
                <w:color w:val="FFFFFF"/>
                <w:sz w:val="22"/>
                <w:szCs w:val="22"/>
              </w:rPr>
            </w:pPr>
            <w:r w:rsidRPr="005623AE">
              <w:rPr>
                <w:rFonts w:ascii="Calibri" w:hAnsi="Calibri" w:cs="Calibri"/>
                <w:b/>
                <w:bCs/>
                <w:color w:val="FFFFFF"/>
                <w:sz w:val="22"/>
                <w:szCs w:val="22"/>
              </w:rPr>
              <w:t> </w:t>
            </w:r>
          </w:p>
        </w:tc>
        <w:tc>
          <w:tcPr>
            <w:tcW w:w="2855" w:type="dxa"/>
            <w:tcBorders>
              <w:top w:val="single" w:sz="4" w:space="0" w:color="auto"/>
              <w:left w:val="nil"/>
              <w:bottom w:val="single" w:sz="4" w:space="0" w:color="auto"/>
              <w:right w:val="single" w:sz="4" w:space="0" w:color="auto"/>
            </w:tcBorders>
            <w:shd w:val="clear" w:color="000000" w:fill="4472C4"/>
            <w:noWrap/>
            <w:vAlign w:val="bottom"/>
            <w:hideMark/>
          </w:tcPr>
          <w:p w14:paraId="1AF46504" w14:textId="77777777" w:rsidR="00D24507" w:rsidRPr="005623AE" w:rsidRDefault="00D24507" w:rsidP="00E73D76">
            <w:pPr>
              <w:jc w:val="center"/>
              <w:rPr>
                <w:rFonts w:ascii="Calibri" w:hAnsi="Calibri" w:cs="Calibri"/>
                <w:b/>
                <w:bCs/>
                <w:color w:val="FFFFFF"/>
                <w:sz w:val="22"/>
                <w:szCs w:val="22"/>
              </w:rPr>
            </w:pPr>
            <w:r w:rsidRPr="005623AE">
              <w:rPr>
                <w:rFonts w:ascii="Calibri" w:hAnsi="Calibri" w:cs="Calibri"/>
                <w:b/>
                <w:bCs/>
                <w:color w:val="FFFFFF"/>
                <w:sz w:val="22"/>
                <w:szCs w:val="22"/>
              </w:rPr>
              <w:t>Total</w:t>
            </w:r>
          </w:p>
        </w:tc>
        <w:tc>
          <w:tcPr>
            <w:tcW w:w="2477" w:type="dxa"/>
            <w:tcBorders>
              <w:top w:val="single" w:sz="4" w:space="0" w:color="auto"/>
              <w:left w:val="nil"/>
              <w:bottom w:val="single" w:sz="4" w:space="0" w:color="auto"/>
              <w:right w:val="single" w:sz="4" w:space="0" w:color="auto"/>
            </w:tcBorders>
            <w:shd w:val="clear" w:color="000000" w:fill="4472C4"/>
            <w:noWrap/>
            <w:vAlign w:val="bottom"/>
            <w:hideMark/>
          </w:tcPr>
          <w:p w14:paraId="2CD414EF" w14:textId="77777777" w:rsidR="00D24507" w:rsidRPr="005623AE" w:rsidRDefault="00D24507" w:rsidP="00E73D76">
            <w:pPr>
              <w:jc w:val="center"/>
              <w:rPr>
                <w:rFonts w:ascii="Calibri" w:hAnsi="Calibri" w:cs="Calibri"/>
                <w:b/>
                <w:bCs/>
                <w:color w:val="FFFFFF"/>
                <w:sz w:val="22"/>
                <w:szCs w:val="22"/>
              </w:rPr>
            </w:pPr>
            <w:r w:rsidRPr="005623AE">
              <w:rPr>
                <w:rFonts w:ascii="Calibri" w:hAnsi="Calibri" w:cs="Calibri"/>
                <w:b/>
                <w:bCs/>
                <w:color w:val="FFFFFF"/>
                <w:sz w:val="22"/>
                <w:szCs w:val="22"/>
              </w:rPr>
              <w:t>%</w:t>
            </w:r>
          </w:p>
        </w:tc>
      </w:tr>
      <w:tr w:rsidR="00D24507" w:rsidRPr="005623AE" w14:paraId="7C33A648"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4472C4"/>
            <w:noWrap/>
            <w:vAlign w:val="bottom"/>
            <w:hideMark/>
          </w:tcPr>
          <w:p w14:paraId="63C29F2C" w14:textId="77777777" w:rsidR="00D24507" w:rsidRPr="005623AE" w:rsidRDefault="00D24507" w:rsidP="006C2106">
            <w:pPr>
              <w:rPr>
                <w:rFonts w:ascii="Calibri" w:hAnsi="Calibri" w:cs="Calibri"/>
                <w:b/>
                <w:bCs/>
                <w:color w:val="FFFFFF"/>
                <w:sz w:val="22"/>
                <w:szCs w:val="22"/>
              </w:rPr>
            </w:pPr>
            <w:r w:rsidRPr="005623AE">
              <w:rPr>
                <w:rFonts w:ascii="Calibri" w:hAnsi="Calibri" w:cs="Calibri"/>
                <w:b/>
                <w:bCs/>
                <w:color w:val="FFFFFF"/>
                <w:sz w:val="22"/>
                <w:szCs w:val="22"/>
              </w:rPr>
              <w:t>Total CLF</w:t>
            </w:r>
          </w:p>
        </w:tc>
        <w:tc>
          <w:tcPr>
            <w:tcW w:w="5332" w:type="dxa"/>
            <w:gridSpan w:val="2"/>
            <w:tcBorders>
              <w:top w:val="nil"/>
              <w:left w:val="nil"/>
              <w:bottom w:val="single" w:sz="4" w:space="0" w:color="auto"/>
              <w:right w:val="single" w:sz="4" w:space="0" w:color="auto"/>
            </w:tcBorders>
            <w:shd w:val="clear" w:color="000000" w:fill="4472C4"/>
            <w:noWrap/>
            <w:vAlign w:val="center"/>
            <w:hideMark/>
          </w:tcPr>
          <w:p w14:paraId="3C614F80" w14:textId="77777777" w:rsidR="00D24507" w:rsidRPr="005623AE" w:rsidRDefault="00D24507" w:rsidP="006C2106">
            <w:pPr>
              <w:jc w:val="center"/>
              <w:rPr>
                <w:rFonts w:ascii="Calibri" w:hAnsi="Calibri" w:cs="Calibri"/>
                <w:b/>
                <w:bCs/>
                <w:color w:val="FFFFFF"/>
                <w:sz w:val="22"/>
                <w:szCs w:val="22"/>
              </w:rPr>
            </w:pPr>
            <w:r w:rsidRPr="005623AE">
              <w:rPr>
                <w:rFonts w:ascii="Calibri" w:hAnsi="Calibri" w:cs="Calibri"/>
                <w:b/>
                <w:bCs/>
                <w:color w:val="FFFFFF"/>
                <w:sz w:val="22"/>
                <w:szCs w:val="22"/>
              </w:rPr>
              <w:t>5,069,937</w:t>
            </w:r>
          </w:p>
        </w:tc>
      </w:tr>
      <w:tr w:rsidR="00D24507" w:rsidRPr="005623AE" w14:paraId="3D0A44EE"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647F0E9E"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7960A3FA"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4,750,531 </w:t>
            </w:r>
          </w:p>
        </w:tc>
        <w:tc>
          <w:tcPr>
            <w:tcW w:w="2477" w:type="dxa"/>
            <w:tcBorders>
              <w:top w:val="nil"/>
              <w:left w:val="nil"/>
              <w:bottom w:val="single" w:sz="4" w:space="0" w:color="auto"/>
              <w:right w:val="single" w:sz="4" w:space="0" w:color="auto"/>
            </w:tcBorders>
            <w:shd w:val="clear" w:color="auto" w:fill="auto"/>
            <w:noWrap/>
            <w:vAlign w:val="bottom"/>
            <w:hideMark/>
          </w:tcPr>
          <w:p w14:paraId="0B7FB332"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93.7%</w:t>
            </w:r>
          </w:p>
        </w:tc>
      </w:tr>
      <w:tr w:rsidR="00D24507" w:rsidRPr="005623AE" w14:paraId="1800811B"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4E03280A"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6A23EFB5"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319,406 </w:t>
            </w:r>
          </w:p>
        </w:tc>
        <w:tc>
          <w:tcPr>
            <w:tcW w:w="2477" w:type="dxa"/>
            <w:tcBorders>
              <w:top w:val="nil"/>
              <w:left w:val="nil"/>
              <w:bottom w:val="single" w:sz="4" w:space="0" w:color="auto"/>
              <w:right w:val="single" w:sz="4" w:space="0" w:color="auto"/>
            </w:tcBorders>
            <w:shd w:val="clear" w:color="auto" w:fill="auto"/>
            <w:noWrap/>
            <w:vAlign w:val="bottom"/>
            <w:hideMark/>
          </w:tcPr>
          <w:p w14:paraId="7FAFD80E"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6.3%</w:t>
            </w:r>
          </w:p>
        </w:tc>
      </w:tr>
      <w:tr w:rsidR="00D24507" w:rsidRPr="005623AE" w14:paraId="1D164A9D"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B4C6E7"/>
            <w:noWrap/>
            <w:vAlign w:val="bottom"/>
            <w:hideMark/>
          </w:tcPr>
          <w:p w14:paraId="6665B190" w14:textId="77777777" w:rsidR="00D24507" w:rsidRPr="005623AE" w:rsidRDefault="00D24507" w:rsidP="006C2106">
            <w:pPr>
              <w:rPr>
                <w:rFonts w:ascii="Calibri" w:hAnsi="Calibri" w:cs="Calibri"/>
                <w:b/>
                <w:bCs/>
                <w:color w:val="000000"/>
                <w:sz w:val="22"/>
                <w:szCs w:val="22"/>
              </w:rPr>
            </w:pPr>
            <w:r w:rsidRPr="005623AE">
              <w:rPr>
                <w:rFonts w:ascii="Calibri" w:hAnsi="Calibri" w:cs="Calibri"/>
                <w:b/>
                <w:bCs/>
                <w:color w:val="000000"/>
                <w:sz w:val="22"/>
                <w:szCs w:val="22"/>
              </w:rPr>
              <w:t>Male CLF</w:t>
            </w:r>
          </w:p>
        </w:tc>
        <w:tc>
          <w:tcPr>
            <w:tcW w:w="5332" w:type="dxa"/>
            <w:gridSpan w:val="2"/>
            <w:tcBorders>
              <w:top w:val="nil"/>
              <w:left w:val="nil"/>
              <w:bottom w:val="single" w:sz="4" w:space="0" w:color="auto"/>
              <w:right w:val="single" w:sz="4" w:space="0" w:color="auto"/>
            </w:tcBorders>
            <w:shd w:val="clear" w:color="000000" w:fill="B4C6E7"/>
            <w:noWrap/>
            <w:vAlign w:val="center"/>
            <w:hideMark/>
          </w:tcPr>
          <w:p w14:paraId="6659C976" w14:textId="77777777" w:rsidR="00D24507" w:rsidRPr="005623AE" w:rsidRDefault="00D24507" w:rsidP="006C2106">
            <w:pPr>
              <w:jc w:val="center"/>
              <w:rPr>
                <w:rFonts w:ascii="Calibri" w:hAnsi="Calibri" w:cs="Calibri"/>
                <w:b/>
                <w:bCs/>
                <w:color w:val="000000"/>
                <w:sz w:val="22"/>
                <w:szCs w:val="22"/>
              </w:rPr>
            </w:pPr>
            <w:r w:rsidRPr="005623AE">
              <w:rPr>
                <w:rFonts w:ascii="Calibri" w:hAnsi="Calibri" w:cs="Calibri"/>
                <w:b/>
                <w:bCs/>
                <w:color w:val="000000"/>
                <w:sz w:val="22"/>
                <w:szCs w:val="22"/>
              </w:rPr>
              <w:t>2,400,331</w:t>
            </w:r>
          </w:p>
          <w:p w14:paraId="1D92A024" w14:textId="77777777" w:rsidR="00D24507" w:rsidRPr="005623AE" w:rsidRDefault="00D24507" w:rsidP="006C2106">
            <w:pPr>
              <w:jc w:val="center"/>
              <w:rPr>
                <w:rFonts w:ascii="Calibri" w:hAnsi="Calibri" w:cs="Calibri"/>
                <w:b/>
                <w:bCs/>
                <w:color w:val="000000"/>
                <w:sz w:val="22"/>
                <w:szCs w:val="22"/>
              </w:rPr>
            </w:pPr>
          </w:p>
        </w:tc>
      </w:tr>
      <w:tr w:rsidR="00D24507" w:rsidRPr="005623AE" w14:paraId="366A1C4C"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7B393216"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5C437A04"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2,268,312 </w:t>
            </w:r>
          </w:p>
        </w:tc>
        <w:tc>
          <w:tcPr>
            <w:tcW w:w="2477" w:type="dxa"/>
            <w:tcBorders>
              <w:top w:val="nil"/>
              <w:left w:val="nil"/>
              <w:bottom w:val="single" w:sz="4" w:space="0" w:color="auto"/>
              <w:right w:val="single" w:sz="4" w:space="0" w:color="auto"/>
            </w:tcBorders>
            <w:shd w:val="clear" w:color="auto" w:fill="auto"/>
            <w:noWrap/>
            <w:vAlign w:val="bottom"/>
            <w:hideMark/>
          </w:tcPr>
          <w:p w14:paraId="23ACC764"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94.5%</w:t>
            </w:r>
          </w:p>
        </w:tc>
      </w:tr>
      <w:tr w:rsidR="00D24507" w:rsidRPr="005623AE" w14:paraId="545B00E5"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1FCC68B4"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7FD973BD"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132,018 </w:t>
            </w:r>
          </w:p>
        </w:tc>
        <w:tc>
          <w:tcPr>
            <w:tcW w:w="2477" w:type="dxa"/>
            <w:tcBorders>
              <w:top w:val="nil"/>
              <w:left w:val="nil"/>
              <w:bottom w:val="single" w:sz="4" w:space="0" w:color="auto"/>
              <w:right w:val="single" w:sz="4" w:space="0" w:color="auto"/>
            </w:tcBorders>
            <w:shd w:val="clear" w:color="auto" w:fill="auto"/>
            <w:noWrap/>
            <w:vAlign w:val="bottom"/>
            <w:hideMark/>
          </w:tcPr>
          <w:p w14:paraId="543A1C42"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5.5%</w:t>
            </w:r>
          </w:p>
        </w:tc>
      </w:tr>
      <w:tr w:rsidR="00D24507" w:rsidRPr="005623AE" w14:paraId="46C366FA"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FFF2CC"/>
            <w:noWrap/>
            <w:vAlign w:val="bottom"/>
            <w:hideMark/>
          </w:tcPr>
          <w:p w14:paraId="423E20C4" w14:textId="77777777" w:rsidR="00D24507" w:rsidRPr="005623AE" w:rsidRDefault="00D24507" w:rsidP="006C2106">
            <w:pPr>
              <w:rPr>
                <w:rFonts w:ascii="Calibri" w:hAnsi="Calibri" w:cs="Calibri"/>
                <w:b/>
                <w:bCs/>
                <w:color w:val="000000"/>
                <w:sz w:val="22"/>
                <w:szCs w:val="22"/>
              </w:rPr>
            </w:pPr>
            <w:r w:rsidRPr="005623AE">
              <w:rPr>
                <w:rFonts w:ascii="Calibri" w:hAnsi="Calibri" w:cs="Calibri"/>
                <w:b/>
                <w:bCs/>
                <w:color w:val="000000"/>
                <w:sz w:val="22"/>
                <w:szCs w:val="22"/>
              </w:rPr>
              <w:t>Female CLF</w:t>
            </w:r>
          </w:p>
        </w:tc>
        <w:tc>
          <w:tcPr>
            <w:tcW w:w="5332" w:type="dxa"/>
            <w:gridSpan w:val="2"/>
            <w:tcBorders>
              <w:top w:val="nil"/>
              <w:left w:val="nil"/>
              <w:bottom w:val="single" w:sz="4" w:space="0" w:color="auto"/>
              <w:right w:val="single" w:sz="4" w:space="0" w:color="auto"/>
            </w:tcBorders>
            <w:shd w:val="clear" w:color="000000" w:fill="FFF2CC"/>
            <w:noWrap/>
            <w:vAlign w:val="center"/>
            <w:hideMark/>
          </w:tcPr>
          <w:p w14:paraId="647BD54B" w14:textId="77777777" w:rsidR="00D24507" w:rsidRPr="005623AE" w:rsidRDefault="00D24507" w:rsidP="006C2106">
            <w:pPr>
              <w:jc w:val="center"/>
              <w:rPr>
                <w:rFonts w:ascii="Calibri" w:hAnsi="Calibri" w:cs="Calibri"/>
                <w:b/>
                <w:bCs/>
                <w:color w:val="000000"/>
                <w:sz w:val="22"/>
                <w:szCs w:val="22"/>
              </w:rPr>
            </w:pPr>
            <w:r w:rsidRPr="005623AE">
              <w:rPr>
                <w:rFonts w:ascii="Calibri" w:hAnsi="Calibri" w:cs="Calibri"/>
                <w:b/>
                <w:bCs/>
                <w:color w:val="000000"/>
                <w:sz w:val="22"/>
                <w:szCs w:val="22"/>
              </w:rPr>
              <w:t>2,204,386</w:t>
            </w:r>
          </w:p>
          <w:p w14:paraId="7DB29321" w14:textId="77777777" w:rsidR="00D24507" w:rsidRPr="005623AE" w:rsidRDefault="00D24507" w:rsidP="006C2106">
            <w:pPr>
              <w:jc w:val="center"/>
              <w:rPr>
                <w:rFonts w:ascii="Calibri" w:hAnsi="Calibri" w:cs="Calibri"/>
                <w:b/>
                <w:bCs/>
                <w:color w:val="000000"/>
                <w:sz w:val="22"/>
                <w:szCs w:val="22"/>
              </w:rPr>
            </w:pPr>
          </w:p>
        </w:tc>
      </w:tr>
      <w:tr w:rsidR="00D24507" w:rsidRPr="005623AE" w14:paraId="1C39F2CD"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515266C0"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613CBD19"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2,074,327 </w:t>
            </w:r>
          </w:p>
        </w:tc>
        <w:tc>
          <w:tcPr>
            <w:tcW w:w="2477" w:type="dxa"/>
            <w:tcBorders>
              <w:top w:val="nil"/>
              <w:left w:val="nil"/>
              <w:bottom w:val="single" w:sz="4" w:space="0" w:color="auto"/>
              <w:right w:val="single" w:sz="4" w:space="0" w:color="auto"/>
            </w:tcBorders>
            <w:shd w:val="clear" w:color="auto" w:fill="auto"/>
            <w:noWrap/>
            <w:vAlign w:val="bottom"/>
            <w:hideMark/>
          </w:tcPr>
          <w:p w14:paraId="722F50C1"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94.1%</w:t>
            </w:r>
          </w:p>
        </w:tc>
      </w:tr>
      <w:tr w:rsidR="00D24507" w:rsidRPr="005623AE" w14:paraId="010ACBC9"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76247185"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6F23ED5B"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130,059 </w:t>
            </w:r>
          </w:p>
        </w:tc>
        <w:tc>
          <w:tcPr>
            <w:tcW w:w="2477" w:type="dxa"/>
            <w:tcBorders>
              <w:top w:val="nil"/>
              <w:left w:val="nil"/>
              <w:bottom w:val="single" w:sz="4" w:space="0" w:color="auto"/>
              <w:right w:val="single" w:sz="4" w:space="0" w:color="auto"/>
            </w:tcBorders>
            <w:shd w:val="clear" w:color="auto" w:fill="auto"/>
            <w:noWrap/>
            <w:vAlign w:val="bottom"/>
            <w:hideMark/>
          </w:tcPr>
          <w:p w14:paraId="5055A794"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5.9%</w:t>
            </w:r>
          </w:p>
        </w:tc>
      </w:tr>
      <w:tr w:rsidR="00D24507" w:rsidRPr="005623AE" w14:paraId="25A06460"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B4C6E7"/>
            <w:noWrap/>
            <w:vAlign w:val="bottom"/>
            <w:hideMark/>
          </w:tcPr>
          <w:p w14:paraId="16388A88" w14:textId="77777777" w:rsidR="00D24507" w:rsidRPr="005623AE" w:rsidRDefault="00D24507" w:rsidP="006C2106">
            <w:pPr>
              <w:rPr>
                <w:rFonts w:ascii="Calibri" w:hAnsi="Calibri" w:cs="Calibri"/>
                <w:b/>
                <w:bCs/>
                <w:color w:val="000000"/>
                <w:sz w:val="22"/>
                <w:szCs w:val="22"/>
              </w:rPr>
            </w:pPr>
            <w:r w:rsidRPr="005623AE">
              <w:rPr>
                <w:rFonts w:ascii="Calibri" w:hAnsi="Calibri" w:cs="Calibri"/>
                <w:b/>
                <w:bCs/>
                <w:color w:val="000000"/>
                <w:sz w:val="22"/>
                <w:szCs w:val="22"/>
              </w:rPr>
              <w:t>White CLF</w:t>
            </w:r>
          </w:p>
        </w:tc>
        <w:tc>
          <w:tcPr>
            <w:tcW w:w="5332" w:type="dxa"/>
            <w:gridSpan w:val="2"/>
            <w:tcBorders>
              <w:top w:val="nil"/>
              <w:left w:val="nil"/>
              <w:bottom w:val="single" w:sz="4" w:space="0" w:color="auto"/>
              <w:right w:val="single" w:sz="4" w:space="0" w:color="auto"/>
            </w:tcBorders>
            <w:shd w:val="clear" w:color="000000" w:fill="B4C6E7"/>
            <w:noWrap/>
            <w:vAlign w:val="center"/>
            <w:hideMark/>
          </w:tcPr>
          <w:p w14:paraId="122732D7" w14:textId="77777777" w:rsidR="00D24507" w:rsidRPr="005623AE" w:rsidRDefault="00D24507" w:rsidP="006C2106">
            <w:pPr>
              <w:jc w:val="center"/>
              <w:rPr>
                <w:rFonts w:ascii="Calibri" w:hAnsi="Calibri" w:cs="Calibri"/>
                <w:b/>
                <w:bCs/>
                <w:color w:val="000000"/>
                <w:sz w:val="22"/>
                <w:szCs w:val="22"/>
              </w:rPr>
            </w:pPr>
            <w:r w:rsidRPr="005623AE">
              <w:rPr>
                <w:rFonts w:ascii="Calibri" w:hAnsi="Calibri" w:cs="Calibri"/>
                <w:b/>
                <w:bCs/>
                <w:color w:val="000000"/>
                <w:sz w:val="22"/>
                <w:szCs w:val="22"/>
              </w:rPr>
              <w:t>3,547,225</w:t>
            </w:r>
          </w:p>
          <w:p w14:paraId="04D62043" w14:textId="77777777" w:rsidR="00D24507" w:rsidRPr="005623AE" w:rsidRDefault="00D24507" w:rsidP="006C2106">
            <w:pPr>
              <w:jc w:val="center"/>
              <w:rPr>
                <w:rFonts w:ascii="Calibri" w:hAnsi="Calibri" w:cs="Calibri"/>
                <w:b/>
                <w:bCs/>
                <w:color w:val="000000"/>
                <w:sz w:val="22"/>
                <w:szCs w:val="22"/>
              </w:rPr>
            </w:pPr>
          </w:p>
        </w:tc>
      </w:tr>
      <w:tr w:rsidR="00D24507" w:rsidRPr="005623AE" w14:paraId="5C999A1D"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15377149"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0B01B468"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3,369,864 </w:t>
            </w:r>
          </w:p>
        </w:tc>
        <w:tc>
          <w:tcPr>
            <w:tcW w:w="2477" w:type="dxa"/>
            <w:tcBorders>
              <w:top w:val="nil"/>
              <w:left w:val="nil"/>
              <w:bottom w:val="single" w:sz="4" w:space="0" w:color="auto"/>
              <w:right w:val="single" w:sz="4" w:space="0" w:color="auto"/>
            </w:tcBorders>
            <w:shd w:val="clear" w:color="auto" w:fill="auto"/>
            <w:noWrap/>
            <w:vAlign w:val="bottom"/>
            <w:hideMark/>
          </w:tcPr>
          <w:p w14:paraId="5B72C26C"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95.0%</w:t>
            </w:r>
          </w:p>
        </w:tc>
      </w:tr>
      <w:tr w:rsidR="00D24507" w:rsidRPr="005623AE" w14:paraId="691DD06D"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0BBA29D9"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7FE41F1A"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177,361 </w:t>
            </w:r>
          </w:p>
        </w:tc>
        <w:tc>
          <w:tcPr>
            <w:tcW w:w="2477" w:type="dxa"/>
            <w:tcBorders>
              <w:top w:val="nil"/>
              <w:left w:val="nil"/>
              <w:bottom w:val="single" w:sz="4" w:space="0" w:color="auto"/>
              <w:right w:val="single" w:sz="4" w:space="0" w:color="auto"/>
            </w:tcBorders>
            <w:shd w:val="clear" w:color="auto" w:fill="auto"/>
            <w:noWrap/>
            <w:vAlign w:val="bottom"/>
            <w:hideMark/>
          </w:tcPr>
          <w:p w14:paraId="6D8A2E44"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5.0%</w:t>
            </w:r>
          </w:p>
        </w:tc>
      </w:tr>
      <w:tr w:rsidR="00D24507" w:rsidRPr="005623AE" w14:paraId="4975179C"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FFF2CC"/>
            <w:noWrap/>
            <w:vAlign w:val="bottom"/>
            <w:hideMark/>
          </w:tcPr>
          <w:p w14:paraId="37D1CAD4" w14:textId="77777777" w:rsidR="00D24507" w:rsidRPr="005623AE" w:rsidRDefault="00D24507" w:rsidP="006C2106">
            <w:pPr>
              <w:rPr>
                <w:rFonts w:ascii="Calibri" w:hAnsi="Calibri" w:cs="Calibri"/>
                <w:b/>
                <w:bCs/>
                <w:color w:val="000000"/>
                <w:sz w:val="22"/>
                <w:szCs w:val="22"/>
              </w:rPr>
            </w:pPr>
            <w:r w:rsidRPr="005623AE">
              <w:rPr>
                <w:rFonts w:ascii="Calibri" w:hAnsi="Calibri" w:cs="Calibri"/>
                <w:b/>
                <w:bCs/>
                <w:color w:val="000000"/>
                <w:sz w:val="22"/>
                <w:szCs w:val="22"/>
              </w:rPr>
              <w:t>Black CLF</w:t>
            </w:r>
          </w:p>
        </w:tc>
        <w:tc>
          <w:tcPr>
            <w:tcW w:w="5332" w:type="dxa"/>
            <w:gridSpan w:val="2"/>
            <w:tcBorders>
              <w:top w:val="nil"/>
              <w:left w:val="nil"/>
              <w:bottom w:val="single" w:sz="4" w:space="0" w:color="auto"/>
              <w:right w:val="single" w:sz="4" w:space="0" w:color="auto"/>
            </w:tcBorders>
            <w:shd w:val="clear" w:color="000000" w:fill="FFF2CC"/>
            <w:noWrap/>
            <w:vAlign w:val="center"/>
            <w:hideMark/>
          </w:tcPr>
          <w:p w14:paraId="065EE9B5" w14:textId="77777777" w:rsidR="00D24507" w:rsidRPr="005623AE" w:rsidRDefault="00D24507" w:rsidP="006C2106">
            <w:pPr>
              <w:jc w:val="center"/>
              <w:rPr>
                <w:rFonts w:ascii="Calibri" w:hAnsi="Calibri" w:cs="Calibri"/>
                <w:b/>
                <w:bCs/>
                <w:color w:val="000000"/>
                <w:sz w:val="22"/>
                <w:szCs w:val="22"/>
              </w:rPr>
            </w:pPr>
            <w:r w:rsidRPr="005623AE">
              <w:rPr>
                <w:rFonts w:ascii="Calibri" w:hAnsi="Calibri" w:cs="Calibri"/>
                <w:b/>
                <w:bCs/>
                <w:color w:val="000000"/>
                <w:sz w:val="22"/>
                <w:szCs w:val="22"/>
              </w:rPr>
              <w:t>1,076,649</w:t>
            </w:r>
          </w:p>
          <w:p w14:paraId="02386B32" w14:textId="77777777" w:rsidR="00D24507" w:rsidRPr="005623AE" w:rsidRDefault="00D24507" w:rsidP="006C2106">
            <w:pPr>
              <w:jc w:val="center"/>
              <w:rPr>
                <w:rFonts w:ascii="Calibri" w:hAnsi="Calibri" w:cs="Calibri"/>
                <w:b/>
                <w:bCs/>
                <w:color w:val="000000"/>
                <w:sz w:val="22"/>
                <w:szCs w:val="22"/>
              </w:rPr>
            </w:pPr>
          </w:p>
        </w:tc>
      </w:tr>
      <w:tr w:rsidR="00D24507" w:rsidRPr="005623AE" w14:paraId="1FF81A57"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2C17893A"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1DF8407A"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965,754 </w:t>
            </w:r>
          </w:p>
        </w:tc>
        <w:tc>
          <w:tcPr>
            <w:tcW w:w="2477" w:type="dxa"/>
            <w:tcBorders>
              <w:top w:val="nil"/>
              <w:left w:val="nil"/>
              <w:bottom w:val="single" w:sz="4" w:space="0" w:color="auto"/>
              <w:right w:val="single" w:sz="4" w:space="0" w:color="auto"/>
            </w:tcBorders>
            <w:shd w:val="clear" w:color="auto" w:fill="auto"/>
            <w:noWrap/>
            <w:vAlign w:val="bottom"/>
            <w:hideMark/>
          </w:tcPr>
          <w:p w14:paraId="57CE49F5"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89.7%</w:t>
            </w:r>
          </w:p>
        </w:tc>
      </w:tr>
      <w:tr w:rsidR="00D24507" w:rsidRPr="005623AE" w14:paraId="7F5A862E"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0C174962"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7466FCE8"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110,895 </w:t>
            </w:r>
          </w:p>
        </w:tc>
        <w:tc>
          <w:tcPr>
            <w:tcW w:w="2477" w:type="dxa"/>
            <w:tcBorders>
              <w:top w:val="nil"/>
              <w:left w:val="nil"/>
              <w:bottom w:val="single" w:sz="4" w:space="0" w:color="auto"/>
              <w:right w:val="single" w:sz="4" w:space="0" w:color="auto"/>
            </w:tcBorders>
            <w:shd w:val="clear" w:color="auto" w:fill="auto"/>
            <w:noWrap/>
            <w:vAlign w:val="bottom"/>
            <w:hideMark/>
          </w:tcPr>
          <w:p w14:paraId="2E0134FC"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10.3%</w:t>
            </w:r>
          </w:p>
        </w:tc>
      </w:tr>
      <w:tr w:rsidR="00D24507" w:rsidRPr="005623AE" w14:paraId="2DE970EC"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FFF2CC"/>
            <w:noWrap/>
            <w:vAlign w:val="bottom"/>
            <w:hideMark/>
          </w:tcPr>
          <w:p w14:paraId="4EDA7C5C" w14:textId="77777777" w:rsidR="00D24507" w:rsidRPr="005623AE" w:rsidRDefault="00D24507" w:rsidP="006C2106">
            <w:pPr>
              <w:rPr>
                <w:rFonts w:ascii="Calibri" w:hAnsi="Calibri" w:cs="Calibri"/>
                <w:b/>
                <w:bCs/>
                <w:color w:val="000000"/>
                <w:sz w:val="22"/>
                <w:szCs w:val="22"/>
              </w:rPr>
            </w:pPr>
            <w:r w:rsidRPr="005623AE">
              <w:rPr>
                <w:rFonts w:ascii="Calibri" w:hAnsi="Calibri" w:cs="Calibri"/>
                <w:b/>
                <w:bCs/>
                <w:color w:val="000000"/>
                <w:sz w:val="22"/>
                <w:szCs w:val="22"/>
              </w:rPr>
              <w:t>Asian CLF</w:t>
            </w:r>
          </w:p>
        </w:tc>
        <w:tc>
          <w:tcPr>
            <w:tcW w:w="5332" w:type="dxa"/>
            <w:gridSpan w:val="2"/>
            <w:tcBorders>
              <w:top w:val="nil"/>
              <w:left w:val="nil"/>
              <w:bottom w:val="single" w:sz="4" w:space="0" w:color="auto"/>
              <w:right w:val="single" w:sz="4" w:space="0" w:color="auto"/>
            </w:tcBorders>
            <w:shd w:val="clear" w:color="000000" w:fill="FFF2CC"/>
            <w:noWrap/>
            <w:vAlign w:val="center"/>
            <w:hideMark/>
          </w:tcPr>
          <w:p w14:paraId="2EE1B3C2" w14:textId="77777777" w:rsidR="00D24507" w:rsidRPr="005623AE" w:rsidRDefault="00D24507" w:rsidP="006C2106">
            <w:pPr>
              <w:jc w:val="center"/>
              <w:rPr>
                <w:rFonts w:ascii="Calibri" w:hAnsi="Calibri" w:cs="Calibri"/>
                <w:b/>
                <w:bCs/>
                <w:color w:val="000000"/>
                <w:sz w:val="22"/>
                <w:szCs w:val="22"/>
              </w:rPr>
            </w:pPr>
            <w:r w:rsidRPr="005623AE">
              <w:rPr>
                <w:rFonts w:ascii="Calibri" w:hAnsi="Calibri" w:cs="Calibri"/>
                <w:b/>
                <w:bCs/>
                <w:color w:val="000000"/>
                <w:sz w:val="22"/>
                <w:szCs w:val="22"/>
              </w:rPr>
              <w:t>149,171</w:t>
            </w:r>
          </w:p>
          <w:p w14:paraId="23B9E741" w14:textId="77777777" w:rsidR="00D24507" w:rsidRPr="005623AE" w:rsidRDefault="00D24507" w:rsidP="006C2106">
            <w:pPr>
              <w:jc w:val="center"/>
              <w:rPr>
                <w:rFonts w:ascii="Calibri" w:hAnsi="Calibri" w:cs="Calibri"/>
                <w:b/>
                <w:bCs/>
                <w:color w:val="000000"/>
                <w:sz w:val="22"/>
                <w:szCs w:val="22"/>
              </w:rPr>
            </w:pPr>
          </w:p>
        </w:tc>
      </w:tr>
      <w:tr w:rsidR="00D24507" w:rsidRPr="005623AE" w14:paraId="68F27EED"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6F9DCC12"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13AAD38A"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142,011 </w:t>
            </w:r>
          </w:p>
        </w:tc>
        <w:tc>
          <w:tcPr>
            <w:tcW w:w="2477" w:type="dxa"/>
            <w:tcBorders>
              <w:top w:val="nil"/>
              <w:left w:val="nil"/>
              <w:bottom w:val="single" w:sz="4" w:space="0" w:color="auto"/>
              <w:right w:val="single" w:sz="4" w:space="0" w:color="auto"/>
            </w:tcBorders>
            <w:shd w:val="clear" w:color="auto" w:fill="auto"/>
            <w:noWrap/>
            <w:vAlign w:val="bottom"/>
            <w:hideMark/>
          </w:tcPr>
          <w:p w14:paraId="1B82187F"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95.2%</w:t>
            </w:r>
          </w:p>
        </w:tc>
      </w:tr>
      <w:tr w:rsidR="00D24507" w:rsidRPr="005623AE" w14:paraId="3DC7E598"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39FC2C2E"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1A37B1A3"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7,160 </w:t>
            </w:r>
          </w:p>
        </w:tc>
        <w:tc>
          <w:tcPr>
            <w:tcW w:w="2477" w:type="dxa"/>
            <w:tcBorders>
              <w:top w:val="nil"/>
              <w:left w:val="nil"/>
              <w:bottom w:val="single" w:sz="4" w:space="0" w:color="auto"/>
              <w:right w:val="single" w:sz="4" w:space="0" w:color="auto"/>
            </w:tcBorders>
            <w:shd w:val="clear" w:color="auto" w:fill="auto"/>
            <w:noWrap/>
            <w:vAlign w:val="bottom"/>
            <w:hideMark/>
          </w:tcPr>
          <w:p w14:paraId="65A67448"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4.8%</w:t>
            </w:r>
          </w:p>
        </w:tc>
      </w:tr>
      <w:tr w:rsidR="00D24507" w:rsidRPr="005623AE" w14:paraId="13727DA3" w14:textId="77777777" w:rsidTr="006C2106">
        <w:trPr>
          <w:trHeight w:val="209"/>
        </w:trPr>
        <w:tc>
          <w:tcPr>
            <w:tcW w:w="4054" w:type="dxa"/>
            <w:tcBorders>
              <w:top w:val="nil"/>
              <w:left w:val="single" w:sz="4" w:space="0" w:color="auto"/>
              <w:bottom w:val="single" w:sz="4" w:space="0" w:color="auto"/>
              <w:right w:val="single" w:sz="4" w:space="0" w:color="auto"/>
            </w:tcBorders>
            <w:shd w:val="clear" w:color="000000" w:fill="FFF2CC"/>
            <w:noWrap/>
            <w:vAlign w:val="bottom"/>
            <w:hideMark/>
          </w:tcPr>
          <w:p w14:paraId="38BFC03A" w14:textId="77777777" w:rsidR="00D24507" w:rsidRPr="005623AE" w:rsidRDefault="00D24507" w:rsidP="006C2106">
            <w:pPr>
              <w:rPr>
                <w:rFonts w:ascii="Calibri" w:hAnsi="Calibri" w:cs="Calibri"/>
                <w:b/>
                <w:bCs/>
                <w:color w:val="000000"/>
                <w:sz w:val="22"/>
                <w:szCs w:val="22"/>
              </w:rPr>
            </w:pPr>
            <w:r w:rsidRPr="005623AE">
              <w:rPr>
                <w:rFonts w:ascii="Calibri" w:hAnsi="Calibri" w:cs="Calibri"/>
                <w:b/>
                <w:bCs/>
                <w:color w:val="000000"/>
                <w:sz w:val="22"/>
                <w:szCs w:val="22"/>
              </w:rPr>
              <w:t>Hispanic CLF</w:t>
            </w:r>
          </w:p>
        </w:tc>
        <w:tc>
          <w:tcPr>
            <w:tcW w:w="5332" w:type="dxa"/>
            <w:gridSpan w:val="2"/>
            <w:tcBorders>
              <w:top w:val="nil"/>
              <w:left w:val="nil"/>
              <w:bottom w:val="single" w:sz="4" w:space="0" w:color="auto"/>
              <w:right w:val="single" w:sz="4" w:space="0" w:color="auto"/>
            </w:tcBorders>
            <w:shd w:val="clear" w:color="000000" w:fill="FFF2CC"/>
            <w:noWrap/>
            <w:vAlign w:val="center"/>
            <w:hideMark/>
          </w:tcPr>
          <w:p w14:paraId="2F3E39E7" w14:textId="77777777" w:rsidR="00D24507" w:rsidRPr="005623AE" w:rsidRDefault="00D24507" w:rsidP="006C2106">
            <w:pPr>
              <w:jc w:val="center"/>
              <w:rPr>
                <w:rFonts w:ascii="Calibri" w:hAnsi="Calibri" w:cs="Calibri"/>
                <w:b/>
                <w:bCs/>
                <w:color w:val="000000"/>
                <w:sz w:val="22"/>
                <w:szCs w:val="22"/>
              </w:rPr>
            </w:pPr>
            <w:r w:rsidRPr="005623AE">
              <w:rPr>
                <w:rFonts w:ascii="Calibri" w:hAnsi="Calibri" w:cs="Calibri"/>
                <w:b/>
                <w:bCs/>
                <w:color w:val="000000"/>
                <w:sz w:val="22"/>
                <w:szCs w:val="22"/>
              </w:rPr>
              <w:t>435,762</w:t>
            </w:r>
          </w:p>
          <w:p w14:paraId="01401BAD" w14:textId="77777777" w:rsidR="00D24507" w:rsidRPr="005623AE" w:rsidRDefault="00D24507" w:rsidP="006C2106">
            <w:pPr>
              <w:jc w:val="center"/>
              <w:rPr>
                <w:rFonts w:ascii="Calibri" w:hAnsi="Calibri" w:cs="Calibri"/>
                <w:b/>
                <w:bCs/>
                <w:color w:val="000000"/>
                <w:sz w:val="22"/>
                <w:szCs w:val="22"/>
              </w:rPr>
            </w:pPr>
          </w:p>
        </w:tc>
      </w:tr>
      <w:tr w:rsidR="00D24507" w:rsidRPr="005623AE" w14:paraId="78A4C427"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2A4A9C20"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lastRenderedPageBreak/>
              <w:t xml:space="preserve">      </w:t>
            </w:r>
            <w:r w:rsidRPr="005623AE">
              <w:rPr>
                <w:rFonts w:ascii="Calibri" w:hAnsi="Calibri" w:cs="Calibri"/>
                <w:color w:val="000000"/>
                <w:sz w:val="22"/>
                <w:szCs w:val="22"/>
              </w:rPr>
              <w:t>Employed</w:t>
            </w:r>
          </w:p>
        </w:tc>
        <w:tc>
          <w:tcPr>
            <w:tcW w:w="2855" w:type="dxa"/>
            <w:tcBorders>
              <w:top w:val="nil"/>
              <w:left w:val="nil"/>
              <w:bottom w:val="single" w:sz="4" w:space="0" w:color="auto"/>
              <w:right w:val="single" w:sz="4" w:space="0" w:color="auto"/>
            </w:tcBorders>
            <w:shd w:val="clear" w:color="auto" w:fill="auto"/>
            <w:noWrap/>
            <w:vAlign w:val="bottom"/>
            <w:hideMark/>
          </w:tcPr>
          <w:p w14:paraId="0B5448AA"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414,410 </w:t>
            </w:r>
          </w:p>
        </w:tc>
        <w:tc>
          <w:tcPr>
            <w:tcW w:w="2477" w:type="dxa"/>
            <w:tcBorders>
              <w:top w:val="nil"/>
              <w:left w:val="nil"/>
              <w:bottom w:val="single" w:sz="4" w:space="0" w:color="auto"/>
              <w:right w:val="single" w:sz="4" w:space="0" w:color="auto"/>
            </w:tcBorders>
            <w:shd w:val="clear" w:color="auto" w:fill="auto"/>
            <w:noWrap/>
            <w:vAlign w:val="bottom"/>
            <w:hideMark/>
          </w:tcPr>
          <w:p w14:paraId="3B745319"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95.1%</w:t>
            </w:r>
          </w:p>
        </w:tc>
      </w:tr>
      <w:tr w:rsidR="00D24507" w:rsidRPr="005623AE" w14:paraId="3066529E" w14:textId="77777777" w:rsidTr="006C2106">
        <w:trPr>
          <w:trHeight w:val="20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6405FB0F" w14:textId="77777777" w:rsidR="00D24507" w:rsidRPr="005623AE" w:rsidRDefault="00D24507" w:rsidP="006C2106">
            <w:pPr>
              <w:rPr>
                <w:rFonts w:ascii="Calibri" w:hAnsi="Calibri" w:cs="Calibri"/>
                <w:color w:val="000000"/>
                <w:sz w:val="22"/>
                <w:szCs w:val="22"/>
              </w:rPr>
            </w:pPr>
            <w:r>
              <w:rPr>
                <w:rFonts w:ascii="Calibri" w:hAnsi="Calibri" w:cs="Calibri"/>
                <w:color w:val="000000"/>
                <w:sz w:val="22"/>
                <w:szCs w:val="22"/>
              </w:rPr>
              <w:t xml:space="preserve">      </w:t>
            </w:r>
            <w:r w:rsidRPr="005623AE">
              <w:rPr>
                <w:rFonts w:ascii="Calibri" w:hAnsi="Calibri" w:cs="Calibri"/>
                <w:color w:val="000000"/>
                <w:sz w:val="22"/>
                <w:szCs w:val="22"/>
              </w:rPr>
              <w:t>Unemployed</w:t>
            </w:r>
          </w:p>
        </w:tc>
        <w:tc>
          <w:tcPr>
            <w:tcW w:w="2855" w:type="dxa"/>
            <w:tcBorders>
              <w:top w:val="nil"/>
              <w:left w:val="nil"/>
              <w:bottom w:val="single" w:sz="4" w:space="0" w:color="auto"/>
              <w:right w:val="single" w:sz="4" w:space="0" w:color="auto"/>
            </w:tcBorders>
            <w:shd w:val="clear" w:color="auto" w:fill="auto"/>
            <w:noWrap/>
            <w:vAlign w:val="bottom"/>
            <w:hideMark/>
          </w:tcPr>
          <w:p w14:paraId="547D680F"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 xml:space="preserve">                      21,352 </w:t>
            </w:r>
          </w:p>
        </w:tc>
        <w:tc>
          <w:tcPr>
            <w:tcW w:w="2477" w:type="dxa"/>
            <w:tcBorders>
              <w:top w:val="nil"/>
              <w:left w:val="nil"/>
              <w:bottom w:val="single" w:sz="4" w:space="0" w:color="auto"/>
              <w:right w:val="single" w:sz="4" w:space="0" w:color="auto"/>
            </w:tcBorders>
            <w:shd w:val="clear" w:color="auto" w:fill="auto"/>
            <w:noWrap/>
            <w:vAlign w:val="bottom"/>
            <w:hideMark/>
          </w:tcPr>
          <w:p w14:paraId="6A0DD9B8" w14:textId="77777777" w:rsidR="00D24507" w:rsidRPr="005623AE" w:rsidRDefault="00D24507" w:rsidP="006C2106">
            <w:pPr>
              <w:jc w:val="right"/>
              <w:rPr>
                <w:rFonts w:ascii="Calibri" w:hAnsi="Calibri" w:cs="Calibri"/>
                <w:color w:val="000000"/>
                <w:sz w:val="22"/>
                <w:szCs w:val="22"/>
              </w:rPr>
            </w:pPr>
            <w:r w:rsidRPr="005623AE">
              <w:rPr>
                <w:rFonts w:ascii="Calibri" w:hAnsi="Calibri" w:cs="Calibri"/>
                <w:color w:val="000000"/>
                <w:sz w:val="22"/>
                <w:szCs w:val="22"/>
              </w:rPr>
              <w:t>4.9%</w:t>
            </w:r>
          </w:p>
        </w:tc>
      </w:tr>
    </w:tbl>
    <w:p w14:paraId="607C4B04" w14:textId="77777777" w:rsidR="00D24507" w:rsidRDefault="00D24507" w:rsidP="00D24507">
      <w:pPr>
        <w:rPr>
          <w:sz w:val="16"/>
          <w:szCs w:val="16"/>
        </w:rPr>
      </w:pPr>
      <w:r>
        <w:rPr>
          <w:sz w:val="16"/>
          <w:szCs w:val="16"/>
        </w:rPr>
        <w:t>S</w:t>
      </w:r>
      <w:r w:rsidRPr="00104C93">
        <w:rPr>
          <w:sz w:val="16"/>
          <w:szCs w:val="16"/>
        </w:rPr>
        <w:t xml:space="preserve">ource: 2014-2018 American Community Survey: </w:t>
      </w:r>
      <w:r>
        <w:rPr>
          <w:sz w:val="16"/>
          <w:szCs w:val="16"/>
        </w:rPr>
        <w:t>S2301</w:t>
      </w:r>
    </w:p>
    <w:p w14:paraId="1B56CD92" w14:textId="77777777" w:rsidR="00D24507" w:rsidRDefault="00D24507" w:rsidP="00D24507">
      <w:pPr>
        <w:pStyle w:val="Caption"/>
      </w:pPr>
    </w:p>
    <w:p w14:paraId="5672A26F" w14:textId="77777777" w:rsidR="0039740D" w:rsidRDefault="0039740D" w:rsidP="00D24507">
      <w:pPr>
        <w:pStyle w:val="Caption"/>
      </w:pPr>
    </w:p>
    <w:p w14:paraId="6C1909D7" w14:textId="71D5D90C" w:rsidR="00D24507" w:rsidRDefault="00D24507" w:rsidP="00D24507">
      <w:pPr>
        <w:pStyle w:val="Caption"/>
      </w:pPr>
      <w:r>
        <w:rPr>
          <w:noProof/>
        </w:rPr>
        <w:drawing>
          <wp:anchor distT="0" distB="0" distL="114300" distR="114300" simplePos="0" relativeHeight="251671552" behindDoc="0" locked="0" layoutInCell="1" allowOverlap="1" wp14:anchorId="2D00047D" wp14:editId="74B8EC2D">
            <wp:simplePos x="0" y="0"/>
            <wp:positionH relativeFrom="margin">
              <wp:align>right</wp:align>
            </wp:positionH>
            <wp:positionV relativeFrom="paragraph">
              <wp:posOffset>128905</wp:posOffset>
            </wp:positionV>
            <wp:extent cx="5934710" cy="2967355"/>
            <wp:effectExtent l="0" t="0" r="889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11</w:t>
        </w:r>
      </w:fldSimple>
      <w:r>
        <w:t xml:space="preserve"> Unemployment Rate, 2018</w:t>
      </w:r>
    </w:p>
    <w:p w14:paraId="179B78F7" w14:textId="77777777" w:rsidR="00D24507" w:rsidRDefault="00D24507" w:rsidP="00D24507">
      <w:pPr>
        <w:rPr>
          <w:sz w:val="16"/>
          <w:szCs w:val="16"/>
        </w:rPr>
      </w:pPr>
      <w:r>
        <w:rPr>
          <w:sz w:val="16"/>
          <w:szCs w:val="16"/>
        </w:rPr>
        <w:t>S</w:t>
      </w:r>
      <w:r w:rsidRPr="00104C93">
        <w:rPr>
          <w:sz w:val="16"/>
          <w:szCs w:val="16"/>
        </w:rPr>
        <w:t xml:space="preserve">ource: 2014-2018 American Community Survey: </w:t>
      </w:r>
      <w:r>
        <w:rPr>
          <w:sz w:val="16"/>
          <w:szCs w:val="16"/>
        </w:rPr>
        <w:t>S2301</w:t>
      </w:r>
    </w:p>
    <w:p w14:paraId="427C58F2" w14:textId="77777777" w:rsidR="00D24507" w:rsidRPr="005000CB" w:rsidRDefault="00D24507" w:rsidP="00D24507"/>
    <w:p w14:paraId="376D251D" w14:textId="78B76A41" w:rsidR="00D24507" w:rsidRDefault="00D24507" w:rsidP="00D24507">
      <w:pPr>
        <w:spacing w:after="240"/>
        <w:jc w:val="both"/>
      </w:pPr>
      <w:r w:rsidRPr="00F05337">
        <w:t xml:space="preserve">The poverty rate in </w:t>
      </w:r>
      <w:r>
        <w:t>North Carolina</w:t>
      </w:r>
      <w:r w:rsidRPr="00F05337">
        <w:t xml:space="preserve"> was 15.4% in 2018 - down from 17.5% in 2010 and slightly above the national rate of 14.1%. The only racial groups with below average poverty rates are Whites and Asians. In 2018, the poverty rates among Black and Hispanic persons were 23.5% and 28.5%, respectively. Members of the protected classes are disproportionately affected by this issue, as they are far more likely to have lower incomes or </w:t>
      </w:r>
      <w:proofErr w:type="gramStart"/>
      <w:r w:rsidRPr="00F05337">
        <w:t>live</w:t>
      </w:r>
      <w:r w:rsidR="00A35D22">
        <w:t xml:space="preserve"> </w:t>
      </w:r>
      <w:r w:rsidRPr="00F05337">
        <w:t>in</w:t>
      </w:r>
      <w:proofErr w:type="gramEnd"/>
      <w:r w:rsidRPr="00F05337">
        <w:t xml:space="preserve"> poverty.</w:t>
      </w:r>
      <w:r>
        <w:t xml:space="preserve"> The rural portions of the Coastal Plains region see the highest rates of poverty.</w:t>
      </w:r>
    </w:p>
    <w:p w14:paraId="7135A445" w14:textId="0A3C166C" w:rsidR="00D24507" w:rsidRDefault="00D24507" w:rsidP="00D24507">
      <w:pPr>
        <w:pStyle w:val="Caption"/>
        <w:ind w:left="1710"/>
      </w:pPr>
      <w:r>
        <w:t xml:space="preserve">Table </w:t>
      </w:r>
      <w:fldSimple w:instr=" SEQ Table \* ARABIC ">
        <w:r w:rsidR="0055251A">
          <w:rPr>
            <w:noProof/>
          </w:rPr>
          <w:t>15</w:t>
        </w:r>
      </w:fldSimple>
      <w:r>
        <w:t xml:space="preserve"> </w:t>
      </w:r>
      <w:r w:rsidRPr="00524C4B">
        <w:t>Poverty Status by Race/Ethnicity, 2018</w:t>
      </w:r>
    </w:p>
    <w:tbl>
      <w:tblPr>
        <w:tblW w:w="5960" w:type="dxa"/>
        <w:jc w:val="center"/>
        <w:tblLook w:val="04A0" w:firstRow="1" w:lastRow="0" w:firstColumn="1" w:lastColumn="0" w:noHBand="0" w:noVBand="1"/>
      </w:tblPr>
      <w:tblGrid>
        <w:gridCol w:w="2520"/>
        <w:gridCol w:w="1720"/>
        <w:gridCol w:w="1720"/>
      </w:tblGrid>
      <w:tr w:rsidR="00D24507" w:rsidRPr="00524C4B" w14:paraId="69F13C48" w14:textId="77777777" w:rsidTr="006C2106">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000000" w:fill="4472C4"/>
            <w:noWrap/>
            <w:vAlign w:val="bottom"/>
          </w:tcPr>
          <w:p w14:paraId="31EBE9FF" w14:textId="77777777" w:rsidR="00D24507" w:rsidRPr="00524C4B" w:rsidRDefault="00D24507" w:rsidP="006C2106">
            <w:pPr>
              <w:rPr>
                <w:rFonts w:ascii="Calibri" w:hAnsi="Calibri" w:cs="Calibri"/>
                <w:b/>
                <w:bCs/>
                <w:color w:val="FFFFFF"/>
                <w:sz w:val="22"/>
                <w:szCs w:val="22"/>
              </w:rPr>
            </w:pPr>
          </w:p>
        </w:tc>
        <w:tc>
          <w:tcPr>
            <w:tcW w:w="1720" w:type="dxa"/>
            <w:tcBorders>
              <w:top w:val="single" w:sz="4" w:space="0" w:color="auto"/>
              <w:left w:val="nil"/>
              <w:bottom w:val="single" w:sz="4" w:space="0" w:color="auto"/>
              <w:right w:val="single" w:sz="4" w:space="0" w:color="auto"/>
            </w:tcBorders>
            <w:shd w:val="clear" w:color="000000" w:fill="4472C4"/>
            <w:noWrap/>
            <w:vAlign w:val="bottom"/>
          </w:tcPr>
          <w:p w14:paraId="427CAA16" w14:textId="77777777" w:rsidR="00D24507" w:rsidRPr="00524C4B" w:rsidRDefault="00D24507" w:rsidP="006C2106">
            <w:pPr>
              <w:rPr>
                <w:rFonts w:ascii="Calibri" w:hAnsi="Calibri" w:cs="Calibri"/>
                <w:b/>
                <w:bCs/>
                <w:color w:val="FFFFFF"/>
                <w:sz w:val="22"/>
                <w:szCs w:val="22"/>
              </w:rPr>
            </w:pPr>
            <w:r>
              <w:rPr>
                <w:rFonts w:ascii="Calibri" w:hAnsi="Calibri" w:cs="Calibri"/>
                <w:b/>
                <w:bCs/>
                <w:color w:val="FFFFFF"/>
                <w:sz w:val="22"/>
                <w:szCs w:val="22"/>
              </w:rPr>
              <w:t>Poverty Rate</w:t>
            </w:r>
          </w:p>
        </w:tc>
        <w:tc>
          <w:tcPr>
            <w:tcW w:w="1720" w:type="dxa"/>
            <w:tcBorders>
              <w:top w:val="single" w:sz="4" w:space="0" w:color="auto"/>
              <w:left w:val="nil"/>
              <w:bottom w:val="single" w:sz="4" w:space="0" w:color="auto"/>
              <w:right w:val="single" w:sz="4" w:space="0" w:color="auto"/>
            </w:tcBorders>
            <w:shd w:val="clear" w:color="000000" w:fill="4472C4"/>
          </w:tcPr>
          <w:p w14:paraId="4395EEA6" w14:textId="77777777" w:rsidR="00D24507" w:rsidRPr="00524C4B" w:rsidRDefault="00D24507" w:rsidP="006C2106">
            <w:pPr>
              <w:rPr>
                <w:rFonts w:ascii="Calibri" w:hAnsi="Calibri" w:cs="Calibri"/>
                <w:b/>
                <w:bCs/>
                <w:color w:val="FFFFFF"/>
                <w:sz w:val="22"/>
                <w:szCs w:val="22"/>
              </w:rPr>
            </w:pPr>
          </w:p>
        </w:tc>
      </w:tr>
      <w:tr w:rsidR="00D24507" w:rsidRPr="00524C4B" w14:paraId="6983C9AF" w14:textId="77777777" w:rsidTr="006C2106">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66A27829" w14:textId="77777777" w:rsidR="00D24507" w:rsidRPr="00524C4B" w:rsidRDefault="00D24507" w:rsidP="006C2106">
            <w:pPr>
              <w:rPr>
                <w:rFonts w:ascii="Calibri" w:hAnsi="Calibri" w:cs="Calibri"/>
                <w:b/>
                <w:bCs/>
                <w:color w:val="FFFFFF"/>
                <w:sz w:val="22"/>
                <w:szCs w:val="22"/>
              </w:rPr>
            </w:pPr>
            <w:r w:rsidRPr="00524C4B">
              <w:rPr>
                <w:rFonts w:ascii="Calibri" w:hAnsi="Calibri" w:cs="Calibri"/>
                <w:b/>
                <w:bCs/>
                <w:color w:val="FFFFFF"/>
                <w:sz w:val="22"/>
                <w:szCs w:val="22"/>
              </w:rPr>
              <w:t>Population</w:t>
            </w:r>
          </w:p>
        </w:tc>
        <w:tc>
          <w:tcPr>
            <w:tcW w:w="1720" w:type="dxa"/>
            <w:tcBorders>
              <w:top w:val="single" w:sz="4" w:space="0" w:color="auto"/>
              <w:left w:val="nil"/>
              <w:bottom w:val="single" w:sz="4" w:space="0" w:color="auto"/>
              <w:right w:val="single" w:sz="4" w:space="0" w:color="auto"/>
            </w:tcBorders>
            <w:shd w:val="clear" w:color="000000" w:fill="4472C4"/>
            <w:noWrap/>
            <w:vAlign w:val="bottom"/>
            <w:hideMark/>
          </w:tcPr>
          <w:p w14:paraId="01E8AD37" w14:textId="77777777" w:rsidR="00D24507" w:rsidRPr="00524C4B" w:rsidRDefault="00D24507" w:rsidP="006C2106">
            <w:pPr>
              <w:rPr>
                <w:rFonts w:ascii="Calibri" w:hAnsi="Calibri" w:cs="Calibri"/>
                <w:b/>
                <w:bCs/>
                <w:color w:val="FFFFFF"/>
                <w:sz w:val="22"/>
                <w:szCs w:val="22"/>
              </w:rPr>
            </w:pPr>
            <w:r>
              <w:rPr>
                <w:rFonts w:ascii="Calibri" w:hAnsi="Calibri" w:cs="Calibri"/>
                <w:b/>
                <w:bCs/>
                <w:color w:val="FFFFFF"/>
                <w:sz w:val="22"/>
                <w:szCs w:val="22"/>
              </w:rPr>
              <w:t>2010</w:t>
            </w:r>
          </w:p>
        </w:tc>
        <w:tc>
          <w:tcPr>
            <w:tcW w:w="1720" w:type="dxa"/>
            <w:tcBorders>
              <w:top w:val="single" w:sz="4" w:space="0" w:color="auto"/>
              <w:left w:val="nil"/>
              <w:bottom w:val="single" w:sz="4" w:space="0" w:color="auto"/>
              <w:right w:val="single" w:sz="4" w:space="0" w:color="auto"/>
            </w:tcBorders>
            <w:shd w:val="clear" w:color="000000" w:fill="4472C4"/>
          </w:tcPr>
          <w:p w14:paraId="5649D52B" w14:textId="77777777" w:rsidR="00D24507" w:rsidRPr="00524C4B" w:rsidRDefault="00D24507" w:rsidP="006C2106">
            <w:pPr>
              <w:rPr>
                <w:rFonts w:ascii="Calibri" w:hAnsi="Calibri" w:cs="Calibri"/>
                <w:b/>
                <w:bCs/>
                <w:color w:val="FFFFFF"/>
                <w:sz w:val="22"/>
                <w:szCs w:val="22"/>
              </w:rPr>
            </w:pPr>
            <w:r>
              <w:rPr>
                <w:rFonts w:ascii="Calibri" w:hAnsi="Calibri" w:cs="Calibri"/>
                <w:b/>
                <w:bCs/>
                <w:color w:val="FFFFFF"/>
                <w:sz w:val="22"/>
                <w:szCs w:val="22"/>
              </w:rPr>
              <w:t>2018</w:t>
            </w:r>
          </w:p>
        </w:tc>
      </w:tr>
      <w:tr w:rsidR="00D24507" w:rsidRPr="00524C4B" w14:paraId="26899CEF"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000000" w:fill="B4C6E7"/>
            <w:noWrap/>
            <w:vAlign w:val="bottom"/>
            <w:hideMark/>
          </w:tcPr>
          <w:p w14:paraId="7FDD211A" w14:textId="77777777" w:rsidR="00D24507" w:rsidRPr="00524C4B" w:rsidRDefault="00D24507" w:rsidP="006C2106">
            <w:pPr>
              <w:rPr>
                <w:rFonts w:ascii="Calibri" w:hAnsi="Calibri" w:cs="Calibri"/>
                <w:color w:val="000000"/>
                <w:sz w:val="22"/>
                <w:szCs w:val="22"/>
              </w:rPr>
            </w:pPr>
            <w:r w:rsidRPr="00524C4B">
              <w:rPr>
                <w:rFonts w:ascii="Calibri" w:hAnsi="Calibri" w:cs="Calibri"/>
                <w:color w:val="000000"/>
                <w:sz w:val="22"/>
                <w:szCs w:val="22"/>
              </w:rPr>
              <w:t>Statewide</w:t>
            </w:r>
          </w:p>
        </w:tc>
        <w:tc>
          <w:tcPr>
            <w:tcW w:w="1720" w:type="dxa"/>
            <w:tcBorders>
              <w:top w:val="nil"/>
              <w:left w:val="nil"/>
              <w:bottom w:val="single" w:sz="4" w:space="0" w:color="auto"/>
              <w:right w:val="single" w:sz="4" w:space="0" w:color="auto"/>
            </w:tcBorders>
            <w:shd w:val="clear" w:color="000000" w:fill="B4C6E7"/>
            <w:noWrap/>
            <w:vAlign w:val="bottom"/>
          </w:tcPr>
          <w:p w14:paraId="614BDD2D"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17.5%</w:t>
            </w:r>
          </w:p>
        </w:tc>
        <w:tc>
          <w:tcPr>
            <w:tcW w:w="1720" w:type="dxa"/>
            <w:tcBorders>
              <w:top w:val="nil"/>
              <w:left w:val="nil"/>
              <w:bottom w:val="single" w:sz="4" w:space="0" w:color="auto"/>
              <w:right w:val="single" w:sz="4" w:space="0" w:color="auto"/>
            </w:tcBorders>
            <w:shd w:val="clear" w:color="000000" w:fill="B4C6E7"/>
            <w:vAlign w:val="bottom"/>
          </w:tcPr>
          <w:p w14:paraId="3670F591"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15.4</w:t>
            </w:r>
            <w:r w:rsidRPr="00524C4B">
              <w:rPr>
                <w:rFonts w:ascii="Calibri" w:hAnsi="Calibri" w:cs="Calibri"/>
                <w:color w:val="000000"/>
                <w:sz w:val="22"/>
                <w:szCs w:val="22"/>
              </w:rPr>
              <w:t>%</w:t>
            </w:r>
          </w:p>
        </w:tc>
      </w:tr>
      <w:tr w:rsidR="00D24507" w:rsidRPr="00524C4B" w14:paraId="5482C511"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8564DD3" w14:textId="77777777" w:rsidR="00D24507" w:rsidRPr="00524C4B" w:rsidRDefault="00D24507" w:rsidP="006C2106">
            <w:pPr>
              <w:rPr>
                <w:rFonts w:ascii="Calibri" w:hAnsi="Calibri" w:cs="Calibri"/>
                <w:color w:val="000000"/>
                <w:sz w:val="22"/>
                <w:szCs w:val="22"/>
              </w:rPr>
            </w:pPr>
            <w:r w:rsidRPr="00524C4B">
              <w:rPr>
                <w:rFonts w:ascii="Calibri" w:hAnsi="Calibri" w:cs="Calibri"/>
                <w:color w:val="000000"/>
                <w:sz w:val="22"/>
                <w:szCs w:val="22"/>
              </w:rPr>
              <w:t xml:space="preserve">      White</w:t>
            </w:r>
          </w:p>
        </w:tc>
        <w:tc>
          <w:tcPr>
            <w:tcW w:w="1720" w:type="dxa"/>
            <w:tcBorders>
              <w:top w:val="nil"/>
              <w:left w:val="nil"/>
              <w:bottom w:val="single" w:sz="4" w:space="0" w:color="auto"/>
              <w:right w:val="single" w:sz="4" w:space="0" w:color="auto"/>
            </w:tcBorders>
            <w:shd w:val="clear" w:color="auto" w:fill="auto"/>
            <w:noWrap/>
            <w:vAlign w:val="bottom"/>
          </w:tcPr>
          <w:p w14:paraId="71F458B0"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13.2%</w:t>
            </w:r>
          </w:p>
        </w:tc>
        <w:tc>
          <w:tcPr>
            <w:tcW w:w="1720" w:type="dxa"/>
            <w:tcBorders>
              <w:top w:val="nil"/>
              <w:left w:val="nil"/>
              <w:bottom w:val="single" w:sz="4" w:space="0" w:color="auto"/>
              <w:right w:val="single" w:sz="4" w:space="0" w:color="auto"/>
            </w:tcBorders>
            <w:vAlign w:val="bottom"/>
          </w:tcPr>
          <w:p w14:paraId="45FB4B41"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12.1</w:t>
            </w:r>
            <w:r w:rsidRPr="00524C4B">
              <w:rPr>
                <w:rFonts w:ascii="Calibri" w:hAnsi="Calibri" w:cs="Calibri"/>
                <w:color w:val="000000"/>
                <w:sz w:val="22"/>
                <w:szCs w:val="22"/>
              </w:rPr>
              <w:t>%</w:t>
            </w:r>
          </w:p>
        </w:tc>
      </w:tr>
      <w:tr w:rsidR="00D24507" w:rsidRPr="00524C4B" w14:paraId="2A2AE1CC"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7CF0FD1" w14:textId="77777777" w:rsidR="00D24507" w:rsidRPr="00524C4B" w:rsidRDefault="00D24507" w:rsidP="006C2106">
            <w:pPr>
              <w:rPr>
                <w:rFonts w:ascii="Calibri" w:hAnsi="Calibri" w:cs="Calibri"/>
                <w:color w:val="000000"/>
                <w:sz w:val="22"/>
                <w:szCs w:val="22"/>
              </w:rPr>
            </w:pPr>
            <w:r w:rsidRPr="00524C4B">
              <w:rPr>
                <w:rFonts w:ascii="Calibri" w:hAnsi="Calibri" w:cs="Calibri"/>
                <w:color w:val="000000"/>
                <w:sz w:val="22"/>
                <w:szCs w:val="22"/>
              </w:rPr>
              <w:t xml:space="preserve">      Black</w:t>
            </w:r>
          </w:p>
        </w:tc>
        <w:tc>
          <w:tcPr>
            <w:tcW w:w="1720" w:type="dxa"/>
            <w:tcBorders>
              <w:top w:val="nil"/>
              <w:left w:val="nil"/>
              <w:bottom w:val="single" w:sz="4" w:space="0" w:color="auto"/>
              <w:right w:val="single" w:sz="4" w:space="0" w:color="auto"/>
            </w:tcBorders>
            <w:shd w:val="clear" w:color="auto" w:fill="auto"/>
            <w:noWrap/>
            <w:vAlign w:val="bottom"/>
          </w:tcPr>
          <w:p w14:paraId="1D9E9B52"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27.7%</w:t>
            </w:r>
          </w:p>
        </w:tc>
        <w:tc>
          <w:tcPr>
            <w:tcW w:w="1720" w:type="dxa"/>
            <w:tcBorders>
              <w:top w:val="nil"/>
              <w:left w:val="nil"/>
              <w:bottom w:val="single" w:sz="4" w:space="0" w:color="auto"/>
              <w:right w:val="single" w:sz="4" w:space="0" w:color="auto"/>
            </w:tcBorders>
            <w:vAlign w:val="bottom"/>
          </w:tcPr>
          <w:p w14:paraId="68B95CD2" w14:textId="77777777" w:rsidR="00D24507" w:rsidRPr="00524C4B" w:rsidRDefault="00D24507" w:rsidP="006C2106">
            <w:pPr>
              <w:jc w:val="right"/>
              <w:rPr>
                <w:rFonts w:ascii="Calibri" w:hAnsi="Calibri" w:cs="Calibri"/>
                <w:color w:val="000000"/>
                <w:sz w:val="22"/>
                <w:szCs w:val="22"/>
              </w:rPr>
            </w:pPr>
            <w:r w:rsidRPr="00524C4B">
              <w:rPr>
                <w:rFonts w:ascii="Calibri" w:hAnsi="Calibri" w:cs="Calibri"/>
                <w:color w:val="000000"/>
                <w:sz w:val="22"/>
                <w:szCs w:val="22"/>
              </w:rPr>
              <w:t>2</w:t>
            </w:r>
            <w:r>
              <w:rPr>
                <w:rFonts w:ascii="Calibri" w:hAnsi="Calibri" w:cs="Calibri"/>
                <w:color w:val="000000"/>
                <w:sz w:val="22"/>
                <w:szCs w:val="22"/>
              </w:rPr>
              <w:t>3</w:t>
            </w:r>
            <w:r w:rsidRPr="00524C4B">
              <w:rPr>
                <w:rFonts w:ascii="Calibri" w:hAnsi="Calibri" w:cs="Calibri"/>
                <w:color w:val="000000"/>
                <w:sz w:val="22"/>
                <w:szCs w:val="22"/>
              </w:rPr>
              <w:t>.</w:t>
            </w:r>
            <w:r>
              <w:rPr>
                <w:rFonts w:ascii="Calibri" w:hAnsi="Calibri" w:cs="Calibri"/>
                <w:color w:val="000000"/>
                <w:sz w:val="22"/>
                <w:szCs w:val="22"/>
              </w:rPr>
              <w:t>5</w:t>
            </w:r>
            <w:r w:rsidRPr="00524C4B">
              <w:rPr>
                <w:rFonts w:ascii="Calibri" w:hAnsi="Calibri" w:cs="Calibri"/>
                <w:color w:val="000000"/>
                <w:sz w:val="22"/>
                <w:szCs w:val="22"/>
              </w:rPr>
              <w:t>%</w:t>
            </w:r>
          </w:p>
        </w:tc>
      </w:tr>
      <w:tr w:rsidR="00D24507" w:rsidRPr="00524C4B" w14:paraId="7F694247"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A250C1A" w14:textId="77777777" w:rsidR="00D24507" w:rsidRPr="00524C4B" w:rsidRDefault="00D24507" w:rsidP="006C2106">
            <w:pPr>
              <w:rPr>
                <w:rFonts w:ascii="Calibri" w:hAnsi="Calibri" w:cs="Calibri"/>
                <w:color w:val="000000"/>
                <w:sz w:val="22"/>
                <w:szCs w:val="22"/>
              </w:rPr>
            </w:pPr>
            <w:r w:rsidRPr="00524C4B">
              <w:rPr>
                <w:rFonts w:ascii="Calibri" w:hAnsi="Calibri" w:cs="Calibri"/>
                <w:color w:val="000000"/>
                <w:sz w:val="22"/>
                <w:szCs w:val="22"/>
              </w:rPr>
              <w:t xml:space="preserve">      Asian</w:t>
            </w:r>
          </w:p>
        </w:tc>
        <w:tc>
          <w:tcPr>
            <w:tcW w:w="1720" w:type="dxa"/>
            <w:tcBorders>
              <w:top w:val="nil"/>
              <w:left w:val="nil"/>
              <w:bottom w:val="single" w:sz="4" w:space="0" w:color="auto"/>
              <w:right w:val="single" w:sz="4" w:space="0" w:color="auto"/>
            </w:tcBorders>
            <w:shd w:val="clear" w:color="auto" w:fill="auto"/>
            <w:noWrap/>
            <w:vAlign w:val="bottom"/>
          </w:tcPr>
          <w:p w14:paraId="0A4E15BE"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14.1%</w:t>
            </w:r>
          </w:p>
        </w:tc>
        <w:tc>
          <w:tcPr>
            <w:tcW w:w="1720" w:type="dxa"/>
            <w:tcBorders>
              <w:top w:val="nil"/>
              <w:left w:val="nil"/>
              <w:bottom w:val="single" w:sz="4" w:space="0" w:color="auto"/>
              <w:right w:val="single" w:sz="4" w:space="0" w:color="auto"/>
            </w:tcBorders>
            <w:vAlign w:val="bottom"/>
          </w:tcPr>
          <w:p w14:paraId="70A4DAC2" w14:textId="77777777" w:rsidR="00D24507" w:rsidRPr="00524C4B" w:rsidRDefault="00D24507" w:rsidP="006C2106">
            <w:pPr>
              <w:jc w:val="right"/>
              <w:rPr>
                <w:rFonts w:ascii="Calibri" w:hAnsi="Calibri" w:cs="Calibri"/>
                <w:color w:val="000000"/>
                <w:sz w:val="22"/>
                <w:szCs w:val="22"/>
              </w:rPr>
            </w:pPr>
            <w:r w:rsidRPr="00524C4B">
              <w:rPr>
                <w:rFonts w:ascii="Calibri" w:hAnsi="Calibri" w:cs="Calibri"/>
                <w:color w:val="000000"/>
                <w:sz w:val="22"/>
                <w:szCs w:val="22"/>
              </w:rPr>
              <w:t>1</w:t>
            </w:r>
            <w:r>
              <w:rPr>
                <w:rFonts w:ascii="Calibri" w:hAnsi="Calibri" w:cs="Calibri"/>
                <w:color w:val="000000"/>
                <w:sz w:val="22"/>
                <w:szCs w:val="22"/>
              </w:rPr>
              <w:t>1.9</w:t>
            </w:r>
            <w:r w:rsidRPr="00524C4B">
              <w:rPr>
                <w:rFonts w:ascii="Calibri" w:hAnsi="Calibri" w:cs="Calibri"/>
                <w:color w:val="000000"/>
                <w:sz w:val="22"/>
                <w:szCs w:val="22"/>
              </w:rPr>
              <w:t>%</w:t>
            </w:r>
          </w:p>
        </w:tc>
      </w:tr>
      <w:tr w:rsidR="00D24507" w:rsidRPr="00524C4B" w14:paraId="5A1F3130" w14:textId="77777777" w:rsidTr="006C2106">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4209D1A" w14:textId="77777777" w:rsidR="00D24507" w:rsidRPr="00524C4B" w:rsidRDefault="00D24507" w:rsidP="006C2106">
            <w:pPr>
              <w:rPr>
                <w:rFonts w:ascii="Calibri" w:hAnsi="Calibri" w:cs="Calibri"/>
                <w:color w:val="000000"/>
                <w:sz w:val="22"/>
                <w:szCs w:val="22"/>
              </w:rPr>
            </w:pPr>
            <w:r w:rsidRPr="00524C4B">
              <w:rPr>
                <w:rFonts w:ascii="Calibri" w:hAnsi="Calibri" w:cs="Calibri"/>
                <w:color w:val="000000"/>
                <w:sz w:val="22"/>
                <w:szCs w:val="22"/>
              </w:rPr>
              <w:t xml:space="preserve">      Hispanic</w:t>
            </w:r>
          </w:p>
        </w:tc>
        <w:tc>
          <w:tcPr>
            <w:tcW w:w="1720" w:type="dxa"/>
            <w:tcBorders>
              <w:top w:val="nil"/>
              <w:left w:val="nil"/>
              <w:bottom w:val="single" w:sz="4" w:space="0" w:color="auto"/>
              <w:right w:val="single" w:sz="4" w:space="0" w:color="auto"/>
            </w:tcBorders>
            <w:shd w:val="clear" w:color="auto" w:fill="auto"/>
            <w:noWrap/>
            <w:vAlign w:val="bottom"/>
          </w:tcPr>
          <w:p w14:paraId="723792EF"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33.9%</w:t>
            </w:r>
          </w:p>
        </w:tc>
        <w:tc>
          <w:tcPr>
            <w:tcW w:w="1720" w:type="dxa"/>
            <w:tcBorders>
              <w:top w:val="nil"/>
              <w:left w:val="nil"/>
              <w:bottom w:val="single" w:sz="4" w:space="0" w:color="auto"/>
              <w:right w:val="single" w:sz="4" w:space="0" w:color="auto"/>
            </w:tcBorders>
            <w:vAlign w:val="bottom"/>
          </w:tcPr>
          <w:p w14:paraId="590CC645" w14:textId="77777777" w:rsidR="00D24507" w:rsidRPr="00524C4B" w:rsidRDefault="00D24507" w:rsidP="006C2106">
            <w:pPr>
              <w:jc w:val="right"/>
              <w:rPr>
                <w:rFonts w:ascii="Calibri" w:hAnsi="Calibri" w:cs="Calibri"/>
                <w:color w:val="000000"/>
                <w:sz w:val="22"/>
                <w:szCs w:val="22"/>
              </w:rPr>
            </w:pPr>
            <w:r>
              <w:rPr>
                <w:rFonts w:ascii="Calibri" w:hAnsi="Calibri" w:cs="Calibri"/>
                <w:color w:val="000000"/>
                <w:sz w:val="22"/>
                <w:szCs w:val="22"/>
              </w:rPr>
              <w:t>28.5</w:t>
            </w:r>
            <w:r w:rsidRPr="00524C4B">
              <w:rPr>
                <w:rFonts w:ascii="Calibri" w:hAnsi="Calibri" w:cs="Calibri"/>
                <w:color w:val="000000"/>
                <w:sz w:val="22"/>
                <w:szCs w:val="22"/>
              </w:rPr>
              <w:t>%</w:t>
            </w:r>
          </w:p>
        </w:tc>
      </w:tr>
    </w:tbl>
    <w:p w14:paraId="79AEDC65" w14:textId="77777777" w:rsidR="00D24507" w:rsidRDefault="00D24507" w:rsidP="00D24507">
      <w:pPr>
        <w:ind w:left="1620"/>
        <w:rPr>
          <w:sz w:val="16"/>
          <w:szCs w:val="16"/>
        </w:rPr>
      </w:pPr>
      <w:r>
        <w:rPr>
          <w:sz w:val="16"/>
          <w:szCs w:val="16"/>
        </w:rPr>
        <w:t xml:space="preserve"> S</w:t>
      </w:r>
      <w:r w:rsidRPr="00104C93">
        <w:rPr>
          <w:sz w:val="16"/>
          <w:szCs w:val="16"/>
        </w:rPr>
        <w:t xml:space="preserve">ource: </w:t>
      </w:r>
      <w:r>
        <w:rPr>
          <w:sz w:val="16"/>
          <w:szCs w:val="16"/>
        </w:rPr>
        <w:t xml:space="preserve">2006-2010 &amp; </w:t>
      </w:r>
      <w:r w:rsidRPr="00104C93">
        <w:rPr>
          <w:sz w:val="16"/>
          <w:szCs w:val="16"/>
        </w:rPr>
        <w:t xml:space="preserve">2014-2018 American Community Survey: </w:t>
      </w:r>
      <w:r>
        <w:rPr>
          <w:sz w:val="16"/>
          <w:szCs w:val="16"/>
        </w:rPr>
        <w:t>S1701</w:t>
      </w:r>
    </w:p>
    <w:p w14:paraId="444A065A" w14:textId="77777777" w:rsidR="00D24507" w:rsidRDefault="00D24507" w:rsidP="00D24507">
      <w:pPr>
        <w:rPr>
          <w:sz w:val="16"/>
          <w:szCs w:val="16"/>
        </w:rPr>
      </w:pPr>
    </w:p>
    <w:p w14:paraId="66E287AE" w14:textId="77777777" w:rsidR="00D24507" w:rsidRDefault="00D24507" w:rsidP="00D24507">
      <w:pPr>
        <w:spacing w:after="160" w:line="276" w:lineRule="auto"/>
        <w:rPr>
          <w:b/>
          <w:bCs/>
          <w:color w:val="404040" w:themeColor="text1" w:themeTint="BF"/>
          <w:sz w:val="16"/>
          <w:szCs w:val="16"/>
        </w:rPr>
      </w:pPr>
      <w:r>
        <w:br w:type="page"/>
      </w:r>
    </w:p>
    <w:p w14:paraId="1B7C0803" w14:textId="0867966C" w:rsidR="00D24507" w:rsidRDefault="00D24507" w:rsidP="00D24507">
      <w:pPr>
        <w:pStyle w:val="Caption"/>
      </w:pPr>
      <w:r>
        <w:lastRenderedPageBreak/>
        <w:t xml:space="preserve">Map </w:t>
      </w:r>
      <w:fldSimple w:instr=" SEQ Map \* ARABIC ">
        <w:r w:rsidR="0055251A">
          <w:rPr>
            <w:noProof/>
          </w:rPr>
          <w:t>12</w:t>
        </w:r>
      </w:fldSimple>
      <w:r>
        <w:t xml:space="preserve"> Poverty Rate, 2018</w:t>
      </w:r>
    </w:p>
    <w:p w14:paraId="004C20DA" w14:textId="77777777" w:rsidR="00D24507" w:rsidRPr="00421371" w:rsidRDefault="00D24507" w:rsidP="00D24507">
      <w:r>
        <w:rPr>
          <w:sz w:val="16"/>
          <w:szCs w:val="16"/>
        </w:rPr>
        <w:t>S</w:t>
      </w:r>
      <w:r w:rsidRPr="00104C93">
        <w:rPr>
          <w:sz w:val="16"/>
          <w:szCs w:val="16"/>
        </w:rPr>
        <w:t xml:space="preserve">ource: 2018 American Community Survey: </w:t>
      </w:r>
      <w:r>
        <w:rPr>
          <w:sz w:val="16"/>
          <w:szCs w:val="16"/>
        </w:rPr>
        <w:t>S1701</w:t>
      </w:r>
      <w:r>
        <w:rPr>
          <w:noProof/>
        </w:rPr>
        <w:drawing>
          <wp:anchor distT="0" distB="0" distL="114300" distR="114300" simplePos="0" relativeHeight="251672576" behindDoc="0" locked="0" layoutInCell="1" allowOverlap="1" wp14:anchorId="75496019" wp14:editId="1AF892B3">
            <wp:simplePos x="0" y="0"/>
            <wp:positionH relativeFrom="column">
              <wp:posOffset>0</wp:posOffset>
            </wp:positionH>
            <wp:positionV relativeFrom="paragraph">
              <wp:posOffset>0</wp:posOffset>
            </wp:positionV>
            <wp:extent cx="5934710" cy="2967355"/>
            <wp:effectExtent l="0" t="0" r="889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502CC" w14:textId="77777777" w:rsidR="00D24507" w:rsidRPr="00524C4B" w:rsidRDefault="00D24507" w:rsidP="00D24507">
      <w:pPr>
        <w:rPr>
          <w:sz w:val="16"/>
          <w:szCs w:val="16"/>
        </w:rPr>
      </w:pPr>
    </w:p>
    <w:p w14:paraId="0698F70C" w14:textId="77777777" w:rsidR="00D24507" w:rsidRDefault="00D24507" w:rsidP="00D24507">
      <w:pPr>
        <w:pStyle w:val="Heading2"/>
        <w:jc w:val="both"/>
      </w:pPr>
      <w:bookmarkStart w:id="31" w:name="_Toc47639980"/>
      <w:bookmarkStart w:id="32" w:name="_Toc66807914"/>
      <w:r>
        <w:t>Racially / Ethnically Concentrated Areas of Poverty</w:t>
      </w:r>
      <w:bookmarkEnd w:id="31"/>
      <w:bookmarkEnd w:id="32"/>
    </w:p>
    <w:p w14:paraId="354A4C48" w14:textId="77777777" w:rsidR="00D24507" w:rsidRDefault="00D24507" w:rsidP="00D24507">
      <w:pPr>
        <w:spacing w:after="240"/>
        <w:jc w:val="both"/>
      </w:pPr>
      <w:r w:rsidRPr="00944B40">
        <w:t>HUD defines R/ECAPs as census tracts with a non-White population of at least 50% (and 20% outside of metropolitan/micropolitan areas) and a poverty rate that either exceeds 40% or is three times the average tract poverty rate for the metropolitan/micropolitan area, whichever is lower. By combining these data, it is possible to determine geographic patterns where there are concentrated areas of poverty among racial/ethnic minorities.</w:t>
      </w:r>
      <w:r>
        <w:t xml:space="preserve"> </w:t>
      </w:r>
      <w:r w:rsidRPr="00CF2E5E">
        <w:t>Although ethnicity and race as defined by the US Census Bureau are not the same, this study uses rates of both non-White and Hispanic populations to map a single combined group of racial and ethnic concentrations, henceforth referred to collectively as "racially concentrated areas of poverty,” or RCAPs.</w:t>
      </w:r>
    </w:p>
    <w:p w14:paraId="7E5D2D4D" w14:textId="01265DB9" w:rsidR="00D24507" w:rsidRDefault="00D24507" w:rsidP="00D24507">
      <w:pPr>
        <w:pStyle w:val="Caption"/>
      </w:pPr>
      <w:r>
        <w:t xml:space="preserve">Table </w:t>
      </w:r>
      <w:fldSimple w:instr=" SEQ Table \* ARABIC ">
        <w:r w:rsidR="0055251A">
          <w:rPr>
            <w:noProof/>
          </w:rPr>
          <w:t>16</w:t>
        </w:r>
      </w:fldSimple>
      <w:r>
        <w:t xml:space="preserve"> R/ECAPs in North Carolina, 2018</w:t>
      </w:r>
    </w:p>
    <w:tbl>
      <w:tblPr>
        <w:tblW w:w="9375" w:type="dxa"/>
        <w:tblLook w:val="04A0" w:firstRow="1" w:lastRow="0" w:firstColumn="1" w:lastColumn="0" w:noHBand="0" w:noVBand="1"/>
      </w:tblPr>
      <w:tblGrid>
        <w:gridCol w:w="2670"/>
        <w:gridCol w:w="2572"/>
        <w:gridCol w:w="1489"/>
        <w:gridCol w:w="1371"/>
        <w:gridCol w:w="1273"/>
      </w:tblGrid>
      <w:tr w:rsidR="00D24507" w:rsidRPr="00537514" w14:paraId="74E4ED37" w14:textId="77777777" w:rsidTr="006C2106">
        <w:trPr>
          <w:trHeight w:val="209"/>
          <w:tblHeader/>
        </w:trPr>
        <w:tc>
          <w:tcPr>
            <w:tcW w:w="267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79FE995" w14:textId="77777777" w:rsidR="00D24507" w:rsidRPr="00537514" w:rsidRDefault="00D24507" w:rsidP="006C2106">
            <w:pPr>
              <w:jc w:val="center"/>
              <w:rPr>
                <w:rFonts w:ascii="Calibri" w:hAnsi="Calibri" w:cs="Calibri"/>
                <w:b/>
                <w:bCs/>
                <w:color w:val="FFFFFF"/>
                <w:sz w:val="22"/>
                <w:szCs w:val="22"/>
              </w:rPr>
            </w:pPr>
            <w:bookmarkStart w:id="33" w:name="RANGE!A1:E68"/>
            <w:r w:rsidRPr="00537514">
              <w:rPr>
                <w:rFonts w:ascii="Calibri" w:hAnsi="Calibri" w:cs="Calibri"/>
                <w:b/>
                <w:bCs/>
                <w:color w:val="FFFFFF"/>
                <w:sz w:val="22"/>
                <w:szCs w:val="22"/>
              </w:rPr>
              <w:t>Census Tract</w:t>
            </w:r>
            <w:bookmarkEnd w:id="33"/>
          </w:p>
        </w:tc>
        <w:tc>
          <w:tcPr>
            <w:tcW w:w="2572" w:type="dxa"/>
            <w:tcBorders>
              <w:top w:val="single" w:sz="4" w:space="0" w:color="auto"/>
              <w:left w:val="nil"/>
              <w:bottom w:val="single" w:sz="4" w:space="0" w:color="auto"/>
              <w:right w:val="single" w:sz="4" w:space="0" w:color="auto"/>
            </w:tcBorders>
            <w:shd w:val="clear" w:color="000000" w:fill="4472C4"/>
            <w:noWrap/>
            <w:vAlign w:val="bottom"/>
            <w:hideMark/>
          </w:tcPr>
          <w:p w14:paraId="2CD0CC13" w14:textId="77777777" w:rsidR="00D24507" w:rsidRPr="00537514" w:rsidRDefault="00D24507" w:rsidP="006C2106">
            <w:pPr>
              <w:jc w:val="center"/>
              <w:rPr>
                <w:rFonts w:ascii="Calibri" w:hAnsi="Calibri" w:cs="Calibri"/>
                <w:b/>
                <w:bCs/>
                <w:color w:val="FFFFFF"/>
                <w:sz w:val="22"/>
                <w:szCs w:val="22"/>
              </w:rPr>
            </w:pPr>
            <w:r w:rsidRPr="00537514">
              <w:rPr>
                <w:rFonts w:ascii="Calibri" w:hAnsi="Calibri" w:cs="Calibri"/>
                <w:b/>
                <w:bCs/>
                <w:color w:val="FFFFFF"/>
                <w:sz w:val="22"/>
                <w:szCs w:val="22"/>
              </w:rPr>
              <w:t>County</w:t>
            </w:r>
          </w:p>
        </w:tc>
        <w:tc>
          <w:tcPr>
            <w:tcW w:w="1489" w:type="dxa"/>
            <w:tcBorders>
              <w:top w:val="single" w:sz="4" w:space="0" w:color="auto"/>
              <w:left w:val="nil"/>
              <w:bottom w:val="single" w:sz="4" w:space="0" w:color="auto"/>
              <w:right w:val="single" w:sz="4" w:space="0" w:color="auto"/>
            </w:tcBorders>
            <w:shd w:val="clear" w:color="000000" w:fill="4472C4"/>
            <w:noWrap/>
            <w:vAlign w:val="bottom"/>
            <w:hideMark/>
          </w:tcPr>
          <w:p w14:paraId="6131D1A9" w14:textId="77777777" w:rsidR="00D24507" w:rsidRPr="00537514" w:rsidRDefault="00D24507" w:rsidP="006C2106">
            <w:pPr>
              <w:jc w:val="center"/>
              <w:rPr>
                <w:rFonts w:ascii="Calibri" w:hAnsi="Calibri" w:cs="Calibri"/>
                <w:b/>
                <w:bCs/>
                <w:color w:val="FFFFFF"/>
                <w:sz w:val="22"/>
                <w:szCs w:val="22"/>
              </w:rPr>
            </w:pPr>
            <w:r w:rsidRPr="00537514">
              <w:rPr>
                <w:rFonts w:ascii="Calibri" w:hAnsi="Calibri" w:cs="Calibri"/>
                <w:b/>
                <w:bCs/>
                <w:color w:val="FFFFFF"/>
                <w:sz w:val="22"/>
                <w:szCs w:val="22"/>
              </w:rPr>
              <w:t>Population</w:t>
            </w:r>
          </w:p>
        </w:tc>
        <w:tc>
          <w:tcPr>
            <w:tcW w:w="1371" w:type="dxa"/>
            <w:tcBorders>
              <w:top w:val="single" w:sz="4" w:space="0" w:color="auto"/>
              <w:left w:val="nil"/>
              <w:bottom w:val="single" w:sz="4" w:space="0" w:color="auto"/>
              <w:right w:val="single" w:sz="4" w:space="0" w:color="auto"/>
            </w:tcBorders>
            <w:shd w:val="clear" w:color="000000" w:fill="4472C4"/>
            <w:noWrap/>
            <w:vAlign w:val="bottom"/>
            <w:hideMark/>
          </w:tcPr>
          <w:p w14:paraId="4F453BA7" w14:textId="77777777" w:rsidR="00D24507" w:rsidRPr="00537514" w:rsidRDefault="00D24507" w:rsidP="006C2106">
            <w:pPr>
              <w:jc w:val="center"/>
              <w:rPr>
                <w:rFonts w:ascii="Calibri" w:hAnsi="Calibri" w:cs="Calibri"/>
                <w:b/>
                <w:bCs/>
                <w:color w:val="FFFFFF"/>
                <w:sz w:val="22"/>
                <w:szCs w:val="22"/>
              </w:rPr>
            </w:pPr>
            <w:r w:rsidRPr="00537514">
              <w:rPr>
                <w:rFonts w:ascii="Calibri" w:hAnsi="Calibri" w:cs="Calibri"/>
                <w:b/>
                <w:bCs/>
                <w:color w:val="FFFFFF"/>
                <w:sz w:val="22"/>
                <w:szCs w:val="22"/>
              </w:rPr>
              <w:t>% Minority</w:t>
            </w:r>
          </w:p>
        </w:tc>
        <w:tc>
          <w:tcPr>
            <w:tcW w:w="1273" w:type="dxa"/>
            <w:tcBorders>
              <w:top w:val="single" w:sz="4" w:space="0" w:color="auto"/>
              <w:left w:val="nil"/>
              <w:bottom w:val="single" w:sz="4" w:space="0" w:color="auto"/>
              <w:right w:val="single" w:sz="4" w:space="0" w:color="auto"/>
            </w:tcBorders>
            <w:shd w:val="clear" w:color="000000" w:fill="4472C4"/>
            <w:noWrap/>
            <w:vAlign w:val="bottom"/>
            <w:hideMark/>
          </w:tcPr>
          <w:p w14:paraId="2E0E47CA" w14:textId="77777777" w:rsidR="00D24507" w:rsidRPr="00537514" w:rsidRDefault="00D24507" w:rsidP="006C2106">
            <w:pPr>
              <w:jc w:val="center"/>
              <w:rPr>
                <w:rFonts w:ascii="Calibri" w:hAnsi="Calibri" w:cs="Calibri"/>
                <w:b/>
                <w:bCs/>
                <w:color w:val="FFFFFF"/>
                <w:sz w:val="22"/>
                <w:szCs w:val="22"/>
              </w:rPr>
            </w:pPr>
            <w:r w:rsidRPr="00537514">
              <w:rPr>
                <w:rFonts w:ascii="Calibri" w:hAnsi="Calibri" w:cs="Calibri"/>
                <w:b/>
                <w:bCs/>
                <w:color w:val="FFFFFF"/>
                <w:sz w:val="22"/>
                <w:szCs w:val="22"/>
              </w:rPr>
              <w:t>% Poverty</w:t>
            </w:r>
          </w:p>
        </w:tc>
      </w:tr>
      <w:tr w:rsidR="00D24507" w:rsidRPr="00537514" w14:paraId="7898ECBA"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D6D593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210</w:t>
            </w:r>
          </w:p>
        </w:tc>
        <w:tc>
          <w:tcPr>
            <w:tcW w:w="2572" w:type="dxa"/>
            <w:tcBorders>
              <w:top w:val="nil"/>
              <w:left w:val="nil"/>
              <w:bottom w:val="single" w:sz="4" w:space="0" w:color="auto"/>
              <w:right w:val="single" w:sz="4" w:space="0" w:color="auto"/>
            </w:tcBorders>
            <w:shd w:val="clear" w:color="auto" w:fill="auto"/>
            <w:noWrap/>
            <w:vAlign w:val="bottom"/>
            <w:hideMark/>
          </w:tcPr>
          <w:p w14:paraId="3704146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Alamance County</w:t>
            </w:r>
          </w:p>
        </w:tc>
        <w:tc>
          <w:tcPr>
            <w:tcW w:w="1489" w:type="dxa"/>
            <w:tcBorders>
              <w:top w:val="nil"/>
              <w:left w:val="nil"/>
              <w:bottom w:val="single" w:sz="4" w:space="0" w:color="auto"/>
              <w:right w:val="single" w:sz="4" w:space="0" w:color="auto"/>
            </w:tcBorders>
            <w:shd w:val="clear" w:color="auto" w:fill="auto"/>
            <w:noWrap/>
            <w:vAlign w:val="bottom"/>
            <w:hideMark/>
          </w:tcPr>
          <w:p w14:paraId="328F9E9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3,749 </w:t>
            </w:r>
          </w:p>
        </w:tc>
        <w:tc>
          <w:tcPr>
            <w:tcW w:w="1371" w:type="dxa"/>
            <w:tcBorders>
              <w:top w:val="nil"/>
              <w:left w:val="nil"/>
              <w:bottom w:val="single" w:sz="4" w:space="0" w:color="auto"/>
              <w:right w:val="single" w:sz="4" w:space="0" w:color="auto"/>
            </w:tcBorders>
            <w:shd w:val="clear" w:color="auto" w:fill="auto"/>
            <w:noWrap/>
            <w:vAlign w:val="bottom"/>
            <w:hideMark/>
          </w:tcPr>
          <w:p w14:paraId="4AC2F0C6"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64.1%</w:t>
            </w:r>
          </w:p>
        </w:tc>
        <w:tc>
          <w:tcPr>
            <w:tcW w:w="1273" w:type="dxa"/>
            <w:tcBorders>
              <w:top w:val="nil"/>
              <w:left w:val="nil"/>
              <w:bottom w:val="single" w:sz="4" w:space="0" w:color="auto"/>
              <w:right w:val="single" w:sz="4" w:space="0" w:color="auto"/>
            </w:tcBorders>
            <w:shd w:val="clear" w:color="auto" w:fill="auto"/>
            <w:noWrap/>
            <w:vAlign w:val="bottom"/>
            <w:hideMark/>
          </w:tcPr>
          <w:p w14:paraId="339BBC7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40.5%</w:t>
            </w:r>
          </w:p>
        </w:tc>
      </w:tr>
      <w:tr w:rsidR="00D24507" w:rsidRPr="00537514" w14:paraId="3802AE76"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DBE85D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w:t>
            </w:r>
          </w:p>
        </w:tc>
        <w:tc>
          <w:tcPr>
            <w:tcW w:w="2572" w:type="dxa"/>
            <w:tcBorders>
              <w:top w:val="nil"/>
              <w:left w:val="nil"/>
              <w:bottom w:val="single" w:sz="4" w:space="0" w:color="auto"/>
              <w:right w:val="single" w:sz="4" w:space="0" w:color="auto"/>
            </w:tcBorders>
            <w:shd w:val="clear" w:color="auto" w:fill="auto"/>
            <w:noWrap/>
            <w:vAlign w:val="bottom"/>
            <w:hideMark/>
          </w:tcPr>
          <w:p w14:paraId="312092A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Buncombe County</w:t>
            </w:r>
          </w:p>
        </w:tc>
        <w:tc>
          <w:tcPr>
            <w:tcW w:w="1489" w:type="dxa"/>
            <w:tcBorders>
              <w:top w:val="nil"/>
              <w:left w:val="nil"/>
              <w:bottom w:val="single" w:sz="4" w:space="0" w:color="auto"/>
              <w:right w:val="single" w:sz="4" w:space="0" w:color="auto"/>
            </w:tcBorders>
            <w:shd w:val="clear" w:color="auto" w:fill="auto"/>
            <w:noWrap/>
            <w:vAlign w:val="bottom"/>
            <w:hideMark/>
          </w:tcPr>
          <w:p w14:paraId="49A6971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3,049 </w:t>
            </w:r>
          </w:p>
        </w:tc>
        <w:tc>
          <w:tcPr>
            <w:tcW w:w="1371" w:type="dxa"/>
            <w:tcBorders>
              <w:top w:val="nil"/>
              <w:left w:val="nil"/>
              <w:bottom w:val="single" w:sz="4" w:space="0" w:color="auto"/>
              <w:right w:val="single" w:sz="4" w:space="0" w:color="auto"/>
            </w:tcBorders>
            <w:shd w:val="clear" w:color="auto" w:fill="auto"/>
            <w:noWrap/>
            <w:vAlign w:val="bottom"/>
            <w:hideMark/>
          </w:tcPr>
          <w:p w14:paraId="16FFFED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52.6%</w:t>
            </w:r>
          </w:p>
        </w:tc>
        <w:tc>
          <w:tcPr>
            <w:tcW w:w="1273" w:type="dxa"/>
            <w:tcBorders>
              <w:top w:val="nil"/>
              <w:left w:val="nil"/>
              <w:bottom w:val="single" w:sz="4" w:space="0" w:color="auto"/>
              <w:right w:val="single" w:sz="4" w:space="0" w:color="auto"/>
            </w:tcBorders>
            <w:shd w:val="clear" w:color="auto" w:fill="auto"/>
            <w:noWrap/>
            <w:vAlign w:val="bottom"/>
            <w:hideMark/>
          </w:tcPr>
          <w:p w14:paraId="75E046A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40.8%</w:t>
            </w:r>
          </w:p>
        </w:tc>
      </w:tr>
      <w:tr w:rsidR="00D24507" w:rsidRPr="00537514" w14:paraId="08BC4BEE"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9EBB73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9608</w:t>
            </w:r>
          </w:p>
        </w:tc>
        <w:tc>
          <w:tcPr>
            <w:tcW w:w="2572" w:type="dxa"/>
            <w:tcBorders>
              <w:top w:val="nil"/>
              <w:left w:val="nil"/>
              <w:bottom w:val="single" w:sz="4" w:space="0" w:color="auto"/>
              <w:right w:val="single" w:sz="4" w:space="0" w:color="auto"/>
            </w:tcBorders>
            <w:shd w:val="clear" w:color="auto" w:fill="auto"/>
            <w:noWrap/>
            <w:vAlign w:val="bottom"/>
            <w:hideMark/>
          </w:tcPr>
          <w:p w14:paraId="42E0845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Craven County</w:t>
            </w:r>
          </w:p>
        </w:tc>
        <w:tc>
          <w:tcPr>
            <w:tcW w:w="1489" w:type="dxa"/>
            <w:tcBorders>
              <w:top w:val="nil"/>
              <w:left w:val="nil"/>
              <w:bottom w:val="single" w:sz="4" w:space="0" w:color="auto"/>
              <w:right w:val="single" w:sz="4" w:space="0" w:color="auto"/>
            </w:tcBorders>
            <w:shd w:val="clear" w:color="auto" w:fill="auto"/>
            <w:noWrap/>
            <w:vAlign w:val="bottom"/>
            <w:hideMark/>
          </w:tcPr>
          <w:p w14:paraId="3A428CE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2,397 </w:t>
            </w:r>
          </w:p>
        </w:tc>
        <w:tc>
          <w:tcPr>
            <w:tcW w:w="1371" w:type="dxa"/>
            <w:tcBorders>
              <w:top w:val="nil"/>
              <w:left w:val="nil"/>
              <w:bottom w:val="single" w:sz="4" w:space="0" w:color="auto"/>
              <w:right w:val="single" w:sz="4" w:space="0" w:color="auto"/>
            </w:tcBorders>
            <w:shd w:val="clear" w:color="auto" w:fill="auto"/>
            <w:noWrap/>
            <w:vAlign w:val="bottom"/>
            <w:hideMark/>
          </w:tcPr>
          <w:p w14:paraId="262508D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76.2%</w:t>
            </w:r>
          </w:p>
        </w:tc>
        <w:tc>
          <w:tcPr>
            <w:tcW w:w="1273" w:type="dxa"/>
            <w:tcBorders>
              <w:top w:val="nil"/>
              <w:left w:val="nil"/>
              <w:bottom w:val="single" w:sz="4" w:space="0" w:color="auto"/>
              <w:right w:val="single" w:sz="4" w:space="0" w:color="auto"/>
            </w:tcBorders>
            <w:shd w:val="clear" w:color="auto" w:fill="auto"/>
            <w:noWrap/>
            <w:vAlign w:val="bottom"/>
            <w:hideMark/>
          </w:tcPr>
          <w:p w14:paraId="75D1B291"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43.8%</w:t>
            </w:r>
          </w:p>
        </w:tc>
      </w:tr>
      <w:tr w:rsidR="00D24507" w:rsidRPr="00537514" w14:paraId="322C8E5C"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AB9A8A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w:t>
            </w:r>
          </w:p>
        </w:tc>
        <w:tc>
          <w:tcPr>
            <w:tcW w:w="2572" w:type="dxa"/>
            <w:tcBorders>
              <w:top w:val="nil"/>
              <w:left w:val="nil"/>
              <w:bottom w:val="single" w:sz="4" w:space="0" w:color="auto"/>
              <w:right w:val="single" w:sz="4" w:space="0" w:color="auto"/>
            </w:tcBorders>
            <w:shd w:val="clear" w:color="auto" w:fill="auto"/>
            <w:noWrap/>
            <w:vAlign w:val="bottom"/>
            <w:hideMark/>
          </w:tcPr>
          <w:p w14:paraId="7F86E0A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Cumberland County</w:t>
            </w:r>
          </w:p>
        </w:tc>
        <w:tc>
          <w:tcPr>
            <w:tcW w:w="1489" w:type="dxa"/>
            <w:tcBorders>
              <w:top w:val="nil"/>
              <w:left w:val="nil"/>
              <w:bottom w:val="single" w:sz="4" w:space="0" w:color="auto"/>
              <w:right w:val="single" w:sz="4" w:space="0" w:color="auto"/>
            </w:tcBorders>
            <w:shd w:val="clear" w:color="auto" w:fill="auto"/>
            <w:noWrap/>
            <w:vAlign w:val="bottom"/>
            <w:hideMark/>
          </w:tcPr>
          <w:p w14:paraId="74667C4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2,286 </w:t>
            </w:r>
          </w:p>
        </w:tc>
        <w:tc>
          <w:tcPr>
            <w:tcW w:w="1371" w:type="dxa"/>
            <w:tcBorders>
              <w:top w:val="nil"/>
              <w:left w:val="nil"/>
              <w:bottom w:val="single" w:sz="4" w:space="0" w:color="auto"/>
              <w:right w:val="single" w:sz="4" w:space="0" w:color="auto"/>
            </w:tcBorders>
            <w:shd w:val="clear" w:color="auto" w:fill="auto"/>
            <w:noWrap/>
            <w:vAlign w:val="bottom"/>
            <w:hideMark/>
          </w:tcPr>
          <w:p w14:paraId="1AB9ABF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90.6%</w:t>
            </w:r>
          </w:p>
        </w:tc>
        <w:tc>
          <w:tcPr>
            <w:tcW w:w="1273" w:type="dxa"/>
            <w:tcBorders>
              <w:top w:val="nil"/>
              <w:left w:val="nil"/>
              <w:bottom w:val="single" w:sz="4" w:space="0" w:color="auto"/>
              <w:right w:val="single" w:sz="4" w:space="0" w:color="auto"/>
            </w:tcBorders>
            <w:shd w:val="clear" w:color="auto" w:fill="auto"/>
            <w:noWrap/>
            <w:vAlign w:val="bottom"/>
            <w:hideMark/>
          </w:tcPr>
          <w:p w14:paraId="60081C2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56.4%</w:t>
            </w:r>
          </w:p>
        </w:tc>
      </w:tr>
      <w:tr w:rsidR="00D24507" w:rsidRPr="00537514" w14:paraId="690F12A8"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25E2DD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38</w:t>
            </w:r>
          </w:p>
        </w:tc>
        <w:tc>
          <w:tcPr>
            <w:tcW w:w="2572" w:type="dxa"/>
            <w:tcBorders>
              <w:top w:val="nil"/>
              <w:left w:val="nil"/>
              <w:bottom w:val="single" w:sz="4" w:space="0" w:color="auto"/>
              <w:right w:val="single" w:sz="4" w:space="0" w:color="auto"/>
            </w:tcBorders>
            <w:shd w:val="clear" w:color="auto" w:fill="auto"/>
            <w:noWrap/>
            <w:vAlign w:val="bottom"/>
            <w:hideMark/>
          </w:tcPr>
          <w:p w14:paraId="2212A4A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Cumberland County</w:t>
            </w:r>
          </w:p>
        </w:tc>
        <w:tc>
          <w:tcPr>
            <w:tcW w:w="1489" w:type="dxa"/>
            <w:tcBorders>
              <w:top w:val="nil"/>
              <w:left w:val="nil"/>
              <w:bottom w:val="single" w:sz="4" w:space="0" w:color="auto"/>
              <w:right w:val="single" w:sz="4" w:space="0" w:color="auto"/>
            </w:tcBorders>
            <w:shd w:val="clear" w:color="auto" w:fill="auto"/>
            <w:noWrap/>
            <w:vAlign w:val="bottom"/>
            <w:hideMark/>
          </w:tcPr>
          <w:p w14:paraId="40441A4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2,925 </w:t>
            </w:r>
          </w:p>
        </w:tc>
        <w:tc>
          <w:tcPr>
            <w:tcW w:w="1371" w:type="dxa"/>
            <w:tcBorders>
              <w:top w:val="nil"/>
              <w:left w:val="nil"/>
              <w:bottom w:val="single" w:sz="4" w:space="0" w:color="auto"/>
              <w:right w:val="single" w:sz="4" w:space="0" w:color="auto"/>
            </w:tcBorders>
            <w:shd w:val="clear" w:color="auto" w:fill="auto"/>
            <w:noWrap/>
            <w:vAlign w:val="bottom"/>
            <w:hideMark/>
          </w:tcPr>
          <w:p w14:paraId="0FAFD2D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88.0%</w:t>
            </w:r>
          </w:p>
        </w:tc>
        <w:tc>
          <w:tcPr>
            <w:tcW w:w="1273" w:type="dxa"/>
            <w:tcBorders>
              <w:top w:val="nil"/>
              <w:left w:val="nil"/>
              <w:bottom w:val="single" w:sz="4" w:space="0" w:color="auto"/>
              <w:right w:val="single" w:sz="4" w:space="0" w:color="auto"/>
            </w:tcBorders>
            <w:shd w:val="clear" w:color="auto" w:fill="auto"/>
            <w:noWrap/>
            <w:vAlign w:val="bottom"/>
            <w:hideMark/>
          </w:tcPr>
          <w:p w14:paraId="6737F71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40.7%</w:t>
            </w:r>
          </w:p>
        </w:tc>
      </w:tr>
      <w:tr w:rsidR="00D24507" w:rsidRPr="00537514" w14:paraId="06F53033"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24BA70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24.01</w:t>
            </w:r>
          </w:p>
        </w:tc>
        <w:tc>
          <w:tcPr>
            <w:tcW w:w="2572" w:type="dxa"/>
            <w:tcBorders>
              <w:top w:val="nil"/>
              <w:left w:val="nil"/>
              <w:bottom w:val="single" w:sz="4" w:space="0" w:color="auto"/>
              <w:right w:val="single" w:sz="4" w:space="0" w:color="auto"/>
            </w:tcBorders>
            <w:shd w:val="clear" w:color="auto" w:fill="auto"/>
            <w:noWrap/>
            <w:vAlign w:val="bottom"/>
            <w:hideMark/>
          </w:tcPr>
          <w:p w14:paraId="2B54666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Cumberland County</w:t>
            </w:r>
          </w:p>
        </w:tc>
        <w:tc>
          <w:tcPr>
            <w:tcW w:w="1489" w:type="dxa"/>
            <w:tcBorders>
              <w:top w:val="nil"/>
              <w:left w:val="nil"/>
              <w:bottom w:val="single" w:sz="4" w:space="0" w:color="auto"/>
              <w:right w:val="single" w:sz="4" w:space="0" w:color="auto"/>
            </w:tcBorders>
            <w:shd w:val="clear" w:color="auto" w:fill="auto"/>
            <w:noWrap/>
            <w:vAlign w:val="bottom"/>
            <w:hideMark/>
          </w:tcPr>
          <w:p w14:paraId="5FE95E9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1,542 </w:t>
            </w:r>
          </w:p>
        </w:tc>
        <w:tc>
          <w:tcPr>
            <w:tcW w:w="1371" w:type="dxa"/>
            <w:tcBorders>
              <w:top w:val="nil"/>
              <w:left w:val="nil"/>
              <w:bottom w:val="single" w:sz="4" w:space="0" w:color="auto"/>
              <w:right w:val="single" w:sz="4" w:space="0" w:color="auto"/>
            </w:tcBorders>
            <w:shd w:val="clear" w:color="auto" w:fill="auto"/>
            <w:noWrap/>
            <w:vAlign w:val="bottom"/>
            <w:hideMark/>
          </w:tcPr>
          <w:p w14:paraId="16DF1AF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87.2%</w:t>
            </w:r>
          </w:p>
        </w:tc>
        <w:tc>
          <w:tcPr>
            <w:tcW w:w="1273" w:type="dxa"/>
            <w:tcBorders>
              <w:top w:val="nil"/>
              <w:left w:val="nil"/>
              <w:bottom w:val="single" w:sz="4" w:space="0" w:color="auto"/>
              <w:right w:val="single" w:sz="4" w:space="0" w:color="auto"/>
            </w:tcBorders>
            <w:shd w:val="clear" w:color="auto" w:fill="auto"/>
            <w:noWrap/>
            <w:vAlign w:val="bottom"/>
            <w:hideMark/>
          </w:tcPr>
          <w:p w14:paraId="081ACB48"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43.9%</w:t>
            </w:r>
          </w:p>
        </w:tc>
      </w:tr>
      <w:tr w:rsidR="00D24507" w:rsidRPr="00537514" w14:paraId="63C1DA4B"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746B9F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w:t>
            </w:r>
          </w:p>
        </w:tc>
        <w:tc>
          <w:tcPr>
            <w:tcW w:w="2572" w:type="dxa"/>
            <w:tcBorders>
              <w:top w:val="nil"/>
              <w:left w:val="nil"/>
              <w:bottom w:val="single" w:sz="4" w:space="0" w:color="auto"/>
              <w:right w:val="single" w:sz="4" w:space="0" w:color="auto"/>
            </w:tcBorders>
            <w:shd w:val="clear" w:color="auto" w:fill="auto"/>
            <w:noWrap/>
            <w:vAlign w:val="bottom"/>
            <w:hideMark/>
          </w:tcPr>
          <w:p w14:paraId="3F5A183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Cumberland County</w:t>
            </w:r>
          </w:p>
        </w:tc>
        <w:tc>
          <w:tcPr>
            <w:tcW w:w="1489" w:type="dxa"/>
            <w:tcBorders>
              <w:top w:val="nil"/>
              <w:left w:val="nil"/>
              <w:bottom w:val="single" w:sz="4" w:space="0" w:color="auto"/>
              <w:right w:val="single" w:sz="4" w:space="0" w:color="auto"/>
            </w:tcBorders>
            <w:shd w:val="clear" w:color="auto" w:fill="auto"/>
            <w:noWrap/>
            <w:vAlign w:val="bottom"/>
            <w:hideMark/>
          </w:tcPr>
          <w:p w14:paraId="7E5FF91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2,293 </w:t>
            </w:r>
          </w:p>
        </w:tc>
        <w:tc>
          <w:tcPr>
            <w:tcW w:w="1371" w:type="dxa"/>
            <w:tcBorders>
              <w:top w:val="nil"/>
              <w:left w:val="nil"/>
              <w:bottom w:val="single" w:sz="4" w:space="0" w:color="auto"/>
              <w:right w:val="single" w:sz="4" w:space="0" w:color="auto"/>
            </w:tcBorders>
            <w:shd w:val="clear" w:color="auto" w:fill="auto"/>
            <w:noWrap/>
            <w:vAlign w:val="bottom"/>
            <w:hideMark/>
          </w:tcPr>
          <w:p w14:paraId="42E455B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66.6%</w:t>
            </w:r>
          </w:p>
        </w:tc>
        <w:tc>
          <w:tcPr>
            <w:tcW w:w="1273" w:type="dxa"/>
            <w:tcBorders>
              <w:top w:val="nil"/>
              <w:left w:val="nil"/>
              <w:bottom w:val="single" w:sz="4" w:space="0" w:color="auto"/>
              <w:right w:val="single" w:sz="4" w:space="0" w:color="auto"/>
            </w:tcBorders>
            <w:shd w:val="clear" w:color="auto" w:fill="auto"/>
            <w:noWrap/>
            <w:vAlign w:val="bottom"/>
            <w:hideMark/>
          </w:tcPr>
          <w:p w14:paraId="4CB8AC96"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47.4%</w:t>
            </w:r>
          </w:p>
        </w:tc>
      </w:tr>
      <w:tr w:rsidR="00D24507" w:rsidRPr="00537514" w14:paraId="4CF6451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EE06D5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614</w:t>
            </w:r>
          </w:p>
        </w:tc>
        <w:tc>
          <w:tcPr>
            <w:tcW w:w="2572" w:type="dxa"/>
            <w:tcBorders>
              <w:top w:val="nil"/>
              <w:left w:val="nil"/>
              <w:bottom w:val="single" w:sz="4" w:space="0" w:color="auto"/>
              <w:right w:val="single" w:sz="4" w:space="0" w:color="auto"/>
            </w:tcBorders>
            <w:shd w:val="clear" w:color="auto" w:fill="auto"/>
            <w:noWrap/>
            <w:vAlign w:val="bottom"/>
            <w:hideMark/>
          </w:tcPr>
          <w:p w14:paraId="22CFE41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Davidson County</w:t>
            </w:r>
          </w:p>
        </w:tc>
        <w:tc>
          <w:tcPr>
            <w:tcW w:w="1489" w:type="dxa"/>
            <w:tcBorders>
              <w:top w:val="nil"/>
              <w:left w:val="nil"/>
              <w:bottom w:val="single" w:sz="4" w:space="0" w:color="auto"/>
              <w:right w:val="single" w:sz="4" w:space="0" w:color="auto"/>
            </w:tcBorders>
            <w:shd w:val="clear" w:color="auto" w:fill="auto"/>
            <w:noWrap/>
            <w:vAlign w:val="bottom"/>
            <w:hideMark/>
          </w:tcPr>
          <w:p w14:paraId="1C6D603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3,183 </w:t>
            </w:r>
          </w:p>
        </w:tc>
        <w:tc>
          <w:tcPr>
            <w:tcW w:w="1371" w:type="dxa"/>
            <w:tcBorders>
              <w:top w:val="nil"/>
              <w:left w:val="nil"/>
              <w:bottom w:val="single" w:sz="4" w:space="0" w:color="auto"/>
              <w:right w:val="single" w:sz="4" w:space="0" w:color="auto"/>
            </w:tcBorders>
            <w:shd w:val="clear" w:color="auto" w:fill="auto"/>
            <w:noWrap/>
            <w:vAlign w:val="bottom"/>
            <w:hideMark/>
          </w:tcPr>
          <w:p w14:paraId="2B117B2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68.0%</w:t>
            </w:r>
          </w:p>
        </w:tc>
        <w:tc>
          <w:tcPr>
            <w:tcW w:w="1273" w:type="dxa"/>
            <w:tcBorders>
              <w:top w:val="nil"/>
              <w:left w:val="nil"/>
              <w:bottom w:val="single" w:sz="4" w:space="0" w:color="auto"/>
              <w:right w:val="single" w:sz="4" w:space="0" w:color="auto"/>
            </w:tcBorders>
            <w:shd w:val="clear" w:color="auto" w:fill="auto"/>
            <w:noWrap/>
            <w:vAlign w:val="bottom"/>
            <w:hideMark/>
          </w:tcPr>
          <w:p w14:paraId="58AF024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44.8%</w:t>
            </w:r>
          </w:p>
        </w:tc>
      </w:tr>
      <w:tr w:rsidR="00D24507" w:rsidRPr="00537514" w14:paraId="3EF3631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EC5562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901</w:t>
            </w:r>
          </w:p>
        </w:tc>
        <w:tc>
          <w:tcPr>
            <w:tcW w:w="2572" w:type="dxa"/>
            <w:tcBorders>
              <w:top w:val="nil"/>
              <w:left w:val="nil"/>
              <w:bottom w:val="single" w:sz="4" w:space="0" w:color="auto"/>
              <w:right w:val="single" w:sz="4" w:space="0" w:color="auto"/>
            </w:tcBorders>
            <w:shd w:val="clear" w:color="auto" w:fill="auto"/>
            <w:noWrap/>
            <w:vAlign w:val="bottom"/>
            <w:hideMark/>
          </w:tcPr>
          <w:p w14:paraId="1386E4F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Duplin County</w:t>
            </w:r>
          </w:p>
        </w:tc>
        <w:tc>
          <w:tcPr>
            <w:tcW w:w="1489" w:type="dxa"/>
            <w:tcBorders>
              <w:top w:val="nil"/>
              <w:left w:val="nil"/>
              <w:bottom w:val="single" w:sz="4" w:space="0" w:color="auto"/>
              <w:right w:val="single" w:sz="4" w:space="0" w:color="auto"/>
            </w:tcBorders>
            <w:shd w:val="clear" w:color="auto" w:fill="auto"/>
            <w:noWrap/>
            <w:vAlign w:val="bottom"/>
            <w:hideMark/>
          </w:tcPr>
          <w:p w14:paraId="390BC16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9,818 </w:t>
            </w:r>
          </w:p>
        </w:tc>
        <w:tc>
          <w:tcPr>
            <w:tcW w:w="1371" w:type="dxa"/>
            <w:tcBorders>
              <w:top w:val="nil"/>
              <w:left w:val="nil"/>
              <w:bottom w:val="single" w:sz="4" w:space="0" w:color="auto"/>
              <w:right w:val="single" w:sz="4" w:space="0" w:color="auto"/>
            </w:tcBorders>
            <w:shd w:val="clear" w:color="auto" w:fill="auto"/>
            <w:noWrap/>
            <w:vAlign w:val="bottom"/>
            <w:hideMark/>
          </w:tcPr>
          <w:p w14:paraId="1307AA8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53.7%</w:t>
            </w:r>
          </w:p>
        </w:tc>
        <w:tc>
          <w:tcPr>
            <w:tcW w:w="1273" w:type="dxa"/>
            <w:tcBorders>
              <w:top w:val="nil"/>
              <w:left w:val="nil"/>
              <w:bottom w:val="single" w:sz="4" w:space="0" w:color="auto"/>
              <w:right w:val="single" w:sz="4" w:space="0" w:color="auto"/>
            </w:tcBorders>
            <w:shd w:val="clear" w:color="auto" w:fill="auto"/>
            <w:noWrap/>
            <w:vAlign w:val="bottom"/>
            <w:hideMark/>
          </w:tcPr>
          <w:p w14:paraId="28256DD6"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40.1%</w:t>
            </w:r>
          </w:p>
        </w:tc>
      </w:tr>
      <w:tr w:rsidR="00D24507" w:rsidRPr="00537514" w14:paraId="618185C1"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A2D339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14</w:t>
            </w:r>
          </w:p>
        </w:tc>
        <w:tc>
          <w:tcPr>
            <w:tcW w:w="2572" w:type="dxa"/>
            <w:tcBorders>
              <w:top w:val="nil"/>
              <w:left w:val="nil"/>
              <w:bottom w:val="single" w:sz="4" w:space="0" w:color="auto"/>
              <w:right w:val="single" w:sz="4" w:space="0" w:color="auto"/>
            </w:tcBorders>
            <w:shd w:val="clear" w:color="auto" w:fill="auto"/>
            <w:noWrap/>
            <w:vAlign w:val="bottom"/>
            <w:hideMark/>
          </w:tcPr>
          <w:p w14:paraId="5321C1B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Durham County</w:t>
            </w:r>
          </w:p>
        </w:tc>
        <w:tc>
          <w:tcPr>
            <w:tcW w:w="1489" w:type="dxa"/>
            <w:tcBorders>
              <w:top w:val="nil"/>
              <w:left w:val="nil"/>
              <w:bottom w:val="single" w:sz="4" w:space="0" w:color="auto"/>
              <w:right w:val="single" w:sz="4" w:space="0" w:color="auto"/>
            </w:tcBorders>
            <w:shd w:val="clear" w:color="auto" w:fill="auto"/>
            <w:noWrap/>
            <w:vAlign w:val="bottom"/>
            <w:hideMark/>
          </w:tcPr>
          <w:p w14:paraId="51122FD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2,505 </w:t>
            </w:r>
          </w:p>
        </w:tc>
        <w:tc>
          <w:tcPr>
            <w:tcW w:w="1371" w:type="dxa"/>
            <w:tcBorders>
              <w:top w:val="nil"/>
              <w:left w:val="nil"/>
              <w:bottom w:val="single" w:sz="4" w:space="0" w:color="auto"/>
              <w:right w:val="single" w:sz="4" w:space="0" w:color="auto"/>
            </w:tcBorders>
            <w:shd w:val="clear" w:color="auto" w:fill="auto"/>
            <w:noWrap/>
            <w:vAlign w:val="bottom"/>
            <w:hideMark/>
          </w:tcPr>
          <w:p w14:paraId="41C3716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98.9%</w:t>
            </w:r>
          </w:p>
        </w:tc>
        <w:tc>
          <w:tcPr>
            <w:tcW w:w="1273" w:type="dxa"/>
            <w:tcBorders>
              <w:top w:val="nil"/>
              <w:left w:val="nil"/>
              <w:bottom w:val="single" w:sz="4" w:space="0" w:color="auto"/>
              <w:right w:val="single" w:sz="4" w:space="0" w:color="auto"/>
            </w:tcBorders>
            <w:shd w:val="clear" w:color="auto" w:fill="auto"/>
            <w:noWrap/>
            <w:vAlign w:val="bottom"/>
            <w:hideMark/>
          </w:tcPr>
          <w:p w14:paraId="01E24BC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60.0%</w:t>
            </w:r>
          </w:p>
        </w:tc>
      </w:tr>
      <w:tr w:rsidR="00D24507" w:rsidRPr="00537514" w14:paraId="736F53DD"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40F5180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10.02</w:t>
            </w:r>
          </w:p>
        </w:tc>
        <w:tc>
          <w:tcPr>
            <w:tcW w:w="2572" w:type="dxa"/>
            <w:tcBorders>
              <w:top w:val="nil"/>
              <w:left w:val="nil"/>
              <w:bottom w:val="single" w:sz="4" w:space="0" w:color="auto"/>
              <w:right w:val="single" w:sz="4" w:space="0" w:color="auto"/>
            </w:tcBorders>
            <w:shd w:val="clear" w:color="auto" w:fill="auto"/>
            <w:noWrap/>
            <w:vAlign w:val="bottom"/>
            <w:hideMark/>
          </w:tcPr>
          <w:p w14:paraId="15A6B58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Durham County</w:t>
            </w:r>
          </w:p>
        </w:tc>
        <w:tc>
          <w:tcPr>
            <w:tcW w:w="1489" w:type="dxa"/>
            <w:tcBorders>
              <w:top w:val="nil"/>
              <w:left w:val="nil"/>
              <w:bottom w:val="single" w:sz="4" w:space="0" w:color="auto"/>
              <w:right w:val="single" w:sz="4" w:space="0" w:color="auto"/>
            </w:tcBorders>
            <w:shd w:val="clear" w:color="auto" w:fill="auto"/>
            <w:noWrap/>
            <w:vAlign w:val="bottom"/>
            <w:hideMark/>
          </w:tcPr>
          <w:p w14:paraId="378DF93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5,779 </w:t>
            </w:r>
          </w:p>
        </w:tc>
        <w:tc>
          <w:tcPr>
            <w:tcW w:w="1371" w:type="dxa"/>
            <w:tcBorders>
              <w:top w:val="nil"/>
              <w:left w:val="nil"/>
              <w:bottom w:val="single" w:sz="4" w:space="0" w:color="auto"/>
              <w:right w:val="single" w:sz="4" w:space="0" w:color="auto"/>
            </w:tcBorders>
            <w:shd w:val="clear" w:color="auto" w:fill="auto"/>
            <w:noWrap/>
            <w:vAlign w:val="bottom"/>
            <w:hideMark/>
          </w:tcPr>
          <w:p w14:paraId="5C9EADA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92.2%</w:t>
            </w:r>
          </w:p>
        </w:tc>
        <w:tc>
          <w:tcPr>
            <w:tcW w:w="1273" w:type="dxa"/>
            <w:tcBorders>
              <w:top w:val="nil"/>
              <w:left w:val="nil"/>
              <w:bottom w:val="single" w:sz="4" w:space="0" w:color="auto"/>
              <w:right w:val="single" w:sz="4" w:space="0" w:color="auto"/>
            </w:tcBorders>
            <w:shd w:val="clear" w:color="auto" w:fill="auto"/>
            <w:noWrap/>
            <w:vAlign w:val="bottom"/>
            <w:hideMark/>
          </w:tcPr>
          <w:p w14:paraId="4E782D51"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42.6%</w:t>
            </w:r>
          </w:p>
        </w:tc>
      </w:tr>
      <w:tr w:rsidR="00D24507" w:rsidRPr="00537514" w14:paraId="13CA3EA1"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0F1448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11</w:t>
            </w:r>
          </w:p>
        </w:tc>
        <w:tc>
          <w:tcPr>
            <w:tcW w:w="2572" w:type="dxa"/>
            <w:tcBorders>
              <w:top w:val="nil"/>
              <w:left w:val="nil"/>
              <w:bottom w:val="single" w:sz="4" w:space="0" w:color="auto"/>
              <w:right w:val="single" w:sz="4" w:space="0" w:color="auto"/>
            </w:tcBorders>
            <w:shd w:val="clear" w:color="auto" w:fill="auto"/>
            <w:noWrap/>
            <w:vAlign w:val="bottom"/>
            <w:hideMark/>
          </w:tcPr>
          <w:p w14:paraId="12DE3FE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Durham County</w:t>
            </w:r>
          </w:p>
        </w:tc>
        <w:tc>
          <w:tcPr>
            <w:tcW w:w="1489" w:type="dxa"/>
            <w:tcBorders>
              <w:top w:val="nil"/>
              <w:left w:val="nil"/>
              <w:bottom w:val="single" w:sz="4" w:space="0" w:color="auto"/>
              <w:right w:val="single" w:sz="4" w:space="0" w:color="auto"/>
            </w:tcBorders>
            <w:shd w:val="clear" w:color="auto" w:fill="auto"/>
            <w:noWrap/>
            <w:vAlign w:val="bottom"/>
            <w:hideMark/>
          </w:tcPr>
          <w:p w14:paraId="7346C42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3,173 </w:t>
            </w:r>
          </w:p>
        </w:tc>
        <w:tc>
          <w:tcPr>
            <w:tcW w:w="1371" w:type="dxa"/>
            <w:tcBorders>
              <w:top w:val="nil"/>
              <w:left w:val="nil"/>
              <w:bottom w:val="single" w:sz="4" w:space="0" w:color="auto"/>
              <w:right w:val="single" w:sz="4" w:space="0" w:color="auto"/>
            </w:tcBorders>
            <w:shd w:val="clear" w:color="auto" w:fill="auto"/>
            <w:noWrap/>
            <w:vAlign w:val="bottom"/>
            <w:hideMark/>
          </w:tcPr>
          <w:p w14:paraId="7CE1002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85.3%</w:t>
            </w:r>
          </w:p>
        </w:tc>
        <w:tc>
          <w:tcPr>
            <w:tcW w:w="1273" w:type="dxa"/>
            <w:tcBorders>
              <w:top w:val="nil"/>
              <w:left w:val="nil"/>
              <w:bottom w:val="single" w:sz="4" w:space="0" w:color="auto"/>
              <w:right w:val="single" w:sz="4" w:space="0" w:color="auto"/>
            </w:tcBorders>
            <w:shd w:val="clear" w:color="auto" w:fill="auto"/>
            <w:noWrap/>
            <w:vAlign w:val="bottom"/>
            <w:hideMark/>
          </w:tcPr>
          <w:p w14:paraId="5ED1056E"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44.1%</w:t>
            </w:r>
          </w:p>
        </w:tc>
      </w:tr>
      <w:tr w:rsidR="00D24507" w:rsidRPr="00537514" w14:paraId="425F1362"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0D16F0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15.02</w:t>
            </w:r>
          </w:p>
        </w:tc>
        <w:tc>
          <w:tcPr>
            <w:tcW w:w="2572" w:type="dxa"/>
            <w:tcBorders>
              <w:top w:val="nil"/>
              <w:left w:val="nil"/>
              <w:bottom w:val="single" w:sz="4" w:space="0" w:color="auto"/>
              <w:right w:val="single" w:sz="4" w:space="0" w:color="auto"/>
            </w:tcBorders>
            <w:shd w:val="clear" w:color="auto" w:fill="auto"/>
            <w:noWrap/>
            <w:vAlign w:val="bottom"/>
            <w:hideMark/>
          </w:tcPr>
          <w:p w14:paraId="0D9CE61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Durham County</w:t>
            </w:r>
          </w:p>
        </w:tc>
        <w:tc>
          <w:tcPr>
            <w:tcW w:w="1489" w:type="dxa"/>
            <w:tcBorders>
              <w:top w:val="nil"/>
              <w:left w:val="nil"/>
              <w:bottom w:val="single" w:sz="4" w:space="0" w:color="auto"/>
              <w:right w:val="single" w:sz="4" w:space="0" w:color="auto"/>
            </w:tcBorders>
            <w:shd w:val="clear" w:color="auto" w:fill="auto"/>
            <w:noWrap/>
            <w:vAlign w:val="bottom"/>
            <w:hideMark/>
          </w:tcPr>
          <w:p w14:paraId="5732C61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6,177 </w:t>
            </w:r>
          </w:p>
        </w:tc>
        <w:tc>
          <w:tcPr>
            <w:tcW w:w="1371" w:type="dxa"/>
            <w:tcBorders>
              <w:top w:val="nil"/>
              <w:left w:val="nil"/>
              <w:bottom w:val="single" w:sz="4" w:space="0" w:color="auto"/>
              <w:right w:val="single" w:sz="4" w:space="0" w:color="auto"/>
            </w:tcBorders>
            <w:shd w:val="clear" w:color="auto" w:fill="auto"/>
            <w:noWrap/>
            <w:vAlign w:val="bottom"/>
            <w:hideMark/>
          </w:tcPr>
          <w:p w14:paraId="51E5FE6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77.3%</w:t>
            </w:r>
          </w:p>
        </w:tc>
        <w:tc>
          <w:tcPr>
            <w:tcW w:w="1273" w:type="dxa"/>
            <w:tcBorders>
              <w:top w:val="nil"/>
              <w:left w:val="nil"/>
              <w:bottom w:val="single" w:sz="4" w:space="0" w:color="auto"/>
              <w:right w:val="single" w:sz="4" w:space="0" w:color="auto"/>
            </w:tcBorders>
            <w:shd w:val="clear" w:color="auto" w:fill="auto"/>
            <w:noWrap/>
            <w:vAlign w:val="bottom"/>
            <w:hideMark/>
          </w:tcPr>
          <w:p w14:paraId="7F5D890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40.6%</w:t>
            </w:r>
          </w:p>
        </w:tc>
      </w:tr>
      <w:tr w:rsidR="00D24507" w:rsidRPr="00537514" w14:paraId="51237E1C"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4776CD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15.01</w:t>
            </w:r>
          </w:p>
        </w:tc>
        <w:tc>
          <w:tcPr>
            <w:tcW w:w="2572" w:type="dxa"/>
            <w:tcBorders>
              <w:top w:val="nil"/>
              <w:left w:val="nil"/>
              <w:bottom w:val="single" w:sz="4" w:space="0" w:color="auto"/>
              <w:right w:val="single" w:sz="4" w:space="0" w:color="auto"/>
            </w:tcBorders>
            <w:shd w:val="clear" w:color="auto" w:fill="auto"/>
            <w:noWrap/>
            <w:vAlign w:val="bottom"/>
            <w:hideMark/>
          </w:tcPr>
          <w:p w14:paraId="049776E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Durham County</w:t>
            </w:r>
          </w:p>
        </w:tc>
        <w:tc>
          <w:tcPr>
            <w:tcW w:w="1489" w:type="dxa"/>
            <w:tcBorders>
              <w:top w:val="nil"/>
              <w:left w:val="nil"/>
              <w:bottom w:val="single" w:sz="4" w:space="0" w:color="auto"/>
              <w:right w:val="single" w:sz="4" w:space="0" w:color="auto"/>
            </w:tcBorders>
            <w:shd w:val="clear" w:color="auto" w:fill="auto"/>
            <w:noWrap/>
            <w:vAlign w:val="bottom"/>
            <w:hideMark/>
          </w:tcPr>
          <w:p w14:paraId="41BA67D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3,162 </w:t>
            </w:r>
          </w:p>
        </w:tc>
        <w:tc>
          <w:tcPr>
            <w:tcW w:w="1371" w:type="dxa"/>
            <w:tcBorders>
              <w:top w:val="nil"/>
              <w:left w:val="nil"/>
              <w:bottom w:val="single" w:sz="4" w:space="0" w:color="auto"/>
              <w:right w:val="single" w:sz="4" w:space="0" w:color="auto"/>
            </w:tcBorders>
            <w:shd w:val="clear" w:color="auto" w:fill="auto"/>
            <w:noWrap/>
            <w:vAlign w:val="bottom"/>
            <w:hideMark/>
          </w:tcPr>
          <w:p w14:paraId="272EAC1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54.7%</w:t>
            </w:r>
          </w:p>
        </w:tc>
        <w:tc>
          <w:tcPr>
            <w:tcW w:w="1273" w:type="dxa"/>
            <w:tcBorders>
              <w:top w:val="nil"/>
              <w:left w:val="nil"/>
              <w:bottom w:val="single" w:sz="4" w:space="0" w:color="auto"/>
              <w:right w:val="single" w:sz="4" w:space="0" w:color="auto"/>
            </w:tcBorders>
            <w:shd w:val="clear" w:color="auto" w:fill="auto"/>
            <w:noWrap/>
            <w:vAlign w:val="bottom"/>
            <w:hideMark/>
          </w:tcPr>
          <w:p w14:paraId="448C303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83.7%</w:t>
            </w:r>
          </w:p>
        </w:tc>
      </w:tr>
      <w:tr w:rsidR="00D24507" w:rsidRPr="00537514" w14:paraId="6616278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9A9CBD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6</w:t>
            </w:r>
          </w:p>
        </w:tc>
        <w:tc>
          <w:tcPr>
            <w:tcW w:w="2572" w:type="dxa"/>
            <w:tcBorders>
              <w:top w:val="nil"/>
              <w:left w:val="nil"/>
              <w:bottom w:val="single" w:sz="4" w:space="0" w:color="auto"/>
              <w:right w:val="single" w:sz="4" w:space="0" w:color="auto"/>
            </w:tcBorders>
            <w:shd w:val="clear" w:color="auto" w:fill="auto"/>
            <w:noWrap/>
            <w:vAlign w:val="bottom"/>
            <w:hideMark/>
          </w:tcPr>
          <w:p w14:paraId="61FED95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08E5BD3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2,234 </w:t>
            </w:r>
          </w:p>
        </w:tc>
        <w:tc>
          <w:tcPr>
            <w:tcW w:w="1371" w:type="dxa"/>
            <w:tcBorders>
              <w:top w:val="nil"/>
              <w:left w:val="nil"/>
              <w:bottom w:val="single" w:sz="4" w:space="0" w:color="auto"/>
              <w:right w:val="single" w:sz="4" w:space="0" w:color="auto"/>
            </w:tcBorders>
            <w:shd w:val="clear" w:color="auto" w:fill="auto"/>
            <w:noWrap/>
            <w:vAlign w:val="bottom"/>
            <w:hideMark/>
          </w:tcPr>
          <w:p w14:paraId="7097FD0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98.8%</w:t>
            </w:r>
          </w:p>
        </w:tc>
        <w:tc>
          <w:tcPr>
            <w:tcW w:w="1273" w:type="dxa"/>
            <w:tcBorders>
              <w:top w:val="nil"/>
              <w:left w:val="nil"/>
              <w:bottom w:val="single" w:sz="4" w:space="0" w:color="auto"/>
              <w:right w:val="single" w:sz="4" w:space="0" w:color="auto"/>
            </w:tcBorders>
            <w:shd w:val="clear" w:color="auto" w:fill="auto"/>
            <w:noWrap/>
            <w:vAlign w:val="bottom"/>
            <w:hideMark/>
          </w:tcPr>
          <w:p w14:paraId="11D2FBE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48.0%</w:t>
            </w:r>
          </w:p>
        </w:tc>
      </w:tr>
      <w:tr w:rsidR="00D24507" w:rsidRPr="00537514" w14:paraId="58412504"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AF74DB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lastRenderedPageBreak/>
              <w:t>Census Tract 5</w:t>
            </w:r>
          </w:p>
        </w:tc>
        <w:tc>
          <w:tcPr>
            <w:tcW w:w="2572" w:type="dxa"/>
            <w:tcBorders>
              <w:top w:val="nil"/>
              <w:left w:val="nil"/>
              <w:bottom w:val="single" w:sz="4" w:space="0" w:color="auto"/>
              <w:right w:val="single" w:sz="4" w:space="0" w:color="auto"/>
            </w:tcBorders>
            <w:shd w:val="clear" w:color="auto" w:fill="auto"/>
            <w:noWrap/>
            <w:vAlign w:val="bottom"/>
            <w:hideMark/>
          </w:tcPr>
          <w:p w14:paraId="7C6E5AD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30A0152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2,287 </w:t>
            </w:r>
          </w:p>
        </w:tc>
        <w:tc>
          <w:tcPr>
            <w:tcW w:w="1371" w:type="dxa"/>
            <w:tcBorders>
              <w:top w:val="nil"/>
              <w:left w:val="nil"/>
              <w:bottom w:val="single" w:sz="4" w:space="0" w:color="auto"/>
              <w:right w:val="single" w:sz="4" w:space="0" w:color="auto"/>
            </w:tcBorders>
            <w:shd w:val="clear" w:color="auto" w:fill="auto"/>
            <w:noWrap/>
            <w:vAlign w:val="bottom"/>
            <w:hideMark/>
          </w:tcPr>
          <w:p w14:paraId="0858E07A"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97.8%</w:t>
            </w:r>
          </w:p>
        </w:tc>
        <w:tc>
          <w:tcPr>
            <w:tcW w:w="1273" w:type="dxa"/>
            <w:tcBorders>
              <w:top w:val="nil"/>
              <w:left w:val="nil"/>
              <w:bottom w:val="single" w:sz="4" w:space="0" w:color="auto"/>
              <w:right w:val="single" w:sz="4" w:space="0" w:color="auto"/>
            </w:tcBorders>
            <w:shd w:val="clear" w:color="auto" w:fill="auto"/>
            <w:noWrap/>
            <w:vAlign w:val="bottom"/>
            <w:hideMark/>
          </w:tcPr>
          <w:p w14:paraId="54A8513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41.7%</w:t>
            </w:r>
          </w:p>
        </w:tc>
      </w:tr>
      <w:tr w:rsidR="00D24507" w:rsidRPr="00537514" w14:paraId="56FE3EC3"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635E97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16.02</w:t>
            </w:r>
          </w:p>
        </w:tc>
        <w:tc>
          <w:tcPr>
            <w:tcW w:w="2572" w:type="dxa"/>
            <w:tcBorders>
              <w:top w:val="nil"/>
              <w:left w:val="nil"/>
              <w:bottom w:val="single" w:sz="4" w:space="0" w:color="auto"/>
              <w:right w:val="single" w:sz="4" w:space="0" w:color="auto"/>
            </w:tcBorders>
            <w:shd w:val="clear" w:color="auto" w:fill="auto"/>
            <w:noWrap/>
            <w:vAlign w:val="bottom"/>
            <w:hideMark/>
          </w:tcPr>
          <w:p w14:paraId="6D4A39F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539FB53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3,359 </w:t>
            </w:r>
          </w:p>
        </w:tc>
        <w:tc>
          <w:tcPr>
            <w:tcW w:w="1371" w:type="dxa"/>
            <w:tcBorders>
              <w:top w:val="nil"/>
              <w:left w:val="nil"/>
              <w:bottom w:val="single" w:sz="4" w:space="0" w:color="auto"/>
              <w:right w:val="single" w:sz="4" w:space="0" w:color="auto"/>
            </w:tcBorders>
            <w:shd w:val="clear" w:color="auto" w:fill="auto"/>
            <w:noWrap/>
            <w:vAlign w:val="bottom"/>
            <w:hideMark/>
          </w:tcPr>
          <w:p w14:paraId="30F7E73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94.3%</w:t>
            </w:r>
          </w:p>
        </w:tc>
        <w:tc>
          <w:tcPr>
            <w:tcW w:w="1273" w:type="dxa"/>
            <w:tcBorders>
              <w:top w:val="nil"/>
              <w:left w:val="nil"/>
              <w:bottom w:val="single" w:sz="4" w:space="0" w:color="auto"/>
              <w:right w:val="single" w:sz="4" w:space="0" w:color="auto"/>
            </w:tcBorders>
            <w:shd w:val="clear" w:color="auto" w:fill="auto"/>
            <w:noWrap/>
            <w:vAlign w:val="bottom"/>
            <w:hideMark/>
          </w:tcPr>
          <w:p w14:paraId="316DA92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45.1%</w:t>
            </w:r>
          </w:p>
        </w:tc>
      </w:tr>
      <w:tr w:rsidR="00D24507" w:rsidRPr="00537514" w14:paraId="5F1C63C5"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2BAAEA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3.01</w:t>
            </w:r>
          </w:p>
        </w:tc>
        <w:tc>
          <w:tcPr>
            <w:tcW w:w="2572" w:type="dxa"/>
            <w:tcBorders>
              <w:top w:val="nil"/>
              <w:left w:val="nil"/>
              <w:bottom w:val="single" w:sz="4" w:space="0" w:color="auto"/>
              <w:right w:val="single" w:sz="4" w:space="0" w:color="auto"/>
            </w:tcBorders>
            <w:shd w:val="clear" w:color="auto" w:fill="auto"/>
            <w:noWrap/>
            <w:vAlign w:val="bottom"/>
            <w:hideMark/>
          </w:tcPr>
          <w:p w14:paraId="7ECA56F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3378158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1,860 </w:t>
            </w:r>
          </w:p>
        </w:tc>
        <w:tc>
          <w:tcPr>
            <w:tcW w:w="1371" w:type="dxa"/>
            <w:tcBorders>
              <w:top w:val="nil"/>
              <w:left w:val="nil"/>
              <w:bottom w:val="single" w:sz="4" w:space="0" w:color="auto"/>
              <w:right w:val="single" w:sz="4" w:space="0" w:color="auto"/>
            </w:tcBorders>
            <w:shd w:val="clear" w:color="auto" w:fill="auto"/>
            <w:noWrap/>
            <w:vAlign w:val="bottom"/>
            <w:hideMark/>
          </w:tcPr>
          <w:p w14:paraId="20DED25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92.8%</w:t>
            </w:r>
          </w:p>
        </w:tc>
        <w:tc>
          <w:tcPr>
            <w:tcW w:w="1273" w:type="dxa"/>
            <w:tcBorders>
              <w:top w:val="nil"/>
              <w:left w:val="nil"/>
              <w:bottom w:val="single" w:sz="4" w:space="0" w:color="auto"/>
              <w:right w:val="single" w:sz="4" w:space="0" w:color="auto"/>
            </w:tcBorders>
            <w:shd w:val="clear" w:color="auto" w:fill="auto"/>
            <w:noWrap/>
            <w:vAlign w:val="bottom"/>
            <w:hideMark/>
          </w:tcPr>
          <w:p w14:paraId="1F38BFA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53.8%</w:t>
            </w:r>
          </w:p>
        </w:tc>
      </w:tr>
      <w:tr w:rsidR="00D24507" w:rsidRPr="00537514" w14:paraId="4708F2BB"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F2C661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8.01</w:t>
            </w:r>
          </w:p>
        </w:tc>
        <w:tc>
          <w:tcPr>
            <w:tcW w:w="2572" w:type="dxa"/>
            <w:tcBorders>
              <w:top w:val="nil"/>
              <w:left w:val="nil"/>
              <w:bottom w:val="single" w:sz="4" w:space="0" w:color="auto"/>
              <w:right w:val="single" w:sz="4" w:space="0" w:color="auto"/>
            </w:tcBorders>
            <w:shd w:val="clear" w:color="auto" w:fill="auto"/>
            <w:noWrap/>
            <w:vAlign w:val="bottom"/>
            <w:hideMark/>
          </w:tcPr>
          <w:p w14:paraId="45546A6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52839FA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3,468 </w:t>
            </w:r>
          </w:p>
        </w:tc>
        <w:tc>
          <w:tcPr>
            <w:tcW w:w="1371" w:type="dxa"/>
            <w:tcBorders>
              <w:top w:val="nil"/>
              <w:left w:val="nil"/>
              <w:bottom w:val="single" w:sz="4" w:space="0" w:color="auto"/>
              <w:right w:val="single" w:sz="4" w:space="0" w:color="auto"/>
            </w:tcBorders>
            <w:shd w:val="clear" w:color="auto" w:fill="auto"/>
            <w:noWrap/>
            <w:vAlign w:val="bottom"/>
            <w:hideMark/>
          </w:tcPr>
          <w:p w14:paraId="1E91A60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87.2%</w:t>
            </w:r>
          </w:p>
        </w:tc>
        <w:tc>
          <w:tcPr>
            <w:tcW w:w="1273" w:type="dxa"/>
            <w:tcBorders>
              <w:top w:val="nil"/>
              <w:left w:val="nil"/>
              <w:bottom w:val="single" w:sz="4" w:space="0" w:color="auto"/>
              <w:right w:val="single" w:sz="4" w:space="0" w:color="auto"/>
            </w:tcBorders>
            <w:shd w:val="clear" w:color="auto" w:fill="auto"/>
            <w:noWrap/>
            <w:vAlign w:val="bottom"/>
            <w:hideMark/>
          </w:tcPr>
          <w:p w14:paraId="549A85B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80.5%</w:t>
            </w:r>
          </w:p>
        </w:tc>
      </w:tr>
      <w:tr w:rsidR="00D24507" w:rsidRPr="00537514" w14:paraId="1B1A2BD8"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D54D8A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7</w:t>
            </w:r>
          </w:p>
        </w:tc>
        <w:tc>
          <w:tcPr>
            <w:tcW w:w="2572" w:type="dxa"/>
            <w:tcBorders>
              <w:top w:val="nil"/>
              <w:left w:val="nil"/>
              <w:bottom w:val="single" w:sz="4" w:space="0" w:color="auto"/>
              <w:right w:val="single" w:sz="4" w:space="0" w:color="auto"/>
            </w:tcBorders>
            <w:shd w:val="clear" w:color="auto" w:fill="auto"/>
            <w:noWrap/>
            <w:vAlign w:val="bottom"/>
            <w:hideMark/>
          </w:tcPr>
          <w:p w14:paraId="7B0988D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37D4779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1,972 </w:t>
            </w:r>
          </w:p>
        </w:tc>
        <w:tc>
          <w:tcPr>
            <w:tcW w:w="1371" w:type="dxa"/>
            <w:tcBorders>
              <w:top w:val="nil"/>
              <w:left w:val="nil"/>
              <w:bottom w:val="single" w:sz="4" w:space="0" w:color="auto"/>
              <w:right w:val="single" w:sz="4" w:space="0" w:color="auto"/>
            </w:tcBorders>
            <w:shd w:val="clear" w:color="auto" w:fill="auto"/>
            <w:noWrap/>
            <w:vAlign w:val="bottom"/>
            <w:hideMark/>
          </w:tcPr>
          <w:p w14:paraId="6CFC34D1"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85.1%</w:t>
            </w:r>
          </w:p>
        </w:tc>
        <w:tc>
          <w:tcPr>
            <w:tcW w:w="1273" w:type="dxa"/>
            <w:tcBorders>
              <w:top w:val="nil"/>
              <w:left w:val="nil"/>
              <w:bottom w:val="single" w:sz="4" w:space="0" w:color="auto"/>
              <w:right w:val="single" w:sz="4" w:space="0" w:color="auto"/>
            </w:tcBorders>
            <w:shd w:val="clear" w:color="auto" w:fill="auto"/>
            <w:noWrap/>
            <w:vAlign w:val="bottom"/>
            <w:hideMark/>
          </w:tcPr>
          <w:p w14:paraId="22831DC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46.1%</w:t>
            </w:r>
          </w:p>
        </w:tc>
      </w:tr>
      <w:tr w:rsidR="00D24507" w:rsidRPr="00537514" w14:paraId="312AC590"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610BB0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34.04</w:t>
            </w:r>
          </w:p>
        </w:tc>
        <w:tc>
          <w:tcPr>
            <w:tcW w:w="2572" w:type="dxa"/>
            <w:tcBorders>
              <w:top w:val="nil"/>
              <w:left w:val="nil"/>
              <w:bottom w:val="single" w:sz="4" w:space="0" w:color="auto"/>
              <w:right w:val="single" w:sz="4" w:space="0" w:color="auto"/>
            </w:tcBorders>
            <w:shd w:val="clear" w:color="auto" w:fill="auto"/>
            <w:noWrap/>
            <w:vAlign w:val="bottom"/>
            <w:hideMark/>
          </w:tcPr>
          <w:p w14:paraId="5AE5142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2141FC2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4,124 </w:t>
            </w:r>
          </w:p>
        </w:tc>
        <w:tc>
          <w:tcPr>
            <w:tcW w:w="1371" w:type="dxa"/>
            <w:tcBorders>
              <w:top w:val="nil"/>
              <w:left w:val="nil"/>
              <w:bottom w:val="single" w:sz="4" w:space="0" w:color="auto"/>
              <w:right w:val="single" w:sz="4" w:space="0" w:color="auto"/>
            </w:tcBorders>
            <w:shd w:val="clear" w:color="auto" w:fill="auto"/>
            <w:noWrap/>
            <w:vAlign w:val="bottom"/>
            <w:hideMark/>
          </w:tcPr>
          <w:p w14:paraId="7B720BB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85.1%</w:t>
            </w:r>
          </w:p>
        </w:tc>
        <w:tc>
          <w:tcPr>
            <w:tcW w:w="1273" w:type="dxa"/>
            <w:tcBorders>
              <w:top w:val="nil"/>
              <w:left w:val="nil"/>
              <w:bottom w:val="single" w:sz="4" w:space="0" w:color="auto"/>
              <w:right w:val="single" w:sz="4" w:space="0" w:color="auto"/>
            </w:tcBorders>
            <w:shd w:val="clear" w:color="auto" w:fill="auto"/>
            <w:noWrap/>
            <w:vAlign w:val="bottom"/>
            <w:hideMark/>
          </w:tcPr>
          <w:p w14:paraId="6137B51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51.2%</w:t>
            </w:r>
          </w:p>
        </w:tc>
      </w:tr>
      <w:tr w:rsidR="00D24507" w:rsidRPr="00537514" w14:paraId="053C5E79"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0EA047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19.01</w:t>
            </w:r>
          </w:p>
        </w:tc>
        <w:tc>
          <w:tcPr>
            <w:tcW w:w="2572" w:type="dxa"/>
            <w:tcBorders>
              <w:top w:val="nil"/>
              <w:left w:val="nil"/>
              <w:bottom w:val="single" w:sz="4" w:space="0" w:color="auto"/>
              <w:right w:val="single" w:sz="4" w:space="0" w:color="auto"/>
            </w:tcBorders>
            <w:shd w:val="clear" w:color="auto" w:fill="auto"/>
            <w:noWrap/>
            <w:vAlign w:val="bottom"/>
            <w:hideMark/>
          </w:tcPr>
          <w:p w14:paraId="3CBA63A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558E0BB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1,606 </w:t>
            </w:r>
          </w:p>
        </w:tc>
        <w:tc>
          <w:tcPr>
            <w:tcW w:w="1371" w:type="dxa"/>
            <w:tcBorders>
              <w:top w:val="nil"/>
              <w:left w:val="nil"/>
              <w:bottom w:val="single" w:sz="4" w:space="0" w:color="auto"/>
              <w:right w:val="single" w:sz="4" w:space="0" w:color="auto"/>
            </w:tcBorders>
            <w:shd w:val="clear" w:color="auto" w:fill="auto"/>
            <w:noWrap/>
            <w:vAlign w:val="bottom"/>
            <w:hideMark/>
          </w:tcPr>
          <w:p w14:paraId="4564EDC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79.5%</w:t>
            </w:r>
          </w:p>
        </w:tc>
        <w:tc>
          <w:tcPr>
            <w:tcW w:w="1273" w:type="dxa"/>
            <w:tcBorders>
              <w:top w:val="nil"/>
              <w:left w:val="nil"/>
              <w:bottom w:val="single" w:sz="4" w:space="0" w:color="auto"/>
              <w:right w:val="single" w:sz="4" w:space="0" w:color="auto"/>
            </w:tcBorders>
            <w:shd w:val="clear" w:color="auto" w:fill="auto"/>
            <w:noWrap/>
            <w:vAlign w:val="bottom"/>
            <w:hideMark/>
          </w:tcPr>
          <w:p w14:paraId="4C0209B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52.0%</w:t>
            </w:r>
          </w:p>
        </w:tc>
      </w:tr>
      <w:tr w:rsidR="00D24507" w:rsidRPr="00537514" w14:paraId="272D8676"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800EE0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8.02</w:t>
            </w:r>
          </w:p>
        </w:tc>
        <w:tc>
          <w:tcPr>
            <w:tcW w:w="2572" w:type="dxa"/>
            <w:tcBorders>
              <w:top w:val="nil"/>
              <w:left w:val="nil"/>
              <w:bottom w:val="single" w:sz="4" w:space="0" w:color="auto"/>
              <w:right w:val="single" w:sz="4" w:space="0" w:color="auto"/>
            </w:tcBorders>
            <w:shd w:val="clear" w:color="auto" w:fill="auto"/>
            <w:noWrap/>
            <w:vAlign w:val="bottom"/>
            <w:hideMark/>
          </w:tcPr>
          <w:p w14:paraId="56B81A2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6FCFDFA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2,383 </w:t>
            </w:r>
          </w:p>
        </w:tc>
        <w:tc>
          <w:tcPr>
            <w:tcW w:w="1371" w:type="dxa"/>
            <w:tcBorders>
              <w:top w:val="nil"/>
              <w:left w:val="nil"/>
              <w:bottom w:val="single" w:sz="4" w:space="0" w:color="auto"/>
              <w:right w:val="single" w:sz="4" w:space="0" w:color="auto"/>
            </w:tcBorders>
            <w:shd w:val="clear" w:color="auto" w:fill="auto"/>
            <w:noWrap/>
            <w:vAlign w:val="bottom"/>
            <w:hideMark/>
          </w:tcPr>
          <w:p w14:paraId="14C4A85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79.1%</w:t>
            </w:r>
          </w:p>
        </w:tc>
        <w:tc>
          <w:tcPr>
            <w:tcW w:w="1273" w:type="dxa"/>
            <w:tcBorders>
              <w:top w:val="nil"/>
              <w:left w:val="nil"/>
              <w:bottom w:val="single" w:sz="4" w:space="0" w:color="auto"/>
              <w:right w:val="single" w:sz="4" w:space="0" w:color="auto"/>
            </w:tcBorders>
            <w:shd w:val="clear" w:color="auto" w:fill="auto"/>
            <w:noWrap/>
            <w:vAlign w:val="bottom"/>
            <w:hideMark/>
          </w:tcPr>
          <w:p w14:paraId="577B104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58.2%</w:t>
            </w:r>
          </w:p>
        </w:tc>
      </w:tr>
      <w:tr w:rsidR="00D24507" w:rsidRPr="00537514" w14:paraId="32CE01ED"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88C159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20.01</w:t>
            </w:r>
          </w:p>
        </w:tc>
        <w:tc>
          <w:tcPr>
            <w:tcW w:w="2572" w:type="dxa"/>
            <w:tcBorders>
              <w:top w:val="nil"/>
              <w:left w:val="nil"/>
              <w:bottom w:val="single" w:sz="4" w:space="0" w:color="auto"/>
              <w:right w:val="single" w:sz="4" w:space="0" w:color="auto"/>
            </w:tcBorders>
            <w:shd w:val="clear" w:color="auto" w:fill="auto"/>
            <w:noWrap/>
            <w:vAlign w:val="bottom"/>
            <w:hideMark/>
          </w:tcPr>
          <w:p w14:paraId="5125089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14C74E5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2,909 </w:t>
            </w:r>
          </w:p>
        </w:tc>
        <w:tc>
          <w:tcPr>
            <w:tcW w:w="1371" w:type="dxa"/>
            <w:tcBorders>
              <w:top w:val="nil"/>
              <w:left w:val="nil"/>
              <w:bottom w:val="single" w:sz="4" w:space="0" w:color="auto"/>
              <w:right w:val="single" w:sz="4" w:space="0" w:color="auto"/>
            </w:tcBorders>
            <w:shd w:val="clear" w:color="auto" w:fill="auto"/>
            <w:noWrap/>
            <w:vAlign w:val="bottom"/>
            <w:hideMark/>
          </w:tcPr>
          <w:p w14:paraId="3D143B8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74.6%</w:t>
            </w:r>
          </w:p>
        </w:tc>
        <w:tc>
          <w:tcPr>
            <w:tcW w:w="1273" w:type="dxa"/>
            <w:tcBorders>
              <w:top w:val="nil"/>
              <w:left w:val="nil"/>
              <w:bottom w:val="single" w:sz="4" w:space="0" w:color="auto"/>
              <w:right w:val="single" w:sz="4" w:space="0" w:color="auto"/>
            </w:tcBorders>
            <w:shd w:val="clear" w:color="auto" w:fill="auto"/>
            <w:noWrap/>
            <w:vAlign w:val="bottom"/>
            <w:hideMark/>
          </w:tcPr>
          <w:p w14:paraId="4C3BF25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42.2%</w:t>
            </w:r>
          </w:p>
        </w:tc>
      </w:tr>
      <w:tr w:rsidR="00D24507" w:rsidRPr="00537514" w14:paraId="01AFF448"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42CABA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w:t>
            </w:r>
          </w:p>
        </w:tc>
        <w:tc>
          <w:tcPr>
            <w:tcW w:w="2572" w:type="dxa"/>
            <w:tcBorders>
              <w:top w:val="nil"/>
              <w:left w:val="nil"/>
              <w:bottom w:val="single" w:sz="4" w:space="0" w:color="auto"/>
              <w:right w:val="single" w:sz="4" w:space="0" w:color="auto"/>
            </w:tcBorders>
            <w:shd w:val="clear" w:color="auto" w:fill="auto"/>
            <w:noWrap/>
            <w:vAlign w:val="bottom"/>
            <w:hideMark/>
          </w:tcPr>
          <w:p w14:paraId="60C1F53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Forsyth County</w:t>
            </w:r>
          </w:p>
        </w:tc>
        <w:tc>
          <w:tcPr>
            <w:tcW w:w="1489" w:type="dxa"/>
            <w:tcBorders>
              <w:top w:val="nil"/>
              <w:left w:val="nil"/>
              <w:bottom w:val="single" w:sz="4" w:space="0" w:color="auto"/>
              <w:right w:val="single" w:sz="4" w:space="0" w:color="auto"/>
            </w:tcBorders>
            <w:shd w:val="clear" w:color="auto" w:fill="auto"/>
            <w:noWrap/>
            <w:vAlign w:val="bottom"/>
            <w:hideMark/>
          </w:tcPr>
          <w:p w14:paraId="0BEA219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1,157 </w:t>
            </w:r>
          </w:p>
        </w:tc>
        <w:tc>
          <w:tcPr>
            <w:tcW w:w="1371" w:type="dxa"/>
            <w:tcBorders>
              <w:top w:val="nil"/>
              <w:left w:val="nil"/>
              <w:bottom w:val="single" w:sz="4" w:space="0" w:color="auto"/>
              <w:right w:val="single" w:sz="4" w:space="0" w:color="auto"/>
            </w:tcBorders>
            <w:shd w:val="clear" w:color="auto" w:fill="auto"/>
            <w:noWrap/>
            <w:vAlign w:val="bottom"/>
            <w:hideMark/>
          </w:tcPr>
          <w:p w14:paraId="301878E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60.6%</w:t>
            </w:r>
          </w:p>
        </w:tc>
        <w:tc>
          <w:tcPr>
            <w:tcW w:w="1273" w:type="dxa"/>
            <w:tcBorders>
              <w:top w:val="nil"/>
              <w:left w:val="nil"/>
              <w:bottom w:val="single" w:sz="4" w:space="0" w:color="auto"/>
              <w:right w:val="single" w:sz="4" w:space="0" w:color="auto"/>
            </w:tcBorders>
            <w:shd w:val="clear" w:color="auto" w:fill="auto"/>
            <w:noWrap/>
            <w:vAlign w:val="bottom"/>
            <w:hideMark/>
          </w:tcPr>
          <w:p w14:paraId="35E3DD5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57.5%</w:t>
            </w:r>
          </w:p>
        </w:tc>
      </w:tr>
      <w:tr w:rsidR="00D24507" w:rsidRPr="00537514" w14:paraId="4EF70990"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63B2A2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319</w:t>
            </w:r>
          </w:p>
        </w:tc>
        <w:tc>
          <w:tcPr>
            <w:tcW w:w="2572" w:type="dxa"/>
            <w:tcBorders>
              <w:top w:val="nil"/>
              <w:left w:val="nil"/>
              <w:bottom w:val="single" w:sz="4" w:space="0" w:color="auto"/>
              <w:right w:val="single" w:sz="4" w:space="0" w:color="auto"/>
            </w:tcBorders>
            <w:shd w:val="clear" w:color="auto" w:fill="auto"/>
            <w:noWrap/>
            <w:vAlign w:val="bottom"/>
            <w:hideMark/>
          </w:tcPr>
          <w:p w14:paraId="36CDC6C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Gaston County</w:t>
            </w:r>
          </w:p>
        </w:tc>
        <w:tc>
          <w:tcPr>
            <w:tcW w:w="1489" w:type="dxa"/>
            <w:tcBorders>
              <w:top w:val="nil"/>
              <w:left w:val="nil"/>
              <w:bottom w:val="single" w:sz="4" w:space="0" w:color="auto"/>
              <w:right w:val="single" w:sz="4" w:space="0" w:color="auto"/>
            </w:tcBorders>
            <w:shd w:val="clear" w:color="auto" w:fill="auto"/>
            <w:noWrap/>
            <w:vAlign w:val="bottom"/>
            <w:hideMark/>
          </w:tcPr>
          <w:p w14:paraId="0F4FCD9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2,471 </w:t>
            </w:r>
          </w:p>
        </w:tc>
        <w:tc>
          <w:tcPr>
            <w:tcW w:w="1371" w:type="dxa"/>
            <w:tcBorders>
              <w:top w:val="nil"/>
              <w:left w:val="nil"/>
              <w:bottom w:val="single" w:sz="4" w:space="0" w:color="auto"/>
              <w:right w:val="single" w:sz="4" w:space="0" w:color="auto"/>
            </w:tcBorders>
            <w:shd w:val="clear" w:color="auto" w:fill="auto"/>
            <w:noWrap/>
            <w:vAlign w:val="bottom"/>
            <w:hideMark/>
          </w:tcPr>
          <w:p w14:paraId="038FA32E"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77.2%</w:t>
            </w:r>
          </w:p>
        </w:tc>
        <w:tc>
          <w:tcPr>
            <w:tcW w:w="1273" w:type="dxa"/>
            <w:tcBorders>
              <w:top w:val="nil"/>
              <w:left w:val="nil"/>
              <w:bottom w:val="single" w:sz="4" w:space="0" w:color="auto"/>
              <w:right w:val="single" w:sz="4" w:space="0" w:color="auto"/>
            </w:tcBorders>
            <w:shd w:val="clear" w:color="auto" w:fill="auto"/>
            <w:noWrap/>
            <w:vAlign w:val="bottom"/>
            <w:hideMark/>
          </w:tcPr>
          <w:p w14:paraId="3873D67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44.5%</w:t>
            </w:r>
          </w:p>
        </w:tc>
      </w:tr>
      <w:tr w:rsidR="00D24507" w:rsidRPr="00537514" w14:paraId="749CD216"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636C8F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114</w:t>
            </w:r>
          </w:p>
        </w:tc>
        <w:tc>
          <w:tcPr>
            <w:tcW w:w="2572" w:type="dxa"/>
            <w:tcBorders>
              <w:top w:val="nil"/>
              <w:left w:val="nil"/>
              <w:bottom w:val="single" w:sz="4" w:space="0" w:color="auto"/>
              <w:right w:val="single" w:sz="4" w:space="0" w:color="auto"/>
            </w:tcBorders>
            <w:shd w:val="clear" w:color="auto" w:fill="auto"/>
            <w:noWrap/>
            <w:vAlign w:val="bottom"/>
            <w:hideMark/>
          </w:tcPr>
          <w:p w14:paraId="2EC82B3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502E5FC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5,462 </w:t>
            </w:r>
          </w:p>
        </w:tc>
        <w:tc>
          <w:tcPr>
            <w:tcW w:w="1371" w:type="dxa"/>
            <w:tcBorders>
              <w:top w:val="nil"/>
              <w:left w:val="nil"/>
              <w:bottom w:val="single" w:sz="4" w:space="0" w:color="auto"/>
              <w:right w:val="single" w:sz="4" w:space="0" w:color="auto"/>
            </w:tcBorders>
            <w:shd w:val="clear" w:color="auto" w:fill="auto"/>
            <w:noWrap/>
            <w:vAlign w:val="bottom"/>
            <w:hideMark/>
          </w:tcPr>
          <w:p w14:paraId="1E1C3E3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96.9%</w:t>
            </w:r>
          </w:p>
        </w:tc>
        <w:tc>
          <w:tcPr>
            <w:tcW w:w="1273" w:type="dxa"/>
            <w:tcBorders>
              <w:top w:val="nil"/>
              <w:left w:val="nil"/>
              <w:bottom w:val="single" w:sz="4" w:space="0" w:color="auto"/>
              <w:right w:val="single" w:sz="4" w:space="0" w:color="auto"/>
            </w:tcBorders>
            <w:shd w:val="clear" w:color="auto" w:fill="auto"/>
            <w:noWrap/>
            <w:vAlign w:val="bottom"/>
            <w:hideMark/>
          </w:tcPr>
          <w:p w14:paraId="3C8C7CCE"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60.3%</w:t>
            </w:r>
          </w:p>
        </w:tc>
      </w:tr>
      <w:tr w:rsidR="00D24507" w:rsidRPr="00537514" w14:paraId="0EF30029"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F347B5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127.06</w:t>
            </w:r>
          </w:p>
        </w:tc>
        <w:tc>
          <w:tcPr>
            <w:tcW w:w="2572" w:type="dxa"/>
            <w:tcBorders>
              <w:top w:val="nil"/>
              <w:left w:val="nil"/>
              <w:bottom w:val="single" w:sz="4" w:space="0" w:color="auto"/>
              <w:right w:val="single" w:sz="4" w:space="0" w:color="auto"/>
            </w:tcBorders>
            <w:shd w:val="clear" w:color="auto" w:fill="auto"/>
            <w:noWrap/>
            <w:vAlign w:val="bottom"/>
            <w:hideMark/>
          </w:tcPr>
          <w:p w14:paraId="5B6DBC3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1BDA2F2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3,429 </w:t>
            </w:r>
          </w:p>
        </w:tc>
        <w:tc>
          <w:tcPr>
            <w:tcW w:w="1371" w:type="dxa"/>
            <w:tcBorders>
              <w:top w:val="nil"/>
              <w:left w:val="nil"/>
              <w:bottom w:val="single" w:sz="4" w:space="0" w:color="auto"/>
              <w:right w:val="single" w:sz="4" w:space="0" w:color="auto"/>
            </w:tcBorders>
            <w:shd w:val="clear" w:color="auto" w:fill="auto"/>
            <w:noWrap/>
            <w:vAlign w:val="bottom"/>
            <w:hideMark/>
          </w:tcPr>
          <w:p w14:paraId="1C4F7BE1"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94.4%</w:t>
            </w:r>
          </w:p>
        </w:tc>
        <w:tc>
          <w:tcPr>
            <w:tcW w:w="1273" w:type="dxa"/>
            <w:tcBorders>
              <w:top w:val="nil"/>
              <w:left w:val="nil"/>
              <w:bottom w:val="single" w:sz="4" w:space="0" w:color="auto"/>
              <w:right w:val="single" w:sz="4" w:space="0" w:color="auto"/>
            </w:tcBorders>
            <w:shd w:val="clear" w:color="auto" w:fill="auto"/>
            <w:noWrap/>
            <w:vAlign w:val="bottom"/>
            <w:hideMark/>
          </w:tcPr>
          <w:p w14:paraId="30502D9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42.0%</w:t>
            </w:r>
          </w:p>
        </w:tc>
      </w:tr>
      <w:tr w:rsidR="00D24507" w:rsidRPr="00537514" w14:paraId="63F54000"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B59DEB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139</w:t>
            </w:r>
          </w:p>
        </w:tc>
        <w:tc>
          <w:tcPr>
            <w:tcW w:w="2572" w:type="dxa"/>
            <w:tcBorders>
              <w:top w:val="nil"/>
              <w:left w:val="nil"/>
              <w:bottom w:val="single" w:sz="4" w:space="0" w:color="auto"/>
              <w:right w:val="single" w:sz="4" w:space="0" w:color="auto"/>
            </w:tcBorders>
            <w:shd w:val="clear" w:color="auto" w:fill="auto"/>
            <w:noWrap/>
            <w:vAlign w:val="bottom"/>
            <w:hideMark/>
          </w:tcPr>
          <w:p w14:paraId="61C2DB3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0B5FBB2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4,402 </w:t>
            </w:r>
          </w:p>
        </w:tc>
        <w:tc>
          <w:tcPr>
            <w:tcW w:w="1371" w:type="dxa"/>
            <w:tcBorders>
              <w:top w:val="nil"/>
              <w:left w:val="nil"/>
              <w:bottom w:val="single" w:sz="4" w:space="0" w:color="auto"/>
              <w:right w:val="single" w:sz="4" w:space="0" w:color="auto"/>
            </w:tcBorders>
            <w:shd w:val="clear" w:color="auto" w:fill="auto"/>
            <w:noWrap/>
            <w:vAlign w:val="bottom"/>
            <w:hideMark/>
          </w:tcPr>
          <w:p w14:paraId="729C4EB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93.3%</w:t>
            </w:r>
          </w:p>
        </w:tc>
        <w:tc>
          <w:tcPr>
            <w:tcW w:w="1273" w:type="dxa"/>
            <w:tcBorders>
              <w:top w:val="nil"/>
              <w:left w:val="nil"/>
              <w:bottom w:val="single" w:sz="4" w:space="0" w:color="auto"/>
              <w:right w:val="single" w:sz="4" w:space="0" w:color="auto"/>
            </w:tcBorders>
            <w:shd w:val="clear" w:color="auto" w:fill="auto"/>
            <w:noWrap/>
            <w:vAlign w:val="bottom"/>
            <w:hideMark/>
          </w:tcPr>
          <w:p w14:paraId="7183AF9E"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51.0%</w:t>
            </w:r>
          </w:p>
        </w:tc>
      </w:tr>
      <w:tr w:rsidR="00D24507" w:rsidRPr="00537514" w14:paraId="6B05B8F4"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2A526B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112</w:t>
            </w:r>
          </w:p>
        </w:tc>
        <w:tc>
          <w:tcPr>
            <w:tcW w:w="2572" w:type="dxa"/>
            <w:tcBorders>
              <w:top w:val="nil"/>
              <w:left w:val="nil"/>
              <w:bottom w:val="single" w:sz="4" w:space="0" w:color="auto"/>
              <w:right w:val="single" w:sz="4" w:space="0" w:color="auto"/>
            </w:tcBorders>
            <w:shd w:val="clear" w:color="auto" w:fill="auto"/>
            <w:noWrap/>
            <w:vAlign w:val="bottom"/>
            <w:hideMark/>
          </w:tcPr>
          <w:p w14:paraId="24CB888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2F41B6E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5,997 </w:t>
            </w:r>
          </w:p>
        </w:tc>
        <w:tc>
          <w:tcPr>
            <w:tcW w:w="1371" w:type="dxa"/>
            <w:tcBorders>
              <w:top w:val="nil"/>
              <w:left w:val="nil"/>
              <w:bottom w:val="single" w:sz="4" w:space="0" w:color="auto"/>
              <w:right w:val="single" w:sz="4" w:space="0" w:color="auto"/>
            </w:tcBorders>
            <w:shd w:val="clear" w:color="auto" w:fill="auto"/>
            <w:noWrap/>
            <w:vAlign w:val="bottom"/>
            <w:hideMark/>
          </w:tcPr>
          <w:p w14:paraId="071197AE"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90.7%</w:t>
            </w:r>
          </w:p>
        </w:tc>
        <w:tc>
          <w:tcPr>
            <w:tcW w:w="1273" w:type="dxa"/>
            <w:tcBorders>
              <w:top w:val="nil"/>
              <w:left w:val="nil"/>
              <w:bottom w:val="single" w:sz="4" w:space="0" w:color="auto"/>
              <w:right w:val="single" w:sz="4" w:space="0" w:color="auto"/>
            </w:tcBorders>
            <w:shd w:val="clear" w:color="auto" w:fill="auto"/>
            <w:noWrap/>
            <w:vAlign w:val="bottom"/>
            <w:hideMark/>
          </w:tcPr>
          <w:p w14:paraId="48F49BB1"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50.0%</w:t>
            </w:r>
          </w:p>
        </w:tc>
      </w:tr>
      <w:tr w:rsidR="00D24507" w:rsidRPr="00537514" w14:paraId="6DA18E83"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59558C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110</w:t>
            </w:r>
          </w:p>
        </w:tc>
        <w:tc>
          <w:tcPr>
            <w:tcW w:w="2572" w:type="dxa"/>
            <w:tcBorders>
              <w:top w:val="nil"/>
              <w:left w:val="nil"/>
              <w:bottom w:val="single" w:sz="4" w:space="0" w:color="auto"/>
              <w:right w:val="single" w:sz="4" w:space="0" w:color="auto"/>
            </w:tcBorders>
            <w:shd w:val="clear" w:color="auto" w:fill="auto"/>
            <w:noWrap/>
            <w:vAlign w:val="bottom"/>
            <w:hideMark/>
          </w:tcPr>
          <w:p w14:paraId="5D7CD3E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18D9B1B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5,173 </w:t>
            </w:r>
          </w:p>
        </w:tc>
        <w:tc>
          <w:tcPr>
            <w:tcW w:w="1371" w:type="dxa"/>
            <w:tcBorders>
              <w:top w:val="nil"/>
              <w:left w:val="nil"/>
              <w:bottom w:val="single" w:sz="4" w:space="0" w:color="auto"/>
              <w:right w:val="single" w:sz="4" w:space="0" w:color="auto"/>
            </w:tcBorders>
            <w:shd w:val="clear" w:color="auto" w:fill="auto"/>
            <w:noWrap/>
            <w:vAlign w:val="bottom"/>
            <w:hideMark/>
          </w:tcPr>
          <w:p w14:paraId="72846651"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89.1%</w:t>
            </w:r>
          </w:p>
        </w:tc>
        <w:tc>
          <w:tcPr>
            <w:tcW w:w="1273" w:type="dxa"/>
            <w:tcBorders>
              <w:top w:val="nil"/>
              <w:left w:val="nil"/>
              <w:bottom w:val="single" w:sz="4" w:space="0" w:color="auto"/>
              <w:right w:val="single" w:sz="4" w:space="0" w:color="auto"/>
            </w:tcBorders>
            <w:shd w:val="clear" w:color="auto" w:fill="auto"/>
            <w:noWrap/>
            <w:vAlign w:val="bottom"/>
            <w:hideMark/>
          </w:tcPr>
          <w:p w14:paraId="5C56164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52.6%</w:t>
            </w:r>
          </w:p>
        </w:tc>
      </w:tr>
      <w:tr w:rsidR="00D24507" w:rsidRPr="00537514" w14:paraId="1DE490BB"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9E526E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140</w:t>
            </w:r>
          </w:p>
        </w:tc>
        <w:tc>
          <w:tcPr>
            <w:tcW w:w="2572" w:type="dxa"/>
            <w:tcBorders>
              <w:top w:val="nil"/>
              <w:left w:val="nil"/>
              <w:bottom w:val="single" w:sz="4" w:space="0" w:color="auto"/>
              <w:right w:val="single" w:sz="4" w:space="0" w:color="auto"/>
            </w:tcBorders>
            <w:shd w:val="clear" w:color="auto" w:fill="auto"/>
            <w:noWrap/>
            <w:vAlign w:val="bottom"/>
            <w:hideMark/>
          </w:tcPr>
          <w:p w14:paraId="171375A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6095E89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3,287 </w:t>
            </w:r>
          </w:p>
        </w:tc>
        <w:tc>
          <w:tcPr>
            <w:tcW w:w="1371" w:type="dxa"/>
            <w:tcBorders>
              <w:top w:val="nil"/>
              <w:left w:val="nil"/>
              <w:bottom w:val="single" w:sz="4" w:space="0" w:color="auto"/>
              <w:right w:val="single" w:sz="4" w:space="0" w:color="auto"/>
            </w:tcBorders>
            <w:shd w:val="clear" w:color="auto" w:fill="auto"/>
            <w:noWrap/>
            <w:vAlign w:val="bottom"/>
            <w:hideMark/>
          </w:tcPr>
          <w:p w14:paraId="720940B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61.6%</w:t>
            </w:r>
          </w:p>
        </w:tc>
        <w:tc>
          <w:tcPr>
            <w:tcW w:w="1273" w:type="dxa"/>
            <w:tcBorders>
              <w:top w:val="nil"/>
              <w:left w:val="nil"/>
              <w:bottom w:val="single" w:sz="4" w:space="0" w:color="auto"/>
              <w:right w:val="single" w:sz="4" w:space="0" w:color="auto"/>
            </w:tcBorders>
            <w:shd w:val="clear" w:color="auto" w:fill="auto"/>
            <w:noWrap/>
            <w:vAlign w:val="bottom"/>
            <w:hideMark/>
          </w:tcPr>
          <w:p w14:paraId="6804DEC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42.9%</w:t>
            </w:r>
          </w:p>
        </w:tc>
      </w:tr>
      <w:tr w:rsidR="00D24507" w:rsidRPr="00537514" w14:paraId="5A133E51"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4910E2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145.01</w:t>
            </w:r>
          </w:p>
        </w:tc>
        <w:tc>
          <w:tcPr>
            <w:tcW w:w="2572" w:type="dxa"/>
            <w:tcBorders>
              <w:top w:val="nil"/>
              <w:left w:val="nil"/>
              <w:bottom w:val="single" w:sz="4" w:space="0" w:color="auto"/>
              <w:right w:val="single" w:sz="4" w:space="0" w:color="auto"/>
            </w:tcBorders>
            <w:shd w:val="clear" w:color="auto" w:fill="auto"/>
            <w:noWrap/>
            <w:vAlign w:val="bottom"/>
            <w:hideMark/>
          </w:tcPr>
          <w:p w14:paraId="2BD7EAA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Guilford County</w:t>
            </w:r>
          </w:p>
        </w:tc>
        <w:tc>
          <w:tcPr>
            <w:tcW w:w="1489" w:type="dxa"/>
            <w:tcBorders>
              <w:top w:val="nil"/>
              <w:left w:val="nil"/>
              <w:bottom w:val="single" w:sz="4" w:space="0" w:color="auto"/>
              <w:right w:val="single" w:sz="4" w:space="0" w:color="auto"/>
            </w:tcBorders>
            <w:shd w:val="clear" w:color="auto" w:fill="auto"/>
            <w:noWrap/>
            <w:vAlign w:val="bottom"/>
            <w:hideMark/>
          </w:tcPr>
          <w:p w14:paraId="1552846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1,291 </w:t>
            </w:r>
          </w:p>
        </w:tc>
        <w:tc>
          <w:tcPr>
            <w:tcW w:w="1371" w:type="dxa"/>
            <w:tcBorders>
              <w:top w:val="nil"/>
              <w:left w:val="nil"/>
              <w:bottom w:val="single" w:sz="4" w:space="0" w:color="auto"/>
              <w:right w:val="single" w:sz="4" w:space="0" w:color="auto"/>
            </w:tcBorders>
            <w:shd w:val="clear" w:color="auto" w:fill="auto"/>
            <w:noWrap/>
            <w:vAlign w:val="bottom"/>
            <w:hideMark/>
          </w:tcPr>
          <w:p w14:paraId="19AF2F6E"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61.2%</w:t>
            </w:r>
          </w:p>
        </w:tc>
        <w:tc>
          <w:tcPr>
            <w:tcW w:w="1273" w:type="dxa"/>
            <w:tcBorders>
              <w:top w:val="nil"/>
              <w:left w:val="nil"/>
              <w:bottom w:val="single" w:sz="4" w:space="0" w:color="auto"/>
              <w:right w:val="single" w:sz="4" w:space="0" w:color="auto"/>
            </w:tcBorders>
            <w:shd w:val="clear" w:color="auto" w:fill="auto"/>
            <w:noWrap/>
            <w:vAlign w:val="bottom"/>
            <w:hideMark/>
          </w:tcPr>
          <w:p w14:paraId="70BB3CAA"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43.2%</w:t>
            </w:r>
          </w:p>
        </w:tc>
      </w:tr>
      <w:tr w:rsidR="00D24507" w:rsidRPr="00537514" w14:paraId="3F82302A"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F4A8D4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403.01</w:t>
            </w:r>
          </w:p>
        </w:tc>
        <w:tc>
          <w:tcPr>
            <w:tcW w:w="2572" w:type="dxa"/>
            <w:tcBorders>
              <w:top w:val="nil"/>
              <w:left w:val="nil"/>
              <w:bottom w:val="single" w:sz="4" w:space="0" w:color="auto"/>
              <w:right w:val="single" w:sz="4" w:space="0" w:color="auto"/>
            </w:tcBorders>
            <w:shd w:val="clear" w:color="auto" w:fill="auto"/>
            <w:noWrap/>
            <w:vAlign w:val="bottom"/>
            <w:hideMark/>
          </w:tcPr>
          <w:p w14:paraId="5A1BC80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Johnston County</w:t>
            </w:r>
          </w:p>
        </w:tc>
        <w:tc>
          <w:tcPr>
            <w:tcW w:w="1489" w:type="dxa"/>
            <w:tcBorders>
              <w:top w:val="nil"/>
              <w:left w:val="nil"/>
              <w:bottom w:val="single" w:sz="4" w:space="0" w:color="auto"/>
              <w:right w:val="single" w:sz="4" w:space="0" w:color="auto"/>
            </w:tcBorders>
            <w:shd w:val="clear" w:color="auto" w:fill="auto"/>
            <w:noWrap/>
            <w:vAlign w:val="bottom"/>
            <w:hideMark/>
          </w:tcPr>
          <w:p w14:paraId="76D63E9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4,635 </w:t>
            </w:r>
          </w:p>
        </w:tc>
        <w:tc>
          <w:tcPr>
            <w:tcW w:w="1371" w:type="dxa"/>
            <w:tcBorders>
              <w:top w:val="nil"/>
              <w:left w:val="nil"/>
              <w:bottom w:val="single" w:sz="4" w:space="0" w:color="auto"/>
              <w:right w:val="single" w:sz="4" w:space="0" w:color="auto"/>
            </w:tcBorders>
            <w:shd w:val="clear" w:color="auto" w:fill="auto"/>
            <w:noWrap/>
            <w:vAlign w:val="bottom"/>
            <w:hideMark/>
          </w:tcPr>
          <w:p w14:paraId="142CE71A"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63.1%</w:t>
            </w:r>
          </w:p>
        </w:tc>
        <w:tc>
          <w:tcPr>
            <w:tcW w:w="1273" w:type="dxa"/>
            <w:tcBorders>
              <w:top w:val="nil"/>
              <w:left w:val="nil"/>
              <w:bottom w:val="single" w:sz="4" w:space="0" w:color="auto"/>
              <w:right w:val="single" w:sz="4" w:space="0" w:color="auto"/>
            </w:tcBorders>
            <w:shd w:val="clear" w:color="auto" w:fill="auto"/>
            <w:noWrap/>
            <w:vAlign w:val="bottom"/>
            <w:hideMark/>
          </w:tcPr>
          <w:p w14:paraId="19AA90D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42.9%</w:t>
            </w:r>
          </w:p>
        </w:tc>
      </w:tr>
      <w:tr w:rsidR="00D24507" w:rsidRPr="00537514" w14:paraId="636210D2"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07E825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302</w:t>
            </w:r>
          </w:p>
        </w:tc>
        <w:tc>
          <w:tcPr>
            <w:tcW w:w="2572" w:type="dxa"/>
            <w:tcBorders>
              <w:top w:val="nil"/>
              <w:left w:val="nil"/>
              <w:bottom w:val="single" w:sz="4" w:space="0" w:color="auto"/>
              <w:right w:val="single" w:sz="4" w:space="0" w:color="auto"/>
            </w:tcBorders>
            <w:shd w:val="clear" w:color="auto" w:fill="auto"/>
            <w:noWrap/>
            <w:vAlign w:val="bottom"/>
            <w:hideMark/>
          </w:tcPr>
          <w:p w14:paraId="105C121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Lee County</w:t>
            </w:r>
          </w:p>
        </w:tc>
        <w:tc>
          <w:tcPr>
            <w:tcW w:w="1489" w:type="dxa"/>
            <w:tcBorders>
              <w:top w:val="nil"/>
              <w:left w:val="nil"/>
              <w:bottom w:val="single" w:sz="4" w:space="0" w:color="auto"/>
              <w:right w:val="single" w:sz="4" w:space="0" w:color="auto"/>
            </w:tcBorders>
            <w:shd w:val="clear" w:color="auto" w:fill="auto"/>
            <w:noWrap/>
            <w:vAlign w:val="bottom"/>
            <w:hideMark/>
          </w:tcPr>
          <w:p w14:paraId="372EA9D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3,621 </w:t>
            </w:r>
          </w:p>
        </w:tc>
        <w:tc>
          <w:tcPr>
            <w:tcW w:w="1371" w:type="dxa"/>
            <w:tcBorders>
              <w:top w:val="nil"/>
              <w:left w:val="nil"/>
              <w:bottom w:val="single" w:sz="4" w:space="0" w:color="auto"/>
              <w:right w:val="single" w:sz="4" w:space="0" w:color="auto"/>
            </w:tcBorders>
            <w:shd w:val="clear" w:color="auto" w:fill="auto"/>
            <w:noWrap/>
            <w:vAlign w:val="bottom"/>
            <w:hideMark/>
          </w:tcPr>
          <w:p w14:paraId="143665E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77.2%</w:t>
            </w:r>
          </w:p>
        </w:tc>
        <w:tc>
          <w:tcPr>
            <w:tcW w:w="1273" w:type="dxa"/>
            <w:tcBorders>
              <w:top w:val="nil"/>
              <w:left w:val="nil"/>
              <w:bottom w:val="single" w:sz="4" w:space="0" w:color="auto"/>
              <w:right w:val="single" w:sz="4" w:space="0" w:color="auto"/>
            </w:tcBorders>
            <w:shd w:val="clear" w:color="auto" w:fill="auto"/>
            <w:noWrap/>
            <w:vAlign w:val="bottom"/>
            <w:hideMark/>
          </w:tcPr>
          <w:p w14:paraId="05F000F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45.1%</w:t>
            </w:r>
          </w:p>
        </w:tc>
      </w:tr>
      <w:tr w:rsidR="00D24507" w:rsidRPr="00537514" w14:paraId="34B3B52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442C234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103</w:t>
            </w:r>
          </w:p>
        </w:tc>
        <w:tc>
          <w:tcPr>
            <w:tcW w:w="2572" w:type="dxa"/>
            <w:tcBorders>
              <w:top w:val="nil"/>
              <w:left w:val="nil"/>
              <w:bottom w:val="single" w:sz="4" w:space="0" w:color="auto"/>
              <w:right w:val="single" w:sz="4" w:space="0" w:color="auto"/>
            </w:tcBorders>
            <w:shd w:val="clear" w:color="auto" w:fill="auto"/>
            <w:noWrap/>
            <w:vAlign w:val="bottom"/>
            <w:hideMark/>
          </w:tcPr>
          <w:p w14:paraId="6C513BB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Lenoir County</w:t>
            </w:r>
          </w:p>
        </w:tc>
        <w:tc>
          <w:tcPr>
            <w:tcW w:w="1489" w:type="dxa"/>
            <w:tcBorders>
              <w:top w:val="nil"/>
              <w:left w:val="nil"/>
              <w:bottom w:val="single" w:sz="4" w:space="0" w:color="auto"/>
              <w:right w:val="single" w:sz="4" w:space="0" w:color="auto"/>
            </w:tcBorders>
            <w:shd w:val="clear" w:color="auto" w:fill="auto"/>
            <w:noWrap/>
            <w:vAlign w:val="bottom"/>
            <w:hideMark/>
          </w:tcPr>
          <w:p w14:paraId="036CEA2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1,504 </w:t>
            </w:r>
          </w:p>
        </w:tc>
        <w:tc>
          <w:tcPr>
            <w:tcW w:w="1371" w:type="dxa"/>
            <w:tcBorders>
              <w:top w:val="nil"/>
              <w:left w:val="nil"/>
              <w:bottom w:val="single" w:sz="4" w:space="0" w:color="auto"/>
              <w:right w:val="single" w:sz="4" w:space="0" w:color="auto"/>
            </w:tcBorders>
            <w:shd w:val="clear" w:color="auto" w:fill="auto"/>
            <w:noWrap/>
            <w:vAlign w:val="bottom"/>
            <w:hideMark/>
          </w:tcPr>
          <w:p w14:paraId="045F614A"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99.5%</w:t>
            </w:r>
          </w:p>
        </w:tc>
        <w:tc>
          <w:tcPr>
            <w:tcW w:w="1273" w:type="dxa"/>
            <w:tcBorders>
              <w:top w:val="nil"/>
              <w:left w:val="nil"/>
              <w:bottom w:val="single" w:sz="4" w:space="0" w:color="auto"/>
              <w:right w:val="single" w:sz="4" w:space="0" w:color="auto"/>
            </w:tcBorders>
            <w:shd w:val="clear" w:color="auto" w:fill="auto"/>
            <w:noWrap/>
            <w:vAlign w:val="bottom"/>
            <w:hideMark/>
          </w:tcPr>
          <w:p w14:paraId="5A24112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61.3%</w:t>
            </w:r>
          </w:p>
        </w:tc>
      </w:tr>
      <w:tr w:rsidR="00D24507" w:rsidRPr="00537514" w14:paraId="337BF915"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D396FC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105</w:t>
            </w:r>
          </w:p>
        </w:tc>
        <w:tc>
          <w:tcPr>
            <w:tcW w:w="2572" w:type="dxa"/>
            <w:tcBorders>
              <w:top w:val="nil"/>
              <w:left w:val="nil"/>
              <w:bottom w:val="single" w:sz="4" w:space="0" w:color="auto"/>
              <w:right w:val="single" w:sz="4" w:space="0" w:color="auto"/>
            </w:tcBorders>
            <w:shd w:val="clear" w:color="auto" w:fill="auto"/>
            <w:noWrap/>
            <w:vAlign w:val="bottom"/>
            <w:hideMark/>
          </w:tcPr>
          <w:p w14:paraId="4F824AF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Lenoir County</w:t>
            </w:r>
          </w:p>
        </w:tc>
        <w:tc>
          <w:tcPr>
            <w:tcW w:w="1489" w:type="dxa"/>
            <w:tcBorders>
              <w:top w:val="nil"/>
              <w:left w:val="nil"/>
              <w:bottom w:val="single" w:sz="4" w:space="0" w:color="auto"/>
              <w:right w:val="single" w:sz="4" w:space="0" w:color="auto"/>
            </w:tcBorders>
            <w:shd w:val="clear" w:color="auto" w:fill="auto"/>
            <w:noWrap/>
            <w:vAlign w:val="bottom"/>
            <w:hideMark/>
          </w:tcPr>
          <w:p w14:paraId="54828A3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3,554 </w:t>
            </w:r>
          </w:p>
        </w:tc>
        <w:tc>
          <w:tcPr>
            <w:tcW w:w="1371" w:type="dxa"/>
            <w:tcBorders>
              <w:top w:val="nil"/>
              <w:left w:val="nil"/>
              <w:bottom w:val="single" w:sz="4" w:space="0" w:color="auto"/>
              <w:right w:val="single" w:sz="4" w:space="0" w:color="auto"/>
            </w:tcBorders>
            <w:shd w:val="clear" w:color="auto" w:fill="auto"/>
            <w:noWrap/>
            <w:vAlign w:val="bottom"/>
            <w:hideMark/>
          </w:tcPr>
          <w:p w14:paraId="2EFD71C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94.9%</w:t>
            </w:r>
          </w:p>
        </w:tc>
        <w:tc>
          <w:tcPr>
            <w:tcW w:w="1273" w:type="dxa"/>
            <w:tcBorders>
              <w:top w:val="nil"/>
              <w:left w:val="nil"/>
              <w:bottom w:val="single" w:sz="4" w:space="0" w:color="auto"/>
              <w:right w:val="single" w:sz="4" w:space="0" w:color="auto"/>
            </w:tcBorders>
            <w:shd w:val="clear" w:color="auto" w:fill="auto"/>
            <w:noWrap/>
            <w:vAlign w:val="bottom"/>
            <w:hideMark/>
          </w:tcPr>
          <w:p w14:paraId="4C033E5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43.0%</w:t>
            </w:r>
          </w:p>
        </w:tc>
      </w:tr>
      <w:tr w:rsidR="00D24507" w:rsidRPr="00537514" w14:paraId="4329DC79"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60F742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107</w:t>
            </w:r>
          </w:p>
        </w:tc>
        <w:tc>
          <w:tcPr>
            <w:tcW w:w="2572" w:type="dxa"/>
            <w:tcBorders>
              <w:top w:val="nil"/>
              <w:left w:val="nil"/>
              <w:bottom w:val="single" w:sz="4" w:space="0" w:color="auto"/>
              <w:right w:val="single" w:sz="4" w:space="0" w:color="auto"/>
            </w:tcBorders>
            <w:shd w:val="clear" w:color="auto" w:fill="auto"/>
            <w:noWrap/>
            <w:vAlign w:val="bottom"/>
            <w:hideMark/>
          </w:tcPr>
          <w:p w14:paraId="09E871C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Lenoir County</w:t>
            </w:r>
          </w:p>
        </w:tc>
        <w:tc>
          <w:tcPr>
            <w:tcW w:w="1489" w:type="dxa"/>
            <w:tcBorders>
              <w:top w:val="nil"/>
              <w:left w:val="nil"/>
              <w:bottom w:val="single" w:sz="4" w:space="0" w:color="auto"/>
              <w:right w:val="single" w:sz="4" w:space="0" w:color="auto"/>
            </w:tcBorders>
            <w:shd w:val="clear" w:color="auto" w:fill="auto"/>
            <w:noWrap/>
            <w:vAlign w:val="bottom"/>
            <w:hideMark/>
          </w:tcPr>
          <w:p w14:paraId="3561EF8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2,115 </w:t>
            </w:r>
          </w:p>
        </w:tc>
        <w:tc>
          <w:tcPr>
            <w:tcW w:w="1371" w:type="dxa"/>
            <w:tcBorders>
              <w:top w:val="nil"/>
              <w:left w:val="nil"/>
              <w:bottom w:val="single" w:sz="4" w:space="0" w:color="auto"/>
              <w:right w:val="single" w:sz="4" w:space="0" w:color="auto"/>
            </w:tcBorders>
            <w:shd w:val="clear" w:color="auto" w:fill="auto"/>
            <w:noWrap/>
            <w:vAlign w:val="bottom"/>
            <w:hideMark/>
          </w:tcPr>
          <w:p w14:paraId="092F012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74.2%</w:t>
            </w:r>
          </w:p>
        </w:tc>
        <w:tc>
          <w:tcPr>
            <w:tcW w:w="1273" w:type="dxa"/>
            <w:tcBorders>
              <w:top w:val="nil"/>
              <w:left w:val="nil"/>
              <w:bottom w:val="single" w:sz="4" w:space="0" w:color="auto"/>
              <w:right w:val="single" w:sz="4" w:space="0" w:color="auto"/>
            </w:tcBorders>
            <w:shd w:val="clear" w:color="auto" w:fill="auto"/>
            <w:noWrap/>
            <w:vAlign w:val="bottom"/>
            <w:hideMark/>
          </w:tcPr>
          <w:p w14:paraId="6B4B4F3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41.2%</w:t>
            </w:r>
          </w:p>
        </w:tc>
      </w:tr>
      <w:tr w:rsidR="00D24507" w:rsidRPr="00537514" w14:paraId="66DA513C"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7FBE77F"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39.03</w:t>
            </w:r>
          </w:p>
        </w:tc>
        <w:tc>
          <w:tcPr>
            <w:tcW w:w="2572" w:type="dxa"/>
            <w:tcBorders>
              <w:top w:val="nil"/>
              <w:left w:val="nil"/>
              <w:bottom w:val="single" w:sz="4" w:space="0" w:color="auto"/>
              <w:right w:val="single" w:sz="4" w:space="0" w:color="auto"/>
            </w:tcBorders>
            <w:shd w:val="clear" w:color="auto" w:fill="auto"/>
            <w:noWrap/>
            <w:vAlign w:val="bottom"/>
            <w:hideMark/>
          </w:tcPr>
          <w:p w14:paraId="55ECCF4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Mecklenburg County</w:t>
            </w:r>
          </w:p>
        </w:tc>
        <w:tc>
          <w:tcPr>
            <w:tcW w:w="1489" w:type="dxa"/>
            <w:tcBorders>
              <w:top w:val="nil"/>
              <w:left w:val="nil"/>
              <w:bottom w:val="single" w:sz="4" w:space="0" w:color="auto"/>
              <w:right w:val="single" w:sz="4" w:space="0" w:color="auto"/>
            </w:tcBorders>
            <w:shd w:val="clear" w:color="auto" w:fill="auto"/>
            <w:noWrap/>
            <w:vAlign w:val="bottom"/>
            <w:hideMark/>
          </w:tcPr>
          <w:p w14:paraId="78D9807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2,023 </w:t>
            </w:r>
          </w:p>
        </w:tc>
        <w:tc>
          <w:tcPr>
            <w:tcW w:w="1371" w:type="dxa"/>
            <w:tcBorders>
              <w:top w:val="nil"/>
              <w:left w:val="nil"/>
              <w:bottom w:val="single" w:sz="4" w:space="0" w:color="auto"/>
              <w:right w:val="single" w:sz="4" w:space="0" w:color="auto"/>
            </w:tcBorders>
            <w:shd w:val="clear" w:color="auto" w:fill="auto"/>
            <w:noWrap/>
            <w:vAlign w:val="bottom"/>
            <w:hideMark/>
          </w:tcPr>
          <w:p w14:paraId="4B22E1C6"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95.8%</w:t>
            </w:r>
          </w:p>
        </w:tc>
        <w:tc>
          <w:tcPr>
            <w:tcW w:w="1273" w:type="dxa"/>
            <w:tcBorders>
              <w:top w:val="nil"/>
              <w:left w:val="nil"/>
              <w:bottom w:val="single" w:sz="4" w:space="0" w:color="auto"/>
              <w:right w:val="single" w:sz="4" w:space="0" w:color="auto"/>
            </w:tcBorders>
            <w:shd w:val="clear" w:color="auto" w:fill="auto"/>
            <w:noWrap/>
            <w:vAlign w:val="bottom"/>
            <w:hideMark/>
          </w:tcPr>
          <w:p w14:paraId="143C42C6"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58.8%</w:t>
            </w:r>
          </w:p>
        </w:tc>
      </w:tr>
      <w:tr w:rsidR="00D24507" w:rsidRPr="00537514" w14:paraId="0AFC7292"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06B6A8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23</w:t>
            </w:r>
          </w:p>
        </w:tc>
        <w:tc>
          <w:tcPr>
            <w:tcW w:w="2572" w:type="dxa"/>
            <w:tcBorders>
              <w:top w:val="nil"/>
              <w:left w:val="nil"/>
              <w:bottom w:val="single" w:sz="4" w:space="0" w:color="auto"/>
              <w:right w:val="single" w:sz="4" w:space="0" w:color="auto"/>
            </w:tcBorders>
            <w:shd w:val="clear" w:color="auto" w:fill="auto"/>
            <w:noWrap/>
            <w:vAlign w:val="bottom"/>
            <w:hideMark/>
          </w:tcPr>
          <w:p w14:paraId="13E3717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Mecklenburg County</w:t>
            </w:r>
          </w:p>
        </w:tc>
        <w:tc>
          <w:tcPr>
            <w:tcW w:w="1489" w:type="dxa"/>
            <w:tcBorders>
              <w:top w:val="nil"/>
              <w:left w:val="nil"/>
              <w:bottom w:val="single" w:sz="4" w:space="0" w:color="auto"/>
              <w:right w:val="single" w:sz="4" w:space="0" w:color="auto"/>
            </w:tcBorders>
            <w:shd w:val="clear" w:color="auto" w:fill="auto"/>
            <w:noWrap/>
            <w:vAlign w:val="bottom"/>
            <w:hideMark/>
          </w:tcPr>
          <w:p w14:paraId="1784148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3,271 </w:t>
            </w:r>
          </w:p>
        </w:tc>
        <w:tc>
          <w:tcPr>
            <w:tcW w:w="1371" w:type="dxa"/>
            <w:tcBorders>
              <w:top w:val="nil"/>
              <w:left w:val="nil"/>
              <w:bottom w:val="single" w:sz="4" w:space="0" w:color="auto"/>
              <w:right w:val="single" w:sz="4" w:space="0" w:color="auto"/>
            </w:tcBorders>
            <w:shd w:val="clear" w:color="auto" w:fill="auto"/>
            <w:noWrap/>
            <w:vAlign w:val="bottom"/>
            <w:hideMark/>
          </w:tcPr>
          <w:p w14:paraId="4114716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94.3%</w:t>
            </w:r>
          </w:p>
        </w:tc>
        <w:tc>
          <w:tcPr>
            <w:tcW w:w="1273" w:type="dxa"/>
            <w:tcBorders>
              <w:top w:val="nil"/>
              <w:left w:val="nil"/>
              <w:bottom w:val="single" w:sz="4" w:space="0" w:color="auto"/>
              <w:right w:val="single" w:sz="4" w:space="0" w:color="auto"/>
            </w:tcBorders>
            <w:shd w:val="clear" w:color="auto" w:fill="auto"/>
            <w:noWrap/>
            <w:vAlign w:val="bottom"/>
            <w:hideMark/>
          </w:tcPr>
          <w:p w14:paraId="484E9D7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56.6%</w:t>
            </w:r>
          </w:p>
        </w:tc>
      </w:tr>
      <w:tr w:rsidR="00D24507" w:rsidRPr="00537514" w14:paraId="6A10E272"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1C3FA5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51</w:t>
            </w:r>
          </w:p>
        </w:tc>
        <w:tc>
          <w:tcPr>
            <w:tcW w:w="2572" w:type="dxa"/>
            <w:tcBorders>
              <w:top w:val="nil"/>
              <w:left w:val="nil"/>
              <w:bottom w:val="single" w:sz="4" w:space="0" w:color="auto"/>
              <w:right w:val="single" w:sz="4" w:space="0" w:color="auto"/>
            </w:tcBorders>
            <w:shd w:val="clear" w:color="auto" w:fill="auto"/>
            <w:noWrap/>
            <w:vAlign w:val="bottom"/>
            <w:hideMark/>
          </w:tcPr>
          <w:p w14:paraId="2666E6D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Mecklenburg County</w:t>
            </w:r>
          </w:p>
        </w:tc>
        <w:tc>
          <w:tcPr>
            <w:tcW w:w="1489" w:type="dxa"/>
            <w:tcBorders>
              <w:top w:val="nil"/>
              <w:left w:val="nil"/>
              <w:bottom w:val="single" w:sz="4" w:space="0" w:color="auto"/>
              <w:right w:val="single" w:sz="4" w:space="0" w:color="auto"/>
            </w:tcBorders>
            <w:shd w:val="clear" w:color="auto" w:fill="auto"/>
            <w:noWrap/>
            <w:vAlign w:val="bottom"/>
            <w:hideMark/>
          </w:tcPr>
          <w:p w14:paraId="54B3ACA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2,309 </w:t>
            </w:r>
          </w:p>
        </w:tc>
        <w:tc>
          <w:tcPr>
            <w:tcW w:w="1371" w:type="dxa"/>
            <w:tcBorders>
              <w:top w:val="nil"/>
              <w:left w:val="nil"/>
              <w:bottom w:val="single" w:sz="4" w:space="0" w:color="auto"/>
              <w:right w:val="single" w:sz="4" w:space="0" w:color="auto"/>
            </w:tcBorders>
            <w:shd w:val="clear" w:color="auto" w:fill="auto"/>
            <w:noWrap/>
            <w:vAlign w:val="bottom"/>
            <w:hideMark/>
          </w:tcPr>
          <w:p w14:paraId="0BF2C8D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94.1%</w:t>
            </w:r>
          </w:p>
        </w:tc>
        <w:tc>
          <w:tcPr>
            <w:tcW w:w="1273" w:type="dxa"/>
            <w:tcBorders>
              <w:top w:val="nil"/>
              <w:left w:val="nil"/>
              <w:bottom w:val="single" w:sz="4" w:space="0" w:color="auto"/>
              <w:right w:val="single" w:sz="4" w:space="0" w:color="auto"/>
            </w:tcBorders>
            <w:shd w:val="clear" w:color="auto" w:fill="auto"/>
            <w:noWrap/>
            <w:vAlign w:val="bottom"/>
            <w:hideMark/>
          </w:tcPr>
          <w:p w14:paraId="7C0F17C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43.3%</w:t>
            </w:r>
          </w:p>
        </w:tc>
      </w:tr>
      <w:tr w:rsidR="00D24507" w:rsidRPr="00537514" w14:paraId="2CE6E47A"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4CC1AA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47</w:t>
            </w:r>
          </w:p>
        </w:tc>
        <w:tc>
          <w:tcPr>
            <w:tcW w:w="2572" w:type="dxa"/>
            <w:tcBorders>
              <w:top w:val="nil"/>
              <w:left w:val="nil"/>
              <w:bottom w:val="single" w:sz="4" w:space="0" w:color="auto"/>
              <w:right w:val="single" w:sz="4" w:space="0" w:color="auto"/>
            </w:tcBorders>
            <w:shd w:val="clear" w:color="auto" w:fill="auto"/>
            <w:noWrap/>
            <w:vAlign w:val="bottom"/>
            <w:hideMark/>
          </w:tcPr>
          <w:p w14:paraId="4526B64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Mecklenburg County</w:t>
            </w:r>
          </w:p>
        </w:tc>
        <w:tc>
          <w:tcPr>
            <w:tcW w:w="1489" w:type="dxa"/>
            <w:tcBorders>
              <w:top w:val="nil"/>
              <w:left w:val="nil"/>
              <w:bottom w:val="single" w:sz="4" w:space="0" w:color="auto"/>
              <w:right w:val="single" w:sz="4" w:space="0" w:color="auto"/>
            </w:tcBorders>
            <w:shd w:val="clear" w:color="auto" w:fill="auto"/>
            <w:noWrap/>
            <w:vAlign w:val="bottom"/>
            <w:hideMark/>
          </w:tcPr>
          <w:p w14:paraId="792BC48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1,725 </w:t>
            </w:r>
          </w:p>
        </w:tc>
        <w:tc>
          <w:tcPr>
            <w:tcW w:w="1371" w:type="dxa"/>
            <w:tcBorders>
              <w:top w:val="nil"/>
              <w:left w:val="nil"/>
              <w:bottom w:val="single" w:sz="4" w:space="0" w:color="auto"/>
              <w:right w:val="single" w:sz="4" w:space="0" w:color="auto"/>
            </w:tcBorders>
            <w:shd w:val="clear" w:color="auto" w:fill="auto"/>
            <w:noWrap/>
            <w:vAlign w:val="bottom"/>
            <w:hideMark/>
          </w:tcPr>
          <w:p w14:paraId="1F1FE0EA"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76.3%</w:t>
            </w:r>
          </w:p>
        </w:tc>
        <w:tc>
          <w:tcPr>
            <w:tcW w:w="1273" w:type="dxa"/>
            <w:tcBorders>
              <w:top w:val="nil"/>
              <w:left w:val="nil"/>
              <w:bottom w:val="single" w:sz="4" w:space="0" w:color="auto"/>
              <w:right w:val="single" w:sz="4" w:space="0" w:color="auto"/>
            </w:tcBorders>
            <w:shd w:val="clear" w:color="auto" w:fill="auto"/>
            <w:noWrap/>
            <w:vAlign w:val="bottom"/>
            <w:hideMark/>
          </w:tcPr>
          <w:p w14:paraId="2504316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45.3%</w:t>
            </w:r>
          </w:p>
        </w:tc>
      </w:tr>
      <w:tr w:rsidR="00D24507" w:rsidRPr="00537514" w14:paraId="33119E5A"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0D7E36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56.09</w:t>
            </w:r>
          </w:p>
        </w:tc>
        <w:tc>
          <w:tcPr>
            <w:tcW w:w="2572" w:type="dxa"/>
            <w:tcBorders>
              <w:top w:val="nil"/>
              <w:left w:val="nil"/>
              <w:bottom w:val="single" w:sz="4" w:space="0" w:color="auto"/>
              <w:right w:val="single" w:sz="4" w:space="0" w:color="auto"/>
            </w:tcBorders>
            <w:shd w:val="clear" w:color="auto" w:fill="auto"/>
            <w:noWrap/>
            <w:vAlign w:val="bottom"/>
            <w:hideMark/>
          </w:tcPr>
          <w:p w14:paraId="653CB4E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Mecklenburg County</w:t>
            </w:r>
          </w:p>
        </w:tc>
        <w:tc>
          <w:tcPr>
            <w:tcW w:w="1489" w:type="dxa"/>
            <w:tcBorders>
              <w:top w:val="nil"/>
              <w:left w:val="nil"/>
              <w:bottom w:val="single" w:sz="4" w:space="0" w:color="auto"/>
              <w:right w:val="single" w:sz="4" w:space="0" w:color="auto"/>
            </w:tcBorders>
            <w:shd w:val="clear" w:color="auto" w:fill="auto"/>
            <w:noWrap/>
            <w:vAlign w:val="bottom"/>
            <w:hideMark/>
          </w:tcPr>
          <w:p w14:paraId="64F4AF6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3,462 </w:t>
            </w:r>
          </w:p>
        </w:tc>
        <w:tc>
          <w:tcPr>
            <w:tcW w:w="1371" w:type="dxa"/>
            <w:tcBorders>
              <w:top w:val="nil"/>
              <w:left w:val="nil"/>
              <w:bottom w:val="single" w:sz="4" w:space="0" w:color="auto"/>
              <w:right w:val="single" w:sz="4" w:space="0" w:color="auto"/>
            </w:tcBorders>
            <w:shd w:val="clear" w:color="auto" w:fill="auto"/>
            <w:noWrap/>
            <w:vAlign w:val="bottom"/>
            <w:hideMark/>
          </w:tcPr>
          <w:p w14:paraId="19F9BFB6"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70.7%</w:t>
            </w:r>
          </w:p>
        </w:tc>
        <w:tc>
          <w:tcPr>
            <w:tcW w:w="1273" w:type="dxa"/>
            <w:tcBorders>
              <w:top w:val="nil"/>
              <w:left w:val="nil"/>
              <w:bottom w:val="single" w:sz="4" w:space="0" w:color="auto"/>
              <w:right w:val="single" w:sz="4" w:space="0" w:color="auto"/>
            </w:tcBorders>
            <w:shd w:val="clear" w:color="auto" w:fill="auto"/>
            <w:noWrap/>
            <w:vAlign w:val="bottom"/>
            <w:hideMark/>
          </w:tcPr>
          <w:p w14:paraId="1D3C72E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63.1%</w:t>
            </w:r>
          </w:p>
        </w:tc>
      </w:tr>
      <w:tr w:rsidR="00D24507" w:rsidRPr="00537514" w14:paraId="64B5F8F5"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45F4BBA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37</w:t>
            </w:r>
          </w:p>
        </w:tc>
        <w:tc>
          <w:tcPr>
            <w:tcW w:w="2572" w:type="dxa"/>
            <w:tcBorders>
              <w:top w:val="nil"/>
              <w:left w:val="nil"/>
              <w:bottom w:val="single" w:sz="4" w:space="0" w:color="auto"/>
              <w:right w:val="single" w:sz="4" w:space="0" w:color="auto"/>
            </w:tcBorders>
            <w:shd w:val="clear" w:color="auto" w:fill="auto"/>
            <w:noWrap/>
            <w:vAlign w:val="bottom"/>
            <w:hideMark/>
          </w:tcPr>
          <w:p w14:paraId="58CF26F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Mecklenburg County</w:t>
            </w:r>
          </w:p>
        </w:tc>
        <w:tc>
          <w:tcPr>
            <w:tcW w:w="1489" w:type="dxa"/>
            <w:tcBorders>
              <w:top w:val="nil"/>
              <w:left w:val="nil"/>
              <w:bottom w:val="single" w:sz="4" w:space="0" w:color="auto"/>
              <w:right w:val="single" w:sz="4" w:space="0" w:color="auto"/>
            </w:tcBorders>
            <w:shd w:val="clear" w:color="auto" w:fill="auto"/>
            <w:noWrap/>
            <w:vAlign w:val="bottom"/>
            <w:hideMark/>
          </w:tcPr>
          <w:p w14:paraId="1E17C2C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3,735 </w:t>
            </w:r>
          </w:p>
        </w:tc>
        <w:tc>
          <w:tcPr>
            <w:tcW w:w="1371" w:type="dxa"/>
            <w:tcBorders>
              <w:top w:val="nil"/>
              <w:left w:val="nil"/>
              <w:bottom w:val="single" w:sz="4" w:space="0" w:color="auto"/>
              <w:right w:val="single" w:sz="4" w:space="0" w:color="auto"/>
            </w:tcBorders>
            <w:shd w:val="clear" w:color="auto" w:fill="auto"/>
            <w:noWrap/>
            <w:vAlign w:val="bottom"/>
            <w:hideMark/>
          </w:tcPr>
          <w:p w14:paraId="10972FD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65.5%</w:t>
            </w:r>
          </w:p>
        </w:tc>
        <w:tc>
          <w:tcPr>
            <w:tcW w:w="1273" w:type="dxa"/>
            <w:tcBorders>
              <w:top w:val="nil"/>
              <w:left w:val="nil"/>
              <w:bottom w:val="single" w:sz="4" w:space="0" w:color="auto"/>
              <w:right w:val="single" w:sz="4" w:space="0" w:color="auto"/>
            </w:tcBorders>
            <w:shd w:val="clear" w:color="auto" w:fill="auto"/>
            <w:noWrap/>
            <w:vAlign w:val="bottom"/>
            <w:hideMark/>
          </w:tcPr>
          <w:p w14:paraId="1313411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40.4%</w:t>
            </w:r>
          </w:p>
        </w:tc>
      </w:tr>
      <w:tr w:rsidR="00D24507" w:rsidRPr="00537514" w14:paraId="4CEEDE6B"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41CBFC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111</w:t>
            </w:r>
          </w:p>
        </w:tc>
        <w:tc>
          <w:tcPr>
            <w:tcW w:w="2572" w:type="dxa"/>
            <w:tcBorders>
              <w:top w:val="nil"/>
              <w:left w:val="nil"/>
              <w:bottom w:val="single" w:sz="4" w:space="0" w:color="auto"/>
              <w:right w:val="single" w:sz="4" w:space="0" w:color="auto"/>
            </w:tcBorders>
            <w:shd w:val="clear" w:color="auto" w:fill="auto"/>
            <w:noWrap/>
            <w:vAlign w:val="bottom"/>
            <w:hideMark/>
          </w:tcPr>
          <w:p w14:paraId="4DF5D09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New Hanover County</w:t>
            </w:r>
          </w:p>
        </w:tc>
        <w:tc>
          <w:tcPr>
            <w:tcW w:w="1489" w:type="dxa"/>
            <w:tcBorders>
              <w:top w:val="nil"/>
              <w:left w:val="nil"/>
              <w:bottom w:val="single" w:sz="4" w:space="0" w:color="auto"/>
              <w:right w:val="single" w:sz="4" w:space="0" w:color="auto"/>
            </w:tcBorders>
            <w:shd w:val="clear" w:color="auto" w:fill="auto"/>
            <w:noWrap/>
            <w:vAlign w:val="bottom"/>
            <w:hideMark/>
          </w:tcPr>
          <w:p w14:paraId="6A4F290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2,724 </w:t>
            </w:r>
          </w:p>
        </w:tc>
        <w:tc>
          <w:tcPr>
            <w:tcW w:w="1371" w:type="dxa"/>
            <w:tcBorders>
              <w:top w:val="nil"/>
              <w:left w:val="nil"/>
              <w:bottom w:val="single" w:sz="4" w:space="0" w:color="auto"/>
              <w:right w:val="single" w:sz="4" w:space="0" w:color="auto"/>
            </w:tcBorders>
            <w:shd w:val="clear" w:color="auto" w:fill="auto"/>
            <w:noWrap/>
            <w:vAlign w:val="bottom"/>
            <w:hideMark/>
          </w:tcPr>
          <w:p w14:paraId="79E525D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88.3%</w:t>
            </w:r>
          </w:p>
        </w:tc>
        <w:tc>
          <w:tcPr>
            <w:tcW w:w="1273" w:type="dxa"/>
            <w:tcBorders>
              <w:top w:val="nil"/>
              <w:left w:val="nil"/>
              <w:bottom w:val="single" w:sz="4" w:space="0" w:color="auto"/>
              <w:right w:val="single" w:sz="4" w:space="0" w:color="auto"/>
            </w:tcBorders>
            <w:shd w:val="clear" w:color="auto" w:fill="auto"/>
            <w:noWrap/>
            <w:vAlign w:val="bottom"/>
            <w:hideMark/>
          </w:tcPr>
          <w:p w14:paraId="66EA7DF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50.8%</w:t>
            </w:r>
          </w:p>
        </w:tc>
      </w:tr>
      <w:tr w:rsidR="00D24507" w:rsidRPr="00537514" w14:paraId="0E27323F"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2D7947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108</w:t>
            </w:r>
          </w:p>
        </w:tc>
        <w:tc>
          <w:tcPr>
            <w:tcW w:w="2572" w:type="dxa"/>
            <w:tcBorders>
              <w:top w:val="nil"/>
              <w:left w:val="nil"/>
              <w:bottom w:val="single" w:sz="4" w:space="0" w:color="auto"/>
              <w:right w:val="single" w:sz="4" w:space="0" w:color="auto"/>
            </w:tcBorders>
            <w:shd w:val="clear" w:color="auto" w:fill="auto"/>
            <w:noWrap/>
            <w:vAlign w:val="bottom"/>
            <w:hideMark/>
          </w:tcPr>
          <w:p w14:paraId="2367CB7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New Hanover County</w:t>
            </w:r>
          </w:p>
        </w:tc>
        <w:tc>
          <w:tcPr>
            <w:tcW w:w="1489" w:type="dxa"/>
            <w:tcBorders>
              <w:top w:val="nil"/>
              <w:left w:val="nil"/>
              <w:bottom w:val="single" w:sz="4" w:space="0" w:color="auto"/>
              <w:right w:val="single" w:sz="4" w:space="0" w:color="auto"/>
            </w:tcBorders>
            <w:shd w:val="clear" w:color="auto" w:fill="auto"/>
            <w:noWrap/>
            <w:vAlign w:val="bottom"/>
            <w:hideMark/>
          </w:tcPr>
          <w:p w14:paraId="5FF6329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2,907 </w:t>
            </w:r>
          </w:p>
        </w:tc>
        <w:tc>
          <w:tcPr>
            <w:tcW w:w="1371" w:type="dxa"/>
            <w:tcBorders>
              <w:top w:val="nil"/>
              <w:left w:val="nil"/>
              <w:bottom w:val="single" w:sz="4" w:space="0" w:color="auto"/>
              <w:right w:val="single" w:sz="4" w:space="0" w:color="auto"/>
            </w:tcBorders>
            <w:shd w:val="clear" w:color="auto" w:fill="auto"/>
            <w:noWrap/>
            <w:vAlign w:val="bottom"/>
            <w:hideMark/>
          </w:tcPr>
          <w:p w14:paraId="03005DF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60.0%</w:t>
            </w:r>
          </w:p>
        </w:tc>
        <w:tc>
          <w:tcPr>
            <w:tcW w:w="1273" w:type="dxa"/>
            <w:tcBorders>
              <w:top w:val="nil"/>
              <w:left w:val="nil"/>
              <w:bottom w:val="single" w:sz="4" w:space="0" w:color="auto"/>
              <w:right w:val="single" w:sz="4" w:space="0" w:color="auto"/>
            </w:tcBorders>
            <w:shd w:val="clear" w:color="auto" w:fill="auto"/>
            <w:noWrap/>
            <w:vAlign w:val="bottom"/>
            <w:hideMark/>
          </w:tcPr>
          <w:p w14:paraId="4022B28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40.5%</w:t>
            </w:r>
          </w:p>
        </w:tc>
      </w:tr>
      <w:tr w:rsidR="00D24507" w:rsidRPr="00537514" w14:paraId="7FB3A6AC"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0BF5F8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9603</w:t>
            </w:r>
          </w:p>
        </w:tc>
        <w:tc>
          <w:tcPr>
            <w:tcW w:w="2572" w:type="dxa"/>
            <w:tcBorders>
              <w:top w:val="nil"/>
              <w:left w:val="nil"/>
              <w:bottom w:val="single" w:sz="4" w:space="0" w:color="auto"/>
              <w:right w:val="single" w:sz="4" w:space="0" w:color="auto"/>
            </w:tcBorders>
            <w:shd w:val="clear" w:color="auto" w:fill="auto"/>
            <w:noWrap/>
            <w:vAlign w:val="bottom"/>
            <w:hideMark/>
          </w:tcPr>
          <w:p w14:paraId="18C059D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Pasquotank County</w:t>
            </w:r>
          </w:p>
        </w:tc>
        <w:tc>
          <w:tcPr>
            <w:tcW w:w="1489" w:type="dxa"/>
            <w:tcBorders>
              <w:top w:val="nil"/>
              <w:left w:val="nil"/>
              <w:bottom w:val="single" w:sz="4" w:space="0" w:color="auto"/>
              <w:right w:val="single" w:sz="4" w:space="0" w:color="auto"/>
            </w:tcBorders>
            <w:shd w:val="clear" w:color="auto" w:fill="auto"/>
            <w:noWrap/>
            <w:vAlign w:val="bottom"/>
            <w:hideMark/>
          </w:tcPr>
          <w:p w14:paraId="264375D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2,680 </w:t>
            </w:r>
          </w:p>
        </w:tc>
        <w:tc>
          <w:tcPr>
            <w:tcW w:w="1371" w:type="dxa"/>
            <w:tcBorders>
              <w:top w:val="nil"/>
              <w:left w:val="nil"/>
              <w:bottom w:val="single" w:sz="4" w:space="0" w:color="auto"/>
              <w:right w:val="single" w:sz="4" w:space="0" w:color="auto"/>
            </w:tcBorders>
            <w:shd w:val="clear" w:color="auto" w:fill="auto"/>
            <w:noWrap/>
            <w:vAlign w:val="bottom"/>
            <w:hideMark/>
          </w:tcPr>
          <w:p w14:paraId="050D29D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86.2%</w:t>
            </w:r>
          </w:p>
        </w:tc>
        <w:tc>
          <w:tcPr>
            <w:tcW w:w="1273" w:type="dxa"/>
            <w:tcBorders>
              <w:top w:val="nil"/>
              <w:left w:val="nil"/>
              <w:bottom w:val="single" w:sz="4" w:space="0" w:color="auto"/>
              <w:right w:val="single" w:sz="4" w:space="0" w:color="auto"/>
            </w:tcBorders>
            <w:shd w:val="clear" w:color="auto" w:fill="auto"/>
            <w:noWrap/>
            <w:vAlign w:val="bottom"/>
            <w:hideMark/>
          </w:tcPr>
          <w:p w14:paraId="650B5B1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49.2%</w:t>
            </w:r>
          </w:p>
        </w:tc>
      </w:tr>
      <w:tr w:rsidR="00D24507" w:rsidRPr="00537514" w14:paraId="2FB7BDF8"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A0E22B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7.02</w:t>
            </w:r>
          </w:p>
        </w:tc>
        <w:tc>
          <w:tcPr>
            <w:tcW w:w="2572" w:type="dxa"/>
            <w:tcBorders>
              <w:top w:val="nil"/>
              <w:left w:val="nil"/>
              <w:bottom w:val="single" w:sz="4" w:space="0" w:color="auto"/>
              <w:right w:val="single" w:sz="4" w:space="0" w:color="auto"/>
            </w:tcBorders>
            <w:shd w:val="clear" w:color="auto" w:fill="auto"/>
            <w:noWrap/>
            <w:vAlign w:val="bottom"/>
            <w:hideMark/>
          </w:tcPr>
          <w:p w14:paraId="7B55FD9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Pitt County</w:t>
            </w:r>
          </w:p>
        </w:tc>
        <w:tc>
          <w:tcPr>
            <w:tcW w:w="1489" w:type="dxa"/>
            <w:tcBorders>
              <w:top w:val="nil"/>
              <w:left w:val="nil"/>
              <w:bottom w:val="single" w:sz="4" w:space="0" w:color="auto"/>
              <w:right w:val="single" w:sz="4" w:space="0" w:color="auto"/>
            </w:tcBorders>
            <w:shd w:val="clear" w:color="auto" w:fill="auto"/>
            <w:noWrap/>
            <w:vAlign w:val="bottom"/>
            <w:hideMark/>
          </w:tcPr>
          <w:p w14:paraId="2CEDD45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3,016 </w:t>
            </w:r>
          </w:p>
        </w:tc>
        <w:tc>
          <w:tcPr>
            <w:tcW w:w="1371" w:type="dxa"/>
            <w:tcBorders>
              <w:top w:val="nil"/>
              <w:left w:val="nil"/>
              <w:bottom w:val="single" w:sz="4" w:space="0" w:color="auto"/>
              <w:right w:val="single" w:sz="4" w:space="0" w:color="auto"/>
            </w:tcBorders>
            <w:shd w:val="clear" w:color="auto" w:fill="auto"/>
            <w:noWrap/>
            <w:vAlign w:val="bottom"/>
            <w:hideMark/>
          </w:tcPr>
          <w:p w14:paraId="3AF88CE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91.3%</w:t>
            </w:r>
          </w:p>
        </w:tc>
        <w:tc>
          <w:tcPr>
            <w:tcW w:w="1273" w:type="dxa"/>
            <w:tcBorders>
              <w:top w:val="nil"/>
              <w:left w:val="nil"/>
              <w:bottom w:val="single" w:sz="4" w:space="0" w:color="auto"/>
              <w:right w:val="single" w:sz="4" w:space="0" w:color="auto"/>
            </w:tcBorders>
            <w:shd w:val="clear" w:color="auto" w:fill="auto"/>
            <w:noWrap/>
            <w:vAlign w:val="bottom"/>
            <w:hideMark/>
          </w:tcPr>
          <w:p w14:paraId="6C41B488"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56.2%</w:t>
            </w:r>
          </w:p>
        </w:tc>
      </w:tr>
      <w:tr w:rsidR="00D24507" w:rsidRPr="00537514" w14:paraId="5D81C7A1"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6FF909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7.01</w:t>
            </w:r>
          </w:p>
        </w:tc>
        <w:tc>
          <w:tcPr>
            <w:tcW w:w="2572" w:type="dxa"/>
            <w:tcBorders>
              <w:top w:val="nil"/>
              <w:left w:val="nil"/>
              <w:bottom w:val="single" w:sz="4" w:space="0" w:color="auto"/>
              <w:right w:val="single" w:sz="4" w:space="0" w:color="auto"/>
            </w:tcBorders>
            <w:shd w:val="clear" w:color="auto" w:fill="auto"/>
            <w:noWrap/>
            <w:vAlign w:val="bottom"/>
            <w:hideMark/>
          </w:tcPr>
          <w:p w14:paraId="055B8F6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Pitt County</w:t>
            </w:r>
          </w:p>
        </w:tc>
        <w:tc>
          <w:tcPr>
            <w:tcW w:w="1489" w:type="dxa"/>
            <w:tcBorders>
              <w:top w:val="nil"/>
              <w:left w:val="nil"/>
              <w:bottom w:val="single" w:sz="4" w:space="0" w:color="auto"/>
              <w:right w:val="single" w:sz="4" w:space="0" w:color="auto"/>
            </w:tcBorders>
            <w:shd w:val="clear" w:color="auto" w:fill="auto"/>
            <w:noWrap/>
            <w:vAlign w:val="bottom"/>
            <w:hideMark/>
          </w:tcPr>
          <w:p w14:paraId="24986CD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3,720 </w:t>
            </w:r>
          </w:p>
        </w:tc>
        <w:tc>
          <w:tcPr>
            <w:tcW w:w="1371" w:type="dxa"/>
            <w:tcBorders>
              <w:top w:val="nil"/>
              <w:left w:val="nil"/>
              <w:bottom w:val="single" w:sz="4" w:space="0" w:color="auto"/>
              <w:right w:val="single" w:sz="4" w:space="0" w:color="auto"/>
            </w:tcBorders>
            <w:shd w:val="clear" w:color="auto" w:fill="auto"/>
            <w:noWrap/>
            <w:vAlign w:val="bottom"/>
            <w:hideMark/>
          </w:tcPr>
          <w:p w14:paraId="0694E7A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82.4%</w:t>
            </w:r>
          </w:p>
        </w:tc>
        <w:tc>
          <w:tcPr>
            <w:tcW w:w="1273" w:type="dxa"/>
            <w:tcBorders>
              <w:top w:val="nil"/>
              <w:left w:val="nil"/>
              <w:bottom w:val="single" w:sz="4" w:space="0" w:color="auto"/>
              <w:right w:val="single" w:sz="4" w:space="0" w:color="auto"/>
            </w:tcBorders>
            <w:shd w:val="clear" w:color="auto" w:fill="auto"/>
            <w:noWrap/>
            <w:vAlign w:val="bottom"/>
            <w:hideMark/>
          </w:tcPr>
          <w:p w14:paraId="1986A55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52.3%</w:t>
            </w:r>
          </w:p>
        </w:tc>
      </w:tr>
      <w:tr w:rsidR="00D24507" w:rsidRPr="00537514" w14:paraId="4A7B0CF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6D4613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9608.01</w:t>
            </w:r>
          </w:p>
        </w:tc>
        <w:tc>
          <w:tcPr>
            <w:tcW w:w="2572" w:type="dxa"/>
            <w:tcBorders>
              <w:top w:val="nil"/>
              <w:left w:val="nil"/>
              <w:bottom w:val="single" w:sz="4" w:space="0" w:color="auto"/>
              <w:right w:val="single" w:sz="4" w:space="0" w:color="auto"/>
            </w:tcBorders>
            <w:shd w:val="clear" w:color="auto" w:fill="auto"/>
            <w:noWrap/>
            <w:vAlign w:val="bottom"/>
            <w:hideMark/>
          </w:tcPr>
          <w:p w14:paraId="2CA1C91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Robeson County</w:t>
            </w:r>
          </w:p>
        </w:tc>
        <w:tc>
          <w:tcPr>
            <w:tcW w:w="1489" w:type="dxa"/>
            <w:tcBorders>
              <w:top w:val="nil"/>
              <w:left w:val="nil"/>
              <w:bottom w:val="single" w:sz="4" w:space="0" w:color="auto"/>
              <w:right w:val="single" w:sz="4" w:space="0" w:color="auto"/>
            </w:tcBorders>
            <w:shd w:val="clear" w:color="auto" w:fill="auto"/>
            <w:noWrap/>
            <w:vAlign w:val="bottom"/>
            <w:hideMark/>
          </w:tcPr>
          <w:p w14:paraId="55ABDF2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3,579 </w:t>
            </w:r>
          </w:p>
        </w:tc>
        <w:tc>
          <w:tcPr>
            <w:tcW w:w="1371" w:type="dxa"/>
            <w:tcBorders>
              <w:top w:val="nil"/>
              <w:left w:val="nil"/>
              <w:bottom w:val="single" w:sz="4" w:space="0" w:color="auto"/>
              <w:right w:val="single" w:sz="4" w:space="0" w:color="auto"/>
            </w:tcBorders>
            <w:shd w:val="clear" w:color="auto" w:fill="auto"/>
            <w:noWrap/>
            <w:vAlign w:val="bottom"/>
            <w:hideMark/>
          </w:tcPr>
          <w:p w14:paraId="3D9CC1A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85.2%</w:t>
            </w:r>
          </w:p>
        </w:tc>
        <w:tc>
          <w:tcPr>
            <w:tcW w:w="1273" w:type="dxa"/>
            <w:tcBorders>
              <w:top w:val="nil"/>
              <w:left w:val="nil"/>
              <w:bottom w:val="single" w:sz="4" w:space="0" w:color="auto"/>
              <w:right w:val="single" w:sz="4" w:space="0" w:color="auto"/>
            </w:tcBorders>
            <w:shd w:val="clear" w:color="auto" w:fill="auto"/>
            <w:noWrap/>
            <w:vAlign w:val="bottom"/>
            <w:hideMark/>
          </w:tcPr>
          <w:p w14:paraId="41BEA98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53.5%</w:t>
            </w:r>
          </w:p>
        </w:tc>
      </w:tr>
      <w:tr w:rsidR="00D24507" w:rsidRPr="00537514" w14:paraId="2757FE84"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DAD46E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9605.02</w:t>
            </w:r>
          </w:p>
        </w:tc>
        <w:tc>
          <w:tcPr>
            <w:tcW w:w="2572" w:type="dxa"/>
            <w:tcBorders>
              <w:top w:val="nil"/>
              <w:left w:val="nil"/>
              <w:bottom w:val="single" w:sz="4" w:space="0" w:color="auto"/>
              <w:right w:val="single" w:sz="4" w:space="0" w:color="auto"/>
            </w:tcBorders>
            <w:shd w:val="clear" w:color="auto" w:fill="auto"/>
            <w:noWrap/>
            <w:vAlign w:val="bottom"/>
            <w:hideMark/>
          </w:tcPr>
          <w:p w14:paraId="2B8610B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Robeson County</w:t>
            </w:r>
          </w:p>
        </w:tc>
        <w:tc>
          <w:tcPr>
            <w:tcW w:w="1489" w:type="dxa"/>
            <w:tcBorders>
              <w:top w:val="nil"/>
              <w:left w:val="nil"/>
              <w:bottom w:val="single" w:sz="4" w:space="0" w:color="auto"/>
              <w:right w:val="single" w:sz="4" w:space="0" w:color="auto"/>
            </w:tcBorders>
            <w:shd w:val="clear" w:color="auto" w:fill="auto"/>
            <w:noWrap/>
            <w:vAlign w:val="bottom"/>
            <w:hideMark/>
          </w:tcPr>
          <w:p w14:paraId="513B2B0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4,898 </w:t>
            </w:r>
          </w:p>
        </w:tc>
        <w:tc>
          <w:tcPr>
            <w:tcW w:w="1371" w:type="dxa"/>
            <w:tcBorders>
              <w:top w:val="nil"/>
              <w:left w:val="nil"/>
              <w:bottom w:val="single" w:sz="4" w:space="0" w:color="auto"/>
              <w:right w:val="single" w:sz="4" w:space="0" w:color="auto"/>
            </w:tcBorders>
            <w:shd w:val="clear" w:color="auto" w:fill="auto"/>
            <w:noWrap/>
            <w:vAlign w:val="bottom"/>
            <w:hideMark/>
          </w:tcPr>
          <w:p w14:paraId="65EF2F8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80.6%</w:t>
            </w:r>
          </w:p>
        </w:tc>
        <w:tc>
          <w:tcPr>
            <w:tcW w:w="1273" w:type="dxa"/>
            <w:tcBorders>
              <w:top w:val="nil"/>
              <w:left w:val="nil"/>
              <w:bottom w:val="single" w:sz="4" w:space="0" w:color="auto"/>
              <w:right w:val="single" w:sz="4" w:space="0" w:color="auto"/>
            </w:tcBorders>
            <w:shd w:val="clear" w:color="auto" w:fill="auto"/>
            <w:noWrap/>
            <w:vAlign w:val="bottom"/>
            <w:hideMark/>
          </w:tcPr>
          <w:p w14:paraId="23FFCC9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45.7%</w:t>
            </w:r>
          </w:p>
        </w:tc>
      </w:tr>
      <w:tr w:rsidR="00D24507" w:rsidRPr="00537514" w14:paraId="2D5C8655"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5CBE2F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9611</w:t>
            </w:r>
          </w:p>
        </w:tc>
        <w:tc>
          <w:tcPr>
            <w:tcW w:w="2572" w:type="dxa"/>
            <w:tcBorders>
              <w:top w:val="nil"/>
              <w:left w:val="nil"/>
              <w:bottom w:val="single" w:sz="4" w:space="0" w:color="auto"/>
              <w:right w:val="single" w:sz="4" w:space="0" w:color="auto"/>
            </w:tcBorders>
            <w:shd w:val="clear" w:color="auto" w:fill="auto"/>
            <w:noWrap/>
            <w:vAlign w:val="bottom"/>
            <w:hideMark/>
          </w:tcPr>
          <w:p w14:paraId="29D030B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Robeson County</w:t>
            </w:r>
          </w:p>
        </w:tc>
        <w:tc>
          <w:tcPr>
            <w:tcW w:w="1489" w:type="dxa"/>
            <w:tcBorders>
              <w:top w:val="nil"/>
              <w:left w:val="nil"/>
              <w:bottom w:val="single" w:sz="4" w:space="0" w:color="auto"/>
              <w:right w:val="single" w:sz="4" w:space="0" w:color="auto"/>
            </w:tcBorders>
            <w:shd w:val="clear" w:color="auto" w:fill="auto"/>
            <w:noWrap/>
            <w:vAlign w:val="bottom"/>
            <w:hideMark/>
          </w:tcPr>
          <w:p w14:paraId="32E8F16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2,093 </w:t>
            </w:r>
          </w:p>
        </w:tc>
        <w:tc>
          <w:tcPr>
            <w:tcW w:w="1371" w:type="dxa"/>
            <w:tcBorders>
              <w:top w:val="nil"/>
              <w:left w:val="nil"/>
              <w:bottom w:val="single" w:sz="4" w:space="0" w:color="auto"/>
              <w:right w:val="single" w:sz="4" w:space="0" w:color="auto"/>
            </w:tcBorders>
            <w:shd w:val="clear" w:color="auto" w:fill="auto"/>
            <w:noWrap/>
            <w:vAlign w:val="bottom"/>
            <w:hideMark/>
          </w:tcPr>
          <w:p w14:paraId="2D820D5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69.5%</w:t>
            </w:r>
          </w:p>
        </w:tc>
        <w:tc>
          <w:tcPr>
            <w:tcW w:w="1273" w:type="dxa"/>
            <w:tcBorders>
              <w:top w:val="nil"/>
              <w:left w:val="nil"/>
              <w:bottom w:val="single" w:sz="4" w:space="0" w:color="auto"/>
              <w:right w:val="single" w:sz="4" w:space="0" w:color="auto"/>
            </w:tcBorders>
            <w:shd w:val="clear" w:color="auto" w:fill="auto"/>
            <w:noWrap/>
            <w:vAlign w:val="bottom"/>
            <w:hideMark/>
          </w:tcPr>
          <w:p w14:paraId="7146349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46.6%</w:t>
            </w:r>
          </w:p>
        </w:tc>
      </w:tr>
      <w:tr w:rsidR="00D24507" w:rsidRPr="00537514" w14:paraId="0723F95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19A3FE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102</w:t>
            </w:r>
          </w:p>
        </w:tc>
        <w:tc>
          <w:tcPr>
            <w:tcW w:w="2572" w:type="dxa"/>
            <w:tcBorders>
              <w:top w:val="nil"/>
              <w:left w:val="nil"/>
              <w:bottom w:val="single" w:sz="4" w:space="0" w:color="auto"/>
              <w:right w:val="single" w:sz="4" w:space="0" w:color="auto"/>
            </w:tcBorders>
            <w:shd w:val="clear" w:color="auto" w:fill="auto"/>
            <w:noWrap/>
            <w:vAlign w:val="bottom"/>
            <w:hideMark/>
          </w:tcPr>
          <w:p w14:paraId="259320C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Scotland County</w:t>
            </w:r>
          </w:p>
        </w:tc>
        <w:tc>
          <w:tcPr>
            <w:tcW w:w="1489" w:type="dxa"/>
            <w:tcBorders>
              <w:top w:val="nil"/>
              <w:left w:val="nil"/>
              <w:bottom w:val="single" w:sz="4" w:space="0" w:color="auto"/>
              <w:right w:val="single" w:sz="4" w:space="0" w:color="auto"/>
            </w:tcBorders>
            <w:shd w:val="clear" w:color="auto" w:fill="auto"/>
            <w:noWrap/>
            <w:vAlign w:val="bottom"/>
            <w:hideMark/>
          </w:tcPr>
          <w:p w14:paraId="185DE05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4,154 </w:t>
            </w:r>
          </w:p>
        </w:tc>
        <w:tc>
          <w:tcPr>
            <w:tcW w:w="1371" w:type="dxa"/>
            <w:tcBorders>
              <w:top w:val="nil"/>
              <w:left w:val="nil"/>
              <w:bottom w:val="single" w:sz="4" w:space="0" w:color="auto"/>
              <w:right w:val="single" w:sz="4" w:space="0" w:color="auto"/>
            </w:tcBorders>
            <w:shd w:val="clear" w:color="auto" w:fill="auto"/>
            <w:noWrap/>
            <w:vAlign w:val="bottom"/>
            <w:hideMark/>
          </w:tcPr>
          <w:p w14:paraId="6474463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81.0%</w:t>
            </w:r>
          </w:p>
        </w:tc>
        <w:tc>
          <w:tcPr>
            <w:tcW w:w="1273" w:type="dxa"/>
            <w:tcBorders>
              <w:top w:val="nil"/>
              <w:left w:val="nil"/>
              <w:bottom w:val="single" w:sz="4" w:space="0" w:color="auto"/>
              <w:right w:val="single" w:sz="4" w:space="0" w:color="auto"/>
            </w:tcBorders>
            <w:shd w:val="clear" w:color="auto" w:fill="auto"/>
            <w:noWrap/>
            <w:vAlign w:val="bottom"/>
            <w:hideMark/>
          </w:tcPr>
          <w:p w14:paraId="5BB6994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43.1%</w:t>
            </w:r>
          </w:p>
        </w:tc>
      </w:tr>
      <w:tr w:rsidR="00D24507" w:rsidRPr="00537514" w14:paraId="7A265561"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A21345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103</w:t>
            </w:r>
          </w:p>
        </w:tc>
        <w:tc>
          <w:tcPr>
            <w:tcW w:w="2572" w:type="dxa"/>
            <w:tcBorders>
              <w:top w:val="nil"/>
              <w:left w:val="nil"/>
              <w:bottom w:val="single" w:sz="4" w:space="0" w:color="auto"/>
              <w:right w:val="single" w:sz="4" w:space="0" w:color="auto"/>
            </w:tcBorders>
            <w:shd w:val="clear" w:color="auto" w:fill="auto"/>
            <w:noWrap/>
            <w:vAlign w:val="bottom"/>
            <w:hideMark/>
          </w:tcPr>
          <w:p w14:paraId="36E15D6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Scotland County</w:t>
            </w:r>
          </w:p>
        </w:tc>
        <w:tc>
          <w:tcPr>
            <w:tcW w:w="1489" w:type="dxa"/>
            <w:tcBorders>
              <w:top w:val="nil"/>
              <w:left w:val="nil"/>
              <w:bottom w:val="single" w:sz="4" w:space="0" w:color="auto"/>
              <w:right w:val="single" w:sz="4" w:space="0" w:color="auto"/>
            </w:tcBorders>
            <w:shd w:val="clear" w:color="auto" w:fill="auto"/>
            <w:noWrap/>
            <w:vAlign w:val="bottom"/>
            <w:hideMark/>
          </w:tcPr>
          <w:p w14:paraId="7EC9C914"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4,494 </w:t>
            </w:r>
          </w:p>
        </w:tc>
        <w:tc>
          <w:tcPr>
            <w:tcW w:w="1371" w:type="dxa"/>
            <w:tcBorders>
              <w:top w:val="nil"/>
              <w:left w:val="nil"/>
              <w:bottom w:val="single" w:sz="4" w:space="0" w:color="auto"/>
              <w:right w:val="single" w:sz="4" w:space="0" w:color="auto"/>
            </w:tcBorders>
            <w:shd w:val="clear" w:color="auto" w:fill="auto"/>
            <w:noWrap/>
            <w:vAlign w:val="bottom"/>
            <w:hideMark/>
          </w:tcPr>
          <w:p w14:paraId="1E340418"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69.0%</w:t>
            </w:r>
          </w:p>
        </w:tc>
        <w:tc>
          <w:tcPr>
            <w:tcW w:w="1273" w:type="dxa"/>
            <w:tcBorders>
              <w:top w:val="nil"/>
              <w:left w:val="nil"/>
              <w:bottom w:val="single" w:sz="4" w:space="0" w:color="auto"/>
              <w:right w:val="single" w:sz="4" w:space="0" w:color="auto"/>
            </w:tcBorders>
            <w:shd w:val="clear" w:color="auto" w:fill="auto"/>
            <w:noWrap/>
            <w:vAlign w:val="bottom"/>
            <w:hideMark/>
          </w:tcPr>
          <w:p w14:paraId="4C8DE21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43.0%</w:t>
            </w:r>
          </w:p>
        </w:tc>
      </w:tr>
      <w:tr w:rsidR="00D24507" w:rsidRPr="00537514" w14:paraId="092E8846"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BA654B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9607</w:t>
            </w:r>
          </w:p>
        </w:tc>
        <w:tc>
          <w:tcPr>
            <w:tcW w:w="2572" w:type="dxa"/>
            <w:tcBorders>
              <w:top w:val="nil"/>
              <w:left w:val="nil"/>
              <w:bottom w:val="single" w:sz="4" w:space="0" w:color="auto"/>
              <w:right w:val="single" w:sz="4" w:space="0" w:color="auto"/>
            </w:tcBorders>
            <w:shd w:val="clear" w:color="auto" w:fill="auto"/>
            <w:noWrap/>
            <w:vAlign w:val="bottom"/>
            <w:hideMark/>
          </w:tcPr>
          <w:p w14:paraId="270CA84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Vance County</w:t>
            </w:r>
          </w:p>
        </w:tc>
        <w:tc>
          <w:tcPr>
            <w:tcW w:w="1489" w:type="dxa"/>
            <w:tcBorders>
              <w:top w:val="nil"/>
              <w:left w:val="nil"/>
              <w:bottom w:val="single" w:sz="4" w:space="0" w:color="auto"/>
              <w:right w:val="single" w:sz="4" w:space="0" w:color="auto"/>
            </w:tcBorders>
            <w:shd w:val="clear" w:color="auto" w:fill="auto"/>
            <w:noWrap/>
            <w:vAlign w:val="bottom"/>
            <w:hideMark/>
          </w:tcPr>
          <w:p w14:paraId="2BA1782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3,893 </w:t>
            </w:r>
          </w:p>
        </w:tc>
        <w:tc>
          <w:tcPr>
            <w:tcW w:w="1371" w:type="dxa"/>
            <w:tcBorders>
              <w:top w:val="nil"/>
              <w:left w:val="nil"/>
              <w:bottom w:val="single" w:sz="4" w:space="0" w:color="auto"/>
              <w:right w:val="single" w:sz="4" w:space="0" w:color="auto"/>
            </w:tcBorders>
            <w:shd w:val="clear" w:color="auto" w:fill="auto"/>
            <w:noWrap/>
            <w:vAlign w:val="bottom"/>
            <w:hideMark/>
          </w:tcPr>
          <w:p w14:paraId="6C8C26E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92.8%</w:t>
            </w:r>
          </w:p>
        </w:tc>
        <w:tc>
          <w:tcPr>
            <w:tcW w:w="1273" w:type="dxa"/>
            <w:tcBorders>
              <w:top w:val="nil"/>
              <w:left w:val="nil"/>
              <w:bottom w:val="single" w:sz="4" w:space="0" w:color="auto"/>
              <w:right w:val="single" w:sz="4" w:space="0" w:color="auto"/>
            </w:tcBorders>
            <w:shd w:val="clear" w:color="auto" w:fill="auto"/>
            <w:noWrap/>
            <w:vAlign w:val="bottom"/>
            <w:hideMark/>
          </w:tcPr>
          <w:p w14:paraId="57BD032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45.1%</w:t>
            </w:r>
          </w:p>
        </w:tc>
      </w:tr>
      <w:tr w:rsidR="00D24507" w:rsidRPr="00537514" w14:paraId="34B7C3FE"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592E932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509</w:t>
            </w:r>
          </w:p>
        </w:tc>
        <w:tc>
          <w:tcPr>
            <w:tcW w:w="2572" w:type="dxa"/>
            <w:tcBorders>
              <w:top w:val="nil"/>
              <w:left w:val="nil"/>
              <w:bottom w:val="single" w:sz="4" w:space="0" w:color="auto"/>
              <w:right w:val="single" w:sz="4" w:space="0" w:color="auto"/>
            </w:tcBorders>
            <w:shd w:val="clear" w:color="auto" w:fill="auto"/>
            <w:noWrap/>
            <w:vAlign w:val="bottom"/>
            <w:hideMark/>
          </w:tcPr>
          <w:p w14:paraId="6ACF77E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Wake County</w:t>
            </w:r>
          </w:p>
        </w:tc>
        <w:tc>
          <w:tcPr>
            <w:tcW w:w="1489" w:type="dxa"/>
            <w:tcBorders>
              <w:top w:val="nil"/>
              <w:left w:val="nil"/>
              <w:bottom w:val="single" w:sz="4" w:space="0" w:color="auto"/>
              <w:right w:val="single" w:sz="4" w:space="0" w:color="auto"/>
            </w:tcBorders>
            <w:shd w:val="clear" w:color="auto" w:fill="auto"/>
            <w:noWrap/>
            <w:vAlign w:val="bottom"/>
            <w:hideMark/>
          </w:tcPr>
          <w:p w14:paraId="3438097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3,200 </w:t>
            </w:r>
          </w:p>
        </w:tc>
        <w:tc>
          <w:tcPr>
            <w:tcW w:w="1371" w:type="dxa"/>
            <w:tcBorders>
              <w:top w:val="nil"/>
              <w:left w:val="nil"/>
              <w:bottom w:val="single" w:sz="4" w:space="0" w:color="auto"/>
              <w:right w:val="single" w:sz="4" w:space="0" w:color="auto"/>
            </w:tcBorders>
            <w:shd w:val="clear" w:color="auto" w:fill="auto"/>
            <w:noWrap/>
            <w:vAlign w:val="bottom"/>
            <w:hideMark/>
          </w:tcPr>
          <w:p w14:paraId="64CF588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79.5%</w:t>
            </w:r>
          </w:p>
        </w:tc>
        <w:tc>
          <w:tcPr>
            <w:tcW w:w="1273" w:type="dxa"/>
            <w:tcBorders>
              <w:top w:val="nil"/>
              <w:left w:val="nil"/>
              <w:bottom w:val="single" w:sz="4" w:space="0" w:color="auto"/>
              <w:right w:val="single" w:sz="4" w:space="0" w:color="auto"/>
            </w:tcBorders>
            <w:shd w:val="clear" w:color="auto" w:fill="auto"/>
            <w:noWrap/>
            <w:vAlign w:val="bottom"/>
            <w:hideMark/>
          </w:tcPr>
          <w:p w14:paraId="0183B4B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42.7%</w:t>
            </w:r>
          </w:p>
        </w:tc>
      </w:tr>
      <w:tr w:rsidR="00D24507" w:rsidRPr="00537514" w14:paraId="3B1F828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08E6AB0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508</w:t>
            </w:r>
          </w:p>
        </w:tc>
        <w:tc>
          <w:tcPr>
            <w:tcW w:w="2572" w:type="dxa"/>
            <w:tcBorders>
              <w:top w:val="nil"/>
              <w:left w:val="nil"/>
              <w:bottom w:val="single" w:sz="4" w:space="0" w:color="auto"/>
              <w:right w:val="single" w:sz="4" w:space="0" w:color="auto"/>
            </w:tcBorders>
            <w:shd w:val="clear" w:color="auto" w:fill="auto"/>
            <w:noWrap/>
            <w:vAlign w:val="bottom"/>
            <w:hideMark/>
          </w:tcPr>
          <w:p w14:paraId="143B58DD"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Wake County</w:t>
            </w:r>
          </w:p>
        </w:tc>
        <w:tc>
          <w:tcPr>
            <w:tcW w:w="1489" w:type="dxa"/>
            <w:tcBorders>
              <w:top w:val="nil"/>
              <w:left w:val="nil"/>
              <w:bottom w:val="single" w:sz="4" w:space="0" w:color="auto"/>
              <w:right w:val="single" w:sz="4" w:space="0" w:color="auto"/>
            </w:tcBorders>
            <w:shd w:val="clear" w:color="auto" w:fill="auto"/>
            <w:noWrap/>
            <w:vAlign w:val="bottom"/>
            <w:hideMark/>
          </w:tcPr>
          <w:p w14:paraId="43CCCC0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4,066 </w:t>
            </w:r>
          </w:p>
        </w:tc>
        <w:tc>
          <w:tcPr>
            <w:tcW w:w="1371" w:type="dxa"/>
            <w:tcBorders>
              <w:top w:val="nil"/>
              <w:left w:val="nil"/>
              <w:bottom w:val="single" w:sz="4" w:space="0" w:color="auto"/>
              <w:right w:val="single" w:sz="4" w:space="0" w:color="auto"/>
            </w:tcBorders>
            <w:shd w:val="clear" w:color="auto" w:fill="auto"/>
            <w:noWrap/>
            <w:vAlign w:val="bottom"/>
            <w:hideMark/>
          </w:tcPr>
          <w:p w14:paraId="22BCBB9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78.4%</w:t>
            </w:r>
          </w:p>
        </w:tc>
        <w:tc>
          <w:tcPr>
            <w:tcW w:w="1273" w:type="dxa"/>
            <w:tcBorders>
              <w:top w:val="nil"/>
              <w:left w:val="nil"/>
              <w:bottom w:val="single" w:sz="4" w:space="0" w:color="auto"/>
              <w:right w:val="single" w:sz="4" w:space="0" w:color="auto"/>
            </w:tcBorders>
            <w:shd w:val="clear" w:color="auto" w:fill="auto"/>
            <w:noWrap/>
            <w:vAlign w:val="bottom"/>
            <w:hideMark/>
          </w:tcPr>
          <w:p w14:paraId="3D748BAF"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40.4%</w:t>
            </w:r>
          </w:p>
        </w:tc>
      </w:tr>
      <w:tr w:rsidR="00D24507" w:rsidRPr="00537514" w14:paraId="34C153DA"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42DF599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506</w:t>
            </w:r>
          </w:p>
        </w:tc>
        <w:tc>
          <w:tcPr>
            <w:tcW w:w="2572" w:type="dxa"/>
            <w:tcBorders>
              <w:top w:val="nil"/>
              <w:left w:val="nil"/>
              <w:bottom w:val="single" w:sz="4" w:space="0" w:color="auto"/>
              <w:right w:val="single" w:sz="4" w:space="0" w:color="auto"/>
            </w:tcBorders>
            <w:shd w:val="clear" w:color="auto" w:fill="auto"/>
            <w:noWrap/>
            <w:vAlign w:val="bottom"/>
            <w:hideMark/>
          </w:tcPr>
          <w:p w14:paraId="0D7D134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Wake County</w:t>
            </w:r>
          </w:p>
        </w:tc>
        <w:tc>
          <w:tcPr>
            <w:tcW w:w="1489" w:type="dxa"/>
            <w:tcBorders>
              <w:top w:val="nil"/>
              <w:left w:val="nil"/>
              <w:bottom w:val="single" w:sz="4" w:space="0" w:color="auto"/>
              <w:right w:val="single" w:sz="4" w:space="0" w:color="auto"/>
            </w:tcBorders>
            <w:shd w:val="clear" w:color="auto" w:fill="auto"/>
            <w:noWrap/>
            <w:vAlign w:val="bottom"/>
            <w:hideMark/>
          </w:tcPr>
          <w:p w14:paraId="12597CB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3,609 </w:t>
            </w:r>
          </w:p>
        </w:tc>
        <w:tc>
          <w:tcPr>
            <w:tcW w:w="1371" w:type="dxa"/>
            <w:tcBorders>
              <w:top w:val="nil"/>
              <w:left w:val="nil"/>
              <w:bottom w:val="single" w:sz="4" w:space="0" w:color="auto"/>
              <w:right w:val="single" w:sz="4" w:space="0" w:color="auto"/>
            </w:tcBorders>
            <w:shd w:val="clear" w:color="auto" w:fill="auto"/>
            <w:noWrap/>
            <w:vAlign w:val="bottom"/>
            <w:hideMark/>
          </w:tcPr>
          <w:p w14:paraId="0E11230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65.7%</w:t>
            </w:r>
          </w:p>
        </w:tc>
        <w:tc>
          <w:tcPr>
            <w:tcW w:w="1273" w:type="dxa"/>
            <w:tcBorders>
              <w:top w:val="nil"/>
              <w:left w:val="nil"/>
              <w:bottom w:val="single" w:sz="4" w:space="0" w:color="auto"/>
              <w:right w:val="single" w:sz="4" w:space="0" w:color="auto"/>
            </w:tcBorders>
            <w:shd w:val="clear" w:color="auto" w:fill="auto"/>
            <w:noWrap/>
            <w:vAlign w:val="bottom"/>
            <w:hideMark/>
          </w:tcPr>
          <w:p w14:paraId="4278F0F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43.4%</w:t>
            </w:r>
          </w:p>
        </w:tc>
      </w:tr>
      <w:tr w:rsidR="00D24507" w:rsidRPr="00537514" w14:paraId="0FE25C97"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7BAB26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524.08</w:t>
            </w:r>
          </w:p>
        </w:tc>
        <w:tc>
          <w:tcPr>
            <w:tcW w:w="2572" w:type="dxa"/>
            <w:tcBorders>
              <w:top w:val="nil"/>
              <w:left w:val="nil"/>
              <w:bottom w:val="single" w:sz="4" w:space="0" w:color="auto"/>
              <w:right w:val="single" w:sz="4" w:space="0" w:color="auto"/>
            </w:tcBorders>
            <w:shd w:val="clear" w:color="auto" w:fill="auto"/>
            <w:noWrap/>
            <w:vAlign w:val="bottom"/>
            <w:hideMark/>
          </w:tcPr>
          <w:p w14:paraId="505AFBF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Wake County</w:t>
            </w:r>
          </w:p>
        </w:tc>
        <w:tc>
          <w:tcPr>
            <w:tcW w:w="1489" w:type="dxa"/>
            <w:tcBorders>
              <w:top w:val="nil"/>
              <w:left w:val="nil"/>
              <w:bottom w:val="single" w:sz="4" w:space="0" w:color="auto"/>
              <w:right w:val="single" w:sz="4" w:space="0" w:color="auto"/>
            </w:tcBorders>
            <w:shd w:val="clear" w:color="auto" w:fill="auto"/>
            <w:noWrap/>
            <w:vAlign w:val="bottom"/>
            <w:hideMark/>
          </w:tcPr>
          <w:p w14:paraId="4D806DB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3,485 </w:t>
            </w:r>
          </w:p>
        </w:tc>
        <w:tc>
          <w:tcPr>
            <w:tcW w:w="1371" w:type="dxa"/>
            <w:tcBorders>
              <w:top w:val="nil"/>
              <w:left w:val="nil"/>
              <w:bottom w:val="single" w:sz="4" w:space="0" w:color="auto"/>
              <w:right w:val="single" w:sz="4" w:space="0" w:color="auto"/>
            </w:tcBorders>
            <w:shd w:val="clear" w:color="auto" w:fill="auto"/>
            <w:noWrap/>
            <w:vAlign w:val="bottom"/>
            <w:hideMark/>
          </w:tcPr>
          <w:p w14:paraId="52FE20E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59.7%</w:t>
            </w:r>
          </w:p>
        </w:tc>
        <w:tc>
          <w:tcPr>
            <w:tcW w:w="1273" w:type="dxa"/>
            <w:tcBorders>
              <w:top w:val="nil"/>
              <w:left w:val="nil"/>
              <w:bottom w:val="single" w:sz="4" w:space="0" w:color="auto"/>
              <w:right w:val="single" w:sz="4" w:space="0" w:color="auto"/>
            </w:tcBorders>
            <w:shd w:val="clear" w:color="auto" w:fill="auto"/>
            <w:noWrap/>
            <w:vAlign w:val="bottom"/>
            <w:hideMark/>
          </w:tcPr>
          <w:p w14:paraId="7A404D4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47.3%</w:t>
            </w:r>
          </w:p>
        </w:tc>
      </w:tr>
      <w:tr w:rsidR="00D24507" w:rsidRPr="00537514" w14:paraId="2007E265"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7A06C99E"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524.09</w:t>
            </w:r>
          </w:p>
        </w:tc>
        <w:tc>
          <w:tcPr>
            <w:tcW w:w="2572" w:type="dxa"/>
            <w:tcBorders>
              <w:top w:val="nil"/>
              <w:left w:val="nil"/>
              <w:bottom w:val="single" w:sz="4" w:space="0" w:color="auto"/>
              <w:right w:val="single" w:sz="4" w:space="0" w:color="auto"/>
            </w:tcBorders>
            <w:shd w:val="clear" w:color="auto" w:fill="auto"/>
            <w:noWrap/>
            <w:vAlign w:val="bottom"/>
            <w:hideMark/>
          </w:tcPr>
          <w:p w14:paraId="7171BE8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Wake County</w:t>
            </w:r>
          </w:p>
        </w:tc>
        <w:tc>
          <w:tcPr>
            <w:tcW w:w="1489" w:type="dxa"/>
            <w:tcBorders>
              <w:top w:val="nil"/>
              <w:left w:val="nil"/>
              <w:bottom w:val="single" w:sz="4" w:space="0" w:color="auto"/>
              <w:right w:val="single" w:sz="4" w:space="0" w:color="auto"/>
            </w:tcBorders>
            <w:shd w:val="clear" w:color="auto" w:fill="auto"/>
            <w:noWrap/>
            <w:vAlign w:val="bottom"/>
            <w:hideMark/>
          </w:tcPr>
          <w:p w14:paraId="33A69B35"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4,068 </w:t>
            </w:r>
          </w:p>
        </w:tc>
        <w:tc>
          <w:tcPr>
            <w:tcW w:w="1371" w:type="dxa"/>
            <w:tcBorders>
              <w:top w:val="nil"/>
              <w:left w:val="nil"/>
              <w:bottom w:val="single" w:sz="4" w:space="0" w:color="auto"/>
              <w:right w:val="single" w:sz="4" w:space="0" w:color="auto"/>
            </w:tcBorders>
            <w:shd w:val="clear" w:color="auto" w:fill="auto"/>
            <w:noWrap/>
            <w:vAlign w:val="bottom"/>
            <w:hideMark/>
          </w:tcPr>
          <w:p w14:paraId="199CFE3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51.9%</w:t>
            </w:r>
          </w:p>
        </w:tc>
        <w:tc>
          <w:tcPr>
            <w:tcW w:w="1273" w:type="dxa"/>
            <w:tcBorders>
              <w:top w:val="nil"/>
              <w:left w:val="nil"/>
              <w:bottom w:val="single" w:sz="4" w:space="0" w:color="auto"/>
              <w:right w:val="single" w:sz="4" w:space="0" w:color="auto"/>
            </w:tcBorders>
            <w:shd w:val="clear" w:color="auto" w:fill="auto"/>
            <w:noWrap/>
            <w:vAlign w:val="bottom"/>
            <w:hideMark/>
          </w:tcPr>
          <w:p w14:paraId="36D18C80"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47.7%</w:t>
            </w:r>
          </w:p>
        </w:tc>
      </w:tr>
      <w:tr w:rsidR="00D24507" w:rsidRPr="00537514" w14:paraId="2B3680BA"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984F2A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lastRenderedPageBreak/>
              <w:t>Census Tract 18</w:t>
            </w:r>
          </w:p>
        </w:tc>
        <w:tc>
          <w:tcPr>
            <w:tcW w:w="2572" w:type="dxa"/>
            <w:tcBorders>
              <w:top w:val="nil"/>
              <w:left w:val="nil"/>
              <w:bottom w:val="single" w:sz="4" w:space="0" w:color="auto"/>
              <w:right w:val="single" w:sz="4" w:space="0" w:color="auto"/>
            </w:tcBorders>
            <w:shd w:val="clear" w:color="auto" w:fill="auto"/>
            <w:noWrap/>
            <w:vAlign w:val="bottom"/>
            <w:hideMark/>
          </w:tcPr>
          <w:p w14:paraId="2C5D4F0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Wayne County</w:t>
            </w:r>
          </w:p>
        </w:tc>
        <w:tc>
          <w:tcPr>
            <w:tcW w:w="1489" w:type="dxa"/>
            <w:tcBorders>
              <w:top w:val="nil"/>
              <w:left w:val="nil"/>
              <w:bottom w:val="single" w:sz="4" w:space="0" w:color="auto"/>
              <w:right w:val="single" w:sz="4" w:space="0" w:color="auto"/>
            </w:tcBorders>
            <w:shd w:val="clear" w:color="auto" w:fill="auto"/>
            <w:noWrap/>
            <w:vAlign w:val="bottom"/>
            <w:hideMark/>
          </w:tcPr>
          <w:p w14:paraId="12AD840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2,220 </w:t>
            </w:r>
          </w:p>
        </w:tc>
        <w:tc>
          <w:tcPr>
            <w:tcW w:w="1371" w:type="dxa"/>
            <w:tcBorders>
              <w:top w:val="nil"/>
              <w:left w:val="nil"/>
              <w:bottom w:val="single" w:sz="4" w:space="0" w:color="auto"/>
              <w:right w:val="single" w:sz="4" w:space="0" w:color="auto"/>
            </w:tcBorders>
            <w:shd w:val="clear" w:color="auto" w:fill="auto"/>
            <w:noWrap/>
            <w:vAlign w:val="bottom"/>
            <w:hideMark/>
          </w:tcPr>
          <w:p w14:paraId="25AEDB22"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77.6%</w:t>
            </w:r>
          </w:p>
        </w:tc>
        <w:tc>
          <w:tcPr>
            <w:tcW w:w="1273" w:type="dxa"/>
            <w:tcBorders>
              <w:top w:val="nil"/>
              <w:left w:val="nil"/>
              <w:bottom w:val="single" w:sz="4" w:space="0" w:color="auto"/>
              <w:right w:val="single" w:sz="4" w:space="0" w:color="auto"/>
            </w:tcBorders>
            <w:shd w:val="clear" w:color="auto" w:fill="auto"/>
            <w:noWrap/>
            <w:vAlign w:val="bottom"/>
            <w:hideMark/>
          </w:tcPr>
          <w:p w14:paraId="401971F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45.9%</w:t>
            </w:r>
          </w:p>
        </w:tc>
      </w:tr>
      <w:tr w:rsidR="00D24507" w:rsidRPr="00537514" w14:paraId="66F7C609"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64F5318A"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19</w:t>
            </w:r>
          </w:p>
        </w:tc>
        <w:tc>
          <w:tcPr>
            <w:tcW w:w="2572" w:type="dxa"/>
            <w:tcBorders>
              <w:top w:val="nil"/>
              <w:left w:val="nil"/>
              <w:bottom w:val="single" w:sz="4" w:space="0" w:color="auto"/>
              <w:right w:val="single" w:sz="4" w:space="0" w:color="auto"/>
            </w:tcBorders>
            <w:shd w:val="clear" w:color="auto" w:fill="auto"/>
            <w:noWrap/>
            <w:vAlign w:val="bottom"/>
            <w:hideMark/>
          </w:tcPr>
          <w:p w14:paraId="2D7A7066"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Wayne County</w:t>
            </w:r>
          </w:p>
        </w:tc>
        <w:tc>
          <w:tcPr>
            <w:tcW w:w="1489" w:type="dxa"/>
            <w:tcBorders>
              <w:top w:val="nil"/>
              <w:left w:val="nil"/>
              <w:bottom w:val="single" w:sz="4" w:space="0" w:color="auto"/>
              <w:right w:val="single" w:sz="4" w:space="0" w:color="auto"/>
            </w:tcBorders>
            <w:shd w:val="clear" w:color="auto" w:fill="auto"/>
            <w:noWrap/>
            <w:vAlign w:val="bottom"/>
            <w:hideMark/>
          </w:tcPr>
          <w:p w14:paraId="4D36B6C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4,609 </w:t>
            </w:r>
          </w:p>
        </w:tc>
        <w:tc>
          <w:tcPr>
            <w:tcW w:w="1371" w:type="dxa"/>
            <w:tcBorders>
              <w:top w:val="nil"/>
              <w:left w:val="nil"/>
              <w:bottom w:val="single" w:sz="4" w:space="0" w:color="auto"/>
              <w:right w:val="single" w:sz="4" w:space="0" w:color="auto"/>
            </w:tcBorders>
            <w:shd w:val="clear" w:color="auto" w:fill="auto"/>
            <w:noWrap/>
            <w:vAlign w:val="bottom"/>
            <w:hideMark/>
          </w:tcPr>
          <w:p w14:paraId="470F7D5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73.8%</w:t>
            </w:r>
          </w:p>
        </w:tc>
        <w:tc>
          <w:tcPr>
            <w:tcW w:w="1273" w:type="dxa"/>
            <w:tcBorders>
              <w:top w:val="nil"/>
              <w:left w:val="nil"/>
              <w:bottom w:val="single" w:sz="4" w:space="0" w:color="auto"/>
              <w:right w:val="single" w:sz="4" w:space="0" w:color="auto"/>
            </w:tcBorders>
            <w:shd w:val="clear" w:color="auto" w:fill="auto"/>
            <w:noWrap/>
            <w:vAlign w:val="bottom"/>
            <w:hideMark/>
          </w:tcPr>
          <w:p w14:paraId="384916AD"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46.3%</w:t>
            </w:r>
          </w:p>
        </w:tc>
      </w:tr>
      <w:tr w:rsidR="00D24507" w:rsidRPr="00537514" w14:paraId="20B9D738"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4A75234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8.01</w:t>
            </w:r>
          </w:p>
        </w:tc>
        <w:tc>
          <w:tcPr>
            <w:tcW w:w="2572" w:type="dxa"/>
            <w:tcBorders>
              <w:top w:val="nil"/>
              <w:left w:val="nil"/>
              <w:bottom w:val="single" w:sz="4" w:space="0" w:color="auto"/>
              <w:right w:val="single" w:sz="4" w:space="0" w:color="auto"/>
            </w:tcBorders>
            <w:shd w:val="clear" w:color="auto" w:fill="auto"/>
            <w:noWrap/>
            <w:vAlign w:val="bottom"/>
            <w:hideMark/>
          </w:tcPr>
          <w:p w14:paraId="0AD75D19"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Wilson County</w:t>
            </w:r>
          </w:p>
        </w:tc>
        <w:tc>
          <w:tcPr>
            <w:tcW w:w="1489" w:type="dxa"/>
            <w:tcBorders>
              <w:top w:val="nil"/>
              <w:left w:val="nil"/>
              <w:bottom w:val="single" w:sz="4" w:space="0" w:color="auto"/>
              <w:right w:val="single" w:sz="4" w:space="0" w:color="auto"/>
            </w:tcBorders>
            <w:shd w:val="clear" w:color="auto" w:fill="auto"/>
            <w:noWrap/>
            <w:vAlign w:val="bottom"/>
            <w:hideMark/>
          </w:tcPr>
          <w:p w14:paraId="031B36B1"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1,484 </w:t>
            </w:r>
          </w:p>
        </w:tc>
        <w:tc>
          <w:tcPr>
            <w:tcW w:w="1371" w:type="dxa"/>
            <w:tcBorders>
              <w:top w:val="nil"/>
              <w:left w:val="nil"/>
              <w:bottom w:val="single" w:sz="4" w:space="0" w:color="auto"/>
              <w:right w:val="single" w:sz="4" w:space="0" w:color="auto"/>
            </w:tcBorders>
            <w:shd w:val="clear" w:color="auto" w:fill="auto"/>
            <w:noWrap/>
            <w:vAlign w:val="bottom"/>
            <w:hideMark/>
          </w:tcPr>
          <w:p w14:paraId="460DD707"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97.9%</w:t>
            </w:r>
          </w:p>
        </w:tc>
        <w:tc>
          <w:tcPr>
            <w:tcW w:w="1273" w:type="dxa"/>
            <w:tcBorders>
              <w:top w:val="nil"/>
              <w:left w:val="nil"/>
              <w:bottom w:val="single" w:sz="4" w:space="0" w:color="auto"/>
              <w:right w:val="single" w:sz="4" w:space="0" w:color="auto"/>
            </w:tcBorders>
            <w:shd w:val="clear" w:color="auto" w:fill="auto"/>
            <w:noWrap/>
            <w:vAlign w:val="bottom"/>
            <w:hideMark/>
          </w:tcPr>
          <w:p w14:paraId="1BFF004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63.2%</w:t>
            </w:r>
          </w:p>
        </w:tc>
      </w:tr>
      <w:tr w:rsidR="00D24507" w:rsidRPr="00537514" w14:paraId="6E3FD604"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148240C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7</w:t>
            </w:r>
          </w:p>
        </w:tc>
        <w:tc>
          <w:tcPr>
            <w:tcW w:w="2572" w:type="dxa"/>
            <w:tcBorders>
              <w:top w:val="nil"/>
              <w:left w:val="nil"/>
              <w:bottom w:val="single" w:sz="4" w:space="0" w:color="auto"/>
              <w:right w:val="single" w:sz="4" w:space="0" w:color="auto"/>
            </w:tcBorders>
            <w:shd w:val="clear" w:color="auto" w:fill="auto"/>
            <w:noWrap/>
            <w:vAlign w:val="bottom"/>
            <w:hideMark/>
          </w:tcPr>
          <w:p w14:paraId="63FB1BE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Wilson County</w:t>
            </w:r>
          </w:p>
        </w:tc>
        <w:tc>
          <w:tcPr>
            <w:tcW w:w="1489" w:type="dxa"/>
            <w:tcBorders>
              <w:top w:val="nil"/>
              <w:left w:val="nil"/>
              <w:bottom w:val="single" w:sz="4" w:space="0" w:color="auto"/>
              <w:right w:val="single" w:sz="4" w:space="0" w:color="auto"/>
            </w:tcBorders>
            <w:shd w:val="clear" w:color="auto" w:fill="auto"/>
            <w:noWrap/>
            <w:vAlign w:val="bottom"/>
            <w:hideMark/>
          </w:tcPr>
          <w:p w14:paraId="336A6D6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4,747 </w:t>
            </w:r>
          </w:p>
        </w:tc>
        <w:tc>
          <w:tcPr>
            <w:tcW w:w="1371" w:type="dxa"/>
            <w:tcBorders>
              <w:top w:val="nil"/>
              <w:left w:val="nil"/>
              <w:bottom w:val="single" w:sz="4" w:space="0" w:color="auto"/>
              <w:right w:val="single" w:sz="4" w:space="0" w:color="auto"/>
            </w:tcBorders>
            <w:shd w:val="clear" w:color="auto" w:fill="auto"/>
            <w:noWrap/>
            <w:vAlign w:val="bottom"/>
            <w:hideMark/>
          </w:tcPr>
          <w:p w14:paraId="14F48F6B"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93.3%</w:t>
            </w:r>
          </w:p>
        </w:tc>
        <w:tc>
          <w:tcPr>
            <w:tcW w:w="1273" w:type="dxa"/>
            <w:tcBorders>
              <w:top w:val="nil"/>
              <w:left w:val="nil"/>
              <w:bottom w:val="single" w:sz="4" w:space="0" w:color="auto"/>
              <w:right w:val="single" w:sz="4" w:space="0" w:color="auto"/>
            </w:tcBorders>
            <w:shd w:val="clear" w:color="auto" w:fill="auto"/>
            <w:noWrap/>
            <w:vAlign w:val="bottom"/>
            <w:hideMark/>
          </w:tcPr>
          <w:p w14:paraId="052EC4C8"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42.1%</w:t>
            </w:r>
          </w:p>
        </w:tc>
      </w:tr>
      <w:tr w:rsidR="00D24507" w:rsidRPr="00537514" w14:paraId="7E87EDF3"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2023B7C"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2</w:t>
            </w:r>
          </w:p>
        </w:tc>
        <w:tc>
          <w:tcPr>
            <w:tcW w:w="2572" w:type="dxa"/>
            <w:tcBorders>
              <w:top w:val="nil"/>
              <w:left w:val="nil"/>
              <w:bottom w:val="single" w:sz="4" w:space="0" w:color="auto"/>
              <w:right w:val="single" w:sz="4" w:space="0" w:color="auto"/>
            </w:tcBorders>
            <w:shd w:val="clear" w:color="auto" w:fill="auto"/>
            <w:noWrap/>
            <w:vAlign w:val="bottom"/>
            <w:hideMark/>
          </w:tcPr>
          <w:p w14:paraId="4AB0CA67"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Wilson County</w:t>
            </w:r>
          </w:p>
        </w:tc>
        <w:tc>
          <w:tcPr>
            <w:tcW w:w="1489" w:type="dxa"/>
            <w:tcBorders>
              <w:top w:val="nil"/>
              <w:left w:val="nil"/>
              <w:bottom w:val="single" w:sz="4" w:space="0" w:color="auto"/>
              <w:right w:val="single" w:sz="4" w:space="0" w:color="auto"/>
            </w:tcBorders>
            <w:shd w:val="clear" w:color="auto" w:fill="auto"/>
            <w:noWrap/>
            <w:vAlign w:val="bottom"/>
            <w:hideMark/>
          </w:tcPr>
          <w:p w14:paraId="7B51C0C2"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1,245 </w:t>
            </w:r>
          </w:p>
        </w:tc>
        <w:tc>
          <w:tcPr>
            <w:tcW w:w="1371" w:type="dxa"/>
            <w:tcBorders>
              <w:top w:val="nil"/>
              <w:left w:val="nil"/>
              <w:bottom w:val="single" w:sz="4" w:space="0" w:color="auto"/>
              <w:right w:val="single" w:sz="4" w:space="0" w:color="auto"/>
            </w:tcBorders>
            <w:shd w:val="clear" w:color="auto" w:fill="auto"/>
            <w:noWrap/>
            <w:vAlign w:val="bottom"/>
            <w:hideMark/>
          </w:tcPr>
          <w:p w14:paraId="0A5CCF89"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91.8%</w:t>
            </w:r>
          </w:p>
        </w:tc>
        <w:tc>
          <w:tcPr>
            <w:tcW w:w="1273" w:type="dxa"/>
            <w:tcBorders>
              <w:top w:val="nil"/>
              <w:left w:val="nil"/>
              <w:bottom w:val="single" w:sz="4" w:space="0" w:color="auto"/>
              <w:right w:val="single" w:sz="4" w:space="0" w:color="auto"/>
            </w:tcBorders>
            <w:shd w:val="clear" w:color="auto" w:fill="auto"/>
            <w:noWrap/>
            <w:vAlign w:val="bottom"/>
            <w:hideMark/>
          </w:tcPr>
          <w:p w14:paraId="2592746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63.0%</w:t>
            </w:r>
          </w:p>
        </w:tc>
      </w:tr>
      <w:tr w:rsidR="00D24507" w:rsidRPr="00537514" w14:paraId="671EE4A3"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3FC08A6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3</w:t>
            </w:r>
          </w:p>
        </w:tc>
        <w:tc>
          <w:tcPr>
            <w:tcW w:w="2572" w:type="dxa"/>
            <w:tcBorders>
              <w:top w:val="nil"/>
              <w:left w:val="nil"/>
              <w:bottom w:val="single" w:sz="4" w:space="0" w:color="auto"/>
              <w:right w:val="single" w:sz="4" w:space="0" w:color="auto"/>
            </w:tcBorders>
            <w:shd w:val="clear" w:color="auto" w:fill="auto"/>
            <w:noWrap/>
            <w:vAlign w:val="bottom"/>
            <w:hideMark/>
          </w:tcPr>
          <w:p w14:paraId="58894B88"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Wilson County</w:t>
            </w:r>
          </w:p>
        </w:tc>
        <w:tc>
          <w:tcPr>
            <w:tcW w:w="1489" w:type="dxa"/>
            <w:tcBorders>
              <w:top w:val="nil"/>
              <w:left w:val="nil"/>
              <w:bottom w:val="single" w:sz="4" w:space="0" w:color="auto"/>
              <w:right w:val="single" w:sz="4" w:space="0" w:color="auto"/>
            </w:tcBorders>
            <w:shd w:val="clear" w:color="auto" w:fill="auto"/>
            <w:noWrap/>
            <w:vAlign w:val="bottom"/>
            <w:hideMark/>
          </w:tcPr>
          <w:p w14:paraId="2623854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2,266 </w:t>
            </w:r>
          </w:p>
        </w:tc>
        <w:tc>
          <w:tcPr>
            <w:tcW w:w="1371" w:type="dxa"/>
            <w:tcBorders>
              <w:top w:val="nil"/>
              <w:left w:val="nil"/>
              <w:bottom w:val="single" w:sz="4" w:space="0" w:color="auto"/>
              <w:right w:val="single" w:sz="4" w:space="0" w:color="auto"/>
            </w:tcBorders>
            <w:shd w:val="clear" w:color="auto" w:fill="auto"/>
            <w:noWrap/>
            <w:vAlign w:val="bottom"/>
            <w:hideMark/>
          </w:tcPr>
          <w:p w14:paraId="3BBC218C"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88.7%</w:t>
            </w:r>
          </w:p>
        </w:tc>
        <w:tc>
          <w:tcPr>
            <w:tcW w:w="1273" w:type="dxa"/>
            <w:tcBorders>
              <w:top w:val="nil"/>
              <w:left w:val="nil"/>
              <w:bottom w:val="single" w:sz="4" w:space="0" w:color="auto"/>
              <w:right w:val="single" w:sz="4" w:space="0" w:color="auto"/>
            </w:tcBorders>
            <w:shd w:val="clear" w:color="auto" w:fill="auto"/>
            <w:noWrap/>
            <w:vAlign w:val="bottom"/>
            <w:hideMark/>
          </w:tcPr>
          <w:p w14:paraId="3B5FD944"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41.6%</w:t>
            </w:r>
          </w:p>
        </w:tc>
      </w:tr>
      <w:tr w:rsidR="00D24507" w:rsidRPr="00537514" w14:paraId="6C31D752" w14:textId="77777777" w:rsidTr="006C2106">
        <w:trPr>
          <w:trHeight w:val="209"/>
        </w:trPr>
        <w:tc>
          <w:tcPr>
            <w:tcW w:w="2670" w:type="dxa"/>
            <w:tcBorders>
              <w:top w:val="nil"/>
              <w:left w:val="single" w:sz="4" w:space="0" w:color="auto"/>
              <w:bottom w:val="single" w:sz="4" w:space="0" w:color="auto"/>
              <w:right w:val="single" w:sz="4" w:space="0" w:color="auto"/>
            </w:tcBorders>
            <w:shd w:val="clear" w:color="auto" w:fill="auto"/>
            <w:noWrap/>
            <w:vAlign w:val="bottom"/>
            <w:hideMark/>
          </w:tcPr>
          <w:p w14:paraId="27362060"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Census Tract 8.02</w:t>
            </w:r>
          </w:p>
        </w:tc>
        <w:tc>
          <w:tcPr>
            <w:tcW w:w="2572" w:type="dxa"/>
            <w:tcBorders>
              <w:top w:val="nil"/>
              <w:left w:val="nil"/>
              <w:bottom w:val="single" w:sz="4" w:space="0" w:color="auto"/>
              <w:right w:val="single" w:sz="4" w:space="0" w:color="auto"/>
            </w:tcBorders>
            <w:shd w:val="clear" w:color="auto" w:fill="auto"/>
            <w:noWrap/>
            <w:vAlign w:val="bottom"/>
            <w:hideMark/>
          </w:tcPr>
          <w:p w14:paraId="6284D093"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Wilson County</w:t>
            </w:r>
          </w:p>
        </w:tc>
        <w:tc>
          <w:tcPr>
            <w:tcW w:w="1489" w:type="dxa"/>
            <w:tcBorders>
              <w:top w:val="nil"/>
              <w:left w:val="nil"/>
              <w:bottom w:val="single" w:sz="4" w:space="0" w:color="auto"/>
              <w:right w:val="single" w:sz="4" w:space="0" w:color="auto"/>
            </w:tcBorders>
            <w:shd w:val="clear" w:color="auto" w:fill="auto"/>
            <w:noWrap/>
            <w:vAlign w:val="bottom"/>
            <w:hideMark/>
          </w:tcPr>
          <w:p w14:paraId="1C427F1B" w14:textId="77777777" w:rsidR="00D24507" w:rsidRPr="00537514" w:rsidRDefault="00D24507" w:rsidP="006C2106">
            <w:pPr>
              <w:rPr>
                <w:rFonts w:ascii="Calibri" w:hAnsi="Calibri" w:cs="Calibri"/>
                <w:color w:val="000000"/>
                <w:sz w:val="22"/>
                <w:szCs w:val="22"/>
              </w:rPr>
            </w:pPr>
            <w:r w:rsidRPr="00537514">
              <w:rPr>
                <w:rFonts w:ascii="Calibri" w:hAnsi="Calibri" w:cs="Calibri"/>
                <w:color w:val="000000"/>
                <w:sz w:val="22"/>
                <w:szCs w:val="22"/>
              </w:rPr>
              <w:t xml:space="preserve">           3,996 </w:t>
            </w:r>
          </w:p>
        </w:tc>
        <w:tc>
          <w:tcPr>
            <w:tcW w:w="1371" w:type="dxa"/>
            <w:tcBorders>
              <w:top w:val="nil"/>
              <w:left w:val="nil"/>
              <w:bottom w:val="single" w:sz="4" w:space="0" w:color="auto"/>
              <w:right w:val="single" w:sz="4" w:space="0" w:color="auto"/>
            </w:tcBorders>
            <w:shd w:val="clear" w:color="auto" w:fill="auto"/>
            <w:noWrap/>
            <w:vAlign w:val="bottom"/>
            <w:hideMark/>
          </w:tcPr>
          <w:p w14:paraId="3E12F145"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82.9%</w:t>
            </w:r>
          </w:p>
        </w:tc>
        <w:tc>
          <w:tcPr>
            <w:tcW w:w="1273" w:type="dxa"/>
            <w:tcBorders>
              <w:top w:val="nil"/>
              <w:left w:val="nil"/>
              <w:bottom w:val="single" w:sz="4" w:space="0" w:color="auto"/>
              <w:right w:val="single" w:sz="4" w:space="0" w:color="auto"/>
            </w:tcBorders>
            <w:shd w:val="clear" w:color="auto" w:fill="auto"/>
            <w:noWrap/>
            <w:vAlign w:val="bottom"/>
            <w:hideMark/>
          </w:tcPr>
          <w:p w14:paraId="77BEC253" w14:textId="77777777" w:rsidR="00D24507" w:rsidRPr="00537514" w:rsidRDefault="00D24507" w:rsidP="006C2106">
            <w:pPr>
              <w:jc w:val="right"/>
              <w:rPr>
                <w:rFonts w:ascii="Calibri" w:hAnsi="Calibri" w:cs="Calibri"/>
                <w:color w:val="000000"/>
                <w:sz w:val="22"/>
                <w:szCs w:val="22"/>
              </w:rPr>
            </w:pPr>
            <w:r w:rsidRPr="00537514">
              <w:rPr>
                <w:rFonts w:ascii="Calibri" w:hAnsi="Calibri" w:cs="Calibri"/>
                <w:color w:val="000000"/>
                <w:sz w:val="22"/>
                <w:szCs w:val="22"/>
              </w:rPr>
              <w:t>42.1%</w:t>
            </w:r>
          </w:p>
        </w:tc>
      </w:tr>
    </w:tbl>
    <w:p w14:paraId="4F1E57A7" w14:textId="77777777" w:rsidR="00D24507" w:rsidRDefault="00D24507" w:rsidP="00D24507">
      <w:pPr>
        <w:spacing w:after="240"/>
        <w:rPr>
          <w:sz w:val="16"/>
          <w:szCs w:val="16"/>
        </w:rPr>
      </w:pPr>
      <w:r>
        <w:rPr>
          <w:sz w:val="16"/>
          <w:szCs w:val="16"/>
        </w:rPr>
        <w:t>S</w:t>
      </w:r>
      <w:r w:rsidRPr="00104C93">
        <w:rPr>
          <w:sz w:val="16"/>
          <w:szCs w:val="16"/>
        </w:rPr>
        <w:t xml:space="preserve">ource: 2014-2018 American Community Survey: </w:t>
      </w:r>
      <w:r>
        <w:rPr>
          <w:sz w:val="16"/>
          <w:szCs w:val="16"/>
        </w:rPr>
        <w:t>B03002, S1701</w:t>
      </w:r>
    </w:p>
    <w:p w14:paraId="14E39515" w14:textId="195B9878" w:rsidR="003D635D" w:rsidRDefault="00D24507" w:rsidP="00D24507">
      <w:pPr>
        <w:spacing w:after="240"/>
        <w:jc w:val="both"/>
      </w:pPr>
      <w:r w:rsidRPr="00931142">
        <w:t xml:space="preserve">Statewide, there are 67 RCAPs, </w:t>
      </w:r>
      <w:r w:rsidR="00803A8D">
        <w:t>acc</w:t>
      </w:r>
      <w:r w:rsidR="003D635D">
        <w:t>o</w:t>
      </w:r>
      <w:r w:rsidR="00803A8D">
        <w:t>unting</w:t>
      </w:r>
      <w:r w:rsidR="003D635D">
        <w:t xml:space="preserve"> for</w:t>
      </w:r>
      <w:r w:rsidRPr="00931142">
        <w:t xml:space="preserve"> 3.1% of North Carolina’s 2,195 census tracts. They are home to 220,016 residents or 2.1% of North Carolina’s population.</w:t>
      </w:r>
      <w:r w:rsidR="000A641E">
        <w:t xml:space="preserve"> </w:t>
      </w:r>
      <w:r w:rsidR="000C4914">
        <w:t xml:space="preserve">However, </w:t>
      </w:r>
      <w:r w:rsidR="00C552DD">
        <w:t xml:space="preserve">they account for </w:t>
      </w:r>
      <w:r w:rsidR="00A25385">
        <w:t>5.8%</w:t>
      </w:r>
      <w:r w:rsidR="00C552DD">
        <w:t xml:space="preserve"> of all Black residents and </w:t>
      </w:r>
      <w:r w:rsidR="00A25385">
        <w:t>3.5%</w:t>
      </w:r>
      <w:r w:rsidR="00C552DD">
        <w:t xml:space="preserve"> of all Hispanic residents across the state.</w:t>
      </w:r>
      <w:r w:rsidRPr="00931142">
        <w:t xml:space="preserve"> </w:t>
      </w:r>
    </w:p>
    <w:p w14:paraId="5A158D0A" w14:textId="21E84344" w:rsidR="00D24507" w:rsidRDefault="00D24507" w:rsidP="00D24507">
      <w:pPr>
        <w:spacing w:after="240"/>
        <w:jc w:val="both"/>
      </w:pPr>
      <w:r>
        <w:t xml:space="preserve">Most of the R/ECAPs are in relatively densely populated areas. Forsyth County, home to Winston-Salem, </w:t>
      </w:r>
      <w:r w:rsidR="000028B9">
        <w:t xml:space="preserve">has the highest number of </w:t>
      </w:r>
      <w:r>
        <w:t>RCAPs (11), followed by Guilford County (7 in Greensboro), and Mecklenburg County (6 in Charlotte). Only one RCAP was located outside of a metropolitan/micropolitan area in Duplin County but still met the 50% minority threshold.</w:t>
      </w:r>
    </w:p>
    <w:p w14:paraId="7BD4AAD1" w14:textId="1E6DFB2A" w:rsidR="0039740D" w:rsidRDefault="00AD3381" w:rsidP="0039740D">
      <w:pPr>
        <w:pStyle w:val="Caption"/>
      </w:pPr>
      <w:r>
        <w:rPr>
          <w:noProof/>
        </w:rPr>
        <w:drawing>
          <wp:anchor distT="0" distB="0" distL="114300" distR="114300" simplePos="0" relativeHeight="251689984" behindDoc="0" locked="0" layoutInCell="1" allowOverlap="1" wp14:anchorId="3B24A810" wp14:editId="4ACADFC5">
            <wp:simplePos x="0" y="0"/>
            <wp:positionH relativeFrom="margin">
              <wp:posOffset>-106017</wp:posOffset>
            </wp:positionH>
            <wp:positionV relativeFrom="paragraph">
              <wp:posOffset>153366</wp:posOffset>
            </wp:positionV>
            <wp:extent cx="6287135" cy="31432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713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507">
        <w:t xml:space="preserve">Map </w:t>
      </w:r>
      <w:fldSimple w:instr=" SEQ Map \* ARABIC ">
        <w:r w:rsidR="0055251A">
          <w:rPr>
            <w:noProof/>
          </w:rPr>
          <w:t>13</w:t>
        </w:r>
      </w:fldSimple>
      <w:r w:rsidR="00D24507">
        <w:t xml:space="preserve"> Racially and Ethnically Concentrated Areas of Poverty in North Carolina, 2018</w:t>
      </w:r>
    </w:p>
    <w:p w14:paraId="40D44E2D" w14:textId="6BD4EC00" w:rsidR="00D24507" w:rsidRPr="00966B1B" w:rsidRDefault="00D24507" w:rsidP="00D24507">
      <w:pPr>
        <w:spacing w:after="240"/>
        <w:ind w:left="180"/>
      </w:pPr>
      <w:r>
        <w:rPr>
          <w:sz w:val="16"/>
          <w:szCs w:val="16"/>
        </w:rPr>
        <w:t>S</w:t>
      </w:r>
      <w:r w:rsidRPr="00104C93">
        <w:rPr>
          <w:sz w:val="16"/>
          <w:szCs w:val="16"/>
        </w:rPr>
        <w:t xml:space="preserve">ource: 2014-2018 American Community Survey: </w:t>
      </w:r>
      <w:r>
        <w:rPr>
          <w:sz w:val="16"/>
          <w:szCs w:val="16"/>
        </w:rPr>
        <w:t>B03002, S1701</w:t>
      </w:r>
    </w:p>
    <w:p w14:paraId="2BC7EC77" w14:textId="77777777" w:rsidR="00D24507" w:rsidRDefault="00D24507" w:rsidP="00D24507">
      <w:pPr>
        <w:sectPr w:rsidR="00D24507" w:rsidSect="0039740D">
          <w:footerReference w:type="default" r:id="rId23"/>
          <w:pgSz w:w="12240" w:h="15840"/>
          <w:pgMar w:top="1440" w:right="1440" w:bottom="1440" w:left="1440" w:header="720" w:footer="720" w:gutter="0"/>
          <w:cols w:space="720"/>
          <w:docGrid w:linePitch="360"/>
        </w:sectPr>
      </w:pPr>
      <w:bookmarkStart w:id="34" w:name="_Toc47639981"/>
      <w:bookmarkEnd w:id="30"/>
    </w:p>
    <w:p w14:paraId="2FC75C16" w14:textId="77777777" w:rsidR="00D24507" w:rsidRDefault="00D24507" w:rsidP="00D24507">
      <w:pPr>
        <w:pStyle w:val="Heading2"/>
        <w:jc w:val="both"/>
      </w:pPr>
      <w:bookmarkStart w:id="35" w:name="_Toc66807915"/>
      <w:r w:rsidRPr="004E0932">
        <w:lastRenderedPageBreak/>
        <w:t>Housing Profile</w:t>
      </w:r>
      <w:bookmarkEnd w:id="34"/>
      <w:bookmarkEnd w:id="35"/>
    </w:p>
    <w:p w14:paraId="0E247D14" w14:textId="77777777" w:rsidR="00D24507" w:rsidRDefault="00D24507" w:rsidP="00D24507">
      <w:pPr>
        <w:pStyle w:val="Heading3"/>
        <w:jc w:val="both"/>
      </w:pPr>
      <w:bookmarkStart w:id="36" w:name="_Toc47639982"/>
      <w:bookmarkStart w:id="37" w:name="_Toc66807916"/>
      <w:r w:rsidRPr="00AE4E4A">
        <w:t>Age of Housing Stock</w:t>
      </w:r>
      <w:bookmarkEnd w:id="36"/>
      <w:bookmarkEnd w:id="37"/>
    </w:p>
    <w:p w14:paraId="28DF2DE0" w14:textId="338305E1" w:rsidR="00D24507" w:rsidRDefault="00536E7E" w:rsidP="00D24507">
      <w:pPr>
        <w:spacing w:after="240"/>
      </w:pPr>
      <w:r>
        <w:t>North Carolina’s</w:t>
      </w:r>
      <w:r w:rsidR="00D24507">
        <w:t xml:space="preserve"> housing stock is relatively modern with the median year of homes built </w:t>
      </w:r>
      <w:r w:rsidR="001F7E9E">
        <w:t>of</w:t>
      </w:r>
      <w:r w:rsidR="00D24507">
        <w:t xml:space="preserve"> 1988. </w:t>
      </w:r>
      <w:r w:rsidR="001F7E9E">
        <w:t>O</w:t>
      </w:r>
      <w:r w:rsidR="00D24507">
        <w:t>lder</w:t>
      </w:r>
      <w:r w:rsidR="00D24507" w:rsidRPr="00820D03">
        <w:t xml:space="preserve"> homes typically need mechanical system and energy efficiency upgrades</w:t>
      </w:r>
      <w:r w:rsidR="00D24507">
        <w:t>,</w:t>
      </w:r>
      <w:r w:rsidR="00D24507" w:rsidRPr="00820D03">
        <w:t xml:space="preserve"> which may not be financially feasible, particularly among low- and moderate-income households. High energy costs can contribute to cost burden. For persons with health conditions such as asthma, features such as excessive moisture and dampness, inadequate or poorly maintained heating and ventilation systems and structural defects are associated with exposure to indoor asthma triggers.</w:t>
      </w:r>
    </w:p>
    <w:p w14:paraId="14EFBA67" w14:textId="77777777" w:rsidR="00D24507" w:rsidRDefault="00D24507" w:rsidP="00D24507">
      <w:pPr>
        <w:spacing w:after="240"/>
      </w:pPr>
      <w:r>
        <w:t xml:space="preserve">Another significant concern is the presence of lead-based paint. In 1978, the federal government banned the use of lead-based paint in homes after studies showed that lead caused severe health problems, particularly among children under the age of six. The nervous systems of children could even be damaged before birth. Although lead-based paint is no longer on the market, many older homes still have </w:t>
      </w:r>
      <w:proofErr w:type="gramStart"/>
      <w:r>
        <w:t>lead</w:t>
      </w:r>
      <w:proofErr w:type="gramEnd"/>
      <w:r>
        <w:t>-based paint on the walls and trim. Scraping paint and sanding old paint can release dust containing lead that, when inhaled, can be harmful. There are ten counties in North Carolina with a median year of structures built before 1978: Caldwell, Edgecombe, Halifax, Lenoir, Martin, Mitchell, Rockingham, Stanly, Tyrell, and Washington Counties.</w:t>
      </w:r>
    </w:p>
    <w:p w14:paraId="4BCEB498" w14:textId="7DDA2690" w:rsidR="00D24507" w:rsidRDefault="00D24507" w:rsidP="00D24507">
      <w:pPr>
        <w:pStyle w:val="Caption"/>
      </w:pPr>
      <w:r>
        <w:t xml:space="preserve">Map </w:t>
      </w:r>
      <w:fldSimple w:instr=" SEQ Map \* ARABIC ">
        <w:r w:rsidR="0055251A">
          <w:rPr>
            <w:noProof/>
          </w:rPr>
          <w:t>14</w:t>
        </w:r>
      </w:fldSimple>
      <w:r>
        <w:t xml:space="preserve"> Median Year Structure Built, 2018</w:t>
      </w:r>
    </w:p>
    <w:p w14:paraId="53F30761" w14:textId="77777777" w:rsidR="00D24507" w:rsidRPr="008D325D" w:rsidRDefault="00D24507" w:rsidP="00D24507">
      <w:r>
        <w:rPr>
          <w:sz w:val="16"/>
          <w:szCs w:val="16"/>
        </w:rPr>
        <w:t>S</w:t>
      </w:r>
      <w:r w:rsidRPr="00104C93">
        <w:rPr>
          <w:sz w:val="16"/>
          <w:szCs w:val="16"/>
        </w:rPr>
        <w:t xml:space="preserve">ource: 2014-2018 American Community Survey: </w:t>
      </w:r>
      <w:r>
        <w:rPr>
          <w:noProof/>
        </w:rPr>
        <w:drawing>
          <wp:anchor distT="0" distB="0" distL="114300" distR="114300" simplePos="0" relativeHeight="251673600" behindDoc="0" locked="0" layoutInCell="1" allowOverlap="1" wp14:anchorId="12D627DB" wp14:editId="3CC3B295">
            <wp:simplePos x="0" y="0"/>
            <wp:positionH relativeFrom="column">
              <wp:posOffset>0</wp:posOffset>
            </wp:positionH>
            <wp:positionV relativeFrom="paragraph">
              <wp:posOffset>0</wp:posOffset>
            </wp:positionV>
            <wp:extent cx="5934710" cy="2967355"/>
            <wp:effectExtent l="0" t="0" r="889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B25035</w:t>
      </w:r>
    </w:p>
    <w:p w14:paraId="137FA513" w14:textId="77777777" w:rsidR="0039740D" w:rsidRDefault="0039740D" w:rsidP="00D24507">
      <w:pPr>
        <w:pStyle w:val="Heading3"/>
        <w:jc w:val="both"/>
      </w:pPr>
      <w:bookmarkStart w:id="38" w:name="_Toc47639983"/>
    </w:p>
    <w:p w14:paraId="2D6EFE1D" w14:textId="65373F2E" w:rsidR="00D24507" w:rsidRPr="008E57CD" w:rsidRDefault="00D24507" w:rsidP="00D24507">
      <w:pPr>
        <w:pStyle w:val="Heading3"/>
        <w:jc w:val="both"/>
      </w:pPr>
      <w:bookmarkStart w:id="39" w:name="_Toc66807917"/>
      <w:r w:rsidRPr="008E57CD">
        <w:t>Vacancy Rates</w:t>
      </w:r>
      <w:bookmarkEnd w:id="38"/>
      <w:bookmarkEnd w:id="39"/>
    </w:p>
    <w:p w14:paraId="16176B44" w14:textId="44854F52" w:rsidR="00D24507" w:rsidRPr="008E57CD" w:rsidRDefault="00D24507" w:rsidP="00D24507">
      <w:pPr>
        <w:spacing w:after="240"/>
      </w:pPr>
      <w:bookmarkStart w:id="40" w:name="_Hlk22288814"/>
      <w:r w:rsidRPr="008E57CD">
        <w:t>Vacancy rate</w:t>
      </w:r>
      <w:r w:rsidR="00032A42">
        <w:t xml:space="preserve"> dat</w:t>
      </w:r>
      <w:r w:rsidR="00B362F1">
        <w:t>a</w:t>
      </w:r>
      <w:r w:rsidRPr="008E57CD">
        <w:t xml:space="preserve"> come from the American Community Survey, which defines vacancy rate as the ratio of vacant available units to total units.</w:t>
      </w:r>
      <w:bookmarkEnd w:id="40"/>
    </w:p>
    <w:p w14:paraId="1B7AC32E" w14:textId="77777777" w:rsidR="00D24507" w:rsidRPr="008E57CD" w:rsidRDefault="00D24507" w:rsidP="00D24507">
      <w:pPr>
        <w:spacing w:after="240"/>
        <w:jc w:val="both"/>
      </w:pPr>
      <w:r w:rsidRPr="008E57CD">
        <w:lastRenderedPageBreak/>
        <w:t>Homeowner vacancy rates in North Carolina sit near the national average at 1.9%, indicative of a tight sales market. Homeowner vacancy is the ratio of vacant available for-sale and sold housing units to the total number of vacant and owner-occupied housing units.</w:t>
      </w:r>
    </w:p>
    <w:p w14:paraId="4F9E8D62" w14:textId="77777777" w:rsidR="00D24507" w:rsidRPr="00644C84" w:rsidRDefault="00D24507" w:rsidP="00D24507">
      <w:pPr>
        <w:spacing w:after="240"/>
        <w:jc w:val="both"/>
      </w:pPr>
      <w:r w:rsidRPr="008E57CD">
        <w:t>Like homeowner vacancies, rental vacancies are the ratio of vacant available for-rent and rented unoccupied units to the total number of vacant available and rental-occupied housing units. Rental vacancy rates are higher than homeowner vacancy rates at 7.0%. The highest vacancy rates are found along the coast, westernmost counties in the Mountain region, and the counties around Fayetteville.</w:t>
      </w:r>
    </w:p>
    <w:p w14:paraId="10A2C1FF" w14:textId="118887F9" w:rsidR="00D24507" w:rsidRDefault="00D24507" w:rsidP="00D24507">
      <w:pPr>
        <w:pStyle w:val="Caption"/>
      </w:pPr>
      <w:r>
        <w:t xml:space="preserve">Table </w:t>
      </w:r>
      <w:fldSimple w:instr=" SEQ Table \* ARABIC ">
        <w:r w:rsidR="0055251A">
          <w:rPr>
            <w:noProof/>
          </w:rPr>
          <w:t>17</w:t>
        </w:r>
      </w:fldSimple>
      <w:r>
        <w:t xml:space="preserve"> Statewide Vacancy Rates by Tenure. 2018</w:t>
      </w:r>
    </w:p>
    <w:tbl>
      <w:tblPr>
        <w:tblW w:w="9263" w:type="dxa"/>
        <w:tblLook w:val="04A0" w:firstRow="1" w:lastRow="0" w:firstColumn="1" w:lastColumn="0" w:noHBand="0" w:noVBand="1"/>
      </w:tblPr>
      <w:tblGrid>
        <w:gridCol w:w="5318"/>
        <w:gridCol w:w="2098"/>
        <w:gridCol w:w="1847"/>
      </w:tblGrid>
      <w:tr w:rsidR="00D24507" w:rsidRPr="00AE4E4A" w14:paraId="284B77BD" w14:textId="77777777" w:rsidTr="006C2106">
        <w:trPr>
          <w:trHeight w:val="269"/>
        </w:trPr>
        <w:tc>
          <w:tcPr>
            <w:tcW w:w="5318"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4EF8FB7F" w14:textId="77777777" w:rsidR="00D24507" w:rsidRPr="00AE4E4A" w:rsidRDefault="00D24507" w:rsidP="006C2106">
            <w:pPr>
              <w:rPr>
                <w:rFonts w:ascii="Calibri" w:hAnsi="Calibri" w:cs="Calibri"/>
                <w:b/>
                <w:bCs/>
                <w:color w:val="FFFFFF"/>
                <w:sz w:val="22"/>
                <w:szCs w:val="22"/>
              </w:rPr>
            </w:pPr>
            <w:r w:rsidRPr="00AE4E4A">
              <w:rPr>
                <w:rFonts w:ascii="Calibri" w:hAnsi="Calibri" w:cs="Calibri"/>
                <w:b/>
                <w:bCs/>
                <w:color w:val="FFFFFF"/>
                <w:sz w:val="22"/>
                <w:szCs w:val="22"/>
              </w:rPr>
              <w:t>Vacancy Status</w:t>
            </w:r>
          </w:p>
        </w:tc>
        <w:tc>
          <w:tcPr>
            <w:tcW w:w="2098" w:type="dxa"/>
            <w:tcBorders>
              <w:top w:val="single" w:sz="4" w:space="0" w:color="auto"/>
              <w:left w:val="nil"/>
              <w:bottom w:val="single" w:sz="4" w:space="0" w:color="auto"/>
              <w:right w:val="single" w:sz="4" w:space="0" w:color="auto"/>
            </w:tcBorders>
            <w:shd w:val="clear" w:color="000000" w:fill="4472C4"/>
            <w:noWrap/>
            <w:vAlign w:val="bottom"/>
            <w:hideMark/>
          </w:tcPr>
          <w:p w14:paraId="40D52941" w14:textId="77777777" w:rsidR="00D24507" w:rsidRPr="00AE4E4A" w:rsidRDefault="00D24507" w:rsidP="006C2106">
            <w:pPr>
              <w:rPr>
                <w:rFonts w:ascii="Calibri" w:hAnsi="Calibri" w:cs="Calibri"/>
                <w:b/>
                <w:bCs/>
                <w:color w:val="FFFFFF"/>
                <w:sz w:val="22"/>
                <w:szCs w:val="22"/>
              </w:rPr>
            </w:pPr>
            <w:r w:rsidRPr="00AE4E4A">
              <w:rPr>
                <w:rFonts w:ascii="Calibri" w:hAnsi="Calibri" w:cs="Calibri"/>
                <w:b/>
                <w:bCs/>
                <w:color w:val="FFFFFF"/>
                <w:sz w:val="22"/>
                <w:szCs w:val="22"/>
              </w:rPr>
              <w:t># Vacant</w:t>
            </w:r>
          </w:p>
        </w:tc>
        <w:tc>
          <w:tcPr>
            <w:tcW w:w="1847" w:type="dxa"/>
            <w:tcBorders>
              <w:top w:val="single" w:sz="4" w:space="0" w:color="auto"/>
              <w:left w:val="nil"/>
              <w:bottom w:val="single" w:sz="4" w:space="0" w:color="auto"/>
              <w:right w:val="single" w:sz="4" w:space="0" w:color="auto"/>
            </w:tcBorders>
            <w:shd w:val="clear" w:color="000000" w:fill="4472C4"/>
            <w:noWrap/>
            <w:vAlign w:val="bottom"/>
            <w:hideMark/>
          </w:tcPr>
          <w:p w14:paraId="4C9C6E97" w14:textId="77777777" w:rsidR="00D24507" w:rsidRPr="00AE4E4A" w:rsidRDefault="00D24507" w:rsidP="006C2106">
            <w:pPr>
              <w:rPr>
                <w:rFonts w:ascii="Calibri" w:hAnsi="Calibri" w:cs="Calibri"/>
                <w:b/>
                <w:bCs/>
                <w:color w:val="FFFFFF"/>
                <w:sz w:val="22"/>
                <w:szCs w:val="22"/>
              </w:rPr>
            </w:pPr>
            <w:r w:rsidRPr="00AE4E4A">
              <w:rPr>
                <w:rFonts w:ascii="Calibri" w:hAnsi="Calibri" w:cs="Calibri"/>
                <w:b/>
                <w:bCs/>
                <w:color w:val="FFFFFF"/>
                <w:sz w:val="22"/>
                <w:szCs w:val="22"/>
              </w:rPr>
              <w:t>% Vacant</w:t>
            </w:r>
          </w:p>
        </w:tc>
      </w:tr>
      <w:tr w:rsidR="00D24507" w:rsidRPr="00AE4E4A" w14:paraId="6E94E292"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000000" w:fill="B4C6E7"/>
            <w:noWrap/>
            <w:vAlign w:val="bottom"/>
            <w:hideMark/>
          </w:tcPr>
          <w:p w14:paraId="723D622D"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Total Vacant Housing Units</w:t>
            </w:r>
          </w:p>
        </w:tc>
        <w:tc>
          <w:tcPr>
            <w:tcW w:w="2098" w:type="dxa"/>
            <w:tcBorders>
              <w:top w:val="nil"/>
              <w:left w:val="nil"/>
              <w:bottom w:val="single" w:sz="4" w:space="0" w:color="auto"/>
              <w:right w:val="single" w:sz="4" w:space="0" w:color="auto"/>
            </w:tcBorders>
            <w:shd w:val="clear" w:color="000000" w:fill="B4C6E7"/>
            <w:noWrap/>
            <w:vAlign w:val="bottom"/>
            <w:hideMark/>
          </w:tcPr>
          <w:p w14:paraId="37EC545B"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654,469 </w:t>
            </w:r>
          </w:p>
        </w:tc>
        <w:tc>
          <w:tcPr>
            <w:tcW w:w="1847" w:type="dxa"/>
            <w:tcBorders>
              <w:top w:val="nil"/>
              <w:left w:val="nil"/>
              <w:bottom w:val="single" w:sz="4" w:space="0" w:color="auto"/>
              <w:right w:val="single" w:sz="4" w:space="0" w:color="auto"/>
            </w:tcBorders>
            <w:shd w:val="clear" w:color="000000" w:fill="B4C6E7"/>
            <w:noWrap/>
            <w:vAlign w:val="bottom"/>
            <w:hideMark/>
          </w:tcPr>
          <w:p w14:paraId="006CF237"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14.3%</w:t>
            </w:r>
          </w:p>
        </w:tc>
      </w:tr>
      <w:tr w:rsidR="00D24507" w:rsidRPr="00AE4E4A" w14:paraId="27999554"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60C4FCE4"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Vacant for Rent</w:t>
            </w:r>
          </w:p>
        </w:tc>
        <w:tc>
          <w:tcPr>
            <w:tcW w:w="2098" w:type="dxa"/>
            <w:tcBorders>
              <w:top w:val="nil"/>
              <w:left w:val="nil"/>
              <w:bottom w:val="single" w:sz="4" w:space="0" w:color="auto"/>
              <w:right w:val="single" w:sz="4" w:space="0" w:color="auto"/>
            </w:tcBorders>
            <w:shd w:val="clear" w:color="auto" w:fill="auto"/>
            <w:noWrap/>
            <w:vAlign w:val="bottom"/>
            <w:hideMark/>
          </w:tcPr>
          <w:p w14:paraId="002693F8"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103,950 </w:t>
            </w:r>
          </w:p>
        </w:tc>
        <w:tc>
          <w:tcPr>
            <w:tcW w:w="1847" w:type="dxa"/>
            <w:tcBorders>
              <w:top w:val="nil"/>
              <w:left w:val="nil"/>
              <w:bottom w:val="single" w:sz="4" w:space="0" w:color="auto"/>
              <w:right w:val="single" w:sz="4" w:space="0" w:color="auto"/>
            </w:tcBorders>
            <w:shd w:val="clear" w:color="auto" w:fill="auto"/>
            <w:noWrap/>
            <w:vAlign w:val="bottom"/>
            <w:hideMark/>
          </w:tcPr>
          <w:p w14:paraId="63073C1A"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2.3%</w:t>
            </w:r>
          </w:p>
        </w:tc>
      </w:tr>
      <w:tr w:rsidR="00D24507" w:rsidRPr="00AE4E4A" w14:paraId="12C646AD"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4A027E3F"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Vacant Rented Units</w:t>
            </w:r>
          </w:p>
        </w:tc>
        <w:tc>
          <w:tcPr>
            <w:tcW w:w="2098" w:type="dxa"/>
            <w:tcBorders>
              <w:top w:val="nil"/>
              <w:left w:val="nil"/>
              <w:bottom w:val="single" w:sz="4" w:space="0" w:color="auto"/>
              <w:right w:val="single" w:sz="4" w:space="0" w:color="auto"/>
            </w:tcBorders>
            <w:shd w:val="clear" w:color="auto" w:fill="auto"/>
            <w:noWrap/>
            <w:vAlign w:val="bottom"/>
            <w:hideMark/>
          </w:tcPr>
          <w:p w14:paraId="5CB222B5"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21,738 </w:t>
            </w:r>
          </w:p>
        </w:tc>
        <w:tc>
          <w:tcPr>
            <w:tcW w:w="1847" w:type="dxa"/>
            <w:tcBorders>
              <w:top w:val="nil"/>
              <w:left w:val="nil"/>
              <w:bottom w:val="single" w:sz="4" w:space="0" w:color="auto"/>
              <w:right w:val="single" w:sz="4" w:space="0" w:color="auto"/>
            </w:tcBorders>
            <w:shd w:val="clear" w:color="auto" w:fill="auto"/>
            <w:noWrap/>
            <w:vAlign w:val="bottom"/>
            <w:hideMark/>
          </w:tcPr>
          <w:p w14:paraId="38EA6234"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0.5%</w:t>
            </w:r>
          </w:p>
        </w:tc>
      </w:tr>
      <w:tr w:rsidR="00D24507" w:rsidRPr="00AE4E4A" w14:paraId="32E3EF7B"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5B920FE5"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Vacant for Sale</w:t>
            </w:r>
          </w:p>
        </w:tc>
        <w:tc>
          <w:tcPr>
            <w:tcW w:w="2098" w:type="dxa"/>
            <w:tcBorders>
              <w:top w:val="nil"/>
              <w:left w:val="nil"/>
              <w:bottom w:val="single" w:sz="4" w:space="0" w:color="auto"/>
              <w:right w:val="single" w:sz="4" w:space="0" w:color="auto"/>
            </w:tcBorders>
            <w:shd w:val="clear" w:color="auto" w:fill="auto"/>
            <w:noWrap/>
            <w:vAlign w:val="bottom"/>
            <w:hideMark/>
          </w:tcPr>
          <w:p w14:paraId="0D78B51D"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49,548 </w:t>
            </w:r>
          </w:p>
        </w:tc>
        <w:tc>
          <w:tcPr>
            <w:tcW w:w="1847" w:type="dxa"/>
            <w:tcBorders>
              <w:top w:val="nil"/>
              <w:left w:val="nil"/>
              <w:bottom w:val="single" w:sz="4" w:space="0" w:color="auto"/>
              <w:right w:val="single" w:sz="4" w:space="0" w:color="auto"/>
            </w:tcBorders>
            <w:shd w:val="clear" w:color="auto" w:fill="auto"/>
            <w:noWrap/>
            <w:vAlign w:val="bottom"/>
            <w:hideMark/>
          </w:tcPr>
          <w:p w14:paraId="6AC8C2BE"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1.1%</w:t>
            </w:r>
          </w:p>
        </w:tc>
      </w:tr>
      <w:tr w:rsidR="00D24507" w:rsidRPr="00AE4E4A" w14:paraId="0F6C76CE"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6D671048"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Vacant Sold (not occupied)</w:t>
            </w:r>
          </w:p>
        </w:tc>
        <w:tc>
          <w:tcPr>
            <w:tcW w:w="2098" w:type="dxa"/>
            <w:tcBorders>
              <w:top w:val="nil"/>
              <w:left w:val="nil"/>
              <w:bottom w:val="single" w:sz="4" w:space="0" w:color="auto"/>
              <w:right w:val="single" w:sz="4" w:space="0" w:color="auto"/>
            </w:tcBorders>
            <w:shd w:val="clear" w:color="auto" w:fill="auto"/>
            <w:noWrap/>
            <w:vAlign w:val="bottom"/>
            <w:hideMark/>
          </w:tcPr>
          <w:p w14:paraId="25E888C1"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19,826 </w:t>
            </w:r>
          </w:p>
        </w:tc>
        <w:tc>
          <w:tcPr>
            <w:tcW w:w="1847" w:type="dxa"/>
            <w:tcBorders>
              <w:top w:val="nil"/>
              <w:left w:val="nil"/>
              <w:bottom w:val="single" w:sz="4" w:space="0" w:color="auto"/>
              <w:right w:val="single" w:sz="4" w:space="0" w:color="auto"/>
            </w:tcBorders>
            <w:shd w:val="clear" w:color="auto" w:fill="auto"/>
            <w:noWrap/>
            <w:vAlign w:val="bottom"/>
            <w:hideMark/>
          </w:tcPr>
          <w:p w14:paraId="64D30B7C"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0.4%</w:t>
            </w:r>
          </w:p>
        </w:tc>
      </w:tr>
      <w:tr w:rsidR="00D24507" w:rsidRPr="00AE4E4A" w14:paraId="62B476EE"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4F167FBF"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Vacant (seasonal, recreational, or occasional use)</w:t>
            </w:r>
          </w:p>
        </w:tc>
        <w:tc>
          <w:tcPr>
            <w:tcW w:w="2098" w:type="dxa"/>
            <w:tcBorders>
              <w:top w:val="nil"/>
              <w:left w:val="nil"/>
              <w:bottom w:val="single" w:sz="4" w:space="0" w:color="auto"/>
              <w:right w:val="single" w:sz="4" w:space="0" w:color="auto"/>
            </w:tcBorders>
            <w:shd w:val="clear" w:color="auto" w:fill="auto"/>
            <w:noWrap/>
            <w:vAlign w:val="bottom"/>
            <w:hideMark/>
          </w:tcPr>
          <w:p w14:paraId="2D2FA418"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211,487 </w:t>
            </w:r>
          </w:p>
        </w:tc>
        <w:tc>
          <w:tcPr>
            <w:tcW w:w="1847" w:type="dxa"/>
            <w:tcBorders>
              <w:top w:val="nil"/>
              <w:left w:val="nil"/>
              <w:bottom w:val="single" w:sz="4" w:space="0" w:color="auto"/>
              <w:right w:val="single" w:sz="4" w:space="0" w:color="auto"/>
            </w:tcBorders>
            <w:shd w:val="clear" w:color="auto" w:fill="auto"/>
            <w:noWrap/>
            <w:vAlign w:val="bottom"/>
            <w:hideMark/>
          </w:tcPr>
          <w:p w14:paraId="17B7012A"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4.6%</w:t>
            </w:r>
          </w:p>
        </w:tc>
      </w:tr>
      <w:tr w:rsidR="00D24507" w:rsidRPr="00AE4E4A" w14:paraId="220D3A34"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40437E06"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Vacant (other)</w:t>
            </w:r>
          </w:p>
        </w:tc>
        <w:tc>
          <w:tcPr>
            <w:tcW w:w="2098" w:type="dxa"/>
            <w:tcBorders>
              <w:top w:val="nil"/>
              <w:left w:val="nil"/>
              <w:bottom w:val="single" w:sz="4" w:space="0" w:color="auto"/>
              <w:right w:val="single" w:sz="4" w:space="0" w:color="auto"/>
            </w:tcBorders>
            <w:shd w:val="clear" w:color="auto" w:fill="auto"/>
            <w:noWrap/>
            <w:vAlign w:val="bottom"/>
            <w:hideMark/>
          </w:tcPr>
          <w:p w14:paraId="784685CA"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246,528 </w:t>
            </w:r>
          </w:p>
        </w:tc>
        <w:tc>
          <w:tcPr>
            <w:tcW w:w="1847" w:type="dxa"/>
            <w:tcBorders>
              <w:top w:val="nil"/>
              <w:left w:val="nil"/>
              <w:bottom w:val="single" w:sz="4" w:space="0" w:color="auto"/>
              <w:right w:val="single" w:sz="4" w:space="0" w:color="auto"/>
            </w:tcBorders>
            <w:shd w:val="clear" w:color="auto" w:fill="auto"/>
            <w:noWrap/>
            <w:vAlign w:val="bottom"/>
            <w:hideMark/>
          </w:tcPr>
          <w:p w14:paraId="44879FE0"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5.4%</w:t>
            </w:r>
          </w:p>
        </w:tc>
      </w:tr>
      <w:tr w:rsidR="00D24507" w:rsidRPr="00AE4E4A" w14:paraId="6998A582" w14:textId="77777777" w:rsidTr="006C2106">
        <w:trPr>
          <w:trHeight w:hRule="exact" w:val="269"/>
        </w:trPr>
        <w:tc>
          <w:tcPr>
            <w:tcW w:w="5318" w:type="dxa"/>
            <w:tcBorders>
              <w:top w:val="nil"/>
              <w:left w:val="single" w:sz="4" w:space="0" w:color="auto"/>
              <w:bottom w:val="single" w:sz="4" w:space="0" w:color="auto"/>
              <w:right w:val="single" w:sz="4" w:space="0" w:color="auto"/>
            </w:tcBorders>
            <w:shd w:val="clear" w:color="auto" w:fill="auto"/>
            <w:noWrap/>
            <w:vAlign w:val="bottom"/>
            <w:hideMark/>
          </w:tcPr>
          <w:p w14:paraId="707EB0F5"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Total Housing Units</w:t>
            </w:r>
          </w:p>
        </w:tc>
        <w:tc>
          <w:tcPr>
            <w:tcW w:w="2098" w:type="dxa"/>
            <w:tcBorders>
              <w:top w:val="nil"/>
              <w:left w:val="nil"/>
              <w:bottom w:val="single" w:sz="4" w:space="0" w:color="auto"/>
              <w:right w:val="single" w:sz="4" w:space="0" w:color="auto"/>
            </w:tcBorders>
            <w:shd w:val="clear" w:color="auto" w:fill="auto"/>
            <w:noWrap/>
            <w:vAlign w:val="bottom"/>
            <w:hideMark/>
          </w:tcPr>
          <w:p w14:paraId="47579F90" w14:textId="77777777" w:rsidR="00D24507" w:rsidRPr="00AE4E4A" w:rsidRDefault="00D24507" w:rsidP="006C2106">
            <w:pPr>
              <w:rPr>
                <w:rFonts w:ascii="Calibri" w:hAnsi="Calibri" w:cs="Calibri"/>
                <w:color w:val="000000"/>
                <w:sz w:val="22"/>
                <w:szCs w:val="22"/>
              </w:rPr>
            </w:pPr>
            <w:r w:rsidRPr="00AE4E4A">
              <w:rPr>
                <w:rFonts w:ascii="Calibri" w:hAnsi="Calibri" w:cs="Calibri"/>
                <w:color w:val="000000"/>
                <w:sz w:val="22"/>
                <w:szCs w:val="22"/>
              </w:rPr>
              <w:t xml:space="preserve">                4,573,066 </w:t>
            </w:r>
          </w:p>
        </w:tc>
        <w:tc>
          <w:tcPr>
            <w:tcW w:w="1847" w:type="dxa"/>
            <w:tcBorders>
              <w:top w:val="nil"/>
              <w:left w:val="nil"/>
              <w:bottom w:val="single" w:sz="4" w:space="0" w:color="auto"/>
              <w:right w:val="single" w:sz="4" w:space="0" w:color="auto"/>
            </w:tcBorders>
            <w:shd w:val="clear" w:color="auto" w:fill="auto"/>
            <w:noWrap/>
            <w:vAlign w:val="bottom"/>
            <w:hideMark/>
          </w:tcPr>
          <w:p w14:paraId="07913B32" w14:textId="77777777" w:rsidR="00D24507" w:rsidRPr="00AE4E4A" w:rsidRDefault="00D24507" w:rsidP="006C2106">
            <w:pPr>
              <w:jc w:val="right"/>
              <w:rPr>
                <w:rFonts w:ascii="Calibri" w:hAnsi="Calibri" w:cs="Calibri"/>
                <w:color w:val="000000"/>
                <w:sz w:val="22"/>
                <w:szCs w:val="22"/>
              </w:rPr>
            </w:pPr>
            <w:r w:rsidRPr="00AE4E4A">
              <w:rPr>
                <w:rFonts w:ascii="Calibri" w:hAnsi="Calibri" w:cs="Calibri"/>
                <w:color w:val="000000"/>
                <w:sz w:val="22"/>
                <w:szCs w:val="22"/>
              </w:rPr>
              <w:t>-</w:t>
            </w:r>
          </w:p>
        </w:tc>
      </w:tr>
    </w:tbl>
    <w:p w14:paraId="20125CD9" w14:textId="77777777" w:rsidR="00D24507" w:rsidRDefault="00D24507" w:rsidP="00D24507">
      <w:pPr>
        <w:rPr>
          <w:sz w:val="16"/>
          <w:szCs w:val="16"/>
        </w:rPr>
      </w:pPr>
      <w:r>
        <w:rPr>
          <w:sz w:val="16"/>
          <w:szCs w:val="16"/>
        </w:rPr>
        <w:t>S</w:t>
      </w:r>
      <w:r w:rsidRPr="00104C93">
        <w:rPr>
          <w:sz w:val="16"/>
          <w:szCs w:val="16"/>
        </w:rPr>
        <w:t>ource: 2014-2018 American Community Survey:</w:t>
      </w:r>
      <w:r>
        <w:rPr>
          <w:sz w:val="16"/>
          <w:szCs w:val="16"/>
        </w:rPr>
        <w:t xml:space="preserve"> B25004</w:t>
      </w:r>
    </w:p>
    <w:p w14:paraId="7B80A487" w14:textId="77777777" w:rsidR="00D24507" w:rsidRDefault="00D24507" w:rsidP="00D24507"/>
    <w:p w14:paraId="1134DBFC" w14:textId="378EB216" w:rsidR="00D24507" w:rsidRDefault="00D24507" w:rsidP="00D24507">
      <w:pPr>
        <w:pStyle w:val="Caption"/>
      </w:pPr>
      <w:r>
        <w:rPr>
          <w:noProof/>
        </w:rPr>
        <w:drawing>
          <wp:anchor distT="0" distB="0" distL="114300" distR="114300" simplePos="0" relativeHeight="251674624" behindDoc="0" locked="0" layoutInCell="1" allowOverlap="1" wp14:anchorId="3AA6D68C" wp14:editId="2D817939">
            <wp:simplePos x="0" y="0"/>
            <wp:positionH relativeFrom="margin">
              <wp:align>right</wp:align>
            </wp:positionH>
            <wp:positionV relativeFrom="paragraph">
              <wp:posOffset>128905</wp:posOffset>
            </wp:positionV>
            <wp:extent cx="5934710" cy="2967355"/>
            <wp:effectExtent l="0" t="0" r="8890" b="44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15</w:t>
        </w:r>
      </w:fldSimple>
      <w:r>
        <w:t xml:space="preserve"> Homeowner Vacancy Rates, 2018</w:t>
      </w:r>
    </w:p>
    <w:p w14:paraId="33E81FA6" w14:textId="77777777" w:rsidR="00D24507" w:rsidRDefault="00D24507" w:rsidP="00D24507">
      <w:pPr>
        <w:rPr>
          <w:sz w:val="16"/>
          <w:szCs w:val="16"/>
        </w:rPr>
      </w:pPr>
      <w:r>
        <w:rPr>
          <w:sz w:val="16"/>
          <w:szCs w:val="16"/>
        </w:rPr>
        <w:t>S</w:t>
      </w:r>
      <w:r w:rsidRPr="00104C93">
        <w:rPr>
          <w:sz w:val="16"/>
          <w:szCs w:val="16"/>
        </w:rPr>
        <w:t>ource: 2014-2018 American Community Survey:</w:t>
      </w:r>
      <w:r>
        <w:rPr>
          <w:sz w:val="16"/>
          <w:szCs w:val="16"/>
        </w:rPr>
        <w:t xml:space="preserve"> DP04</w:t>
      </w:r>
    </w:p>
    <w:p w14:paraId="6B12F99F" w14:textId="77777777" w:rsidR="00D24507" w:rsidRDefault="00D24507" w:rsidP="00D24507"/>
    <w:p w14:paraId="51FF2C31" w14:textId="77777777" w:rsidR="00D24507" w:rsidRDefault="00D24507" w:rsidP="00D24507">
      <w:pPr>
        <w:spacing w:after="160" w:line="276" w:lineRule="auto"/>
        <w:rPr>
          <w:b/>
          <w:bCs/>
          <w:color w:val="404040" w:themeColor="text1" w:themeTint="BF"/>
          <w:sz w:val="16"/>
          <w:szCs w:val="16"/>
        </w:rPr>
      </w:pPr>
      <w:r>
        <w:br w:type="page"/>
      </w:r>
    </w:p>
    <w:p w14:paraId="454F2F23" w14:textId="29062393" w:rsidR="00D24507" w:rsidRDefault="00841CDA" w:rsidP="00D24507">
      <w:pPr>
        <w:pStyle w:val="Caption"/>
      </w:pPr>
      <w:r>
        <w:rPr>
          <w:noProof/>
        </w:rPr>
        <w:lastRenderedPageBreak/>
        <w:drawing>
          <wp:anchor distT="0" distB="0" distL="114300" distR="114300" simplePos="0" relativeHeight="251694080" behindDoc="0" locked="0" layoutInCell="1" allowOverlap="1" wp14:anchorId="2C843FFD" wp14:editId="64E11F64">
            <wp:simplePos x="0" y="0"/>
            <wp:positionH relativeFrom="margin">
              <wp:align>right</wp:align>
            </wp:positionH>
            <wp:positionV relativeFrom="paragraph">
              <wp:posOffset>133350</wp:posOffset>
            </wp:positionV>
            <wp:extent cx="5934075" cy="3838575"/>
            <wp:effectExtent l="0" t="0" r="9525" b="9525"/>
            <wp:wrapTopAndBottom/>
            <wp:docPr id="3" name="Chart 3">
              <a:extLst xmlns:a="http://schemas.openxmlformats.org/drawingml/2006/main">
                <a:ext uri="{FF2B5EF4-FFF2-40B4-BE49-F238E27FC236}">
                  <a16:creationId xmlns:a16="http://schemas.microsoft.com/office/drawing/2014/main" id="{B7338B93-1BC5-4393-B250-2322300B6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24507">
        <w:rPr>
          <w:noProof/>
        </w:rPr>
        <w:drawing>
          <wp:anchor distT="0" distB="0" distL="114300" distR="114300" simplePos="0" relativeHeight="251675648" behindDoc="0" locked="0" layoutInCell="1" allowOverlap="1" wp14:anchorId="5B145AAB" wp14:editId="36E73F98">
            <wp:simplePos x="0" y="0"/>
            <wp:positionH relativeFrom="margin">
              <wp:align>right</wp:align>
            </wp:positionH>
            <wp:positionV relativeFrom="paragraph">
              <wp:posOffset>119380</wp:posOffset>
            </wp:positionV>
            <wp:extent cx="5934710" cy="2967355"/>
            <wp:effectExtent l="0" t="0" r="889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507">
        <w:t xml:space="preserve">Map </w:t>
      </w:r>
      <w:fldSimple w:instr=" SEQ Map \* ARABIC ">
        <w:r w:rsidR="0055251A">
          <w:rPr>
            <w:noProof/>
          </w:rPr>
          <w:t>16</w:t>
        </w:r>
      </w:fldSimple>
      <w:r w:rsidR="00D24507">
        <w:t xml:space="preserve"> Renter Vacancy Rates, 2018</w:t>
      </w:r>
    </w:p>
    <w:p w14:paraId="09D03BAB" w14:textId="77777777" w:rsidR="00D24507" w:rsidRDefault="00D24507" w:rsidP="00D24507">
      <w:pPr>
        <w:rPr>
          <w:sz w:val="16"/>
          <w:szCs w:val="16"/>
        </w:rPr>
      </w:pPr>
      <w:r>
        <w:rPr>
          <w:sz w:val="16"/>
          <w:szCs w:val="16"/>
        </w:rPr>
        <w:t>S</w:t>
      </w:r>
      <w:r w:rsidRPr="00104C93">
        <w:rPr>
          <w:sz w:val="16"/>
          <w:szCs w:val="16"/>
        </w:rPr>
        <w:t>ource: 2014-2018 American Community Survey:</w:t>
      </w:r>
      <w:r>
        <w:rPr>
          <w:sz w:val="16"/>
          <w:szCs w:val="16"/>
        </w:rPr>
        <w:t xml:space="preserve"> DP04</w:t>
      </w:r>
    </w:p>
    <w:p w14:paraId="148DBC75" w14:textId="77777777" w:rsidR="00D24507" w:rsidRDefault="00D24507" w:rsidP="00D24507">
      <w:pPr>
        <w:rPr>
          <w:sz w:val="16"/>
          <w:szCs w:val="16"/>
        </w:rPr>
      </w:pPr>
    </w:p>
    <w:p w14:paraId="1C8383DC" w14:textId="77777777" w:rsidR="00D24507" w:rsidRDefault="00D24507" w:rsidP="00D24507">
      <w:pPr>
        <w:pStyle w:val="Heading3"/>
        <w:jc w:val="both"/>
      </w:pPr>
      <w:bookmarkStart w:id="41" w:name="_Toc47639984"/>
      <w:bookmarkStart w:id="42" w:name="_Toc66807918"/>
      <w:r>
        <w:t>Housing Tenure</w:t>
      </w:r>
      <w:bookmarkEnd w:id="41"/>
      <w:bookmarkEnd w:id="42"/>
    </w:p>
    <w:p w14:paraId="7C6660F7" w14:textId="77777777" w:rsidR="00D24507" w:rsidRDefault="00D24507" w:rsidP="00D24507">
      <w:pPr>
        <w:spacing w:after="240"/>
        <w:jc w:val="both"/>
      </w:pPr>
      <w:r w:rsidRPr="002E3C5A">
        <w:t>The value in home ownership lies in the accumulation of wealth as the owner’s share of equity increases with the property’s value. Paying a monthly mortgage instead of rent is an investment in an asset that is likely to appreciate. According to one study, “a family that puts 5 percent down to buy a house will earn a 100 percent return on the investment every time the house appreciates 5 percent.”</w:t>
      </w:r>
      <w:r w:rsidRPr="002E3C5A">
        <w:rPr>
          <w:vertAlign w:val="superscript"/>
        </w:rPr>
        <w:footnoteReference w:id="4"/>
      </w:r>
    </w:p>
    <w:p w14:paraId="7EA2DFF5" w14:textId="2522DD16" w:rsidR="00D24507" w:rsidRDefault="00E00C78" w:rsidP="00D24507">
      <w:pPr>
        <w:spacing w:after="240"/>
      </w:pPr>
      <w:r>
        <w:t>The state’s h</w:t>
      </w:r>
      <w:r w:rsidR="00D24507">
        <w:t>omeownership rate</w:t>
      </w:r>
      <w:r w:rsidR="00CF4871">
        <w:t xml:space="preserve"> of</w:t>
      </w:r>
      <w:r w:rsidR="00D24507">
        <w:t xml:space="preserve"> 67.2%</w:t>
      </w:r>
      <w:r w:rsidR="00CF4871">
        <w:t xml:space="preserve"> has</w:t>
      </w:r>
      <w:r w:rsidR="00D24507">
        <w:t xml:space="preserve"> remained higher than </w:t>
      </w:r>
      <w:r w:rsidR="00CF4871">
        <w:t xml:space="preserve">the </w:t>
      </w:r>
      <w:r w:rsidR="00D24507">
        <w:t xml:space="preserve">renter rate in 2018 </w:t>
      </w:r>
      <w:r w:rsidR="00CF4871">
        <w:t>with</w:t>
      </w:r>
      <w:r w:rsidR="00D24507">
        <w:t xml:space="preserve"> a slight increase of 2.1 percentage points since 2010. There are, however, significant variations by race. Only White households have above-average homeownership rates (73.8% in 2018). While Asian households had below-average homeownership rates (60.1%), they are the only minority group to have more homeowners than renters. Both Black and Hispanic households showed lower homeownership rates than renter rates, at 48.5% and 44.3%, respectively. However, Black households are the only group to see an increase in homeownership between 2010 and 2018, growing by 3.5 percentage points. Geographically, densely populated areas tended to have lower homeownership rates.</w:t>
      </w:r>
    </w:p>
    <w:p w14:paraId="6F593A51" w14:textId="77777777" w:rsidR="0086333D" w:rsidRDefault="0086333D">
      <w:pPr>
        <w:spacing w:after="160" w:line="259" w:lineRule="auto"/>
        <w:rPr>
          <w:b/>
          <w:bCs/>
          <w:color w:val="404040" w:themeColor="text1" w:themeTint="BF"/>
          <w:sz w:val="16"/>
          <w:szCs w:val="16"/>
        </w:rPr>
      </w:pPr>
      <w:r>
        <w:br w:type="page"/>
      </w:r>
    </w:p>
    <w:p w14:paraId="4976C080" w14:textId="66B924C6" w:rsidR="00D24507" w:rsidRDefault="00D24507" w:rsidP="00D24507">
      <w:pPr>
        <w:pStyle w:val="Caption"/>
      </w:pPr>
      <w:r>
        <w:lastRenderedPageBreak/>
        <w:t xml:space="preserve">Figure </w:t>
      </w:r>
      <w:fldSimple w:instr=" SEQ Figure \* ARABIC ">
        <w:r w:rsidR="0055251A">
          <w:rPr>
            <w:noProof/>
          </w:rPr>
          <w:t>3</w:t>
        </w:r>
      </w:fldSimple>
      <w:r>
        <w:t xml:space="preserve"> Tenure by Race/Ethnicity in North Carolina, 2010-2018</w:t>
      </w:r>
    </w:p>
    <w:p w14:paraId="3F25CC95" w14:textId="77777777" w:rsidR="0086333D" w:rsidRDefault="0086333D" w:rsidP="00D24507">
      <w:pPr>
        <w:rPr>
          <w:sz w:val="16"/>
          <w:szCs w:val="16"/>
        </w:rPr>
      </w:pPr>
    </w:p>
    <w:p w14:paraId="613B11E4" w14:textId="68A80A14" w:rsidR="0086333D" w:rsidRDefault="00954FE3" w:rsidP="00D24507">
      <w:pPr>
        <w:rPr>
          <w:sz w:val="16"/>
          <w:szCs w:val="16"/>
        </w:rPr>
      </w:pPr>
      <w:r>
        <w:rPr>
          <w:noProof/>
          <w:sz w:val="16"/>
          <w:szCs w:val="16"/>
        </w:rPr>
        <w:drawing>
          <wp:inline distT="0" distB="0" distL="0" distR="0" wp14:anchorId="7494A47A" wp14:editId="3246FEC1">
            <wp:extent cx="5944235" cy="38468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6BC3CA23" w14:textId="28265296" w:rsidR="00D24507" w:rsidRDefault="00D24507" w:rsidP="00D24507">
      <w:pPr>
        <w:rPr>
          <w:sz w:val="16"/>
          <w:szCs w:val="16"/>
        </w:rPr>
      </w:pP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xml:space="preserve"> B25003</w:t>
      </w:r>
    </w:p>
    <w:p w14:paraId="512E802C" w14:textId="77777777" w:rsidR="00D24507" w:rsidRDefault="00D24507" w:rsidP="00D24507"/>
    <w:p w14:paraId="676FEE71" w14:textId="77777777" w:rsidR="0039740D" w:rsidRDefault="0039740D" w:rsidP="00D24507">
      <w:pPr>
        <w:pStyle w:val="Caption"/>
      </w:pPr>
    </w:p>
    <w:p w14:paraId="7FF801B4" w14:textId="1899C697" w:rsidR="00D24507" w:rsidRDefault="00D24507" w:rsidP="00D24507">
      <w:pPr>
        <w:pStyle w:val="Caption"/>
      </w:pPr>
      <w:r>
        <w:t xml:space="preserve">Map </w:t>
      </w:r>
      <w:fldSimple w:instr=" SEQ Map \* ARABIC ">
        <w:r w:rsidR="0055251A">
          <w:rPr>
            <w:noProof/>
          </w:rPr>
          <w:t>17</w:t>
        </w:r>
      </w:fldSimple>
      <w:r>
        <w:t xml:space="preserve"> Homeownership Rates, 2018</w:t>
      </w:r>
    </w:p>
    <w:p w14:paraId="686661E8" w14:textId="77777777" w:rsidR="00D24507" w:rsidRDefault="00D24507" w:rsidP="00D24507">
      <w:pPr>
        <w:rPr>
          <w:sz w:val="16"/>
          <w:szCs w:val="16"/>
        </w:rPr>
      </w:pPr>
      <w:r>
        <w:rPr>
          <w:noProof/>
        </w:rPr>
        <w:drawing>
          <wp:anchor distT="0" distB="0" distL="114300" distR="114300" simplePos="0" relativeHeight="251676672" behindDoc="0" locked="0" layoutInCell="1" allowOverlap="1" wp14:anchorId="26E55C88" wp14:editId="481B9736">
            <wp:simplePos x="0" y="0"/>
            <wp:positionH relativeFrom="column">
              <wp:posOffset>0</wp:posOffset>
            </wp:positionH>
            <wp:positionV relativeFrom="paragraph">
              <wp:posOffset>0</wp:posOffset>
            </wp:positionV>
            <wp:extent cx="5934710" cy="2967355"/>
            <wp:effectExtent l="0" t="0" r="889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EA0">
        <w:rPr>
          <w:sz w:val="16"/>
          <w:szCs w:val="16"/>
        </w:rPr>
        <w:t xml:space="preserve"> </w:t>
      </w:r>
      <w:r>
        <w:rPr>
          <w:sz w:val="16"/>
          <w:szCs w:val="16"/>
        </w:rPr>
        <w:t>S</w:t>
      </w:r>
      <w:r w:rsidRPr="00104C93">
        <w:rPr>
          <w:sz w:val="16"/>
          <w:szCs w:val="16"/>
        </w:rPr>
        <w:t>ource: 2014-2018 American Community Survey:</w:t>
      </w:r>
      <w:r>
        <w:rPr>
          <w:sz w:val="16"/>
          <w:szCs w:val="16"/>
        </w:rPr>
        <w:t xml:space="preserve"> B25003</w:t>
      </w:r>
    </w:p>
    <w:p w14:paraId="3AC6E383" w14:textId="77777777" w:rsidR="00D24507" w:rsidRPr="00B55EA0" w:rsidRDefault="00D24507" w:rsidP="00D24507">
      <w:r>
        <w:t xml:space="preserve"> </w:t>
      </w:r>
    </w:p>
    <w:p w14:paraId="7B12F772" w14:textId="77777777" w:rsidR="00D24507" w:rsidRDefault="00D24507" w:rsidP="00D24507">
      <w:pPr>
        <w:pStyle w:val="Heading3"/>
        <w:jc w:val="both"/>
      </w:pPr>
      <w:bookmarkStart w:id="43" w:name="_Toc47639985"/>
      <w:bookmarkStart w:id="44" w:name="_Toc66807919"/>
      <w:r>
        <w:lastRenderedPageBreak/>
        <w:t>Housing Affordability</w:t>
      </w:r>
      <w:bookmarkEnd w:id="43"/>
      <w:bookmarkEnd w:id="44"/>
    </w:p>
    <w:p w14:paraId="21ABCEF8" w14:textId="77777777" w:rsidR="00D24507" w:rsidRDefault="00D24507" w:rsidP="00D24507">
      <w:pPr>
        <w:spacing w:after="240"/>
        <w:jc w:val="both"/>
      </w:pPr>
      <w:r w:rsidRPr="002E3C5A">
        <w:t>Increasing housing costs are not a direct form of housing discrimination. However, a lack of affordable housing does constrain housing choice. Residents may be limited to a smaller selection of neighborhoods or communities because of a lack of affordable housing in</w:t>
      </w:r>
      <w:r>
        <w:t xml:space="preserve"> other </w:t>
      </w:r>
      <w:r w:rsidRPr="002E3C5A">
        <w:t>areas.</w:t>
      </w:r>
      <w:r>
        <w:t xml:space="preserve"> </w:t>
      </w:r>
    </w:p>
    <w:p w14:paraId="572FD1FD" w14:textId="59ED3F91" w:rsidR="00D24507" w:rsidRDefault="00D24507" w:rsidP="00D24507">
      <w:pPr>
        <w:spacing w:after="240"/>
        <w:jc w:val="both"/>
      </w:pPr>
      <w:r>
        <w:t>H</w:t>
      </w:r>
      <w:r w:rsidRPr="009C09E3">
        <w:t>ome values are often used as a proxy for other non-market goods affecting quality of life, such as accessibility to public transit and green space, growth potential in terms of population and development, quality of schools, and more.</w:t>
      </w:r>
      <w:r>
        <w:t xml:space="preserve"> The 2018 </w:t>
      </w:r>
      <w:r w:rsidR="007F42FD">
        <w:t xml:space="preserve">North Carolina </w:t>
      </w:r>
      <w:r>
        <w:t xml:space="preserve">median home value was $165,900, which is 19.0% less than the national home value of $204,900. Additionally, home values declined by 3.4% after adjusting for inflation. While </w:t>
      </w:r>
      <w:r w:rsidR="004C57DF">
        <w:t xml:space="preserve">state </w:t>
      </w:r>
      <w:r>
        <w:t xml:space="preserve">rent </w:t>
      </w:r>
      <w:r w:rsidR="002B6EF4">
        <w:t>rates were</w:t>
      </w:r>
      <w:r>
        <w:t xml:space="preserve"> lower than </w:t>
      </w:r>
      <w:r w:rsidR="004C57DF">
        <w:t>the US rate</w:t>
      </w:r>
      <w:r>
        <w:t xml:space="preserve"> in 2018, </w:t>
      </w:r>
      <w:r w:rsidR="00DA2D88">
        <w:t>both median gross rent (rent plus utilities) and median contract rent (rent only)</w:t>
      </w:r>
      <w:r>
        <w:t xml:space="preserve"> increased since 2010. This could be indicative of an increased demand for renter-occupied units compared to owner-occupied units. The largest increases in housing costs for both owner- and renter-occupied units tended to occur in and around major metropolitan areas including Ashville, Charlotte-Concord-Gastonia, Raleigh-Durham-Cary, Wilmington, and Greenville.</w:t>
      </w:r>
    </w:p>
    <w:p w14:paraId="6097C534" w14:textId="40EEE804" w:rsidR="00D24507" w:rsidRDefault="00D24507" w:rsidP="00D24507">
      <w:pPr>
        <w:pStyle w:val="Caption"/>
      </w:pPr>
      <w:r>
        <w:t xml:space="preserve">Table </w:t>
      </w:r>
      <w:fldSimple w:instr=" SEQ Table \* ARABIC ">
        <w:r w:rsidR="0055251A">
          <w:rPr>
            <w:noProof/>
          </w:rPr>
          <w:t>18</w:t>
        </w:r>
      </w:fldSimple>
      <w:r>
        <w:t xml:space="preserve"> </w:t>
      </w:r>
      <w:r w:rsidRPr="00A60421">
        <w:t>Housing Values, 2018 (adj</w:t>
      </w:r>
      <w:r>
        <w:t>usted to 2018 dollars)</w:t>
      </w:r>
    </w:p>
    <w:tbl>
      <w:tblPr>
        <w:tblW w:w="9375" w:type="dxa"/>
        <w:tblLook w:val="04A0" w:firstRow="1" w:lastRow="0" w:firstColumn="1" w:lastColumn="0" w:noHBand="0" w:noVBand="1"/>
      </w:tblPr>
      <w:tblGrid>
        <w:gridCol w:w="3245"/>
        <w:gridCol w:w="2279"/>
        <w:gridCol w:w="2023"/>
        <w:gridCol w:w="1828"/>
      </w:tblGrid>
      <w:tr w:rsidR="00D24507" w:rsidRPr="00A60421" w14:paraId="4724F036" w14:textId="77777777" w:rsidTr="006C2106">
        <w:trPr>
          <w:trHeight w:hRule="exact" w:val="272"/>
        </w:trPr>
        <w:tc>
          <w:tcPr>
            <w:tcW w:w="3245"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975441E" w14:textId="77777777" w:rsidR="00D24507" w:rsidRPr="00A60421" w:rsidRDefault="00D24507" w:rsidP="006C2106">
            <w:pPr>
              <w:rPr>
                <w:rFonts w:ascii="Calibri" w:hAnsi="Calibri" w:cs="Calibri"/>
                <w:b/>
                <w:bCs/>
                <w:color w:val="FFFFFF"/>
                <w:sz w:val="22"/>
                <w:szCs w:val="22"/>
              </w:rPr>
            </w:pPr>
            <w:r w:rsidRPr="00A60421">
              <w:rPr>
                <w:rFonts w:ascii="Calibri" w:hAnsi="Calibri" w:cs="Calibri"/>
                <w:b/>
                <w:bCs/>
                <w:color w:val="FFFFFF"/>
                <w:sz w:val="22"/>
                <w:szCs w:val="22"/>
              </w:rPr>
              <w:t> </w:t>
            </w:r>
          </w:p>
        </w:tc>
        <w:tc>
          <w:tcPr>
            <w:tcW w:w="2279" w:type="dxa"/>
            <w:tcBorders>
              <w:top w:val="single" w:sz="4" w:space="0" w:color="auto"/>
              <w:left w:val="nil"/>
              <w:bottom w:val="single" w:sz="4" w:space="0" w:color="auto"/>
              <w:right w:val="single" w:sz="4" w:space="0" w:color="auto"/>
            </w:tcBorders>
            <w:shd w:val="clear" w:color="000000" w:fill="4472C4"/>
            <w:noWrap/>
            <w:vAlign w:val="bottom"/>
            <w:hideMark/>
          </w:tcPr>
          <w:p w14:paraId="62C2FFC6" w14:textId="77777777" w:rsidR="00D24507" w:rsidRPr="00A60421" w:rsidRDefault="00D24507" w:rsidP="006C2106">
            <w:pPr>
              <w:jc w:val="center"/>
              <w:rPr>
                <w:rFonts w:ascii="Calibri" w:hAnsi="Calibri" w:cs="Calibri"/>
                <w:b/>
                <w:bCs/>
                <w:color w:val="FFFFFF"/>
                <w:sz w:val="22"/>
                <w:szCs w:val="22"/>
              </w:rPr>
            </w:pPr>
            <w:r w:rsidRPr="00A60421">
              <w:rPr>
                <w:rFonts w:ascii="Calibri" w:hAnsi="Calibri" w:cs="Calibri"/>
                <w:b/>
                <w:bCs/>
                <w:color w:val="FFFFFF"/>
                <w:sz w:val="22"/>
                <w:szCs w:val="22"/>
              </w:rPr>
              <w:t>2010</w:t>
            </w:r>
          </w:p>
        </w:tc>
        <w:tc>
          <w:tcPr>
            <w:tcW w:w="2023" w:type="dxa"/>
            <w:tcBorders>
              <w:top w:val="single" w:sz="4" w:space="0" w:color="auto"/>
              <w:left w:val="nil"/>
              <w:bottom w:val="single" w:sz="4" w:space="0" w:color="auto"/>
              <w:right w:val="single" w:sz="4" w:space="0" w:color="auto"/>
            </w:tcBorders>
            <w:shd w:val="clear" w:color="000000" w:fill="4472C4"/>
            <w:noWrap/>
            <w:vAlign w:val="bottom"/>
            <w:hideMark/>
          </w:tcPr>
          <w:p w14:paraId="6DDB36B4" w14:textId="77777777" w:rsidR="00D24507" w:rsidRPr="00A60421" w:rsidRDefault="00D24507" w:rsidP="006C2106">
            <w:pPr>
              <w:jc w:val="center"/>
              <w:rPr>
                <w:rFonts w:ascii="Calibri" w:hAnsi="Calibri" w:cs="Calibri"/>
                <w:b/>
                <w:bCs/>
                <w:color w:val="FFFFFF"/>
                <w:sz w:val="22"/>
                <w:szCs w:val="22"/>
              </w:rPr>
            </w:pPr>
            <w:r w:rsidRPr="00A60421">
              <w:rPr>
                <w:rFonts w:ascii="Calibri" w:hAnsi="Calibri" w:cs="Calibri"/>
                <w:b/>
                <w:bCs/>
                <w:color w:val="FFFFFF"/>
                <w:sz w:val="22"/>
                <w:szCs w:val="22"/>
              </w:rPr>
              <w:t>2018</w:t>
            </w:r>
          </w:p>
        </w:tc>
        <w:tc>
          <w:tcPr>
            <w:tcW w:w="1828" w:type="dxa"/>
            <w:tcBorders>
              <w:top w:val="single" w:sz="4" w:space="0" w:color="auto"/>
              <w:left w:val="nil"/>
              <w:bottom w:val="single" w:sz="4" w:space="0" w:color="auto"/>
              <w:right w:val="single" w:sz="4" w:space="0" w:color="auto"/>
            </w:tcBorders>
            <w:shd w:val="clear" w:color="000000" w:fill="4472C4"/>
            <w:noWrap/>
            <w:vAlign w:val="bottom"/>
            <w:hideMark/>
          </w:tcPr>
          <w:p w14:paraId="0DCE8730" w14:textId="77777777" w:rsidR="00D24507" w:rsidRPr="00A60421" w:rsidRDefault="00D24507" w:rsidP="006C2106">
            <w:pPr>
              <w:jc w:val="center"/>
              <w:rPr>
                <w:rFonts w:ascii="Calibri" w:hAnsi="Calibri" w:cs="Calibri"/>
                <w:b/>
                <w:bCs/>
                <w:color w:val="FFFFFF"/>
                <w:sz w:val="22"/>
                <w:szCs w:val="22"/>
              </w:rPr>
            </w:pPr>
            <w:r w:rsidRPr="00A60421">
              <w:rPr>
                <w:rFonts w:ascii="Calibri" w:hAnsi="Calibri" w:cs="Calibri"/>
                <w:b/>
                <w:bCs/>
                <w:color w:val="FFFFFF"/>
                <w:sz w:val="22"/>
                <w:szCs w:val="22"/>
              </w:rPr>
              <w:t>% Change</w:t>
            </w:r>
          </w:p>
        </w:tc>
      </w:tr>
      <w:tr w:rsidR="00D24507" w:rsidRPr="00A60421" w14:paraId="65A95E27" w14:textId="77777777" w:rsidTr="006C2106">
        <w:trPr>
          <w:trHeight w:val="272"/>
        </w:trPr>
        <w:tc>
          <w:tcPr>
            <w:tcW w:w="3245" w:type="dxa"/>
            <w:tcBorders>
              <w:top w:val="nil"/>
              <w:left w:val="single" w:sz="4" w:space="0" w:color="auto"/>
              <w:bottom w:val="single" w:sz="4" w:space="0" w:color="auto"/>
              <w:right w:val="single" w:sz="4" w:space="0" w:color="auto"/>
            </w:tcBorders>
            <w:shd w:val="clear" w:color="auto" w:fill="auto"/>
            <w:noWrap/>
            <w:vAlign w:val="bottom"/>
            <w:hideMark/>
          </w:tcPr>
          <w:p w14:paraId="6F203529" w14:textId="77777777" w:rsidR="00D24507" w:rsidRPr="00A60421" w:rsidRDefault="00D24507" w:rsidP="006C2106">
            <w:pPr>
              <w:rPr>
                <w:rFonts w:ascii="Calibri" w:hAnsi="Calibri" w:cs="Calibri"/>
                <w:color w:val="000000"/>
                <w:sz w:val="22"/>
                <w:szCs w:val="22"/>
              </w:rPr>
            </w:pPr>
            <w:r w:rsidRPr="00A60421">
              <w:rPr>
                <w:rFonts w:ascii="Calibri" w:hAnsi="Calibri" w:cs="Calibri"/>
                <w:color w:val="000000"/>
                <w:sz w:val="22"/>
                <w:szCs w:val="22"/>
              </w:rPr>
              <w:t>Median Home Value</w:t>
            </w:r>
          </w:p>
        </w:tc>
        <w:tc>
          <w:tcPr>
            <w:tcW w:w="2279" w:type="dxa"/>
            <w:tcBorders>
              <w:top w:val="nil"/>
              <w:left w:val="nil"/>
              <w:bottom w:val="single" w:sz="4" w:space="0" w:color="auto"/>
              <w:right w:val="single" w:sz="4" w:space="0" w:color="auto"/>
            </w:tcBorders>
            <w:shd w:val="clear" w:color="auto" w:fill="auto"/>
            <w:noWrap/>
            <w:vAlign w:val="bottom"/>
            <w:hideMark/>
          </w:tcPr>
          <w:p w14:paraId="41A4552A" w14:textId="77777777" w:rsidR="00D24507" w:rsidRPr="00A60421" w:rsidRDefault="00D24507" w:rsidP="006C2106">
            <w:pPr>
              <w:jc w:val="right"/>
              <w:rPr>
                <w:rFonts w:ascii="Calibri" w:hAnsi="Calibri" w:cs="Calibri"/>
                <w:color w:val="000000"/>
                <w:sz w:val="22"/>
                <w:szCs w:val="22"/>
              </w:rPr>
            </w:pPr>
            <w:r w:rsidRPr="00A60421">
              <w:rPr>
                <w:rFonts w:ascii="Calibri" w:hAnsi="Calibri" w:cs="Calibri"/>
                <w:color w:val="000000"/>
                <w:sz w:val="22"/>
                <w:szCs w:val="22"/>
              </w:rPr>
              <w:t xml:space="preserve"> $                 171,660 </w:t>
            </w:r>
          </w:p>
        </w:tc>
        <w:tc>
          <w:tcPr>
            <w:tcW w:w="2023" w:type="dxa"/>
            <w:tcBorders>
              <w:top w:val="nil"/>
              <w:left w:val="nil"/>
              <w:bottom w:val="single" w:sz="4" w:space="0" w:color="auto"/>
              <w:right w:val="single" w:sz="4" w:space="0" w:color="auto"/>
            </w:tcBorders>
            <w:shd w:val="clear" w:color="auto" w:fill="auto"/>
            <w:noWrap/>
            <w:vAlign w:val="bottom"/>
            <w:hideMark/>
          </w:tcPr>
          <w:p w14:paraId="5863FC0E" w14:textId="77777777" w:rsidR="00D24507" w:rsidRPr="00A60421" w:rsidRDefault="00D24507" w:rsidP="006C2106">
            <w:pPr>
              <w:jc w:val="right"/>
              <w:rPr>
                <w:rFonts w:ascii="Calibri" w:hAnsi="Calibri" w:cs="Calibri"/>
                <w:color w:val="000000"/>
                <w:sz w:val="22"/>
                <w:szCs w:val="22"/>
              </w:rPr>
            </w:pPr>
            <w:r w:rsidRPr="00A60421">
              <w:rPr>
                <w:rFonts w:ascii="Calibri" w:hAnsi="Calibri" w:cs="Calibri"/>
                <w:color w:val="000000"/>
                <w:sz w:val="22"/>
                <w:szCs w:val="22"/>
              </w:rPr>
              <w:t xml:space="preserve"> $            165,900 </w:t>
            </w:r>
          </w:p>
        </w:tc>
        <w:tc>
          <w:tcPr>
            <w:tcW w:w="1828" w:type="dxa"/>
            <w:tcBorders>
              <w:top w:val="nil"/>
              <w:left w:val="nil"/>
              <w:bottom w:val="single" w:sz="4" w:space="0" w:color="auto"/>
              <w:right w:val="single" w:sz="4" w:space="0" w:color="auto"/>
            </w:tcBorders>
            <w:shd w:val="clear" w:color="auto" w:fill="auto"/>
            <w:noWrap/>
            <w:vAlign w:val="bottom"/>
            <w:hideMark/>
          </w:tcPr>
          <w:p w14:paraId="0EC99016" w14:textId="77777777" w:rsidR="00D24507" w:rsidRPr="00A60421" w:rsidRDefault="00D24507" w:rsidP="002229BC">
            <w:pPr>
              <w:jc w:val="center"/>
              <w:rPr>
                <w:rFonts w:ascii="Calibri" w:hAnsi="Calibri" w:cs="Calibri"/>
                <w:color w:val="000000"/>
                <w:sz w:val="22"/>
                <w:szCs w:val="22"/>
              </w:rPr>
            </w:pPr>
            <w:r w:rsidRPr="00A60421">
              <w:rPr>
                <w:rFonts w:ascii="Calibri" w:hAnsi="Calibri" w:cs="Calibri"/>
                <w:color w:val="000000"/>
                <w:sz w:val="22"/>
                <w:szCs w:val="22"/>
              </w:rPr>
              <w:t>-3.4%</w:t>
            </w:r>
          </w:p>
        </w:tc>
      </w:tr>
      <w:tr w:rsidR="00D24507" w:rsidRPr="00A60421" w14:paraId="3B51E0C3" w14:textId="77777777" w:rsidTr="006C2106">
        <w:trPr>
          <w:trHeight w:val="272"/>
        </w:trPr>
        <w:tc>
          <w:tcPr>
            <w:tcW w:w="3245" w:type="dxa"/>
            <w:tcBorders>
              <w:top w:val="nil"/>
              <w:left w:val="single" w:sz="4" w:space="0" w:color="auto"/>
              <w:bottom w:val="single" w:sz="4" w:space="0" w:color="auto"/>
              <w:right w:val="single" w:sz="4" w:space="0" w:color="auto"/>
            </w:tcBorders>
            <w:shd w:val="clear" w:color="auto" w:fill="auto"/>
            <w:noWrap/>
            <w:vAlign w:val="bottom"/>
            <w:hideMark/>
          </w:tcPr>
          <w:p w14:paraId="2D8DE6EB" w14:textId="77777777" w:rsidR="00D24507" w:rsidRPr="00A60421" w:rsidRDefault="00D24507" w:rsidP="006C2106">
            <w:pPr>
              <w:rPr>
                <w:rFonts w:ascii="Calibri" w:hAnsi="Calibri" w:cs="Calibri"/>
                <w:color w:val="000000"/>
                <w:sz w:val="22"/>
                <w:szCs w:val="22"/>
              </w:rPr>
            </w:pPr>
            <w:r w:rsidRPr="00A60421">
              <w:rPr>
                <w:rFonts w:ascii="Calibri" w:hAnsi="Calibri" w:cs="Calibri"/>
                <w:color w:val="000000"/>
                <w:sz w:val="22"/>
                <w:szCs w:val="22"/>
              </w:rPr>
              <w:t>Median Gross Rent</w:t>
            </w:r>
          </w:p>
        </w:tc>
        <w:tc>
          <w:tcPr>
            <w:tcW w:w="2279" w:type="dxa"/>
            <w:tcBorders>
              <w:top w:val="nil"/>
              <w:left w:val="nil"/>
              <w:bottom w:val="single" w:sz="4" w:space="0" w:color="auto"/>
              <w:right w:val="single" w:sz="4" w:space="0" w:color="auto"/>
            </w:tcBorders>
            <w:shd w:val="clear" w:color="auto" w:fill="auto"/>
            <w:noWrap/>
            <w:vAlign w:val="bottom"/>
            <w:hideMark/>
          </w:tcPr>
          <w:p w14:paraId="37E09CAA" w14:textId="77777777" w:rsidR="00D24507" w:rsidRPr="00A60421" w:rsidRDefault="00D24507" w:rsidP="006C2106">
            <w:pPr>
              <w:jc w:val="right"/>
              <w:rPr>
                <w:rFonts w:ascii="Calibri" w:hAnsi="Calibri" w:cs="Calibri"/>
                <w:color w:val="000000"/>
                <w:sz w:val="22"/>
                <w:szCs w:val="22"/>
              </w:rPr>
            </w:pPr>
            <w:r w:rsidRPr="00A60421">
              <w:rPr>
                <w:rFonts w:ascii="Calibri" w:hAnsi="Calibri" w:cs="Calibri"/>
                <w:color w:val="000000"/>
                <w:sz w:val="22"/>
                <w:szCs w:val="22"/>
              </w:rPr>
              <w:t xml:space="preserve"> $                         827 </w:t>
            </w:r>
          </w:p>
        </w:tc>
        <w:tc>
          <w:tcPr>
            <w:tcW w:w="2023" w:type="dxa"/>
            <w:tcBorders>
              <w:top w:val="nil"/>
              <w:left w:val="nil"/>
              <w:bottom w:val="single" w:sz="4" w:space="0" w:color="auto"/>
              <w:right w:val="single" w:sz="4" w:space="0" w:color="auto"/>
            </w:tcBorders>
            <w:shd w:val="clear" w:color="auto" w:fill="auto"/>
            <w:noWrap/>
            <w:vAlign w:val="bottom"/>
            <w:hideMark/>
          </w:tcPr>
          <w:p w14:paraId="3EE6F0B0" w14:textId="77777777" w:rsidR="00D24507" w:rsidRPr="00A60421" w:rsidRDefault="00D24507" w:rsidP="006C2106">
            <w:pPr>
              <w:jc w:val="right"/>
              <w:rPr>
                <w:rFonts w:ascii="Calibri" w:hAnsi="Calibri" w:cs="Calibri"/>
                <w:color w:val="000000"/>
                <w:sz w:val="22"/>
                <w:szCs w:val="22"/>
              </w:rPr>
            </w:pPr>
            <w:r w:rsidRPr="00A60421">
              <w:rPr>
                <w:rFonts w:ascii="Calibri" w:hAnsi="Calibri" w:cs="Calibri"/>
                <w:color w:val="000000"/>
                <w:sz w:val="22"/>
                <w:szCs w:val="22"/>
              </w:rPr>
              <w:t xml:space="preserve"> $                     877 </w:t>
            </w:r>
          </w:p>
        </w:tc>
        <w:tc>
          <w:tcPr>
            <w:tcW w:w="1828" w:type="dxa"/>
            <w:tcBorders>
              <w:top w:val="nil"/>
              <w:left w:val="nil"/>
              <w:bottom w:val="single" w:sz="4" w:space="0" w:color="auto"/>
              <w:right w:val="single" w:sz="4" w:space="0" w:color="auto"/>
            </w:tcBorders>
            <w:shd w:val="clear" w:color="auto" w:fill="auto"/>
            <w:noWrap/>
            <w:vAlign w:val="bottom"/>
            <w:hideMark/>
          </w:tcPr>
          <w:p w14:paraId="3CAC5BFE" w14:textId="77777777" w:rsidR="00D24507" w:rsidRPr="00A60421" w:rsidRDefault="00D24507" w:rsidP="002229BC">
            <w:pPr>
              <w:jc w:val="center"/>
              <w:rPr>
                <w:rFonts w:ascii="Calibri" w:hAnsi="Calibri" w:cs="Calibri"/>
                <w:color w:val="000000"/>
                <w:sz w:val="22"/>
                <w:szCs w:val="22"/>
              </w:rPr>
            </w:pPr>
            <w:r w:rsidRPr="00A60421">
              <w:rPr>
                <w:rFonts w:ascii="Calibri" w:hAnsi="Calibri" w:cs="Calibri"/>
                <w:color w:val="000000"/>
                <w:sz w:val="22"/>
                <w:szCs w:val="22"/>
              </w:rPr>
              <w:t>6.1%</w:t>
            </w:r>
          </w:p>
        </w:tc>
      </w:tr>
      <w:tr w:rsidR="00D24507" w:rsidRPr="00A60421" w14:paraId="4013F042" w14:textId="77777777" w:rsidTr="006C2106">
        <w:trPr>
          <w:trHeight w:val="272"/>
        </w:trPr>
        <w:tc>
          <w:tcPr>
            <w:tcW w:w="3245" w:type="dxa"/>
            <w:tcBorders>
              <w:top w:val="nil"/>
              <w:left w:val="single" w:sz="4" w:space="0" w:color="auto"/>
              <w:bottom w:val="single" w:sz="4" w:space="0" w:color="auto"/>
              <w:right w:val="single" w:sz="4" w:space="0" w:color="auto"/>
            </w:tcBorders>
            <w:shd w:val="clear" w:color="auto" w:fill="auto"/>
            <w:noWrap/>
            <w:vAlign w:val="bottom"/>
            <w:hideMark/>
          </w:tcPr>
          <w:p w14:paraId="4F28693D" w14:textId="77777777" w:rsidR="00D24507" w:rsidRPr="00A60421" w:rsidRDefault="00D24507" w:rsidP="006C2106">
            <w:pPr>
              <w:rPr>
                <w:rFonts w:ascii="Calibri" w:hAnsi="Calibri" w:cs="Calibri"/>
                <w:color w:val="000000"/>
                <w:sz w:val="22"/>
                <w:szCs w:val="22"/>
              </w:rPr>
            </w:pPr>
            <w:r w:rsidRPr="00A60421">
              <w:rPr>
                <w:rFonts w:ascii="Calibri" w:hAnsi="Calibri" w:cs="Calibri"/>
                <w:color w:val="000000"/>
                <w:sz w:val="22"/>
                <w:szCs w:val="22"/>
              </w:rPr>
              <w:t>Median Contract Rent</w:t>
            </w:r>
          </w:p>
        </w:tc>
        <w:tc>
          <w:tcPr>
            <w:tcW w:w="2279" w:type="dxa"/>
            <w:tcBorders>
              <w:top w:val="nil"/>
              <w:left w:val="nil"/>
              <w:bottom w:val="single" w:sz="4" w:space="0" w:color="auto"/>
              <w:right w:val="single" w:sz="4" w:space="0" w:color="auto"/>
            </w:tcBorders>
            <w:shd w:val="clear" w:color="auto" w:fill="auto"/>
            <w:noWrap/>
            <w:vAlign w:val="bottom"/>
            <w:hideMark/>
          </w:tcPr>
          <w:p w14:paraId="5C5A1F2D" w14:textId="77777777" w:rsidR="00D24507" w:rsidRPr="00A60421" w:rsidRDefault="00D24507" w:rsidP="006C2106">
            <w:pPr>
              <w:jc w:val="right"/>
              <w:rPr>
                <w:rFonts w:ascii="Calibri" w:hAnsi="Calibri" w:cs="Calibri"/>
                <w:color w:val="000000"/>
                <w:sz w:val="22"/>
                <w:szCs w:val="22"/>
              </w:rPr>
            </w:pPr>
            <w:r w:rsidRPr="00A60421">
              <w:rPr>
                <w:rFonts w:ascii="Calibri" w:hAnsi="Calibri" w:cs="Calibri"/>
                <w:color w:val="000000"/>
                <w:sz w:val="22"/>
                <w:szCs w:val="22"/>
              </w:rPr>
              <w:t xml:space="preserve"> $                         641 </w:t>
            </w:r>
          </w:p>
        </w:tc>
        <w:tc>
          <w:tcPr>
            <w:tcW w:w="2023" w:type="dxa"/>
            <w:tcBorders>
              <w:top w:val="nil"/>
              <w:left w:val="nil"/>
              <w:bottom w:val="single" w:sz="4" w:space="0" w:color="auto"/>
              <w:right w:val="single" w:sz="4" w:space="0" w:color="auto"/>
            </w:tcBorders>
            <w:shd w:val="clear" w:color="auto" w:fill="auto"/>
            <w:noWrap/>
            <w:vAlign w:val="bottom"/>
            <w:hideMark/>
          </w:tcPr>
          <w:p w14:paraId="086AEF45" w14:textId="77777777" w:rsidR="00D24507" w:rsidRPr="00A60421" w:rsidRDefault="00D24507" w:rsidP="006C2106">
            <w:pPr>
              <w:jc w:val="right"/>
              <w:rPr>
                <w:rFonts w:ascii="Calibri" w:hAnsi="Calibri" w:cs="Calibri"/>
                <w:color w:val="000000"/>
                <w:sz w:val="22"/>
                <w:szCs w:val="22"/>
              </w:rPr>
            </w:pPr>
            <w:r w:rsidRPr="00A60421">
              <w:rPr>
                <w:rFonts w:ascii="Calibri" w:hAnsi="Calibri" w:cs="Calibri"/>
                <w:color w:val="000000"/>
                <w:sz w:val="22"/>
                <w:szCs w:val="22"/>
              </w:rPr>
              <w:t xml:space="preserve"> $                     687 </w:t>
            </w:r>
          </w:p>
        </w:tc>
        <w:tc>
          <w:tcPr>
            <w:tcW w:w="1828" w:type="dxa"/>
            <w:tcBorders>
              <w:top w:val="nil"/>
              <w:left w:val="nil"/>
              <w:bottom w:val="single" w:sz="4" w:space="0" w:color="auto"/>
              <w:right w:val="single" w:sz="4" w:space="0" w:color="auto"/>
            </w:tcBorders>
            <w:shd w:val="clear" w:color="auto" w:fill="auto"/>
            <w:noWrap/>
            <w:vAlign w:val="bottom"/>
            <w:hideMark/>
          </w:tcPr>
          <w:p w14:paraId="0969EF74" w14:textId="77777777" w:rsidR="00D24507" w:rsidRPr="00A60421" w:rsidRDefault="00D24507" w:rsidP="002229BC">
            <w:pPr>
              <w:jc w:val="center"/>
              <w:rPr>
                <w:rFonts w:ascii="Calibri" w:hAnsi="Calibri" w:cs="Calibri"/>
                <w:color w:val="000000"/>
                <w:sz w:val="22"/>
                <w:szCs w:val="22"/>
              </w:rPr>
            </w:pPr>
            <w:r w:rsidRPr="00A60421">
              <w:rPr>
                <w:rFonts w:ascii="Calibri" w:hAnsi="Calibri" w:cs="Calibri"/>
                <w:color w:val="000000"/>
                <w:sz w:val="22"/>
                <w:szCs w:val="22"/>
              </w:rPr>
              <w:t>7.1%</w:t>
            </w:r>
          </w:p>
        </w:tc>
      </w:tr>
    </w:tbl>
    <w:p w14:paraId="57F4F9E1" w14:textId="77777777" w:rsidR="00D24507" w:rsidRDefault="00D24507" w:rsidP="00D24507">
      <w:pPr>
        <w:rPr>
          <w:sz w:val="16"/>
          <w:szCs w:val="16"/>
        </w:rPr>
      </w:pP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xml:space="preserve"> B25058, B25064, B25077</w:t>
      </w:r>
    </w:p>
    <w:p w14:paraId="6C2307C6" w14:textId="77777777" w:rsidR="00D24507" w:rsidRPr="00A60421" w:rsidRDefault="00D24507" w:rsidP="00D24507"/>
    <w:p w14:paraId="16EE2B5F" w14:textId="3F709EEC" w:rsidR="00D24507" w:rsidRDefault="00D24507" w:rsidP="00D24507">
      <w:pPr>
        <w:pStyle w:val="Caption"/>
      </w:pPr>
      <w:r>
        <w:rPr>
          <w:noProof/>
        </w:rPr>
        <w:drawing>
          <wp:anchor distT="0" distB="0" distL="114300" distR="114300" simplePos="0" relativeHeight="251677696" behindDoc="0" locked="0" layoutInCell="1" allowOverlap="1" wp14:anchorId="6584C93B" wp14:editId="3228DBBD">
            <wp:simplePos x="0" y="0"/>
            <wp:positionH relativeFrom="margin">
              <wp:align>right</wp:align>
            </wp:positionH>
            <wp:positionV relativeFrom="paragraph">
              <wp:posOffset>142875</wp:posOffset>
            </wp:positionV>
            <wp:extent cx="5934710" cy="2967355"/>
            <wp:effectExtent l="0" t="0" r="8890"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18</w:t>
        </w:r>
      </w:fldSimple>
      <w:r>
        <w:t xml:space="preserve"> Change in Median Housing Value, 2010-2018</w:t>
      </w:r>
    </w:p>
    <w:p w14:paraId="4A02997A" w14:textId="77777777" w:rsidR="00D24507" w:rsidRDefault="00D24507" w:rsidP="00D24507">
      <w:pPr>
        <w:rPr>
          <w:sz w:val="16"/>
          <w:szCs w:val="16"/>
        </w:rPr>
      </w:pP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xml:space="preserve"> B25077</w:t>
      </w:r>
    </w:p>
    <w:p w14:paraId="60C6BF7A" w14:textId="77777777" w:rsidR="00D24507" w:rsidRDefault="00D24507" w:rsidP="00D24507">
      <w:pPr>
        <w:rPr>
          <w:highlight w:val="cyan"/>
        </w:rPr>
      </w:pPr>
    </w:p>
    <w:p w14:paraId="43AC8336" w14:textId="77777777" w:rsidR="00D24507" w:rsidRDefault="00D24507" w:rsidP="00D24507">
      <w:pPr>
        <w:spacing w:after="160" w:line="276" w:lineRule="auto"/>
        <w:rPr>
          <w:b/>
          <w:bCs/>
          <w:color w:val="404040" w:themeColor="text1" w:themeTint="BF"/>
          <w:sz w:val="16"/>
          <w:szCs w:val="16"/>
        </w:rPr>
      </w:pPr>
      <w:r>
        <w:br w:type="page"/>
      </w:r>
    </w:p>
    <w:p w14:paraId="4C328AEE" w14:textId="37D0818F" w:rsidR="00D24507" w:rsidRDefault="00D24507" w:rsidP="00D24507">
      <w:pPr>
        <w:pStyle w:val="Caption"/>
      </w:pPr>
      <w:r>
        <w:rPr>
          <w:noProof/>
        </w:rPr>
        <w:lastRenderedPageBreak/>
        <w:drawing>
          <wp:anchor distT="0" distB="0" distL="114300" distR="114300" simplePos="0" relativeHeight="251678720" behindDoc="0" locked="0" layoutInCell="1" allowOverlap="1" wp14:anchorId="6482AC70" wp14:editId="041E292C">
            <wp:simplePos x="0" y="0"/>
            <wp:positionH relativeFrom="margin">
              <wp:align>right</wp:align>
            </wp:positionH>
            <wp:positionV relativeFrom="paragraph">
              <wp:posOffset>157480</wp:posOffset>
            </wp:positionV>
            <wp:extent cx="5934710" cy="2967355"/>
            <wp:effectExtent l="0" t="0" r="8890"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19</w:t>
        </w:r>
      </w:fldSimple>
      <w:r>
        <w:t xml:space="preserve"> Change in Median Gross Rent, 2010-2018</w:t>
      </w:r>
    </w:p>
    <w:p w14:paraId="4A089DE8" w14:textId="77777777" w:rsidR="00D24507" w:rsidRDefault="00D24507" w:rsidP="00D24507">
      <w:pPr>
        <w:rPr>
          <w:sz w:val="16"/>
          <w:szCs w:val="16"/>
        </w:rPr>
      </w:pP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xml:space="preserve"> B25064</w:t>
      </w:r>
    </w:p>
    <w:p w14:paraId="479EB821" w14:textId="77777777" w:rsidR="00D24507" w:rsidRPr="00ED621D" w:rsidRDefault="00D24507" w:rsidP="00D24507">
      <w:pPr>
        <w:rPr>
          <w:highlight w:val="cyan"/>
        </w:rPr>
      </w:pPr>
    </w:p>
    <w:p w14:paraId="2F0AA494" w14:textId="77777777" w:rsidR="00D24507" w:rsidRDefault="00D24507" w:rsidP="00D24507">
      <w:pPr>
        <w:pStyle w:val="Heading3"/>
        <w:jc w:val="both"/>
      </w:pPr>
      <w:bookmarkStart w:id="45" w:name="_Toc47639986"/>
      <w:bookmarkStart w:id="46" w:name="_Toc66807920"/>
      <w:r>
        <w:t>Cost Burden</w:t>
      </w:r>
      <w:bookmarkEnd w:id="45"/>
      <w:bookmarkEnd w:id="46"/>
    </w:p>
    <w:p w14:paraId="46588C65" w14:textId="77777777" w:rsidR="00D24507" w:rsidRDefault="00D24507" w:rsidP="00D24507">
      <w:pPr>
        <w:spacing w:after="240"/>
        <w:jc w:val="both"/>
      </w:pPr>
      <w:r w:rsidRPr="00B70E5E">
        <w:t>Cost burdened households are defined by HUD as households spending more than 30% of their annual income on housing costs. Severely cost burdened households spend more than 50% of their income. Independent from median income, cost burden serves as an indicator of a homeowner’s ability to afford property maintenance and improvements.</w:t>
      </w:r>
    </w:p>
    <w:p w14:paraId="4E0ED53C" w14:textId="688EFBE5" w:rsidR="00D24507" w:rsidRDefault="00D24507" w:rsidP="00D24507">
      <w:pPr>
        <w:spacing w:after="240"/>
        <w:jc w:val="both"/>
      </w:pPr>
      <w:r>
        <w:t>Overall, rates of cost-burden are decreasing in North Carolina, indicating a more affordable housing market</w:t>
      </w:r>
      <w:r w:rsidR="00D84FD1">
        <w:t xml:space="preserve"> for the state overall</w:t>
      </w:r>
      <w:r>
        <w:t>. In 2018, 28.9% of all households were cost burdened</w:t>
      </w:r>
      <w:r w:rsidR="002244EC">
        <w:t>,</w:t>
      </w:r>
      <w:r>
        <w:t xml:space="preserve"> a 3.0% decrease since 2010. Homeowners tended to be less cost-burdened than renters and saw a 5.4% decrease in overall cost-burden between 2010 and </w:t>
      </w:r>
      <w:r w:rsidRPr="006A04A4">
        <w:t xml:space="preserve">2018. Renters </w:t>
      </w:r>
      <w:r w:rsidR="0042766C" w:rsidRPr="006A04A4">
        <w:t>a</w:t>
      </w:r>
      <w:r w:rsidR="00D27A56" w:rsidRPr="006A04A4">
        <w:t>re</w:t>
      </w:r>
      <w:r w:rsidR="0042766C" w:rsidRPr="006A04A4">
        <w:t xml:space="preserve"> virtually unchanged </w:t>
      </w:r>
      <w:r w:rsidRPr="006A04A4">
        <w:t>during</w:t>
      </w:r>
      <w:r>
        <w:t xml:space="preserve"> this same period. Interestingly, rates of severe cost-burden </w:t>
      </w:r>
      <w:r w:rsidR="0042766C">
        <w:t xml:space="preserve">(paying more than 50% of income on housing costs) </w:t>
      </w:r>
      <w:r>
        <w:t xml:space="preserve">decreased </w:t>
      </w:r>
      <w:r w:rsidR="00715C7B">
        <w:t xml:space="preserve">slightly </w:t>
      </w:r>
      <w:r>
        <w:t xml:space="preserve">while cost-burden rates </w:t>
      </w:r>
      <w:r w:rsidR="00715C7B">
        <w:t>(paying more than 30% of income on housing costs) increased</w:t>
      </w:r>
      <w:r w:rsidR="00367238">
        <w:t xml:space="preserve"> </w:t>
      </w:r>
      <w:r>
        <w:t>slightly.</w:t>
      </w:r>
    </w:p>
    <w:p w14:paraId="7AE1B6B4" w14:textId="77777777" w:rsidR="00D40606" w:rsidRDefault="00D40606">
      <w:pPr>
        <w:spacing w:after="160" w:line="259" w:lineRule="auto"/>
        <w:rPr>
          <w:b/>
          <w:bCs/>
          <w:color w:val="404040" w:themeColor="text1" w:themeTint="BF"/>
          <w:sz w:val="16"/>
          <w:szCs w:val="16"/>
        </w:rPr>
      </w:pPr>
      <w:r>
        <w:br w:type="page"/>
      </w:r>
    </w:p>
    <w:p w14:paraId="2A1730C5" w14:textId="0EF03F70" w:rsidR="00D24507" w:rsidRDefault="00D24507" w:rsidP="00D24507">
      <w:pPr>
        <w:pStyle w:val="Caption"/>
      </w:pPr>
      <w:r>
        <w:lastRenderedPageBreak/>
        <w:t xml:space="preserve">Table </w:t>
      </w:r>
      <w:fldSimple w:instr=" SEQ Table \* ARABIC ">
        <w:r w:rsidR="0055251A">
          <w:rPr>
            <w:noProof/>
          </w:rPr>
          <w:t>19</w:t>
        </w:r>
      </w:fldSimple>
      <w:r>
        <w:t xml:space="preserve"> </w:t>
      </w:r>
      <w:r w:rsidRPr="006D7DCE">
        <w:t xml:space="preserve">Cost-burden by </w:t>
      </w:r>
      <w:r>
        <w:t>T</w:t>
      </w:r>
      <w:r w:rsidRPr="006D7DCE">
        <w:t>enure, 2010-2018</w:t>
      </w:r>
    </w:p>
    <w:tbl>
      <w:tblPr>
        <w:tblW w:w="8815" w:type="dxa"/>
        <w:tblLook w:val="04A0" w:firstRow="1" w:lastRow="0" w:firstColumn="1" w:lastColumn="0" w:noHBand="0" w:noVBand="1"/>
      </w:tblPr>
      <w:tblGrid>
        <w:gridCol w:w="3457"/>
        <w:gridCol w:w="1950"/>
        <w:gridCol w:w="888"/>
        <w:gridCol w:w="1710"/>
        <w:gridCol w:w="810"/>
      </w:tblGrid>
      <w:tr w:rsidR="00DB584A" w:rsidRPr="006D7DCE" w14:paraId="124BA6BC" w14:textId="77777777" w:rsidTr="00DB584A">
        <w:trPr>
          <w:trHeight w:hRule="exact" w:val="613"/>
        </w:trPr>
        <w:tc>
          <w:tcPr>
            <w:tcW w:w="3457" w:type="dxa"/>
            <w:vMerge w:val="restart"/>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6B6C477"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 </w:t>
            </w:r>
          </w:p>
        </w:tc>
        <w:tc>
          <w:tcPr>
            <w:tcW w:w="2838"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3C9BED56"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2010</w:t>
            </w:r>
          </w:p>
        </w:tc>
        <w:tc>
          <w:tcPr>
            <w:tcW w:w="2520"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44ECC97E"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2018</w:t>
            </w:r>
          </w:p>
        </w:tc>
      </w:tr>
      <w:tr w:rsidR="00DB584A" w:rsidRPr="006D7DCE" w14:paraId="3F75D036" w14:textId="77777777" w:rsidTr="00DB584A">
        <w:trPr>
          <w:trHeight w:val="187"/>
        </w:trPr>
        <w:tc>
          <w:tcPr>
            <w:tcW w:w="3457" w:type="dxa"/>
            <w:vMerge/>
            <w:tcBorders>
              <w:top w:val="single" w:sz="4" w:space="0" w:color="auto"/>
              <w:left w:val="single" w:sz="4" w:space="0" w:color="auto"/>
              <w:bottom w:val="single" w:sz="4" w:space="0" w:color="auto"/>
              <w:right w:val="single" w:sz="4" w:space="0" w:color="auto"/>
            </w:tcBorders>
            <w:vAlign w:val="center"/>
            <w:hideMark/>
          </w:tcPr>
          <w:p w14:paraId="7B482FF1" w14:textId="77777777" w:rsidR="00DB584A" w:rsidRPr="006D7DCE" w:rsidRDefault="00DB584A" w:rsidP="006C2106">
            <w:pPr>
              <w:rPr>
                <w:rFonts w:ascii="Calibri" w:hAnsi="Calibri" w:cs="Calibri"/>
                <w:b/>
                <w:bCs/>
                <w:color w:val="FFFFFF"/>
                <w:sz w:val="22"/>
                <w:szCs w:val="22"/>
              </w:rPr>
            </w:pPr>
          </w:p>
        </w:tc>
        <w:tc>
          <w:tcPr>
            <w:tcW w:w="1950" w:type="dxa"/>
            <w:tcBorders>
              <w:top w:val="nil"/>
              <w:left w:val="nil"/>
              <w:bottom w:val="single" w:sz="4" w:space="0" w:color="auto"/>
              <w:right w:val="single" w:sz="4" w:space="0" w:color="auto"/>
            </w:tcBorders>
            <w:shd w:val="clear" w:color="000000" w:fill="4472C4"/>
            <w:noWrap/>
            <w:vAlign w:val="center"/>
            <w:hideMark/>
          </w:tcPr>
          <w:p w14:paraId="1B6432DB"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w:t>
            </w:r>
          </w:p>
        </w:tc>
        <w:tc>
          <w:tcPr>
            <w:tcW w:w="888" w:type="dxa"/>
            <w:tcBorders>
              <w:top w:val="nil"/>
              <w:left w:val="nil"/>
              <w:bottom w:val="single" w:sz="4" w:space="0" w:color="auto"/>
              <w:right w:val="single" w:sz="4" w:space="0" w:color="auto"/>
            </w:tcBorders>
            <w:shd w:val="clear" w:color="000000" w:fill="4472C4"/>
            <w:noWrap/>
            <w:vAlign w:val="center"/>
            <w:hideMark/>
          </w:tcPr>
          <w:p w14:paraId="6DFFAA3D"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w:t>
            </w:r>
          </w:p>
        </w:tc>
        <w:tc>
          <w:tcPr>
            <w:tcW w:w="1710" w:type="dxa"/>
            <w:tcBorders>
              <w:top w:val="nil"/>
              <w:left w:val="nil"/>
              <w:bottom w:val="single" w:sz="4" w:space="0" w:color="auto"/>
              <w:right w:val="single" w:sz="4" w:space="0" w:color="auto"/>
            </w:tcBorders>
            <w:shd w:val="clear" w:color="000000" w:fill="4472C4"/>
            <w:noWrap/>
            <w:vAlign w:val="center"/>
            <w:hideMark/>
          </w:tcPr>
          <w:p w14:paraId="0432C639"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w:t>
            </w:r>
          </w:p>
        </w:tc>
        <w:tc>
          <w:tcPr>
            <w:tcW w:w="810" w:type="dxa"/>
            <w:tcBorders>
              <w:top w:val="nil"/>
              <w:left w:val="nil"/>
              <w:bottom w:val="single" w:sz="4" w:space="0" w:color="auto"/>
              <w:right w:val="single" w:sz="4" w:space="0" w:color="auto"/>
            </w:tcBorders>
            <w:shd w:val="clear" w:color="000000" w:fill="4472C4"/>
            <w:noWrap/>
            <w:vAlign w:val="center"/>
            <w:hideMark/>
          </w:tcPr>
          <w:p w14:paraId="2AEB2717" w14:textId="77777777" w:rsidR="00DB584A" w:rsidRPr="006D7DCE" w:rsidRDefault="00DB584A" w:rsidP="006C2106">
            <w:pPr>
              <w:jc w:val="center"/>
              <w:rPr>
                <w:rFonts w:ascii="Calibri" w:hAnsi="Calibri" w:cs="Calibri"/>
                <w:b/>
                <w:bCs/>
                <w:color w:val="FFFFFF"/>
                <w:sz w:val="22"/>
                <w:szCs w:val="22"/>
              </w:rPr>
            </w:pPr>
            <w:r w:rsidRPr="006D7DCE">
              <w:rPr>
                <w:rFonts w:ascii="Calibri" w:hAnsi="Calibri" w:cs="Calibri"/>
                <w:b/>
                <w:bCs/>
                <w:color w:val="FFFFFF"/>
                <w:sz w:val="22"/>
                <w:szCs w:val="22"/>
              </w:rPr>
              <w:t>%</w:t>
            </w:r>
          </w:p>
        </w:tc>
      </w:tr>
      <w:tr w:rsidR="00DB584A" w:rsidRPr="006D7DCE" w14:paraId="3F117F4C" w14:textId="77777777" w:rsidTr="00DB584A">
        <w:trPr>
          <w:trHeight w:val="187"/>
        </w:trPr>
        <w:tc>
          <w:tcPr>
            <w:tcW w:w="3457" w:type="dxa"/>
            <w:tcBorders>
              <w:top w:val="nil"/>
              <w:left w:val="single" w:sz="4" w:space="0" w:color="auto"/>
              <w:bottom w:val="single" w:sz="4" w:space="0" w:color="auto"/>
              <w:right w:val="single" w:sz="4" w:space="0" w:color="auto"/>
            </w:tcBorders>
            <w:shd w:val="clear" w:color="000000" w:fill="B4C6E7"/>
            <w:noWrap/>
            <w:vAlign w:val="bottom"/>
            <w:hideMark/>
          </w:tcPr>
          <w:p w14:paraId="25C182BB"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Total Households</w:t>
            </w:r>
          </w:p>
        </w:tc>
        <w:tc>
          <w:tcPr>
            <w:tcW w:w="1950" w:type="dxa"/>
            <w:tcBorders>
              <w:top w:val="nil"/>
              <w:left w:val="nil"/>
              <w:bottom w:val="single" w:sz="4" w:space="0" w:color="auto"/>
              <w:right w:val="single" w:sz="4" w:space="0" w:color="auto"/>
            </w:tcBorders>
            <w:shd w:val="clear" w:color="000000" w:fill="B4C6E7"/>
            <w:noWrap/>
            <w:vAlign w:val="bottom"/>
            <w:hideMark/>
          </w:tcPr>
          <w:p w14:paraId="0BC114FB"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1,154,697 </w:t>
            </w:r>
          </w:p>
        </w:tc>
        <w:tc>
          <w:tcPr>
            <w:tcW w:w="888" w:type="dxa"/>
            <w:tcBorders>
              <w:top w:val="nil"/>
              <w:left w:val="nil"/>
              <w:bottom w:val="single" w:sz="4" w:space="0" w:color="auto"/>
              <w:right w:val="single" w:sz="4" w:space="0" w:color="auto"/>
            </w:tcBorders>
            <w:shd w:val="clear" w:color="000000" w:fill="B4C6E7"/>
            <w:noWrap/>
            <w:vAlign w:val="bottom"/>
            <w:hideMark/>
          </w:tcPr>
          <w:p w14:paraId="094E9AE2"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31.8%</w:t>
            </w:r>
          </w:p>
        </w:tc>
        <w:tc>
          <w:tcPr>
            <w:tcW w:w="1710" w:type="dxa"/>
            <w:tcBorders>
              <w:top w:val="nil"/>
              <w:left w:val="nil"/>
              <w:bottom w:val="single" w:sz="4" w:space="0" w:color="auto"/>
              <w:right w:val="single" w:sz="4" w:space="0" w:color="auto"/>
            </w:tcBorders>
            <w:shd w:val="clear" w:color="000000" w:fill="B4C6E7"/>
            <w:noWrap/>
            <w:vAlign w:val="bottom"/>
            <w:hideMark/>
          </w:tcPr>
          <w:p w14:paraId="27987E56"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1,131,945 </w:t>
            </w:r>
          </w:p>
        </w:tc>
        <w:tc>
          <w:tcPr>
            <w:tcW w:w="810" w:type="dxa"/>
            <w:tcBorders>
              <w:top w:val="nil"/>
              <w:left w:val="nil"/>
              <w:bottom w:val="single" w:sz="4" w:space="0" w:color="auto"/>
              <w:right w:val="single" w:sz="4" w:space="0" w:color="auto"/>
            </w:tcBorders>
            <w:shd w:val="clear" w:color="000000" w:fill="B4C6E7"/>
            <w:noWrap/>
            <w:vAlign w:val="bottom"/>
            <w:hideMark/>
          </w:tcPr>
          <w:p w14:paraId="20335F7E"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28.9%</w:t>
            </w:r>
          </w:p>
        </w:tc>
      </w:tr>
      <w:tr w:rsidR="00DB584A" w:rsidRPr="006D7DCE" w14:paraId="0915E86C" w14:textId="77777777" w:rsidTr="00DB584A">
        <w:trPr>
          <w:trHeight w:val="187"/>
        </w:trPr>
        <w:tc>
          <w:tcPr>
            <w:tcW w:w="3457" w:type="dxa"/>
            <w:tcBorders>
              <w:top w:val="nil"/>
              <w:left w:val="single" w:sz="4" w:space="0" w:color="auto"/>
              <w:bottom w:val="single" w:sz="4" w:space="0" w:color="auto"/>
              <w:right w:val="single" w:sz="4" w:space="0" w:color="auto"/>
            </w:tcBorders>
            <w:shd w:val="clear" w:color="auto" w:fill="auto"/>
            <w:noWrap/>
            <w:vAlign w:val="bottom"/>
            <w:hideMark/>
          </w:tcPr>
          <w:p w14:paraId="1D4D62D9"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 xml:space="preserve">      Cost-burdened (30-50%)</w:t>
            </w:r>
          </w:p>
        </w:tc>
        <w:tc>
          <w:tcPr>
            <w:tcW w:w="1950" w:type="dxa"/>
            <w:tcBorders>
              <w:top w:val="nil"/>
              <w:left w:val="nil"/>
              <w:bottom w:val="single" w:sz="4" w:space="0" w:color="auto"/>
              <w:right w:val="single" w:sz="4" w:space="0" w:color="auto"/>
            </w:tcBorders>
            <w:shd w:val="clear" w:color="auto" w:fill="auto"/>
            <w:noWrap/>
            <w:vAlign w:val="bottom"/>
            <w:hideMark/>
          </w:tcPr>
          <w:p w14:paraId="3CD5E950"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651,853 </w:t>
            </w:r>
          </w:p>
        </w:tc>
        <w:tc>
          <w:tcPr>
            <w:tcW w:w="888" w:type="dxa"/>
            <w:tcBorders>
              <w:top w:val="nil"/>
              <w:left w:val="nil"/>
              <w:bottom w:val="single" w:sz="4" w:space="0" w:color="auto"/>
              <w:right w:val="single" w:sz="4" w:space="0" w:color="auto"/>
            </w:tcBorders>
            <w:shd w:val="clear" w:color="auto" w:fill="auto"/>
            <w:noWrap/>
            <w:vAlign w:val="bottom"/>
            <w:hideMark/>
          </w:tcPr>
          <w:p w14:paraId="75646AAA"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18.0%</w:t>
            </w:r>
          </w:p>
        </w:tc>
        <w:tc>
          <w:tcPr>
            <w:tcW w:w="1710" w:type="dxa"/>
            <w:tcBorders>
              <w:top w:val="nil"/>
              <w:left w:val="nil"/>
              <w:bottom w:val="single" w:sz="4" w:space="0" w:color="auto"/>
              <w:right w:val="single" w:sz="4" w:space="0" w:color="auto"/>
            </w:tcBorders>
            <w:shd w:val="clear" w:color="auto" w:fill="auto"/>
            <w:noWrap/>
            <w:vAlign w:val="bottom"/>
            <w:hideMark/>
          </w:tcPr>
          <w:p w14:paraId="285CFC56"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629,930 </w:t>
            </w:r>
          </w:p>
        </w:tc>
        <w:tc>
          <w:tcPr>
            <w:tcW w:w="810" w:type="dxa"/>
            <w:tcBorders>
              <w:top w:val="nil"/>
              <w:left w:val="nil"/>
              <w:bottom w:val="single" w:sz="4" w:space="0" w:color="auto"/>
              <w:right w:val="single" w:sz="4" w:space="0" w:color="auto"/>
            </w:tcBorders>
            <w:shd w:val="clear" w:color="auto" w:fill="auto"/>
            <w:noWrap/>
            <w:vAlign w:val="bottom"/>
            <w:hideMark/>
          </w:tcPr>
          <w:p w14:paraId="12493D65"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16.1%</w:t>
            </w:r>
          </w:p>
        </w:tc>
      </w:tr>
      <w:tr w:rsidR="00DB584A" w:rsidRPr="006D7DCE" w14:paraId="54484BA8" w14:textId="77777777" w:rsidTr="00DB584A">
        <w:trPr>
          <w:trHeight w:val="187"/>
        </w:trPr>
        <w:tc>
          <w:tcPr>
            <w:tcW w:w="3457" w:type="dxa"/>
            <w:tcBorders>
              <w:top w:val="nil"/>
              <w:left w:val="single" w:sz="4" w:space="0" w:color="auto"/>
              <w:bottom w:val="single" w:sz="4" w:space="0" w:color="auto"/>
              <w:right w:val="single" w:sz="4" w:space="0" w:color="auto"/>
            </w:tcBorders>
            <w:shd w:val="clear" w:color="auto" w:fill="auto"/>
            <w:noWrap/>
            <w:vAlign w:val="bottom"/>
            <w:hideMark/>
          </w:tcPr>
          <w:p w14:paraId="28823161"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 xml:space="preserve">      Severely Cost-burdened (&gt;50%)</w:t>
            </w:r>
          </w:p>
        </w:tc>
        <w:tc>
          <w:tcPr>
            <w:tcW w:w="1950" w:type="dxa"/>
            <w:tcBorders>
              <w:top w:val="nil"/>
              <w:left w:val="nil"/>
              <w:bottom w:val="single" w:sz="4" w:space="0" w:color="auto"/>
              <w:right w:val="single" w:sz="4" w:space="0" w:color="auto"/>
            </w:tcBorders>
            <w:shd w:val="clear" w:color="auto" w:fill="auto"/>
            <w:noWrap/>
            <w:vAlign w:val="bottom"/>
            <w:hideMark/>
          </w:tcPr>
          <w:p w14:paraId="25AD2E48"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502,844 </w:t>
            </w:r>
          </w:p>
        </w:tc>
        <w:tc>
          <w:tcPr>
            <w:tcW w:w="888" w:type="dxa"/>
            <w:tcBorders>
              <w:top w:val="nil"/>
              <w:left w:val="nil"/>
              <w:bottom w:val="single" w:sz="4" w:space="0" w:color="auto"/>
              <w:right w:val="single" w:sz="4" w:space="0" w:color="auto"/>
            </w:tcBorders>
            <w:shd w:val="clear" w:color="auto" w:fill="auto"/>
            <w:noWrap/>
            <w:vAlign w:val="bottom"/>
            <w:hideMark/>
          </w:tcPr>
          <w:p w14:paraId="7FD5440A"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13.9%</w:t>
            </w:r>
          </w:p>
        </w:tc>
        <w:tc>
          <w:tcPr>
            <w:tcW w:w="1710" w:type="dxa"/>
            <w:tcBorders>
              <w:top w:val="nil"/>
              <w:left w:val="nil"/>
              <w:bottom w:val="single" w:sz="4" w:space="0" w:color="auto"/>
              <w:right w:val="single" w:sz="4" w:space="0" w:color="auto"/>
            </w:tcBorders>
            <w:shd w:val="clear" w:color="auto" w:fill="auto"/>
            <w:noWrap/>
            <w:vAlign w:val="bottom"/>
            <w:hideMark/>
          </w:tcPr>
          <w:p w14:paraId="33A02334"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502,015 </w:t>
            </w:r>
          </w:p>
        </w:tc>
        <w:tc>
          <w:tcPr>
            <w:tcW w:w="810" w:type="dxa"/>
            <w:tcBorders>
              <w:top w:val="nil"/>
              <w:left w:val="nil"/>
              <w:bottom w:val="single" w:sz="4" w:space="0" w:color="auto"/>
              <w:right w:val="single" w:sz="4" w:space="0" w:color="auto"/>
            </w:tcBorders>
            <w:shd w:val="clear" w:color="auto" w:fill="auto"/>
            <w:noWrap/>
            <w:vAlign w:val="bottom"/>
            <w:hideMark/>
          </w:tcPr>
          <w:p w14:paraId="21734734"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12.8%</w:t>
            </w:r>
          </w:p>
        </w:tc>
      </w:tr>
      <w:tr w:rsidR="00DB584A" w:rsidRPr="006D7DCE" w14:paraId="07922418" w14:textId="77777777" w:rsidTr="00DB584A">
        <w:trPr>
          <w:trHeight w:val="187"/>
        </w:trPr>
        <w:tc>
          <w:tcPr>
            <w:tcW w:w="3457" w:type="dxa"/>
            <w:tcBorders>
              <w:top w:val="nil"/>
              <w:left w:val="single" w:sz="4" w:space="0" w:color="auto"/>
              <w:bottom w:val="single" w:sz="4" w:space="0" w:color="auto"/>
              <w:right w:val="single" w:sz="4" w:space="0" w:color="auto"/>
            </w:tcBorders>
            <w:shd w:val="clear" w:color="000000" w:fill="FFF2CC"/>
            <w:noWrap/>
            <w:vAlign w:val="bottom"/>
            <w:hideMark/>
          </w:tcPr>
          <w:p w14:paraId="748B46B1"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Owner-occupied Households</w:t>
            </w:r>
          </w:p>
        </w:tc>
        <w:tc>
          <w:tcPr>
            <w:tcW w:w="1950" w:type="dxa"/>
            <w:tcBorders>
              <w:top w:val="nil"/>
              <w:left w:val="nil"/>
              <w:bottom w:val="single" w:sz="4" w:space="0" w:color="auto"/>
              <w:right w:val="single" w:sz="4" w:space="0" w:color="auto"/>
            </w:tcBorders>
            <w:shd w:val="clear" w:color="000000" w:fill="FFF2CC"/>
            <w:noWrap/>
            <w:vAlign w:val="bottom"/>
            <w:hideMark/>
          </w:tcPr>
          <w:p w14:paraId="1E23EC43"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645,006 </w:t>
            </w:r>
          </w:p>
        </w:tc>
        <w:tc>
          <w:tcPr>
            <w:tcW w:w="888" w:type="dxa"/>
            <w:tcBorders>
              <w:top w:val="nil"/>
              <w:left w:val="nil"/>
              <w:bottom w:val="single" w:sz="4" w:space="0" w:color="auto"/>
              <w:right w:val="single" w:sz="4" w:space="0" w:color="auto"/>
            </w:tcBorders>
            <w:shd w:val="clear" w:color="000000" w:fill="FFF2CC"/>
            <w:noWrap/>
            <w:vAlign w:val="bottom"/>
            <w:hideMark/>
          </w:tcPr>
          <w:p w14:paraId="632B98D6"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26.1%</w:t>
            </w:r>
          </w:p>
        </w:tc>
        <w:tc>
          <w:tcPr>
            <w:tcW w:w="1710" w:type="dxa"/>
            <w:tcBorders>
              <w:top w:val="nil"/>
              <w:left w:val="nil"/>
              <w:bottom w:val="single" w:sz="4" w:space="0" w:color="auto"/>
              <w:right w:val="single" w:sz="4" w:space="0" w:color="auto"/>
            </w:tcBorders>
            <w:shd w:val="clear" w:color="000000" w:fill="FFF2CC"/>
            <w:noWrap/>
            <w:vAlign w:val="bottom"/>
            <w:hideMark/>
          </w:tcPr>
          <w:p w14:paraId="1A93230F"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528,055 </w:t>
            </w:r>
          </w:p>
        </w:tc>
        <w:tc>
          <w:tcPr>
            <w:tcW w:w="810" w:type="dxa"/>
            <w:tcBorders>
              <w:top w:val="nil"/>
              <w:left w:val="nil"/>
              <w:bottom w:val="single" w:sz="4" w:space="0" w:color="auto"/>
              <w:right w:val="single" w:sz="4" w:space="0" w:color="auto"/>
            </w:tcBorders>
            <w:shd w:val="clear" w:color="000000" w:fill="FFF2CC"/>
            <w:noWrap/>
            <w:vAlign w:val="bottom"/>
            <w:hideMark/>
          </w:tcPr>
          <w:p w14:paraId="19B4BDB5"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20.7%</w:t>
            </w:r>
          </w:p>
        </w:tc>
      </w:tr>
      <w:tr w:rsidR="00DB584A" w:rsidRPr="006D7DCE" w14:paraId="7ED3E2E7" w14:textId="77777777" w:rsidTr="00DB584A">
        <w:trPr>
          <w:trHeight w:val="187"/>
        </w:trPr>
        <w:tc>
          <w:tcPr>
            <w:tcW w:w="3457" w:type="dxa"/>
            <w:tcBorders>
              <w:top w:val="nil"/>
              <w:left w:val="single" w:sz="4" w:space="0" w:color="auto"/>
              <w:bottom w:val="single" w:sz="4" w:space="0" w:color="auto"/>
              <w:right w:val="single" w:sz="4" w:space="0" w:color="auto"/>
            </w:tcBorders>
            <w:shd w:val="clear" w:color="auto" w:fill="auto"/>
            <w:noWrap/>
            <w:vAlign w:val="bottom"/>
            <w:hideMark/>
          </w:tcPr>
          <w:p w14:paraId="0C7F6AC3"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 xml:space="preserve">      Cost-burdened (30-50%)</w:t>
            </w:r>
          </w:p>
        </w:tc>
        <w:tc>
          <w:tcPr>
            <w:tcW w:w="1950" w:type="dxa"/>
            <w:tcBorders>
              <w:top w:val="nil"/>
              <w:left w:val="nil"/>
              <w:bottom w:val="single" w:sz="4" w:space="0" w:color="auto"/>
              <w:right w:val="single" w:sz="4" w:space="0" w:color="auto"/>
            </w:tcBorders>
            <w:shd w:val="clear" w:color="auto" w:fill="auto"/>
            <w:noWrap/>
            <w:vAlign w:val="bottom"/>
            <w:hideMark/>
          </w:tcPr>
          <w:p w14:paraId="0F2F7D9B"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401,430 </w:t>
            </w:r>
          </w:p>
        </w:tc>
        <w:tc>
          <w:tcPr>
            <w:tcW w:w="888" w:type="dxa"/>
            <w:tcBorders>
              <w:top w:val="nil"/>
              <w:left w:val="nil"/>
              <w:bottom w:val="single" w:sz="4" w:space="0" w:color="auto"/>
              <w:right w:val="single" w:sz="4" w:space="0" w:color="auto"/>
            </w:tcBorders>
            <w:shd w:val="clear" w:color="auto" w:fill="auto"/>
            <w:noWrap/>
            <w:vAlign w:val="bottom"/>
            <w:hideMark/>
          </w:tcPr>
          <w:p w14:paraId="2BF250B7"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16.3%</w:t>
            </w:r>
          </w:p>
        </w:tc>
        <w:tc>
          <w:tcPr>
            <w:tcW w:w="1710" w:type="dxa"/>
            <w:tcBorders>
              <w:top w:val="nil"/>
              <w:left w:val="nil"/>
              <w:bottom w:val="single" w:sz="4" w:space="0" w:color="auto"/>
              <w:right w:val="single" w:sz="4" w:space="0" w:color="auto"/>
            </w:tcBorders>
            <w:shd w:val="clear" w:color="auto" w:fill="auto"/>
            <w:noWrap/>
            <w:vAlign w:val="bottom"/>
            <w:hideMark/>
          </w:tcPr>
          <w:p w14:paraId="0A0F592C"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318,794 </w:t>
            </w:r>
          </w:p>
        </w:tc>
        <w:tc>
          <w:tcPr>
            <w:tcW w:w="810" w:type="dxa"/>
            <w:tcBorders>
              <w:top w:val="nil"/>
              <w:left w:val="nil"/>
              <w:bottom w:val="single" w:sz="4" w:space="0" w:color="auto"/>
              <w:right w:val="single" w:sz="4" w:space="0" w:color="auto"/>
            </w:tcBorders>
            <w:shd w:val="clear" w:color="auto" w:fill="auto"/>
            <w:noWrap/>
            <w:vAlign w:val="bottom"/>
            <w:hideMark/>
          </w:tcPr>
          <w:p w14:paraId="09DC948D"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12.5%</w:t>
            </w:r>
          </w:p>
        </w:tc>
      </w:tr>
      <w:tr w:rsidR="00DB584A" w:rsidRPr="006D7DCE" w14:paraId="6902EBCE" w14:textId="77777777" w:rsidTr="00DB584A">
        <w:trPr>
          <w:trHeight w:val="187"/>
        </w:trPr>
        <w:tc>
          <w:tcPr>
            <w:tcW w:w="3457" w:type="dxa"/>
            <w:tcBorders>
              <w:top w:val="nil"/>
              <w:left w:val="single" w:sz="4" w:space="0" w:color="auto"/>
              <w:bottom w:val="single" w:sz="4" w:space="0" w:color="auto"/>
              <w:right w:val="single" w:sz="4" w:space="0" w:color="auto"/>
            </w:tcBorders>
            <w:shd w:val="clear" w:color="auto" w:fill="auto"/>
            <w:noWrap/>
            <w:vAlign w:val="bottom"/>
            <w:hideMark/>
          </w:tcPr>
          <w:p w14:paraId="21B4BDD1"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 xml:space="preserve">      Severely Cost-burdened (&gt;50%)</w:t>
            </w:r>
          </w:p>
        </w:tc>
        <w:tc>
          <w:tcPr>
            <w:tcW w:w="1950" w:type="dxa"/>
            <w:tcBorders>
              <w:top w:val="nil"/>
              <w:left w:val="nil"/>
              <w:bottom w:val="single" w:sz="4" w:space="0" w:color="auto"/>
              <w:right w:val="single" w:sz="4" w:space="0" w:color="auto"/>
            </w:tcBorders>
            <w:shd w:val="clear" w:color="auto" w:fill="auto"/>
            <w:noWrap/>
            <w:vAlign w:val="bottom"/>
            <w:hideMark/>
          </w:tcPr>
          <w:p w14:paraId="2DE2C52E"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243,576 </w:t>
            </w:r>
          </w:p>
        </w:tc>
        <w:tc>
          <w:tcPr>
            <w:tcW w:w="888" w:type="dxa"/>
            <w:tcBorders>
              <w:top w:val="nil"/>
              <w:left w:val="nil"/>
              <w:bottom w:val="single" w:sz="4" w:space="0" w:color="auto"/>
              <w:right w:val="single" w:sz="4" w:space="0" w:color="auto"/>
            </w:tcBorders>
            <w:shd w:val="clear" w:color="auto" w:fill="auto"/>
            <w:noWrap/>
            <w:vAlign w:val="bottom"/>
            <w:hideMark/>
          </w:tcPr>
          <w:p w14:paraId="6FB34FC6"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9.9%</w:t>
            </w:r>
          </w:p>
        </w:tc>
        <w:tc>
          <w:tcPr>
            <w:tcW w:w="1710" w:type="dxa"/>
            <w:tcBorders>
              <w:top w:val="nil"/>
              <w:left w:val="nil"/>
              <w:bottom w:val="single" w:sz="4" w:space="0" w:color="auto"/>
              <w:right w:val="single" w:sz="4" w:space="0" w:color="auto"/>
            </w:tcBorders>
            <w:shd w:val="clear" w:color="auto" w:fill="auto"/>
            <w:noWrap/>
            <w:vAlign w:val="bottom"/>
            <w:hideMark/>
          </w:tcPr>
          <w:p w14:paraId="4D084582"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209,261 </w:t>
            </w:r>
          </w:p>
        </w:tc>
        <w:tc>
          <w:tcPr>
            <w:tcW w:w="810" w:type="dxa"/>
            <w:tcBorders>
              <w:top w:val="nil"/>
              <w:left w:val="nil"/>
              <w:bottom w:val="single" w:sz="4" w:space="0" w:color="auto"/>
              <w:right w:val="single" w:sz="4" w:space="0" w:color="auto"/>
            </w:tcBorders>
            <w:shd w:val="clear" w:color="auto" w:fill="auto"/>
            <w:noWrap/>
            <w:vAlign w:val="bottom"/>
            <w:hideMark/>
          </w:tcPr>
          <w:p w14:paraId="515F5954"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8.2%</w:t>
            </w:r>
          </w:p>
        </w:tc>
      </w:tr>
      <w:tr w:rsidR="00DB584A" w:rsidRPr="006D7DCE" w14:paraId="76D839E5" w14:textId="77777777" w:rsidTr="00DB584A">
        <w:trPr>
          <w:trHeight w:val="187"/>
        </w:trPr>
        <w:tc>
          <w:tcPr>
            <w:tcW w:w="3457" w:type="dxa"/>
            <w:tcBorders>
              <w:top w:val="nil"/>
              <w:left w:val="single" w:sz="4" w:space="0" w:color="auto"/>
              <w:bottom w:val="single" w:sz="4" w:space="0" w:color="auto"/>
              <w:right w:val="single" w:sz="4" w:space="0" w:color="auto"/>
            </w:tcBorders>
            <w:shd w:val="clear" w:color="000000" w:fill="FFF2CC"/>
            <w:noWrap/>
            <w:vAlign w:val="bottom"/>
            <w:hideMark/>
          </w:tcPr>
          <w:p w14:paraId="301D3F77"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Renter-occupied Households</w:t>
            </w:r>
          </w:p>
        </w:tc>
        <w:tc>
          <w:tcPr>
            <w:tcW w:w="1950" w:type="dxa"/>
            <w:tcBorders>
              <w:top w:val="nil"/>
              <w:left w:val="nil"/>
              <w:bottom w:val="single" w:sz="4" w:space="0" w:color="auto"/>
              <w:right w:val="single" w:sz="4" w:space="0" w:color="auto"/>
            </w:tcBorders>
            <w:shd w:val="clear" w:color="000000" w:fill="FFF2CC"/>
            <w:noWrap/>
            <w:vAlign w:val="bottom"/>
            <w:hideMark/>
          </w:tcPr>
          <w:p w14:paraId="6D1874D8"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509,691 </w:t>
            </w:r>
          </w:p>
        </w:tc>
        <w:tc>
          <w:tcPr>
            <w:tcW w:w="888" w:type="dxa"/>
            <w:tcBorders>
              <w:top w:val="nil"/>
              <w:left w:val="nil"/>
              <w:bottom w:val="single" w:sz="4" w:space="0" w:color="auto"/>
              <w:right w:val="single" w:sz="4" w:space="0" w:color="auto"/>
            </w:tcBorders>
            <w:shd w:val="clear" w:color="000000" w:fill="FFF2CC"/>
            <w:noWrap/>
            <w:vAlign w:val="bottom"/>
            <w:hideMark/>
          </w:tcPr>
          <w:p w14:paraId="5E4780A5"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44.0%</w:t>
            </w:r>
          </w:p>
        </w:tc>
        <w:tc>
          <w:tcPr>
            <w:tcW w:w="1710" w:type="dxa"/>
            <w:tcBorders>
              <w:top w:val="nil"/>
              <w:left w:val="nil"/>
              <w:bottom w:val="single" w:sz="4" w:space="0" w:color="auto"/>
              <w:right w:val="single" w:sz="4" w:space="0" w:color="auto"/>
            </w:tcBorders>
            <w:shd w:val="clear" w:color="000000" w:fill="FFF2CC"/>
            <w:noWrap/>
            <w:vAlign w:val="bottom"/>
            <w:hideMark/>
          </w:tcPr>
          <w:p w14:paraId="781F35A5"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603,890 </w:t>
            </w:r>
          </w:p>
        </w:tc>
        <w:tc>
          <w:tcPr>
            <w:tcW w:w="810" w:type="dxa"/>
            <w:tcBorders>
              <w:top w:val="nil"/>
              <w:left w:val="nil"/>
              <w:bottom w:val="single" w:sz="4" w:space="0" w:color="auto"/>
              <w:right w:val="single" w:sz="4" w:space="0" w:color="auto"/>
            </w:tcBorders>
            <w:shd w:val="clear" w:color="000000" w:fill="FFF2CC"/>
            <w:noWrap/>
            <w:vAlign w:val="bottom"/>
            <w:hideMark/>
          </w:tcPr>
          <w:p w14:paraId="6059F6DF"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44.1%</w:t>
            </w:r>
          </w:p>
        </w:tc>
      </w:tr>
      <w:tr w:rsidR="00DB584A" w:rsidRPr="006D7DCE" w14:paraId="047495DD" w14:textId="77777777" w:rsidTr="00DB584A">
        <w:trPr>
          <w:trHeight w:val="187"/>
        </w:trPr>
        <w:tc>
          <w:tcPr>
            <w:tcW w:w="3457" w:type="dxa"/>
            <w:tcBorders>
              <w:top w:val="nil"/>
              <w:left w:val="single" w:sz="4" w:space="0" w:color="auto"/>
              <w:bottom w:val="single" w:sz="4" w:space="0" w:color="auto"/>
              <w:right w:val="single" w:sz="4" w:space="0" w:color="auto"/>
            </w:tcBorders>
            <w:shd w:val="clear" w:color="auto" w:fill="auto"/>
            <w:noWrap/>
            <w:vAlign w:val="bottom"/>
            <w:hideMark/>
          </w:tcPr>
          <w:p w14:paraId="603203B2"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 xml:space="preserve">      Cost-burdened (30-50%)</w:t>
            </w:r>
          </w:p>
        </w:tc>
        <w:tc>
          <w:tcPr>
            <w:tcW w:w="1950" w:type="dxa"/>
            <w:tcBorders>
              <w:top w:val="nil"/>
              <w:left w:val="nil"/>
              <w:bottom w:val="single" w:sz="4" w:space="0" w:color="auto"/>
              <w:right w:val="single" w:sz="4" w:space="0" w:color="auto"/>
            </w:tcBorders>
            <w:shd w:val="clear" w:color="auto" w:fill="auto"/>
            <w:noWrap/>
            <w:vAlign w:val="bottom"/>
            <w:hideMark/>
          </w:tcPr>
          <w:p w14:paraId="79C4A717"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250,423 </w:t>
            </w:r>
          </w:p>
        </w:tc>
        <w:tc>
          <w:tcPr>
            <w:tcW w:w="888" w:type="dxa"/>
            <w:tcBorders>
              <w:top w:val="nil"/>
              <w:left w:val="nil"/>
              <w:bottom w:val="single" w:sz="4" w:space="0" w:color="auto"/>
              <w:right w:val="single" w:sz="4" w:space="0" w:color="auto"/>
            </w:tcBorders>
            <w:shd w:val="clear" w:color="auto" w:fill="auto"/>
            <w:noWrap/>
            <w:vAlign w:val="bottom"/>
            <w:hideMark/>
          </w:tcPr>
          <w:p w14:paraId="084B1EFC"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21.6%</w:t>
            </w:r>
          </w:p>
        </w:tc>
        <w:tc>
          <w:tcPr>
            <w:tcW w:w="1710" w:type="dxa"/>
            <w:tcBorders>
              <w:top w:val="nil"/>
              <w:left w:val="nil"/>
              <w:bottom w:val="single" w:sz="4" w:space="0" w:color="auto"/>
              <w:right w:val="single" w:sz="4" w:space="0" w:color="auto"/>
            </w:tcBorders>
            <w:shd w:val="clear" w:color="auto" w:fill="auto"/>
            <w:noWrap/>
            <w:vAlign w:val="bottom"/>
            <w:hideMark/>
          </w:tcPr>
          <w:p w14:paraId="44F06650"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311,136 </w:t>
            </w:r>
          </w:p>
        </w:tc>
        <w:tc>
          <w:tcPr>
            <w:tcW w:w="810" w:type="dxa"/>
            <w:tcBorders>
              <w:top w:val="nil"/>
              <w:left w:val="nil"/>
              <w:bottom w:val="single" w:sz="4" w:space="0" w:color="auto"/>
              <w:right w:val="single" w:sz="4" w:space="0" w:color="auto"/>
            </w:tcBorders>
            <w:shd w:val="clear" w:color="auto" w:fill="auto"/>
            <w:noWrap/>
            <w:vAlign w:val="bottom"/>
            <w:hideMark/>
          </w:tcPr>
          <w:p w14:paraId="5591F0D0"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22.7%</w:t>
            </w:r>
          </w:p>
        </w:tc>
      </w:tr>
      <w:tr w:rsidR="00DB584A" w:rsidRPr="006D7DCE" w14:paraId="4DF55823" w14:textId="77777777" w:rsidTr="00DB584A">
        <w:trPr>
          <w:trHeight w:val="187"/>
        </w:trPr>
        <w:tc>
          <w:tcPr>
            <w:tcW w:w="3457" w:type="dxa"/>
            <w:tcBorders>
              <w:top w:val="nil"/>
              <w:left w:val="single" w:sz="4" w:space="0" w:color="auto"/>
              <w:bottom w:val="single" w:sz="4" w:space="0" w:color="auto"/>
              <w:right w:val="single" w:sz="4" w:space="0" w:color="auto"/>
            </w:tcBorders>
            <w:shd w:val="clear" w:color="auto" w:fill="auto"/>
            <w:noWrap/>
            <w:vAlign w:val="bottom"/>
            <w:hideMark/>
          </w:tcPr>
          <w:p w14:paraId="07A5FC5B" w14:textId="77777777" w:rsidR="00DB584A" w:rsidRPr="006D7DCE" w:rsidRDefault="00DB584A" w:rsidP="006C2106">
            <w:pPr>
              <w:rPr>
                <w:rFonts w:ascii="Calibri" w:hAnsi="Calibri" w:cs="Calibri"/>
                <w:color w:val="000000"/>
                <w:sz w:val="22"/>
                <w:szCs w:val="22"/>
              </w:rPr>
            </w:pPr>
            <w:r w:rsidRPr="006D7DCE">
              <w:rPr>
                <w:rFonts w:ascii="Calibri" w:hAnsi="Calibri" w:cs="Calibri"/>
                <w:color w:val="000000"/>
                <w:sz w:val="22"/>
                <w:szCs w:val="22"/>
              </w:rPr>
              <w:t xml:space="preserve">      Severely Cost-burdened (&gt;50%)</w:t>
            </w:r>
          </w:p>
        </w:tc>
        <w:tc>
          <w:tcPr>
            <w:tcW w:w="1950" w:type="dxa"/>
            <w:tcBorders>
              <w:top w:val="nil"/>
              <w:left w:val="nil"/>
              <w:bottom w:val="single" w:sz="4" w:space="0" w:color="auto"/>
              <w:right w:val="single" w:sz="4" w:space="0" w:color="auto"/>
            </w:tcBorders>
            <w:shd w:val="clear" w:color="auto" w:fill="auto"/>
            <w:noWrap/>
            <w:vAlign w:val="bottom"/>
            <w:hideMark/>
          </w:tcPr>
          <w:p w14:paraId="05CEE3F6"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259,268 </w:t>
            </w:r>
          </w:p>
        </w:tc>
        <w:tc>
          <w:tcPr>
            <w:tcW w:w="888" w:type="dxa"/>
            <w:tcBorders>
              <w:top w:val="nil"/>
              <w:left w:val="nil"/>
              <w:bottom w:val="single" w:sz="4" w:space="0" w:color="auto"/>
              <w:right w:val="single" w:sz="4" w:space="0" w:color="auto"/>
            </w:tcBorders>
            <w:shd w:val="clear" w:color="auto" w:fill="auto"/>
            <w:noWrap/>
            <w:vAlign w:val="bottom"/>
            <w:hideMark/>
          </w:tcPr>
          <w:p w14:paraId="6D0C10FB"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22.4%</w:t>
            </w:r>
          </w:p>
        </w:tc>
        <w:tc>
          <w:tcPr>
            <w:tcW w:w="1710" w:type="dxa"/>
            <w:tcBorders>
              <w:top w:val="nil"/>
              <w:left w:val="nil"/>
              <w:bottom w:val="single" w:sz="4" w:space="0" w:color="auto"/>
              <w:right w:val="single" w:sz="4" w:space="0" w:color="auto"/>
            </w:tcBorders>
            <w:shd w:val="clear" w:color="auto" w:fill="auto"/>
            <w:noWrap/>
            <w:vAlign w:val="bottom"/>
            <w:hideMark/>
          </w:tcPr>
          <w:p w14:paraId="02F46B5E"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 xml:space="preserve">             292,754 </w:t>
            </w:r>
          </w:p>
        </w:tc>
        <w:tc>
          <w:tcPr>
            <w:tcW w:w="810" w:type="dxa"/>
            <w:tcBorders>
              <w:top w:val="nil"/>
              <w:left w:val="nil"/>
              <w:bottom w:val="single" w:sz="4" w:space="0" w:color="auto"/>
              <w:right w:val="single" w:sz="4" w:space="0" w:color="auto"/>
            </w:tcBorders>
            <w:shd w:val="clear" w:color="auto" w:fill="auto"/>
            <w:noWrap/>
            <w:vAlign w:val="bottom"/>
            <w:hideMark/>
          </w:tcPr>
          <w:p w14:paraId="75C7A420" w14:textId="77777777" w:rsidR="00DB584A" w:rsidRPr="006D7DCE" w:rsidRDefault="00DB584A" w:rsidP="006C2106">
            <w:pPr>
              <w:jc w:val="right"/>
              <w:rPr>
                <w:rFonts w:ascii="Calibri" w:hAnsi="Calibri" w:cs="Calibri"/>
                <w:color w:val="000000"/>
                <w:sz w:val="22"/>
                <w:szCs w:val="22"/>
              </w:rPr>
            </w:pPr>
            <w:r w:rsidRPr="006D7DCE">
              <w:rPr>
                <w:rFonts w:ascii="Calibri" w:hAnsi="Calibri" w:cs="Calibri"/>
                <w:color w:val="000000"/>
                <w:sz w:val="22"/>
                <w:szCs w:val="22"/>
              </w:rPr>
              <w:t>21.4%</w:t>
            </w:r>
          </w:p>
        </w:tc>
      </w:tr>
    </w:tbl>
    <w:p w14:paraId="584312BA" w14:textId="77777777" w:rsidR="00D24507" w:rsidRDefault="00D24507" w:rsidP="00D24507">
      <w:pPr>
        <w:rPr>
          <w:sz w:val="16"/>
          <w:szCs w:val="16"/>
        </w:rPr>
      </w:pPr>
      <w:r>
        <w:rPr>
          <w:sz w:val="16"/>
          <w:szCs w:val="16"/>
        </w:rPr>
        <w:t>S</w:t>
      </w:r>
      <w:r w:rsidRPr="00104C93">
        <w:rPr>
          <w:sz w:val="16"/>
          <w:szCs w:val="16"/>
        </w:rPr>
        <w:t xml:space="preserve">ource: </w:t>
      </w:r>
      <w:r>
        <w:rPr>
          <w:sz w:val="16"/>
          <w:szCs w:val="16"/>
        </w:rPr>
        <w:t xml:space="preserve">2006-2010 &amp; </w:t>
      </w:r>
      <w:r w:rsidRPr="00104C93">
        <w:rPr>
          <w:sz w:val="16"/>
          <w:szCs w:val="16"/>
        </w:rPr>
        <w:t>2014-2018 American Community Survey:</w:t>
      </w:r>
      <w:r>
        <w:rPr>
          <w:sz w:val="16"/>
          <w:szCs w:val="16"/>
        </w:rPr>
        <w:t xml:space="preserve"> B25070, B25091</w:t>
      </w:r>
    </w:p>
    <w:p w14:paraId="20324582" w14:textId="77777777" w:rsidR="00D24507" w:rsidRDefault="00D24507" w:rsidP="00D24507">
      <w:pPr>
        <w:pStyle w:val="Caption"/>
      </w:pPr>
    </w:p>
    <w:p w14:paraId="4D2E7827" w14:textId="77777777" w:rsidR="0039740D" w:rsidRDefault="0039740D" w:rsidP="00D24507">
      <w:pPr>
        <w:pStyle w:val="Caption"/>
      </w:pPr>
    </w:p>
    <w:p w14:paraId="43A16132" w14:textId="6C23EEBC" w:rsidR="00D24507" w:rsidRPr="00AD7517" w:rsidRDefault="00D24507" w:rsidP="00D24507">
      <w:pPr>
        <w:pStyle w:val="Caption"/>
      </w:pPr>
      <w:r>
        <w:rPr>
          <w:noProof/>
        </w:rPr>
        <w:drawing>
          <wp:anchor distT="0" distB="0" distL="114300" distR="114300" simplePos="0" relativeHeight="251679744" behindDoc="0" locked="0" layoutInCell="1" allowOverlap="1" wp14:anchorId="141E205B" wp14:editId="62CBEC58">
            <wp:simplePos x="0" y="0"/>
            <wp:positionH relativeFrom="margin">
              <wp:align>right</wp:align>
            </wp:positionH>
            <wp:positionV relativeFrom="paragraph">
              <wp:posOffset>157480</wp:posOffset>
            </wp:positionV>
            <wp:extent cx="5934710" cy="2967355"/>
            <wp:effectExtent l="0" t="0" r="8890" b="444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20</w:t>
        </w:r>
      </w:fldSimple>
      <w:r>
        <w:t xml:space="preserve"> Homeowner Cost-burden Rate, 2018</w:t>
      </w:r>
    </w:p>
    <w:p w14:paraId="211A9442" w14:textId="77777777" w:rsidR="00D24507" w:rsidRDefault="00D24507" w:rsidP="00D24507">
      <w:pPr>
        <w:rPr>
          <w:sz w:val="16"/>
          <w:szCs w:val="16"/>
        </w:rPr>
      </w:pPr>
      <w:r>
        <w:rPr>
          <w:sz w:val="16"/>
          <w:szCs w:val="16"/>
        </w:rPr>
        <w:t>S</w:t>
      </w:r>
      <w:r w:rsidRPr="00104C93">
        <w:rPr>
          <w:sz w:val="16"/>
          <w:szCs w:val="16"/>
        </w:rPr>
        <w:t>ource: 2014-2018 American Community Survey:</w:t>
      </w:r>
      <w:r>
        <w:rPr>
          <w:sz w:val="16"/>
          <w:szCs w:val="16"/>
        </w:rPr>
        <w:t xml:space="preserve"> B25091</w:t>
      </w:r>
    </w:p>
    <w:p w14:paraId="13B65A55" w14:textId="77777777" w:rsidR="00D24507" w:rsidRDefault="00D24507" w:rsidP="00D24507">
      <w:pPr>
        <w:rPr>
          <w:highlight w:val="cyan"/>
        </w:rPr>
      </w:pPr>
    </w:p>
    <w:p w14:paraId="299CA647" w14:textId="77777777" w:rsidR="0039740D" w:rsidRDefault="0039740D" w:rsidP="00D24507">
      <w:pPr>
        <w:pStyle w:val="Caption"/>
      </w:pPr>
    </w:p>
    <w:p w14:paraId="5079F0DC" w14:textId="77777777" w:rsidR="00D40606" w:rsidRDefault="00D40606">
      <w:pPr>
        <w:spacing w:after="160" w:line="259" w:lineRule="auto"/>
        <w:rPr>
          <w:b/>
          <w:bCs/>
          <w:color w:val="404040" w:themeColor="text1" w:themeTint="BF"/>
          <w:sz w:val="16"/>
          <w:szCs w:val="16"/>
        </w:rPr>
      </w:pPr>
      <w:r>
        <w:br w:type="page"/>
      </w:r>
    </w:p>
    <w:p w14:paraId="55B424C0" w14:textId="118373CB" w:rsidR="00D24507" w:rsidRPr="00AD7517" w:rsidRDefault="00D24507" w:rsidP="00D24507">
      <w:pPr>
        <w:pStyle w:val="Caption"/>
        <w:rPr>
          <w:highlight w:val="cyan"/>
        </w:rPr>
      </w:pPr>
      <w:r>
        <w:lastRenderedPageBreak/>
        <w:t xml:space="preserve">Map </w:t>
      </w:r>
      <w:fldSimple w:instr=" SEQ Map \* ARABIC ">
        <w:r w:rsidR="0055251A">
          <w:rPr>
            <w:noProof/>
          </w:rPr>
          <w:t>21</w:t>
        </w:r>
      </w:fldSimple>
      <w:r>
        <w:t xml:space="preserve"> Renter Cost-burden Rate, 2018</w:t>
      </w:r>
    </w:p>
    <w:p w14:paraId="7AF2CA97" w14:textId="77777777" w:rsidR="00D24507" w:rsidRDefault="00D24507" w:rsidP="00D24507">
      <w:pPr>
        <w:jc w:val="both"/>
      </w:pPr>
      <w:r>
        <w:rPr>
          <w:sz w:val="16"/>
          <w:szCs w:val="16"/>
        </w:rPr>
        <w:t>S</w:t>
      </w:r>
      <w:r w:rsidRPr="00104C93">
        <w:rPr>
          <w:sz w:val="16"/>
          <w:szCs w:val="16"/>
        </w:rPr>
        <w:t>ource: 2018 American Community Survey:</w:t>
      </w:r>
      <w:r>
        <w:rPr>
          <w:sz w:val="16"/>
          <w:szCs w:val="16"/>
        </w:rPr>
        <w:t xml:space="preserve"> B25070</w:t>
      </w:r>
      <w:r>
        <w:rPr>
          <w:noProof/>
        </w:rPr>
        <w:drawing>
          <wp:anchor distT="0" distB="0" distL="114300" distR="114300" simplePos="0" relativeHeight="251680768" behindDoc="0" locked="0" layoutInCell="1" allowOverlap="1" wp14:anchorId="4436C908" wp14:editId="04CB0250">
            <wp:simplePos x="0" y="0"/>
            <wp:positionH relativeFrom="column">
              <wp:posOffset>0</wp:posOffset>
            </wp:positionH>
            <wp:positionV relativeFrom="paragraph">
              <wp:posOffset>0</wp:posOffset>
            </wp:positionV>
            <wp:extent cx="5934710" cy="2967355"/>
            <wp:effectExtent l="0" t="0" r="889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96054" w14:textId="77777777" w:rsidR="00D40606" w:rsidRDefault="00D40606" w:rsidP="00D24507">
      <w:pPr>
        <w:pStyle w:val="Heading2"/>
        <w:jc w:val="both"/>
      </w:pPr>
      <w:bookmarkStart w:id="47" w:name="_Toc47639988"/>
    </w:p>
    <w:p w14:paraId="4F52F1D3" w14:textId="711A1876" w:rsidR="00D24507" w:rsidRDefault="00D24507" w:rsidP="00D24507">
      <w:pPr>
        <w:pStyle w:val="Heading2"/>
        <w:jc w:val="both"/>
      </w:pPr>
      <w:bookmarkStart w:id="48" w:name="_Toc66807921"/>
      <w:r>
        <w:t>Other Relevant Data</w:t>
      </w:r>
      <w:bookmarkEnd w:id="47"/>
      <w:bookmarkEnd w:id="48"/>
    </w:p>
    <w:p w14:paraId="3C1405F1" w14:textId="77777777" w:rsidR="00D24507" w:rsidRDefault="00D24507" w:rsidP="00D24507">
      <w:pPr>
        <w:pStyle w:val="Heading3"/>
      </w:pPr>
      <w:bookmarkStart w:id="49" w:name="_Toc47639989"/>
      <w:bookmarkStart w:id="50" w:name="_Toc66807922"/>
      <w:bookmarkStart w:id="51" w:name="_Hlk50027370"/>
      <w:r>
        <w:t>Communities of Opportunity</w:t>
      </w:r>
      <w:bookmarkEnd w:id="49"/>
      <w:bookmarkEnd w:id="50"/>
    </w:p>
    <w:p w14:paraId="6734C3AB" w14:textId="272DCC7F" w:rsidR="00D24507" w:rsidRPr="00B70E5E" w:rsidRDefault="00D24507" w:rsidP="00D24507">
      <w:pPr>
        <w:spacing w:before="240"/>
        <w:jc w:val="both"/>
      </w:pPr>
      <w:r w:rsidRPr="00B70E5E">
        <w:t>A large body of social research has demonstrated the powerful negative effects of residential segregation on income and opportunity for minority families, which are commonly concentrated in communities “characterized by older housing stock, slow growth, and low tax bases – the resources that support public services and schools.”  Households living in lower-income areas of racial and ethnic concentration have fewer opportunities for education, wealth building, and employment. The rationale for this analysis is to help communities determine where to invest housing resources by pinpointing the areas of greatest existing need. However, current evidence suggests that adding more subsidized housing to places that already have a high concentration of social and economic issues (i.e.</w:t>
      </w:r>
      <w:r w:rsidR="00DD205C">
        <w:t>,</w:t>
      </w:r>
      <w:r w:rsidRPr="00B70E5E">
        <w:t xml:space="preserve"> R/ECAPs) could be counter-productive and not meet the spirit of the goals of HUD programs. This does not mean, however, that R/ECAPs should be ignored by communities. Residents in R/ECAPs still need services and high-quality places to live and stabilizing and improving conditions in the lowest-income neighborhoods remains a key priority for </w:t>
      </w:r>
      <w:r>
        <w:t>North Carolina</w:t>
      </w:r>
      <w:r w:rsidRPr="00B70E5E">
        <w:t>. Rather, investment should be balanced between existing R/ECAPs (improving the quality of life for residents who want to remain in their neighborhoods) and other communities that offer opportunities and advantages for families and individuals.</w:t>
      </w:r>
    </w:p>
    <w:p w14:paraId="6E435E25" w14:textId="77777777" w:rsidR="00D24507" w:rsidRPr="00B70E5E" w:rsidRDefault="00D24507" w:rsidP="00D24507">
      <w:pPr>
        <w:spacing w:before="240"/>
        <w:jc w:val="both"/>
      </w:pPr>
      <w:r w:rsidRPr="00B70E5E">
        <w:t xml:space="preserve">The Communities of Opportunity model is highly spatial and therefore map-based, generating a geographic footprint of inequality. The process of creating opportunity maps involves building a set of indicators that reflect local issues and are also based on research that validates the connections between the indicators and increased opportunity. The resulting maps allow communities to analyze opportunity, comprehensively and comparatively, to communicate who has access to opportunity-rich areas and who does not, and to understand what needs to be </w:t>
      </w:r>
      <w:r w:rsidRPr="00B70E5E">
        <w:lastRenderedPageBreak/>
        <w:t>remedied in opportunity-poor communities. The combination of identifying R/ECAPs and Communities of Opportunity creates a holistic approach to community investment.</w:t>
      </w:r>
    </w:p>
    <w:p w14:paraId="297FA848" w14:textId="6721E400" w:rsidR="00D24507" w:rsidRDefault="00D24507" w:rsidP="00D24507">
      <w:pPr>
        <w:spacing w:before="240"/>
        <w:jc w:val="both"/>
      </w:pPr>
      <w:r w:rsidRPr="00B70E5E">
        <w:t xml:space="preserve">An Opportunity Index was developed to classify and visualize areas of opportunity for </w:t>
      </w:r>
      <w:r w:rsidR="00367238">
        <w:t>North Carolina</w:t>
      </w:r>
      <w:r w:rsidRPr="00B70E5E">
        <w:t xml:space="preserve"> residents. The Opportunity Index identifies areas in which new affordable housing developments may be more financially feasible in the long-term due to proximity to factors that allow residents to have successful access to employment, quality education, and a healthy environment. The data is linearly normalized to values between 0 and 1, after which census tracts are classified as having High Opportunity if they have a score above the median and Low Opportunity if they have a score below the median. The variables and weight for each index are summarized in the table below, followed by a more detailed description of each index</w:t>
      </w:r>
      <w:r>
        <w:t>.</w:t>
      </w:r>
    </w:p>
    <w:p w14:paraId="216788EE" w14:textId="77777777" w:rsidR="00D24507" w:rsidRPr="00B70E5E" w:rsidRDefault="00D24507" w:rsidP="00D24507">
      <w:pPr>
        <w:pStyle w:val="Heading4"/>
        <w:spacing w:before="240"/>
      </w:pPr>
      <w:bookmarkStart w:id="52" w:name="_Toc28595941"/>
      <w:bookmarkStart w:id="53" w:name="_Toc39843467"/>
      <w:r w:rsidRPr="00B70E5E">
        <w:t>School Proficiency Index</w:t>
      </w:r>
      <w:bookmarkEnd w:id="52"/>
      <w:bookmarkEnd w:id="53"/>
      <w:r w:rsidRPr="00B70E5E">
        <w:t xml:space="preserve"> </w:t>
      </w:r>
    </w:p>
    <w:p w14:paraId="1BFCE3D6" w14:textId="77777777" w:rsidR="00D24507" w:rsidRDefault="00D24507" w:rsidP="00D24507">
      <w:pPr>
        <w:spacing w:after="240"/>
      </w:pPr>
      <w:r w:rsidRPr="007128DA">
        <w:t xml:space="preserve">The </w:t>
      </w:r>
      <w:r>
        <w:t>S</w:t>
      </w:r>
      <w:r w:rsidRPr="007128DA">
        <w:t xml:space="preserve">chool </w:t>
      </w:r>
      <w:r>
        <w:t>P</w:t>
      </w:r>
      <w:r w:rsidRPr="007128DA">
        <w:t xml:space="preserve">roficiency </w:t>
      </w:r>
      <w:r>
        <w:t>I</w:t>
      </w:r>
      <w:r w:rsidRPr="007128DA">
        <w:t xml:space="preserve">ndex uses </w:t>
      </w:r>
      <w:r>
        <w:t xml:space="preserve">public </w:t>
      </w:r>
      <w:r w:rsidRPr="007128DA">
        <w:t xml:space="preserve">school-level data on the performance students on state exams to describe which neighborhoods have high-performing elementary </w:t>
      </w:r>
      <w:r>
        <w:t xml:space="preserve">and secondary </w:t>
      </w:r>
      <w:r w:rsidRPr="007128DA">
        <w:t xml:space="preserve">schools nearby and which are near lower performing elementary schools. </w:t>
      </w:r>
      <w:r>
        <w:t>This data is supplied by the US Department of Education through ED</w:t>
      </w:r>
      <w:r w:rsidRPr="000013A0">
        <w:rPr>
          <w:i/>
          <w:iCs/>
        </w:rPr>
        <w:t>Facts</w:t>
      </w:r>
      <w:r>
        <w:t xml:space="preserve"> for the school year (SY) 2017-18, providing the percentage of students in a school that scored at or above “proficient,” which is defined by the </w:t>
      </w:r>
      <w:r w:rsidRPr="00AB09FF">
        <w:t>North Carolina Department of Public Instruction (NC DPI)</w:t>
      </w:r>
      <w:r>
        <w:t xml:space="preserve"> for the State. The index aggregates the percentage of proficient students at the school district level for Reading/Language Arts and Math assessments, normalizes these scores relative to other school districts within North Carolina, and overlaid on North Carolina county boundaries.</w:t>
      </w:r>
      <w:r w:rsidRPr="007128DA">
        <w:t xml:space="preserve"> </w:t>
      </w:r>
      <w:r>
        <w:t>Some local education agencies have suppressed their data to protect student privacy; as a result, they are not reflected on the map.</w:t>
      </w:r>
    </w:p>
    <w:p w14:paraId="4FBD4642" w14:textId="0A7A341B" w:rsidR="00D24507" w:rsidRDefault="00D24507" w:rsidP="00D24507">
      <w:pPr>
        <w:spacing w:before="240" w:after="240"/>
        <w:jc w:val="both"/>
      </w:pPr>
      <w:r w:rsidRPr="00AB09FF">
        <w:t xml:space="preserve">Generally, urban metropolitan areas had higher performing schools, including school districts in and around Ashville, Charlotte, Wake County, and Wilmington. The lowest performing school districts </w:t>
      </w:r>
      <w:proofErr w:type="gramStart"/>
      <w:r w:rsidRPr="00AB09FF">
        <w:t>are located in</w:t>
      </w:r>
      <w:proofErr w:type="gramEnd"/>
      <w:r w:rsidRPr="00AB09FF">
        <w:t xml:space="preserve"> the rural Coastal Plains.   </w:t>
      </w:r>
    </w:p>
    <w:p w14:paraId="2B3D30B0" w14:textId="0004BA2A" w:rsidR="00D24507" w:rsidRDefault="006C2106" w:rsidP="00D24507">
      <w:pPr>
        <w:pStyle w:val="Caption"/>
      </w:pPr>
      <w:r w:rsidRPr="0068261E">
        <w:rPr>
          <w:noProof/>
        </w:rPr>
        <w:drawing>
          <wp:anchor distT="0" distB="0" distL="114300" distR="114300" simplePos="0" relativeHeight="251681792" behindDoc="0" locked="0" layoutInCell="1" allowOverlap="1" wp14:anchorId="7B2478B2" wp14:editId="5A05C957">
            <wp:simplePos x="0" y="0"/>
            <wp:positionH relativeFrom="margin">
              <wp:align>right</wp:align>
            </wp:positionH>
            <wp:positionV relativeFrom="paragraph">
              <wp:posOffset>161925</wp:posOffset>
            </wp:positionV>
            <wp:extent cx="5934710" cy="2967355"/>
            <wp:effectExtent l="0" t="0" r="8890" b="444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507">
        <w:t xml:space="preserve">Map </w:t>
      </w:r>
      <w:fldSimple w:instr=" SEQ Map \* ARABIC ">
        <w:r w:rsidR="0055251A">
          <w:rPr>
            <w:noProof/>
          </w:rPr>
          <w:t>22</w:t>
        </w:r>
      </w:fldSimple>
      <w:r w:rsidR="00D24507">
        <w:t xml:space="preserve"> School Proficiency Index, 2017-2018</w:t>
      </w:r>
    </w:p>
    <w:p w14:paraId="65819A31" w14:textId="70ED69FC" w:rsidR="00D24507" w:rsidRPr="0068261E" w:rsidRDefault="00D24507" w:rsidP="00D24507">
      <w:pPr>
        <w:rPr>
          <w:sz w:val="16"/>
          <w:szCs w:val="16"/>
        </w:rPr>
      </w:pPr>
      <w:r w:rsidRPr="0068261E">
        <w:rPr>
          <w:sz w:val="16"/>
          <w:szCs w:val="16"/>
        </w:rPr>
        <w:t>Source: U.S. Department of Education, ED</w:t>
      </w:r>
      <w:r w:rsidRPr="0068261E">
        <w:rPr>
          <w:i/>
          <w:iCs/>
          <w:sz w:val="16"/>
          <w:szCs w:val="16"/>
        </w:rPr>
        <w:t>Facts</w:t>
      </w:r>
      <w:r>
        <w:rPr>
          <w:i/>
          <w:iCs/>
          <w:sz w:val="16"/>
          <w:szCs w:val="16"/>
        </w:rPr>
        <w:t xml:space="preserve">, </w:t>
      </w:r>
      <w:r>
        <w:rPr>
          <w:sz w:val="16"/>
          <w:szCs w:val="16"/>
        </w:rPr>
        <w:t>2017-2018</w:t>
      </w:r>
    </w:p>
    <w:p w14:paraId="383DBBDD" w14:textId="1A34B569" w:rsidR="00D24507" w:rsidRDefault="00D24507" w:rsidP="00D24507">
      <w:pPr>
        <w:pStyle w:val="Heading4"/>
        <w:spacing w:before="240"/>
      </w:pPr>
      <w:r>
        <w:lastRenderedPageBreak/>
        <w:t xml:space="preserve">Labor </w:t>
      </w:r>
      <w:r w:rsidR="006C2106">
        <w:t xml:space="preserve">Market </w:t>
      </w:r>
      <w:r>
        <w:t>Engagement Index</w:t>
      </w:r>
    </w:p>
    <w:p w14:paraId="335CDA50" w14:textId="4AF1C3E0" w:rsidR="00D24507" w:rsidRDefault="00D24507" w:rsidP="00D24507">
      <w:pPr>
        <w:spacing w:before="240" w:after="240"/>
        <w:jc w:val="both"/>
      </w:pPr>
      <w:r>
        <w:t>The Labor Force Engagement Index is a measure of the relative intensity of labor market engagement and human capital. The index is a combination of unemployment rates, labor force participation rates,</w:t>
      </w:r>
      <w:r w:rsidR="000941DB">
        <w:t xml:space="preserve"> mean commuting time,</w:t>
      </w:r>
      <w:r>
        <w:t xml:space="preserve"> and percent of the population with at least a bachelor’s degree within a census tract. Employment opportunities are necessary for individuals to afford stable housing. Labor force participation represents the amount of labor resources available for the production for goods and services.</w:t>
      </w:r>
      <w:r w:rsidR="000941DB">
        <w:t xml:space="preserve"> Mean commuting time indicates ease of access to centers of employment.</w:t>
      </w:r>
      <w:r>
        <w:t xml:space="preserve"> The percent of the population with at least a bachelor’s degree is used to estimate the availability of skilled </w:t>
      </w:r>
      <w:r w:rsidRPr="00B93C6F">
        <w:t>labor. The lowest scores are primarily located in the rural Inner Coastal Plains. The highest scores can be found in the larger metropolitan areas and most of the Tidewater region. While Hyde County shows the lowest levels of opportunity in the Tidewater region, this is likely a result of its very low population.</w:t>
      </w:r>
      <w:r>
        <w:t xml:space="preserve">  </w:t>
      </w:r>
    </w:p>
    <w:p w14:paraId="283FE9B2" w14:textId="32AE8796" w:rsidR="00D24507" w:rsidRPr="00350CB1" w:rsidRDefault="00D24507" w:rsidP="0039740D">
      <w:pPr>
        <w:pStyle w:val="Caption"/>
        <w:spacing w:after="240"/>
      </w:pPr>
      <w:r>
        <w:rPr>
          <w:noProof/>
        </w:rPr>
        <w:drawing>
          <wp:anchor distT="0" distB="0" distL="114300" distR="114300" simplePos="0" relativeHeight="251683840" behindDoc="0" locked="0" layoutInCell="1" allowOverlap="1" wp14:anchorId="010642A4" wp14:editId="7B054417">
            <wp:simplePos x="0" y="0"/>
            <wp:positionH relativeFrom="margin">
              <wp:align>right</wp:align>
            </wp:positionH>
            <wp:positionV relativeFrom="paragraph">
              <wp:posOffset>195718</wp:posOffset>
            </wp:positionV>
            <wp:extent cx="5934710" cy="2967355"/>
            <wp:effectExtent l="0" t="0" r="8890" b="444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23</w:t>
        </w:r>
      </w:fldSimple>
      <w:r>
        <w:t xml:space="preserve"> Labor </w:t>
      </w:r>
      <w:r w:rsidR="000941DB">
        <w:t xml:space="preserve">Market </w:t>
      </w:r>
      <w:r>
        <w:t>Engagement Index, 2018</w:t>
      </w:r>
      <w:r w:rsidRPr="00B93C6F">
        <w:t xml:space="preserve"> </w:t>
      </w:r>
      <w:r>
        <w:t>S</w:t>
      </w:r>
      <w:r w:rsidRPr="00104C93">
        <w:t>ource: 2018 American Community Survey:</w:t>
      </w:r>
      <w:r w:rsidR="00667ADC">
        <w:t xml:space="preserve"> DP03,</w:t>
      </w:r>
      <w:r>
        <w:t xml:space="preserve"> S1501, S2301</w:t>
      </w:r>
    </w:p>
    <w:p w14:paraId="36F52C8E" w14:textId="77777777" w:rsidR="00D24507" w:rsidRDefault="00D24507" w:rsidP="00D24507">
      <w:pPr>
        <w:spacing w:after="160" w:line="276" w:lineRule="auto"/>
        <w:rPr>
          <w:rFonts w:asciiTheme="majorHAnsi" w:eastAsiaTheme="majorEastAsia" w:hAnsiTheme="majorHAnsi" w:cstheme="majorBidi"/>
          <w:i/>
          <w:iCs/>
          <w:color w:val="833C0B" w:themeColor="accent2" w:themeShade="80"/>
          <w:sz w:val="28"/>
          <w:szCs w:val="28"/>
        </w:rPr>
      </w:pPr>
      <w:r>
        <w:br w:type="page"/>
      </w:r>
    </w:p>
    <w:p w14:paraId="76BB03B9" w14:textId="77777777" w:rsidR="00D24507" w:rsidRDefault="00D24507" w:rsidP="00D24507">
      <w:pPr>
        <w:pStyle w:val="Heading4"/>
        <w:spacing w:before="240"/>
      </w:pPr>
      <w:r>
        <w:lastRenderedPageBreak/>
        <w:t>Environmental Health Index</w:t>
      </w:r>
    </w:p>
    <w:p w14:paraId="7F8ABCA0" w14:textId="0641DA1B" w:rsidR="00D24507" w:rsidRDefault="00D24507" w:rsidP="00D24507">
      <w:pPr>
        <w:spacing w:before="240" w:after="240"/>
        <w:jc w:val="both"/>
      </w:pPr>
      <w:r>
        <w:t>The Environmental Health Index summarizes potential exposure to harmful toxins</w:t>
      </w:r>
      <w:r w:rsidR="00BB2B97">
        <w:t xml:space="preserve"> and access to health insurance and food</w:t>
      </w:r>
      <w:r>
        <w:t xml:space="preserve"> at the census tract level. Toxins include carcinogenic, respiratory, and neurological hazards. </w:t>
      </w:r>
      <w:r w:rsidR="00BB2B97">
        <w:t>Low food access was defined as the percentage of low</w:t>
      </w:r>
      <w:r w:rsidR="00B85FBD">
        <w:t>-</w:t>
      </w:r>
      <w:r w:rsidR="00BB2B97">
        <w:t xml:space="preserve">income individuals beyond a half-mile from a supermarket. </w:t>
      </w:r>
      <w:r>
        <w:t>Higher index values indicate less exposure to toxins harmful to human health</w:t>
      </w:r>
      <w:r w:rsidR="00BB2B97">
        <w:t xml:space="preserve"> and better access to food for low-income individuals and health insurance</w:t>
      </w:r>
      <w:r>
        <w:t xml:space="preserve">. Environmental hazards have an adverse effect on children’s growth and development and can limit one’s ability to work. Low-income and minority individuals are also found to be disproportionately affected by environmental hazards, perpetuating the lack of opportunity for vulnerable populations. </w:t>
      </w:r>
      <w:r w:rsidRPr="00B93C6F">
        <w:t xml:space="preserve">The lowest environmental health scores are concentrated in urban metropolitan areas, likely a result of </w:t>
      </w:r>
      <w:r w:rsidR="00094550">
        <w:t>their location</w:t>
      </w:r>
      <w:r w:rsidR="00426BF7">
        <w:t xml:space="preserve"> in</w:t>
      </w:r>
      <w:r w:rsidRPr="00B93C6F">
        <w:t xml:space="preserve"> high traffic area</w:t>
      </w:r>
      <w:r w:rsidR="00426BF7">
        <w:t>s</w:t>
      </w:r>
      <w:r w:rsidR="00BB2B97">
        <w:t xml:space="preserve"> and having higher rates of poverty</w:t>
      </w:r>
      <w:r w:rsidRPr="00B93C6F">
        <w:t>.</w:t>
      </w:r>
      <w:r w:rsidR="00BB2B97">
        <w:t xml:space="preserve"> Areas in white had incomplete data in one of the three data sets used.</w:t>
      </w:r>
    </w:p>
    <w:p w14:paraId="1132E175" w14:textId="03AC910A" w:rsidR="007F3B15" w:rsidRDefault="00D40606" w:rsidP="00D24507">
      <w:pPr>
        <w:pStyle w:val="Caption"/>
      </w:pPr>
      <w:r>
        <w:rPr>
          <w:noProof/>
        </w:rPr>
        <w:drawing>
          <wp:anchor distT="0" distB="0" distL="114300" distR="114300" simplePos="0" relativeHeight="251682816" behindDoc="0" locked="0" layoutInCell="1" allowOverlap="1" wp14:anchorId="293239FF" wp14:editId="4D100799">
            <wp:simplePos x="0" y="0"/>
            <wp:positionH relativeFrom="margin">
              <wp:align>right</wp:align>
            </wp:positionH>
            <wp:positionV relativeFrom="paragraph">
              <wp:posOffset>171506</wp:posOffset>
            </wp:positionV>
            <wp:extent cx="5934710" cy="2967355"/>
            <wp:effectExtent l="0" t="0" r="8890" b="444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B15">
        <w:t xml:space="preserve">Map </w:t>
      </w:r>
      <w:fldSimple w:instr=" SEQ Map \* ARABIC ">
        <w:r w:rsidR="0055251A">
          <w:rPr>
            <w:noProof/>
          </w:rPr>
          <w:t>24</w:t>
        </w:r>
      </w:fldSimple>
      <w:r w:rsidR="007F3B15">
        <w:rPr>
          <w:noProof/>
        </w:rPr>
        <w:t xml:space="preserve"> Environmental Health Index</w:t>
      </w:r>
    </w:p>
    <w:p w14:paraId="092C2899" w14:textId="7D6DE00A" w:rsidR="00D24507" w:rsidRPr="00375BBC" w:rsidRDefault="00D24507" w:rsidP="007F3B15">
      <w:pPr>
        <w:pStyle w:val="Caption"/>
        <w:rPr>
          <w:b w:val="0"/>
          <w:bCs w:val="0"/>
          <w:highlight w:val="yellow"/>
        </w:rPr>
      </w:pPr>
      <w:r w:rsidRPr="00375BBC">
        <w:rPr>
          <w:b w:val="0"/>
          <w:bCs w:val="0"/>
        </w:rPr>
        <w:t>Source:</w:t>
      </w:r>
      <w:r w:rsidR="00BB2B97" w:rsidRPr="00375BBC">
        <w:rPr>
          <w:b w:val="0"/>
          <w:bCs w:val="0"/>
        </w:rPr>
        <w:t xml:space="preserve"> 2018 American Community Survey: S2701;</w:t>
      </w:r>
      <w:r w:rsidRPr="00375BBC">
        <w:rPr>
          <w:b w:val="0"/>
          <w:bCs w:val="0"/>
        </w:rPr>
        <w:t xml:space="preserve"> HUD Affirmatively Furthering Fair Housing (AFFH), 2015; National Air Toxics Assessment (NATA), 2015</w:t>
      </w:r>
      <w:r w:rsidR="00BB2B97" w:rsidRPr="00375BBC">
        <w:rPr>
          <w:b w:val="0"/>
          <w:bCs w:val="0"/>
        </w:rPr>
        <w:t>; USDA Food Access Research Atlas, 2015</w:t>
      </w:r>
    </w:p>
    <w:p w14:paraId="40FFD2DA" w14:textId="77777777" w:rsidR="00143C02" w:rsidRDefault="00143C02">
      <w:pPr>
        <w:spacing w:after="160" w:line="259" w:lineRule="auto"/>
        <w:rPr>
          <w:rFonts w:asciiTheme="majorHAnsi" w:eastAsiaTheme="majorEastAsia" w:hAnsiTheme="majorHAnsi" w:cstheme="majorBidi"/>
          <w:i/>
          <w:iCs/>
          <w:color w:val="833C0B" w:themeColor="accent2" w:themeShade="80"/>
          <w:sz w:val="28"/>
          <w:szCs w:val="28"/>
        </w:rPr>
      </w:pPr>
      <w:r>
        <w:br w:type="page"/>
      </w:r>
    </w:p>
    <w:p w14:paraId="7E1E2A2E" w14:textId="55DF90EE" w:rsidR="00D24507" w:rsidRDefault="006C2106" w:rsidP="00D24507">
      <w:pPr>
        <w:pStyle w:val="Heading4"/>
        <w:spacing w:before="240"/>
      </w:pPr>
      <w:r>
        <w:lastRenderedPageBreak/>
        <w:t xml:space="preserve">Prosperity </w:t>
      </w:r>
      <w:r w:rsidR="00D24507">
        <w:t>Index</w:t>
      </w:r>
    </w:p>
    <w:p w14:paraId="6645142E" w14:textId="77777777" w:rsidR="00D24507" w:rsidRDefault="00D24507" w:rsidP="00D24507">
      <w:pPr>
        <w:spacing w:before="240"/>
        <w:jc w:val="both"/>
      </w:pPr>
      <w:r>
        <w:t>This index is a combination of poverty rate and the percentage of households with children receiving public assistance. Public assistance includes Supplemental Security Income (SSI), cash public assistance income, or Food Stamps/SNAP. Poverty has lasting effects that can impact a wide range of factors, including public education primarily funded by the local community, job opportunities, and the ability to afford quality housing</w:t>
      </w:r>
      <w:r w:rsidRPr="00143C3B">
        <w:t>. Poverty tended to be most concentrated in the rural Inner Coastal Plains region.</w:t>
      </w:r>
      <w:r>
        <w:t xml:space="preserve"> Urban areas and the Tidewater region showed the lowest concentrations of poverty and receipt of public assistance.</w:t>
      </w:r>
    </w:p>
    <w:p w14:paraId="03241117" w14:textId="77777777" w:rsidR="00D24507" w:rsidRPr="00860CB1" w:rsidRDefault="00D24507" w:rsidP="00D24507">
      <w:pPr>
        <w:spacing w:before="240"/>
        <w:jc w:val="both"/>
      </w:pPr>
    </w:p>
    <w:bookmarkEnd w:id="51"/>
    <w:p w14:paraId="19B053CF" w14:textId="453B7973" w:rsidR="00D24507" w:rsidRDefault="00D24507" w:rsidP="00D24507">
      <w:pPr>
        <w:pStyle w:val="Caption"/>
      </w:pPr>
      <w:r w:rsidRPr="00B93C6F">
        <w:rPr>
          <w:b w:val="0"/>
          <w:bCs w:val="0"/>
          <w:noProof/>
        </w:rPr>
        <w:drawing>
          <wp:anchor distT="0" distB="0" distL="114300" distR="114300" simplePos="0" relativeHeight="251684864" behindDoc="0" locked="0" layoutInCell="1" allowOverlap="1" wp14:anchorId="014E1080" wp14:editId="2ADBB75F">
            <wp:simplePos x="0" y="0"/>
            <wp:positionH relativeFrom="column">
              <wp:posOffset>0</wp:posOffset>
            </wp:positionH>
            <wp:positionV relativeFrom="paragraph">
              <wp:posOffset>121285</wp:posOffset>
            </wp:positionV>
            <wp:extent cx="5934710" cy="2967355"/>
            <wp:effectExtent l="0" t="0" r="8890" b="444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25</w:t>
        </w:r>
      </w:fldSimple>
      <w:r>
        <w:t xml:space="preserve"> </w:t>
      </w:r>
      <w:r w:rsidR="006C2106">
        <w:t xml:space="preserve">Prosperity </w:t>
      </w:r>
      <w:r>
        <w:t>Index, 2018</w:t>
      </w:r>
    </w:p>
    <w:p w14:paraId="7BDC6468" w14:textId="1B1288B4" w:rsidR="00AE6A37" w:rsidRDefault="00D24507" w:rsidP="00D24507">
      <w:pPr>
        <w:rPr>
          <w:sz w:val="16"/>
          <w:szCs w:val="16"/>
        </w:rPr>
      </w:pPr>
      <w:r w:rsidRPr="002C5D4D">
        <w:rPr>
          <w:sz w:val="16"/>
          <w:szCs w:val="16"/>
        </w:rPr>
        <w:t>Source: 2018 American Community Survey: S1701, B09010</w:t>
      </w:r>
    </w:p>
    <w:bookmarkEnd w:id="1"/>
    <w:p w14:paraId="31131F35" w14:textId="45A10879" w:rsidR="003F5EBB" w:rsidRDefault="003F5EBB" w:rsidP="00D24507">
      <w:pPr>
        <w:rPr>
          <w:sz w:val="16"/>
          <w:szCs w:val="16"/>
        </w:rPr>
      </w:pPr>
    </w:p>
    <w:p w14:paraId="4DCEEA17" w14:textId="15F74FEC" w:rsidR="003F5EBB" w:rsidRDefault="003F5EBB">
      <w:pPr>
        <w:spacing w:after="160" w:line="259" w:lineRule="auto"/>
        <w:rPr>
          <w:sz w:val="16"/>
          <w:szCs w:val="16"/>
        </w:rPr>
      </w:pPr>
      <w:r>
        <w:rPr>
          <w:sz w:val="16"/>
          <w:szCs w:val="16"/>
        </w:rPr>
        <w:br w:type="page"/>
      </w:r>
    </w:p>
    <w:p w14:paraId="37649D02" w14:textId="77777777" w:rsidR="003F5EBB" w:rsidRPr="003F5EBB" w:rsidRDefault="003F5EBB" w:rsidP="00F73E68">
      <w:pPr>
        <w:pStyle w:val="Heading3"/>
      </w:pPr>
      <w:bookmarkStart w:id="54" w:name="_Toc47639990"/>
      <w:bookmarkStart w:id="55" w:name="_Toc66807923"/>
      <w:r w:rsidRPr="003F5EBB">
        <w:lastRenderedPageBreak/>
        <w:t>Location of Assisted Inventory in Opportunity Areas</w:t>
      </w:r>
      <w:bookmarkEnd w:id="54"/>
      <w:bookmarkEnd w:id="55"/>
    </w:p>
    <w:p w14:paraId="4B53F7F6" w14:textId="3BFBAFBE" w:rsidR="00B75AF1" w:rsidRPr="00B75AF1" w:rsidRDefault="00B75AF1" w:rsidP="0026681C">
      <w:pPr>
        <w:rPr>
          <w:rFonts w:eastAsiaTheme="minorEastAsia"/>
        </w:rPr>
      </w:pPr>
      <w:r w:rsidRPr="00B75AF1">
        <w:rPr>
          <w:rFonts w:eastAsiaTheme="minorEastAsia"/>
        </w:rPr>
        <w:t xml:space="preserve">One way to utilize the Communities of Opportunity model is to evaluate the degree to which the State’s assisted housing investment has been </w:t>
      </w:r>
      <w:r w:rsidR="000F0C40">
        <w:rPr>
          <w:rFonts w:eastAsiaTheme="minorEastAsia"/>
        </w:rPr>
        <w:t>made</w:t>
      </w:r>
      <w:r w:rsidRPr="00B75AF1">
        <w:rPr>
          <w:rFonts w:eastAsiaTheme="minorEastAsia"/>
        </w:rPr>
        <w:t xml:space="preserve"> in higher opportunity areas. The assisted inventory includes rental properties funded through federal subsidy programs such as the Low-Income Housing Tax Credit (LIHTC) program, HOME, </w:t>
      </w:r>
      <w:r w:rsidR="0026681C">
        <w:rPr>
          <w:rFonts w:eastAsiaTheme="minorEastAsia"/>
        </w:rPr>
        <w:t xml:space="preserve">federal </w:t>
      </w:r>
      <w:r w:rsidRPr="00B75AF1">
        <w:rPr>
          <w:rFonts w:eastAsiaTheme="minorEastAsia"/>
        </w:rPr>
        <w:t xml:space="preserve">Housing Trust </w:t>
      </w:r>
      <w:proofErr w:type="gramStart"/>
      <w:r w:rsidRPr="00B75AF1">
        <w:rPr>
          <w:rFonts w:eastAsiaTheme="minorEastAsia"/>
        </w:rPr>
        <w:t>Fund</w:t>
      </w:r>
      <w:proofErr w:type="gramEnd"/>
      <w:r w:rsidRPr="00B75AF1">
        <w:rPr>
          <w:rFonts w:eastAsiaTheme="minorEastAsia"/>
        </w:rPr>
        <w:t xml:space="preserve"> and other federal and State resources.</w:t>
      </w:r>
    </w:p>
    <w:p w14:paraId="7B5C1097" w14:textId="77777777" w:rsidR="0026681C" w:rsidRDefault="0026681C" w:rsidP="0026681C">
      <w:pPr>
        <w:rPr>
          <w:rFonts w:eastAsiaTheme="minorEastAsia"/>
        </w:rPr>
      </w:pPr>
    </w:p>
    <w:p w14:paraId="6F5C683D" w14:textId="1E954ED5" w:rsidR="00B75AF1" w:rsidRDefault="00B75AF1" w:rsidP="0026681C">
      <w:pPr>
        <w:rPr>
          <w:rFonts w:eastAsiaTheme="minorEastAsia"/>
        </w:rPr>
      </w:pPr>
      <w:r w:rsidRPr="00B75AF1">
        <w:rPr>
          <w:rFonts w:eastAsiaTheme="minorEastAsia"/>
        </w:rPr>
        <w:t>Assisted housing in North Carolina appeared to be distributed relative to an area’s population size; almost 40% of the entire assisted inventory is in</w:t>
      </w:r>
      <w:r w:rsidR="003D271D">
        <w:rPr>
          <w:rFonts w:eastAsiaTheme="minorEastAsia"/>
        </w:rPr>
        <w:t xml:space="preserve"> found in the </w:t>
      </w:r>
      <w:r w:rsidRPr="00B75AF1">
        <w:rPr>
          <w:rFonts w:eastAsiaTheme="minorEastAsia"/>
        </w:rPr>
        <w:t xml:space="preserve">seven largest counties near their urban centers. These areas tend to have better access to opportunities such as employment centers, public transit, and high-performing school districts. Conversely, special attention should be made to assisted housing in low opportunity areas, especially in the Inner Coastal Plains. It is possible that current programs do not give low- and moderate-income households a wider variety of housing options in these areas. </w:t>
      </w:r>
    </w:p>
    <w:p w14:paraId="052730F4" w14:textId="77777777" w:rsidR="0026681C" w:rsidRPr="00B75AF1" w:rsidRDefault="0026681C" w:rsidP="0026681C">
      <w:pPr>
        <w:rPr>
          <w:rFonts w:eastAsiaTheme="minorEastAsia"/>
        </w:rPr>
      </w:pPr>
    </w:p>
    <w:p w14:paraId="4717DE20" w14:textId="5451190A" w:rsidR="00B75AF1" w:rsidRPr="00D40606" w:rsidRDefault="00B75AF1" w:rsidP="00B75AF1">
      <w:pPr>
        <w:rPr>
          <w:rFonts w:eastAsiaTheme="minorEastAsia"/>
          <w:b/>
          <w:bCs/>
          <w:sz w:val="16"/>
          <w:szCs w:val="16"/>
        </w:rPr>
      </w:pPr>
      <w:r w:rsidRPr="00D40606">
        <w:rPr>
          <w:rFonts w:eastAsiaTheme="minorEastAsia"/>
          <w:b/>
          <w:bCs/>
          <w:sz w:val="16"/>
          <w:szCs w:val="16"/>
        </w:rPr>
        <w:t xml:space="preserve">Table </w:t>
      </w:r>
      <w:r w:rsidRPr="00D40606">
        <w:rPr>
          <w:rFonts w:eastAsiaTheme="minorEastAsia"/>
          <w:b/>
          <w:bCs/>
          <w:sz w:val="16"/>
          <w:szCs w:val="16"/>
        </w:rPr>
        <w:fldChar w:fldCharType="begin"/>
      </w:r>
      <w:r w:rsidRPr="00D40606">
        <w:rPr>
          <w:rFonts w:eastAsiaTheme="minorEastAsia"/>
          <w:b/>
          <w:bCs/>
          <w:sz w:val="16"/>
          <w:szCs w:val="16"/>
        </w:rPr>
        <w:instrText xml:space="preserve"> SEQ Table \* ARABIC </w:instrText>
      </w:r>
      <w:r w:rsidRPr="00D40606">
        <w:rPr>
          <w:rFonts w:eastAsiaTheme="minorEastAsia"/>
          <w:b/>
          <w:bCs/>
          <w:sz w:val="16"/>
          <w:szCs w:val="16"/>
        </w:rPr>
        <w:fldChar w:fldCharType="separate"/>
      </w:r>
      <w:r w:rsidR="0055251A">
        <w:rPr>
          <w:rFonts w:eastAsiaTheme="minorEastAsia"/>
          <w:b/>
          <w:bCs/>
          <w:noProof/>
          <w:sz w:val="16"/>
          <w:szCs w:val="16"/>
        </w:rPr>
        <w:t>20</w:t>
      </w:r>
      <w:r w:rsidRPr="00D40606">
        <w:rPr>
          <w:rFonts w:eastAsiaTheme="minorEastAsia"/>
          <w:sz w:val="16"/>
          <w:szCs w:val="16"/>
        </w:rPr>
        <w:fldChar w:fldCharType="end"/>
      </w:r>
      <w:r w:rsidRPr="00D40606">
        <w:rPr>
          <w:rFonts w:eastAsiaTheme="minorEastAsia"/>
          <w:b/>
          <w:bCs/>
          <w:sz w:val="16"/>
          <w:szCs w:val="16"/>
        </w:rPr>
        <w:t xml:space="preserve"> Assisted Inventory in North Carolina by County, 2020</w:t>
      </w:r>
    </w:p>
    <w:tbl>
      <w:tblPr>
        <w:tblW w:w="9283" w:type="dxa"/>
        <w:tblLook w:val="04A0" w:firstRow="1" w:lastRow="0" w:firstColumn="1" w:lastColumn="0" w:noHBand="0" w:noVBand="1"/>
      </w:tblPr>
      <w:tblGrid>
        <w:gridCol w:w="2429"/>
        <w:gridCol w:w="2536"/>
        <w:gridCol w:w="1890"/>
        <w:gridCol w:w="1503"/>
        <w:gridCol w:w="925"/>
      </w:tblGrid>
      <w:tr w:rsidR="00B75AF1" w:rsidRPr="00B75AF1" w14:paraId="648552E3" w14:textId="77777777" w:rsidTr="00841CDA">
        <w:trPr>
          <w:trHeight w:val="248"/>
          <w:tblHeader/>
        </w:trPr>
        <w:tc>
          <w:tcPr>
            <w:tcW w:w="2429" w:type="dxa"/>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79B1561A" w14:textId="77777777" w:rsidR="00B75AF1" w:rsidRPr="00D960DB" w:rsidRDefault="00B75AF1" w:rsidP="00B75AF1">
            <w:pPr>
              <w:rPr>
                <w:rFonts w:eastAsiaTheme="minorEastAsia"/>
                <w:b/>
                <w:bCs/>
                <w:sz w:val="20"/>
                <w:szCs w:val="20"/>
              </w:rPr>
            </w:pPr>
            <w:r w:rsidRPr="00D960DB">
              <w:rPr>
                <w:rFonts w:eastAsiaTheme="minorEastAsia"/>
                <w:b/>
                <w:bCs/>
                <w:sz w:val="20"/>
                <w:szCs w:val="20"/>
              </w:rPr>
              <w:t>Jurisdiction</w:t>
            </w:r>
          </w:p>
        </w:tc>
        <w:tc>
          <w:tcPr>
            <w:tcW w:w="2536" w:type="dxa"/>
            <w:tcBorders>
              <w:top w:val="single" w:sz="4" w:space="0" w:color="auto"/>
              <w:left w:val="nil"/>
              <w:bottom w:val="single" w:sz="4" w:space="0" w:color="auto"/>
              <w:right w:val="single" w:sz="4" w:space="0" w:color="auto"/>
            </w:tcBorders>
            <w:shd w:val="clear" w:color="auto" w:fill="4472C4"/>
            <w:noWrap/>
            <w:vAlign w:val="bottom"/>
            <w:hideMark/>
          </w:tcPr>
          <w:p w14:paraId="2341138A" w14:textId="4B2578B1" w:rsidR="00B75AF1" w:rsidRPr="00D960DB" w:rsidRDefault="00B75AF1" w:rsidP="00F75FF9">
            <w:pPr>
              <w:jc w:val="center"/>
              <w:rPr>
                <w:rFonts w:eastAsiaTheme="minorEastAsia"/>
                <w:b/>
                <w:bCs/>
                <w:sz w:val="20"/>
                <w:szCs w:val="20"/>
              </w:rPr>
            </w:pPr>
            <w:r w:rsidRPr="00D960DB">
              <w:rPr>
                <w:rFonts w:eastAsiaTheme="minorEastAsia"/>
                <w:b/>
                <w:bCs/>
                <w:sz w:val="20"/>
                <w:szCs w:val="20"/>
              </w:rPr>
              <w:t>Assisted Properties</w:t>
            </w:r>
          </w:p>
        </w:tc>
        <w:tc>
          <w:tcPr>
            <w:tcW w:w="1890" w:type="dxa"/>
            <w:tcBorders>
              <w:top w:val="single" w:sz="4" w:space="0" w:color="auto"/>
              <w:left w:val="nil"/>
              <w:bottom w:val="single" w:sz="4" w:space="0" w:color="auto"/>
              <w:right w:val="single" w:sz="4" w:space="0" w:color="auto"/>
            </w:tcBorders>
            <w:shd w:val="clear" w:color="auto" w:fill="4472C4"/>
            <w:noWrap/>
            <w:vAlign w:val="bottom"/>
            <w:hideMark/>
          </w:tcPr>
          <w:p w14:paraId="129764C9" w14:textId="6078C206" w:rsidR="00B75AF1" w:rsidRPr="00D960DB" w:rsidRDefault="00B75AF1" w:rsidP="00F75FF9">
            <w:pPr>
              <w:jc w:val="center"/>
              <w:rPr>
                <w:rFonts w:eastAsiaTheme="minorEastAsia"/>
                <w:b/>
                <w:bCs/>
                <w:sz w:val="20"/>
                <w:szCs w:val="20"/>
              </w:rPr>
            </w:pPr>
            <w:r w:rsidRPr="00D960DB">
              <w:rPr>
                <w:rFonts w:eastAsiaTheme="minorEastAsia"/>
                <w:b/>
                <w:bCs/>
                <w:sz w:val="20"/>
                <w:szCs w:val="20"/>
              </w:rPr>
              <w:t>Assisted Units</w:t>
            </w:r>
          </w:p>
        </w:tc>
        <w:tc>
          <w:tcPr>
            <w:tcW w:w="1503" w:type="dxa"/>
            <w:tcBorders>
              <w:top w:val="single" w:sz="4" w:space="0" w:color="auto"/>
              <w:left w:val="nil"/>
              <w:bottom w:val="single" w:sz="4" w:space="0" w:color="auto"/>
              <w:right w:val="single" w:sz="4" w:space="0" w:color="auto"/>
            </w:tcBorders>
            <w:shd w:val="clear" w:color="auto" w:fill="4472C4"/>
            <w:noWrap/>
            <w:vAlign w:val="bottom"/>
            <w:hideMark/>
          </w:tcPr>
          <w:p w14:paraId="550229B7" w14:textId="77777777" w:rsidR="00B75AF1" w:rsidRPr="00D960DB" w:rsidRDefault="00B75AF1" w:rsidP="00C0151F">
            <w:pPr>
              <w:jc w:val="center"/>
              <w:rPr>
                <w:rFonts w:eastAsiaTheme="minorEastAsia"/>
                <w:b/>
                <w:bCs/>
                <w:sz w:val="20"/>
                <w:szCs w:val="20"/>
              </w:rPr>
            </w:pPr>
            <w:r w:rsidRPr="00D960DB">
              <w:rPr>
                <w:rFonts w:eastAsiaTheme="minorEastAsia"/>
                <w:b/>
                <w:bCs/>
                <w:sz w:val="20"/>
                <w:szCs w:val="20"/>
              </w:rPr>
              <w:t>% Properties</w:t>
            </w:r>
          </w:p>
        </w:tc>
        <w:tc>
          <w:tcPr>
            <w:tcW w:w="925" w:type="dxa"/>
            <w:tcBorders>
              <w:top w:val="single" w:sz="4" w:space="0" w:color="auto"/>
              <w:left w:val="nil"/>
              <w:bottom w:val="single" w:sz="4" w:space="0" w:color="auto"/>
              <w:right w:val="single" w:sz="4" w:space="0" w:color="auto"/>
            </w:tcBorders>
            <w:shd w:val="clear" w:color="auto" w:fill="4472C4"/>
            <w:noWrap/>
            <w:vAlign w:val="bottom"/>
            <w:hideMark/>
          </w:tcPr>
          <w:p w14:paraId="4F07423F" w14:textId="77777777" w:rsidR="00B75AF1" w:rsidRPr="00D960DB" w:rsidRDefault="00B75AF1" w:rsidP="00F75FF9">
            <w:pPr>
              <w:jc w:val="center"/>
              <w:rPr>
                <w:rFonts w:eastAsiaTheme="minorEastAsia"/>
                <w:b/>
                <w:bCs/>
                <w:sz w:val="20"/>
                <w:szCs w:val="20"/>
              </w:rPr>
            </w:pPr>
            <w:r w:rsidRPr="00D960DB">
              <w:rPr>
                <w:rFonts w:eastAsiaTheme="minorEastAsia"/>
                <w:b/>
                <w:bCs/>
                <w:sz w:val="20"/>
                <w:szCs w:val="20"/>
              </w:rPr>
              <w:t>% Units</w:t>
            </w:r>
          </w:p>
        </w:tc>
      </w:tr>
      <w:tr w:rsidR="00B75AF1" w:rsidRPr="00B75AF1" w14:paraId="7DE8257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B4C6E7"/>
            <w:noWrap/>
            <w:vAlign w:val="bottom"/>
            <w:hideMark/>
          </w:tcPr>
          <w:p w14:paraId="69C9ACCC" w14:textId="77777777" w:rsidR="00B75AF1" w:rsidRPr="00D960DB" w:rsidRDefault="00B75AF1" w:rsidP="00B75AF1">
            <w:pPr>
              <w:rPr>
                <w:rFonts w:eastAsiaTheme="minorEastAsia"/>
                <w:sz w:val="20"/>
                <w:szCs w:val="20"/>
              </w:rPr>
            </w:pPr>
            <w:r w:rsidRPr="00D960DB">
              <w:rPr>
                <w:rFonts w:eastAsiaTheme="minorEastAsia"/>
                <w:sz w:val="20"/>
                <w:szCs w:val="20"/>
              </w:rPr>
              <w:t>North Carolina</w:t>
            </w:r>
          </w:p>
        </w:tc>
        <w:tc>
          <w:tcPr>
            <w:tcW w:w="2536" w:type="dxa"/>
            <w:tcBorders>
              <w:top w:val="nil"/>
              <w:left w:val="nil"/>
              <w:bottom w:val="single" w:sz="4" w:space="0" w:color="auto"/>
              <w:right w:val="single" w:sz="4" w:space="0" w:color="auto"/>
            </w:tcBorders>
            <w:shd w:val="clear" w:color="auto" w:fill="B4C6E7"/>
            <w:noWrap/>
            <w:vAlign w:val="bottom"/>
            <w:hideMark/>
          </w:tcPr>
          <w:p w14:paraId="78F7023F" w14:textId="03022A7C" w:rsidR="00B75AF1" w:rsidRPr="00D960DB" w:rsidRDefault="00B75AF1" w:rsidP="00F75FF9">
            <w:pPr>
              <w:jc w:val="center"/>
              <w:rPr>
                <w:rFonts w:eastAsiaTheme="minorEastAsia"/>
                <w:sz w:val="20"/>
                <w:szCs w:val="20"/>
              </w:rPr>
            </w:pPr>
            <w:r w:rsidRPr="00D960DB">
              <w:rPr>
                <w:rFonts w:eastAsiaTheme="minorEastAsia"/>
                <w:sz w:val="20"/>
                <w:szCs w:val="20"/>
              </w:rPr>
              <w:t>3,020</w:t>
            </w:r>
          </w:p>
        </w:tc>
        <w:tc>
          <w:tcPr>
            <w:tcW w:w="1890" w:type="dxa"/>
            <w:tcBorders>
              <w:top w:val="nil"/>
              <w:left w:val="nil"/>
              <w:bottom w:val="single" w:sz="4" w:space="0" w:color="auto"/>
              <w:right w:val="single" w:sz="4" w:space="0" w:color="auto"/>
            </w:tcBorders>
            <w:shd w:val="clear" w:color="auto" w:fill="B4C6E7"/>
            <w:noWrap/>
            <w:vAlign w:val="bottom"/>
            <w:hideMark/>
          </w:tcPr>
          <w:p w14:paraId="371E198F" w14:textId="200F070A" w:rsidR="00B75AF1" w:rsidRPr="00D960DB" w:rsidRDefault="00B75AF1" w:rsidP="00F75FF9">
            <w:pPr>
              <w:jc w:val="center"/>
              <w:rPr>
                <w:rFonts w:eastAsiaTheme="minorEastAsia"/>
                <w:sz w:val="20"/>
                <w:szCs w:val="20"/>
              </w:rPr>
            </w:pPr>
            <w:r w:rsidRPr="00D960DB">
              <w:rPr>
                <w:rFonts w:eastAsiaTheme="minorEastAsia"/>
                <w:sz w:val="20"/>
                <w:szCs w:val="20"/>
              </w:rPr>
              <w:t>146,743</w:t>
            </w:r>
          </w:p>
        </w:tc>
        <w:tc>
          <w:tcPr>
            <w:tcW w:w="1503" w:type="dxa"/>
            <w:tcBorders>
              <w:top w:val="nil"/>
              <w:left w:val="nil"/>
              <w:bottom w:val="single" w:sz="4" w:space="0" w:color="auto"/>
              <w:right w:val="single" w:sz="4" w:space="0" w:color="auto"/>
            </w:tcBorders>
            <w:shd w:val="clear" w:color="auto" w:fill="B4C6E7"/>
            <w:noWrap/>
            <w:vAlign w:val="bottom"/>
            <w:hideMark/>
          </w:tcPr>
          <w:p w14:paraId="18C7415E" w14:textId="77777777" w:rsidR="00B75AF1" w:rsidRPr="00D960DB" w:rsidRDefault="00B75AF1" w:rsidP="00C0151F">
            <w:pPr>
              <w:jc w:val="center"/>
              <w:rPr>
                <w:rFonts w:eastAsiaTheme="minorEastAsia"/>
                <w:sz w:val="20"/>
                <w:szCs w:val="20"/>
              </w:rPr>
            </w:pPr>
            <w:r w:rsidRPr="00D960DB">
              <w:rPr>
                <w:rFonts w:eastAsiaTheme="minorEastAsia"/>
                <w:sz w:val="20"/>
                <w:szCs w:val="20"/>
              </w:rPr>
              <w:t>-</w:t>
            </w:r>
          </w:p>
        </w:tc>
        <w:tc>
          <w:tcPr>
            <w:tcW w:w="925" w:type="dxa"/>
            <w:tcBorders>
              <w:top w:val="nil"/>
              <w:left w:val="nil"/>
              <w:bottom w:val="single" w:sz="4" w:space="0" w:color="auto"/>
              <w:right w:val="single" w:sz="4" w:space="0" w:color="auto"/>
            </w:tcBorders>
            <w:shd w:val="clear" w:color="auto" w:fill="B4C6E7"/>
            <w:noWrap/>
            <w:vAlign w:val="bottom"/>
            <w:hideMark/>
          </w:tcPr>
          <w:p w14:paraId="2F237264" w14:textId="77777777" w:rsidR="00B75AF1" w:rsidRPr="00D960DB" w:rsidRDefault="00B75AF1" w:rsidP="00F75FF9">
            <w:pPr>
              <w:jc w:val="center"/>
              <w:rPr>
                <w:rFonts w:eastAsiaTheme="minorEastAsia"/>
                <w:sz w:val="20"/>
                <w:szCs w:val="20"/>
              </w:rPr>
            </w:pPr>
            <w:r w:rsidRPr="00D960DB">
              <w:rPr>
                <w:rFonts w:eastAsiaTheme="minorEastAsia"/>
                <w:sz w:val="20"/>
                <w:szCs w:val="20"/>
              </w:rPr>
              <w:t>-</w:t>
            </w:r>
          </w:p>
        </w:tc>
      </w:tr>
      <w:tr w:rsidR="00B75AF1" w:rsidRPr="00B75AF1" w14:paraId="2A61B43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DF33155" w14:textId="77777777" w:rsidR="00B75AF1" w:rsidRPr="00D960DB" w:rsidRDefault="00B75AF1" w:rsidP="00B75AF1">
            <w:pPr>
              <w:rPr>
                <w:rFonts w:eastAsiaTheme="minorEastAsia"/>
                <w:sz w:val="20"/>
                <w:szCs w:val="20"/>
              </w:rPr>
            </w:pPr>
            <w:r w:rsidRPr="00D960DB">
              <w:rPr>
                <w:rFonts w:eastAsiaTheme="minorEastAsia"/>
                <w:sz w:val="20"/>
                <w:szCs w:val="20"/>
              </w:rPr>
              <w:t>Wake County</w:t>
            </w:r>
          </w:p>
        </w:tc>
        <w:tc>
          <w:tcPr>
            <w:tcW w:w="2536" w:type="dxa"/>
            <w:tcBorders>
              <w:top w:val="nil"/>
              <w:left w:val="nil"/>
              <w:bottom w:val="single" w:sz="4" w:space="0" w:color="auto"/>
              <w:right w:val="single" w:sz="4" w:space="0" w:color="auto"/>
            </w:tcBorders>
            <w:shd w:val="clear" w:color="auto" w:fill="auto"/>
            <w:noWrap/>
            <w:vAlign w:val="bottom"/>
            <w:hideMark/>
          </w:tcPr>
          <w:p w14:paraId="05B86CB7" w14:textId="68726ADE" w:rsidR="00B75AF1" w:rsidRPr="00D960DB" w:rsidRDefault="00B75AF1" w:rsidP="00F75FF9">
            <w:pPr>
              <w:jc w:val="center"/>
              <w:rPr>
                <w:rFonts w:eastAsiaTheme="minorEastAsia"/>
                <w:sz w:val="20"/>
                <w:szCs w:val="20"/>
              </w:rPr>
            </w:pPr>
            <w:r w:rsidRPr="00D960DB">
              <w:rPr>
                <w:rFonts w:eastAsiaTheme="minorEastAsia"/>
                <w:sz w:val="20"/>
                <w:szCs w:val="20"/>
              </w:rPr>
              <w:t>340</w:t>
            </w:r>
          </w:p>
        </w:tc>
        <w:tc>
          <w:tcPr>
            <w:tcW w:w="1890" w:type="dxa"/>
            <w:tcBorders>
              <w:top w:val="nil"/>
              <w:left w:val="nil"/>
              <w:bottom w:val="single" w:sz="4" w:space="0" w:color="auto"/>
              <w:right w:val="single" w:sz="4" w:space="0" w:color="auto"/>
            </w:tcBorders>
            <w:shd w:val="clear" w:color="auto" w:fill="auto"/>
            <w:noWrap/>
            <w:vAlign w:val="bottom"/>
            <w:hideMark/>
          </w:tcPr>
          <w:p w14:paraId="0F2F4C00" w14:textId="09CE324F" w:rsidR="00B75AF1" w:rsidRPr="00D960DB" w:rsidRDefault="00B75AF1" w:rsidP="00F75FF9">
            <w:pPr>
              <w:jc w:val="center"/>
              <w:rPr>
                <w:rFonts w:eastAsiaTheme="minorEastAsia"/>
                <w:sz w:val="20"/>
                <w:szCs w:val="20"/>
              </w:rPr>
            </w:pPr>
            <w:r w:rsidRPr="00D960DB">
              <w:rPr>
                <w:rFonts w:eastAsiaTheme="minorEastAsia"/>
                <w:sz w:val="20"/>
                <w:szCs w:val="20"/>
              </w:rPr>
              <w:t>12,742</w:t>
            </w:r>
          </w:p>
        </w:tc>
        <w:tc>
          <w:tcPr>
            <w:tcW w:w="1503" w:type="dxa"/>
            <w:tcBorders>
              <w:top w:val="nil"/>
              <w:left w:val="nil"/>
              <w:bottom w:val="single" w:sz="4" w:space="0" w:color="auto"/>
              <w:right w:val="single" w:sz="4" w:space="0" w:color="auto"/>
            </w:tcBorders>
            <w:shd w:val="clear" w:color="auto" w:fill="auto"/>
            <w:noWrap/>
            <w:vAlign w:val="bottom"/>
            <w:hideMark/>
          </w:tcPr>
          <w:p w14:paraId="24835339" w14:textId="77777777" w:rsidR="00B75AF1" w:rsidRPr="00D960DB" w:rsidRDefault="00B75AF1" w:rsidP="00C0151F">
            <w:pPr>
              <w:jc w:val="center"/>
              <w:rPr>
                <w:rFonts w:eastAsiaTheme="minorEastAsia"/>
                <w:sz w:val="20"/>
                <w:szCs w:val="20"/>
              </w:rPr>
            </w:pPr>
            <w:r w:rsidRPr="00D960DB">
              <w:rPr>
                <w:rFonts w:eastAsiaTheme="minorEastAsia"/>
                <w:sz w:val="20"/>
                <w:szCs w:val="20"/>
              </w:rPr>
              <w:t>11.26%</w:t>
            </w:r>
          </w:p>
        </w:tc>
        <w:tc>
          <w:tcPr>
            <w:tcW w:w="925" w:type="dxa"/>
            <w:tcBorders>
              <w:top w:val="nil"/>
              <w:left w:val="nil"/>
              <w:bottom w:val="single" w:sz="4" w:space="0" w:color="auto"/>
              <w:right w:val="single" w:sz="4" w:space="0" w:color="auto"/>
            </w:tcBorders>
            <w:shd w:val="clear" w:color="auto" w:fill="auto"/>
            <w:noWrap/>
            <w:vAlign w:val="bottom"/>
            <w:hideMark/>
          </w:tcPr>
          <w:p w14:paraId="5D1C8686" w14:textId="77777777" w:rsidR="00B75AF1" w:rsidRPr="00D960DB" w:rsidRDefault="00B75AF1" w:rsidP="00F75FF9">
            <w:pPr>
              <w:jc w:val="center"/>
              <w:rPr>
                <w:rFonts w:eastAsiaTheme="minorEastAsia"/>
                <w:sz w:val="20"/>
                <w:szCs w:val="20"/>
              </w:rPr>
            </w:pPr>
            <w:r w:rsidRPr="00D960DB">
              <w:rPr>
                <w:rFonts w:eastAsiaTheme="minorEastAsia"/>
                <w:sz w:val="20"/>
                <w:szCs w:val="20"/>
              </w:rPr>
              <w:t>8.68%</w:t>
            </w:r>
          </w:p>
        </w:tc>
      </w:tr>
      <w:tr w:rsidR="00B75AF1" w:rsidRPr="00B75AF1" w14:paraId="78778057"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14AC320" w14:textId="77777777" w:rsidR="00B75AF1" w:rsidRPr="00D960DB" w:rsidRDefault="00B75AF1" w:rsidP="00B75AF1">
            <w:pPr>
              <w:rPr>
                <w:rFonts w:eastAsiaTheme="minorEastAsia"/>
                <w:sz w:val="20"/>
                <w:szCs w:val="20"/>
              </w:rPr>
            </w:pPr>
            <w:r w:rsidRPr="00D960DB">
              <w:rPr>
                <w:rFonts w:eastAsiaTheme="minorEastAsia"/>
                <w:sz w:val="20"/>
                <w:szCs w:val="20"/>
              </w:rPr>
              <w:t>Mecklenburg County</w:t>
            </w:r>
          </w:p>
        </w:tc>
        <w:tc>
          <w:tcPr>
            <w:tcW w:w="2536" w:type="dxa"/>
            <w:tcBorders>
              <w:top w:val="nil"/>
              <w:left w:val="nil"/>
              <w:bottom w:val="single" w:sz="4" w:space="0" w:color="auto"/>
              <w:right w:val="single" w:sz="4" w:space="0" w:color="auto"/>
            </w:tcBorders>
            <w:shd w:val="clear" w:color="auto" w:fill="auto"/>
            <w:noWrap/>
            <w:vAlign w:val="bottom"/>
            <w:hideMark/>
          </w:tcPr>
          <w:p w14:paraId="2C2C57C0" w14:textId="63F82ABB" w:rsidR="00B75AF1" w:rsidRPr="00D960DB" w:rsidRDefault="00B75AF1" w:rsidP="00F75FF9">
            <w:pPr>
              <w:jc w:val="center"/>
              <w:rPr>
                <w:rFonts w:eastAsiaTheme="minorEastAsia"/>
                <w:sz w:val="20"/>
                <w:szCs w:val="20"/>
              </w:rPr>
            </w:pPr>
            <w:r w:rsidRPr="00D960DB">
              <w:rPr>
                <w:rFonts w:eastAsiaTheme="minorEastAsia"/>
                <w:sz w:val="20"/>
                <w:szCs w:val="20"/>
              </w:rPr>
              <w:t>180</w:t>
            </w:r>
          </w:p>
        </w:tc>
        <w:tc>
          <w:tcPr>
            <w:tcW w:w="1890" w:type="dxa"/>
            <w:tcBorders>
              <w:top w:val="nil"/>
              <w:left w:val="nil"/>
              <w:bottom w:val="single" w:sz="4" w:space="0" w:color="auto"/>
              <w:right w:val="single" w:sz="4" w:space="0" w:color="auto"/>
            </w:tcBorders>
            <w:shd w:val="clear" w:color="auto" w:fill="auto"/>
            <w:noWrap/>
            <w:vAlign w:val="bottom"/>
            <w:hideMark/>
          </w:tcPr>
          <w:p w14:paraId="3C2F3246" w14:textId="55CCD70D" w:rsidR="00B75AF1" w:rsidRPr="00D960DB" w:rsidRDefault="00B75AF1" w:rsidP="00F75FF9">
            <w:pPr>
              <w:jc w:val="center"/>
              <w:rPr>
                <w:rFonts w:eastAsiaTheme="minorEastAsia"/>
                <w:sz w:val="20"/>
                <w:szCs w:val="20"/>
              </w:rPr>
            </w:pPr>
            <w:r w:rsidRPr="00D960DB">
              <w:rPr>
                <w:rFonts w:eastAsiaTheme="minorEastAsia"/>
                <w:sz w:val="20"/>
                <w:szCs w:val="20"/>
              </w:rPr>
              <w:t>12,736</w:t>
            </w:r>
          </w:p>
        </w:tc>
        <w:tc>
          <w:tcPr>
            <w:tcW w:w="1503" w:type="dxa"/>
            <w:tcBorders>
              <w:top w:val="nil"/>
              <w:left w:val="nil"/>
              <w:bottom w:val="single" w:sz="4" w:space="0" w:color="auto"/>
              <w:right w:val="single" w:sz="4" w:space="0" w:color="auto"/>
            </w:tcBorders>
            <w:shd w:val="clear" w:color="auto" w:fill="auto"/>
            <w:noWrap/>
            <w:vAlign w:val="bottom"/>
            <w:hideMark/>
          </w:tcPr>
          <w:p w14:paraId="79A87E61" w14:textId="77777777" w:rsidR="00B75AF1" w:rsidRPr="00D960DB" w:rsidRDefault="00B75AF1" w:rsidP="00C0151F">
            <w:pPr>
              <w:jc w:val="center"/>
              <w:rPr>
                <w:rFonts w:eastAsiaTheme="minorEastAsia"/>
                <w:sz w:val="20"/>
                <w:szCs w:val="20"/>
              </w:rPr>
            </w:pPr>
            <w:r w:rsidRPr="00D960DB">
              <w:rPr>
                <w:rFonts w:eastAsiaTheme="minorEastAsia"/>
                <w:sz w:val="20"/>
                <w:szCs w:val="20"/>
              </w:rPr>
              <w:t>5.96%</w:t>
            </w:r>
          </w:p>
        </w:tc>
        <w:tc>
          <w:tcPr>
            <w:tcW w:w="925" w:type="dxa"/>
            <w:tcBorders>
              <w:top w:val="nil"/>
              <w:left w:val="nil"/>
              <w:bottom w:val="single" w:sz="4" w:space="0" w:color="auto"/>
              <w:right w:val="single" w:sz="4" w:space="0" w:color="auto"/>
            </w:tcBorders>
            <w:shd w:val="clear" w:color="auto" w:fill="auto"/>
            <w:noWrap/>
            <w:vAlign w:val="bottom"/>
            <w:hideMark/>
          </w:tcPr>
          <w:p w14:paraId="50055AC1" w14:textId="77777777" w:rsidR="00B75AF1" w:rsidRPr="00D960DB" w:rsidRDefault="00B75AF1" w:rsidP="00F75FF9">
            <w:pPr>
              <w:jc w:val="center"/>
              <w:rPr>
                <w:rFonts w:eastAsiaTheme="minorEastAsia"/>
                <w:sz w:val="20"/>
                <w:szCs w:val="20"/>
              </w:rPr>
            </w:pPr>
            <w:r w:rsidRPr="00D960DB">
              <w:rPr>
                <w:rFonts w:eastAsiaTheme="minorEastAsia"/>
                <w:sz w:val="20"/>
                <w:szCs w:val="20"/>
              </w:rPr>
              <w:t>8.68%</w:t>
            </w:r>
          </w:p>
        </w:tc>
      </w:tr>
      <w:tr w:rsidR="00B75AF1" w:rsidRPr="00B75AF1" w14:paraId="290DBF1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B838ED5" w14:textId="77777777" w:rsidR="00B75AF1" w:rsidRPr="00D960DB" w:rsidRDefault="00B75AF1" w:rsidP="00B75AF1">
            <w:pPr>
              <w:rPr>
                <w:rFonts w:eastAsiaTheme="minorEastAsia"/>
                <w:sz w:val="20"/>
                <w:szCs w:val="20"/>
              </w:rPr>
            </w:pPr>
            <w:r w:rsidRPr="00D960DB">
              <w:rPr>
                <w:rFonts w:eastAsiaTheme="minorEastAsia"/>
                <w:sz w:val="20"/>
                <w:szCs w:val="20"/>
              </w:rPr>
              <w:t>Guilford County</w:t>
            </w:r>
          </w:p>
        </w:tc>
        <w:tc>
          <w:tcPr>
            <w:tcW w:w="2536" w:type="dxa"/>
            <w:tcBorders>
              <w:top w:val="nil"/>
              <w:left w:val="nil"/>
              <w:bottom w:val="single" w:sz="4" w:space="0" w:color="auto"/>
              <w:right w:val="single" w:sz="4" w:space="0" w:color="auto"/>
            </w:tcBorders>
            <w:shd w:val="clear" w:color="auto" w:fill="auto"/>
            <w:noWrap/>
            <w:vAlign w:val="bottom"/>
            <w:hideMark/>
          </w:tcPr>
          <w:p w14:paraId="210B335C" w14:textId="18D26E3F" w:rsidR="00B75AF1" w:rsidRPr="00D960DB" w:rsidRDefault="00B75AF1" w:rsidP="00F75FF9">
            <w:pPr>
              <w:jc w:val="center"/>
              <w:rPr>
                <w:rFonts w:eastAsiaTheme="minorEastAsia"/>
                <w:sz w:val="20"/>
                <w:szCs w:val="20"/>
              </w:rPr>
            </w:pPr>
            <w:r w:rsidRPr="00D960DB">
              <w:rPr>
                <w:rFonts w:eastAsiaTheme="minorEastAsia"/>
                <w:sz w:val="20"/>
                <w:szCs w:val="20"/>
              </w:rPr>
              <w:t>164</w:t>
            </w:r>
          </w:p>
        </w:tc>
        <w:tc>
          <w:tcPr>
            <w:tcW w:w="1890" w:type="dxa"/>
            <w:tcBorders>
              <w:top w:val="nil"/>
              <w:left w:val="nil"/>
              <w:bottom w:val="single" w:sz="4" w:space="0" w:color="auto"/>
              <w:right w:val="single" w:sz="4" w:space="0" w:color="auto"/>
            </w:tcBorders>
            <w:shd w:val="clear" w:color="auto" w:fill="auto"/>
            <w:noWrap/>
            <w:vAlign w:val="bottom"/>
            <w:hideMark/>
          </w:tcPr>
          <w:p w14:paraId="45BE09D1" w14:textId="22ED15E7" w:rsidR="00B75AF1" w:rsidRPr="00D960DB" w:rsidRDefault="00B75AF1" w:rsidP="00F75FF9">
            <w:pPr>
              <w:jc w:val="center"/>
              <w:rPr>
                <w:rFonts w:eastAsiaTheme="minorEastAsia"/>
                <w:sz w:val="20"/>
                <w:szCs w:val="20"/>
              </w:rPr>
            </w:pPr>
            <w:r w:rsidRPr="00D960DB">
              <w:rPr>
                <w:rFonts w:eastAsiaTheme="minorEastAsia"/>
                <w:sz w:val="20"/>
                <w:szCs w:val="20"/>
              </w:rPr>
              <w:t>9,014</w:t>
            </w:r>
          </w:p>
        </w:tc>
        <w:tc>
          <w:tcPr>
            <w:tcW w:w="1503" w:type="dxa"/>
            <w:tcBorders>
              <w:top w:val="nil"/>
              <w:left w:val="nil"/>
              <w:bottom w:val="single" w:sz="4" w:space="0" w:color="auto"/>
              <w:right w:val="single" w:sz="4" w:space="0" w:color="auto"/>
            </w:tcBorders>
            <w:shd w:val="clear" w:color="auto" w:fill="auto"/>
            <w:noWrap/>
            <w:vAlign w:val="bottom"/>
            <w:hideMark/>
          </w:tcPr>
          <w:p w14:paraId="268B7603" w14:textId="77777777" w:rsidR="00B75AF1" w:rsidRPr="00D960DB" w:rsidRDefault="00B75AF1" w:rsidP="00C0151F">
            <w:pPr>
              <w:jc w:val="center"/>
              <w:rPr>
                <w:rFonts w:eastAsiaTheme="minorEastAsia"/>
                <w:sz w:val="20"/>
                <w:szCs w:val="20"/>
              </w:rPr>
            </w:pPr>
            <w:r w:rsidRPr="00D960DB">
              <w:rPr>
                <w:rFonts w:eastAsiaTheme="minorEastAsia"/>
                <w:sz w:val="20"/>
                <w:szCs w:val="20"/>
              </w:rPr>
              <w:t>5.43%</w:t>
            </w:r>
          </w:p>
        </w:tc>
        <w:tc>
          <w:tcPr>
            <w:tcW w:w="925" w:type="dxa"/>
            <w:tcBorders>
              <w:top w:val="nil"/>
              <w:left w:val="nil"/>
              <w:bottom w:val="single" w:sz="4" w:space="0" w:color="auto"/>
              <w:right w:val="single" w:sz="4" w:space="0" w:color="auto"/>
            </w:tcBorders>
            <w:shd w:val="clear" w:color="auto" w:fill="auto"/>
            <w:noWrap/>
            <w:vAlign w:val="bottom"/>
            <w:hideMark/>
          </w:tcPr>
          <w:p w14:paraId="4F3B17D2" w14:textId="77777777" w:rsidR="00B75AF1" w:rsidRPr="00D960DB" w:rsidRDefault="00B75AF1" w:rsidP="00F75FF9">
            <w:pPr>
              <w:jc w:val="center"/>
              <w:rPr>
                <w:rFonts w:eastAsiaTheme="minorEastAsia"/>
                <w:sz w:val="20"/>
                <w:szCs w:val="20"/>
              </w:rPr>
            </w:pPr>
            <w:r w:rsidRPr="00D960DB">
              <w:rPr>
                <w:rFonts w:eastAsiaTheme="minorEastAsia"/>
                <w:sz w:val="20"/>
                <w:szCs w:val="20"/>
              </w:rPr>
              <w:t>6.14%</w:t>
            </w:r>
          </w:p>
        </w:tc>
      </w:tr>
      <w:tr w:rsidR="00B75AF1" w:rsidRPr="00B75AF1" w14:paraId="6C6CE58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F697DA0" w14:textId="77777777" w:rsidR="00B75AF1" w:rsidRPr="00D960DB" w:rsidRDefault="00B75AF1" w:rsidP="00B75AF1">
            <w:pPr>
              <w:rPr>
                <w:rFonts w:eastAsiaTheme="minorEastAsia"/>
                <w:sz w:val="20"/>
                <w:szCs w:val="20"/>
              </w:rPr>
            </w:pPr>
            <w:r w:rsidRPr="00D960DB">
              <w:rPr>
                <w:rFonts w:eastAsiaTheme="minorEastAsia"/>
                <w:sz w:val="20"/>
                <w:szCs w:val="20"/>
              </w:rPr>
              <w:t>Durham County</w:t>
            </w:r>
          </w:p>
        </w:tc>
        <w:tc>
          <w:tcPr>
            <w:tcW w:w="2536" w:type="dxa"/>
            <w:tcBorders>
              <w:top w:val="nil"/>
              <w:left w:val="nil"/>
              <w:bottom w:val="single" w:sz="4" w:space="0" w:color="auto"/>
              <w:right w:val="single" w:sz="4" w:space="0" w:color="auto"/>
            </w:tcBorders>
            <w:shd w:val="clear" w:color="auto" w:fill="auto"/>
            <w:noWrap/>
            <w:vAlign w:val="bottom"/>
            <w:hideMark/>
          </w:tcPr>
          <w:p w14:paraId="5D051E8B" w14:textId="26BE0A05" w:rsidR="00B75AF1" w:rsidRPr="00D960DB" w:rsidRDefault="00B75AF1" w:rsidP="00F75FF9">
            <w:pPr>
              <w:jc w:val="center"/>
              <w:rPr>
                <w:rFonts w:eastAsiaTheme="minorEastAsia"/>
                <w:sz w:val="20"/>
                <w:szCs w:val="20"/>
              </w:rPr>
            </w:pPr>
            <w:r w:rsidRPr="00D960DB">
              <w:rPr>
                <w:rFonts w:eastAsiaTheme="minorEastAsia"/>
                <w:sz w:val="20"/>
                <w:szCs w:val="20"/>
              </w:rPr>
              <w:t>103</w:t>
            </w:r>
          </w:p>
        </w:tc>
        <w:tc>
          <w:tcPr>
            <w:tcW w:w="1890" w:type="dxa"/>
            <w:tcBorders>
              <w:top w:val="nil"/>
              <w:left w:val="nil"/>
              <w:bottom w:val="single" w:sz="4" w:space="0" w:color="auto"/>
              <w:right w:val="single" w:sz="4" w:space="0" w:color="auto"/>
            </w:tcBorders>
            <w:shd w:val="clear" w:color="auto" w:fill="auto"/>
            <w:noWrap/>
            <w:vAlign w:val="bottom"/>
            <w:hideMark/>
          </w:tcPr>
          <w:p w14:paraId="287195E9" w14:textId="216059B6" w:rsidR="00B75AF1" w:rsidRPr="00D960DB" w:rsidRDefault="00B75AF1" w:rsidP="00F75FF9">
            <w:pPr>
              <w:jc w:val="center"/>
              <w:rPr>
                <w:rFonts w:eastAsiaTheme="minorEastAsia"/>
                <w:sz w:val="20"/>
                <w:szCs w:val="20"/>
              </w:rPr>
            </w:pPr>
            <w:r w:rsidRPr="00D960DB">
              <w:rPr>
                <w:rFonts w:eastAsiaTheme="minorEastAsia"/>
                <w:sz w:val="20"/>
                <w:szCs w:val="20"/>
              </w:rPr>
              <w:t>6,796</w:t>
            </w:r>
          </w:p>
        </w:tc>
        <w:tc>
          <w:tcPr>
            <w:tcW w:w="1503" w:type="dxa"/>
            <w:tcBorders>
              <w:top w:val="nil"/>
              <w:left w:val="nil"/>
              <w:bottom w:val="single" w:sz="4" w:space="0" w:color="auto"/>
              <w:right w:val="single" w:sz="4" w:space="0" w:color="auto"/>
            </w:tcBorders>
            <w:shd w:val="clear" w:color="auto" w:fill="auto"/>
            <w:noWrap/>
            <w:vAlign w:val="bottom"/>
            <w:hideMark/>
          </w:tcPr>
          <w:p w14:paraId="2890D633" w14:textId="77777777" w:rsidR="00B75AF1" w:rsidRPr="00D960DB" w:rsidRDefault="00B75AF1" w:rsidP="00C0151F">
            <w:pPr>
              <w:jc w:val="center"/>
              <w:rPr>
                <w:rFonts w:eastAsiaTheme="minorEastAsia"/>
                <w:sz w:val="20"/>
                <w:szCs w:val="20"/>
              </w:rPr>
            </w:pPr>
            <w:r w:rsidRPr="00D960DB">
              <w:rPr>
                <w:rFonts w:eastAsiaTheme="minorEastAsia"/>
                <w:sz w:val="20"/>
                <w:szCs w:val="20"/>
              </w:rPr>
              <w:t>3.41%</w:t>
            </w:r>
          </w:p>
        </w:tc>
        <w:tc>
          <w:tcPr>
            <w:tcW w:w="925" w:type="dxa"/>
            <w:tcBorders>
              <w:top w:val="nil"/>
              <w:left w:val="nil"/>
              <w:bottom w:val="single" w:sz="4" w:space="0" w:color="auto"/>
              <w:right w:val="single" w:sz="4" w:space="0" w:color="auto"/>
            </w:tcBorders>
            <w:shd w:val="clear" w:color="auto" w:fill="auto"/>
            <w:noWrap/>
            <w:vAlign w:val="bottom"/>
            <w:hideMark/>
          </w:tcPr>
          <w:p w14:paraId="5776321A" w14:textId="77777777" w:rsidR="00B75AF1" w:rsidRPr="00D960DB" w:rsidRDefault="00B75AF1" w:rsidP="00F75FF9">
            <w:pPr>
              <w:jc w:val="center"/>
              <w:rPr>
                <w:rFonts w:eastAsiaTheme="minorEastAsia"/>
                <w:sz w:val="20"/>
                <w:szCs w:val="20"/>
              </w:rPr>
            </w:pPr>
            <w:r w:rsidRPr="00D960DB">
              <w:rPr>
                <w:rFonts w:eastAsiaTheme="minorEastAsia"/>
                <w:sz w:val="20"/>
                <w:szCs w:val="20"/>
              </w:rPr>
              <w:t>4.63%</w:t>
            </w:r>
          </w:p>
        </w:tc>
      </w:tr>
      <w:tr w:rsidR="00B75AF1" w:rsidRPr="00B75AF1" w14:paraId="14E098A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8AEADA9" w14:textId="77777777" w:rsidR="00B75AF1" w:rsidRPr="00D960DB" w:rsidRDefault="00B75AF1" w:rsidP="00B75AF1">
            <w:pPr>
              <w:rPr>
                <w:rFonts w:eastAsiaTheme="minorEastAsia"/>
                <w:sz w:val="20"/>
                <w:szCs w:val="20"/>
              </w:rPr>
            </w:pPr>
            <w:r w:rsidRPr="00D960DB">
              <w:rPr>
                <w:rFonts w:eastAsiaTheme="minorEastAsia"/>
                <w:sz w:val="20"/>
                <w:szCs w:val="20"/>
              </w:rPr>
              <w:t>Forsyth County</w:t>
            </w:r>
          </w:p>
        </w:tc>
        <w:tc>
          <w:tcPr>
            <w:tcW w:w="2536" w:type="dxa"/>
            <w:tcBorders>
              <w:top w:val="nil"/>
              <w:left w:val="nil"/>
              <w:bottom w:val="single" w:sz="4" w:space="0" w:color="auto"/>
              <w:right w:val="single" w:sz="4" w:space="0" w:color="auto"/>
            </w:tcBorders>
            <w:shd w:val="clear" w:color="auto" w:fill="auto"/>
            <w:noWrap/>
            <w:vAlign w:val="bottom"/>
            <w:hideMark/>
          </w:tcPr>
          <w:p w14:paraId="5048EDA8" w14:textId="1D7C4639" w:rsidR="00B75AF1" w:rsidRPr="00D960DB" w:rsidRDefault="00B75AF1" w:rsidP="00F75FF9">
            <w:pPr>
              <w:jc w:val="center"/>
              <w:rPr>
                <w:rFonts w:eastAsiaTheme="minorEastAsia"/>
                <w:sz w:val="20"/>
                <w:szCs w:val="20"/>
              </w:rPr>
            </w:pPr>
            <w:r w:rsidRPr="00D960DB">
              <w:rPr>
                <w:rFonts w:eastAsiaTheme="minorEastAsia"/>
                <w:sz w:val="20"/>
                <w:szCs w:val="20"/>
              </w:rPr>
              <w:t>84</w:t>
            </w:r>
          </w:p>
        </w:tc>
        <w:tc>
          <w:tcPr>
            <w:tcW w:w="1890" w:type="dxa"/>
            <w:tcBorders>
              <w:top w:val="nil"/>
              <w:left w:val="nil"/>
              <w:bottom w:val="single" w:sz="4" w:space="0" w:color="auto"/>
              <w:right w:val="single" w:sz="4" w:space="0" w:color="auto"/>
            </w:tcBorders>
            <w:shd w:val="clear" w:color="auto" w:fill="auto"/>
            <w:noWrap/>
            <w:vAlign w:val="bottom"/>
            <w:hideMark/>
          </w:tcPr>
          <w:p w14:paraId="18D227E4" w14:textId="25B1E69E" w:rsidR="00B75AF1" w:rsidRPr="00D960DB" w:rsidRDefault="00B75AF1" w:rsidP="00F75FF9">
            <w:pPr>
              <w:jc w:val="center"/>
              <w:rPr>
                <w:rFonts w:eastAsiaTheme="minorEastAsia"/>
                <w:sz w:val="20"/>
                <w:szCs w:val="20"/>
              </w:rPr>
            </w:pPr>
            <w:r w:rsidRPr="00D960DB">
              <w:rPr>
                <w:rFonts w:eastAsiaTheme="minorEastAsia"/>
                <w:sz w:val="20"/>
                <w:szCs w:val="20"/>
              </w:rPr>
              <w:t>6,434</w:t>
            </w:r>
          </w:p>
        </w:tc>
        <w:tc>
          <w:tcPr>
            <w:tcW w:w="1503" w:type="dxa"/>
            <w:tcBorders>
              <w:top w:val="nil"/>
              <w:left w:val="nil"/>
              <w:bottom w:val="single" w:sz="4" w:space="0" w:color="auto"/>
              <w:right w:val="single" w:sz="4" w:space="0" w:color="auto"/>
            </w:tcBorders>
            <w:shd w:val="clear" w:color="auto" w:fill="auto"/>
            <w:noWrap/>
            <w:vAlign w:val="bottom"/>
            <w:hideMark/>
          </w:tcPr>
          <w:p w14:paraId="515111D8" w14:textId="77777777" w:rsidR="00B75AF1" w:rsidRPr="00D960DB" w:rsidRDefault="00B75AF1" w:rsidP="00C0151F">
            <w:pPr>
              <w:jc w:val="center"/>
              <w:rPr>
                <w:rFonts w:eastAsiaTheme="minorEastAsia"/>
                <w:sz w:val="20"/>
                <w:szCs w:val="20"/>
              </w:rPr>
            </w:pPr>
            <w:r w:rsidRPr="00D960DB">
              <w:rPr>
                <w:rFonts w:eastAsiaTheme="minorEastAsia"/>
                <w:sz w:val="20"/>
                <w:szCs w:val="20"/>
              </w:rPr>
              <w:t>2.78%</w:t>
            </w:r>
          </w:p>
        </w:tc>
        <w:tc>
          <w:tcPr>
            <w:tcW w:w="925" w:type="dxa"/>
            <w:tcBorders>
              <w:top w:val="nil"/>
              <w:left w:val="nil"/>
              <w:bottom w:val="single" w:sz="4" w:space="0" w:color="auto"/>
              <w:right w:val="single" w:sz="4" w:space="0" w:color="auto"/>
            </w:tcBorders>
            <w:shd w:val="clear" w:color="auto" w:fill="auto"/>
            <w:noWrap/>
            <w:vAlign w:val="bottom"/>
            <w:hideMark/>
          </w:tcPr>
          <w:p w14:paraId="2E267844" w14:textId="77777777" w:rsidR="00B75AF1" w:rsidRPr="00D960DB" w:rsidRDefault="00B75AF1" w:rsidP="00F75FF9">
            <w:pPr>
              <w:jc w:val="center"/>
              <w:rPr>
                <w:rFonts w:eastAsiaTheme="minorEastAsia"/>
                <w:sz w:val="20"/>
                <w:szCs w:val="20"/>
              </w:rPr>
            </w:pPr>
            <w:r w:rsidRPr="00D960DB">
              <w:rPr>
                <w:rFonts w:eastAsiaTheme="minorEastAsia"/>
                <w:sz w:val="20"/>
                <w:szCs w:val="20"/>
              </w:rPr>
              <w:t>4.38%</w:t>
            </w:r>
          </w:p>
        </w:tc>
      </w:tr>
      <w:tr w:rsidR="00B75AF1" w:rsidRPr="00B75AF1" w14:paraId="7957C36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74D113E" w14:textId="77777777" w:rsidR="00B75AF1" w:rsidRPr="00D960DB" w:rsidRDefault="00B75AF1" w:rsidP="00B75AF1">
            <w:pPr>
              <w:rPr>
                <w:rFonts w:eastAsiaTheme="minorEastAsia"/>
                <w:sz w:val="20"/>
                <w:szCs w:val="20"/>
              </w:rPr>
            </w:pPr>
            <w:r w:rsidRPr="00D960DB">
              <w:rPr>
                <w:rFonts w:eastAsiaTheme="minorEastAsia"/>
                <w:sz w:val="20"/>
                <w:szCs w:val="20"/>
              </w:rPr>
              <w:t>Cumberland County</w:t>
            </w:r>
          </w:p>
        </w:tc>
        <w:tc>
          <w:tcPr>
            <w:tcW w:w="2536" w:type="dxa"/>
            <w:tcBorders>
              <w:top w:val="nil"/>
              <w:left w:val="nil"/>
              <w:bottom w:val="single" w:sz="4" w:space="0" w:color="auto"/>
              <w:right w:val="single" w:sz="4" w:space="0" w:color="auto"/>
            </w:tcBorders>
            <w:shd w:val="clear" w:color="auto" w:fill="auto"/>
            <w:noWrap/>
            <w:vAlign w:val="bottom"/>
            <w:hideMark/>
          </w:tcPr>
          <w:p w14:paraId="329B3172" w14:textId="38DBBD46" w:rsidR="00B75AF1" w:rsidRPr="00D960DB" w:rsidRDefault="00B75AF1" w:rsidP="00F75FF9">
            <w:pPr>
              <w:jc w:val="center"/>
              <w:rPr>
                <w:rFonts w:eastAsiaTheme="minorEastAsia"/>
                <w:sz w:val="20"/>
                <w:szCs w:val="20"/>
              </w:rPr>
            </w:pPr>
            <w:r w:rsidRPr="00D960DB">
              <w:rPr>
                <w:rFonts w:eastAsiaTheme="minorEastAsia"/>
                <w:sz w:val="20"/>
                <w:szCs w:val="20"/>
              </w:rPr>
              <w:t>88</w:t>
            </w:r>
          </w:p>
        </w:tc>
        <w:tc>
          <w:tcPr>
            <w:tcW w:w="1890" w:type="dxa"/>
            <w:tcBorders>
              <w:top w:val="nil"/>
              <w:left w:val="nil"/>
              <w:bottom w:val="single" w:sz="4" w:space="0" w:color="auto"/>
              <w:right w:val="single" w:sz="4" w:space="0" w:color="auto"/>
            </w:tcBorders>
            <w:shd w:val="clear" w:color="auto" w:fill="auto"/>
            <w:noWrap/>
            <w:vAlign w:val="bottom"/>
            <w:hideMark/>
          </w:tcPr>
          <w:p w14:paraId="06C4A58E" w14:textId="67C7918B" w:rsidR="00B75AF1" w:rsidRPr="00D960DB" w:rsidRDefault="00B75AF1" w:rsidP="00F75FF9">
            <w:pPr>
              <w:jc w:val="center"/>
              <w:rPr>
                <w:rFonts w:eastAsiaTheme="minorEastAsia"/>
                <w:sz w:val="20"/>
                <w:szCs w:val="20"/>
              </w:rPr>
            </w:pPr>
            <w:r w:rsidRPr="00D960DB">
              <w:rPr>
                <w:rFonts w:eastAsiaTheme="minorEastAsia"/>
                <w:sz w:val="20"/>
                <w:szCs w:val="20"/>
              </w:rPr>
              <w:t>5,364</w:t>
            </w:r>
          </w:p>
        </w:tc>
        <w:tc>
          <w:tcPr>
            <w:tcW w:w="1503" w:type="dxa"/>
            <w:tcBorders>
              <w:top w:val="nil"/>
              <w:left w:val="nil"/>
              <w:bottom w:val="single" w:sz="4" w:space="0" w:color="auto"/>
              <w:right w:val="single" w:sz="4" w:space="0" w:color="auto"/>
            </w:tcBorders>
            <w:shd w:val="clear" w:color="auto" w:fill="auto"/>
            <w:noWrap/>
            <w:vAlign w:val="bottom"/>
            <w:hideMark/>
          </w:tcPr>
          <w:p w14:paraId="410FE279" w14:textId="77777777" w:rsidR="00B75AF1" w:rsidRPr="00D960DB" w:rsidRDefault="00B75AF1" w:rsidP="00C0151F">
            <w:pPr>
              <w:jc w:val="center"/>
              <w:rPr>
                <w:rFonts w:eastAsiaTheme="minorEastAsia"/>
                <w:sz w:val="20"/>
                <w:szCs w:val="20"/>
              </w:rPr>
            </w:pPr>
            <w:r w:rsidRPr="00D960DB">
              <w:rPr>
                <w:rFonts w:eastAsiaTheme="minorEastAsia"/>
                <w:sz w:val="20"/>
                <w:szCs w:val="20"/>
              </w:rPr>
              <w:t>2.91%</w:t>
            </w:r>
          </w:p>
        </w:tc>
        <w:tc>
          <w:tcPr>
            <w:tcW w:w="925" w:type="dxa"/>
            <w:tcBorders>
              <w:top w:val="nil"/>
              <w:left w:val="nil"/>
              <w:bottom w:val="single" w:sz="4" w:space="0" w:color="auto"/>
              <w:right w:val="single" w:sz="4" w:space="0" w:color="auto"/>
            </w:tcBorders>
            <w:shd w:val="clear" w:color="auto" w:fill="auto"/>
            <w:noWrap/>
            <w:vAlign w:val="bottom"/>
            <w:hideMark/>
          </w:tcPr>
          <w:p w14:paraId="1970040A" w14:textId="77777777" w:rsidR="00B75AF1" w:rsidRPr="00D960DB" w:rsidRDefault="00B75AF1" w:rsidP="00F75FF9">
            <w:pPr>
              <w:jc w:val="center"/>
              <w:rPr>
                <w:rFonts w:eastAsiaTheme="minorEastAsia"/>
                <w:sz w:val="20"/>
                <w:szCs w:val="20"/>
              </w:rPr>
            </w:pPr>
            <w:r w:rsidRPr="00D960DB">
              <w:rPr>
                <w:rFonts w:eastAsiaTheme="minorEastAsia"/>
                <w:sz w:val="20"/>
                <w:szCs w:val="20"/>
              </w:rPr>
              <w:t>3.66%</w:t>
            </w:r>
          </w:p>
        </w:tc>
      </w:tr>
      <w:tr w:rsidR="00B75AF1" w:rsidRPr="00B75AF1" w14:paraId="1B58D45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6F13DF6" w14:textId="77777777" w:rsidR="00B75AF1" w:rsidRPr="00D960DB" w:rsidRDefault="00B75AF1" w:rsidP="00B75AF1">
            <w:pPr>
              <w:rPr>
                <w:rFonts w:eastAsiaTheme="minorEastAsia"/>
                <w:sz w:val="20"/>
                <w:szCs w:val="20"/>
              </w:rPr>
            </w:pPr>
            <w:r w:rsidRPr="00D960DB">
              <w:rPr>
                <w:rFonts w:eastAsiaTheme="minorEastAsia"/>
                <w:sz w:val="20"/>
                <w:szCs w:val="20"/>
              </w:rPr>
              <w:t>Buncombe County</w:t>
            </w:r>
          </w:p>
        </w:tc>
        <w:tc>
          <w:tcPr>
            <w:tcW w:w="2536" w:type="dxa"/>
            <w:tcBorders>
              <w:top w:val="nil"/>
              <w:left w:val="nil"/>
              <w:bottom w:val="single" w:sz="4" w:space="0" w:color="auto"/>
              <w:right w:val="single" w:sz="4" w:space="0" w:color="auto"/>
            </w:tcBorders>
            <w:shd w:val="clear" w:color="auto" w:fill="auto"/>
            <w:noWrap/>
            <w:vAlign w:val="bottom"/>
            <w:hideMark/>
          </w:tcPr>
          <w:p w14:paraId="5FE2C887" w14:textId="4A19596C" w:rsidR="00B75AF1" w:rsidRPr="00D960DB" w:rsidRDefault="00B75AF1" w:rsidP="00F75FF9">
            <w:pPr>
              <w:jc w:val="center"/>
              <w:rPr>
                <w:rFonts w:eastAsiaTheme="minorEastAsia"/>
                <w:sz w:val="20"/>
                <w:szCs w:val="20"/>
              </w:rPr>
            </w:pPr>
            <w:r w:rsidRPr="00D960DB">
              <w:rPr>
                <w:rFonts w:eastAsiaTheme="minorEastAsia"/>
                <w:sz w:val="20"/>
                <w:szCs w:val="20"/>
              </w:rPr>
              <w:t>70</w:t>
            </w:r>
          </w:p>
        </w:tc>
        <w:tc>
          <w:tcPr>
            <w:tcW w:w="1890" w:type="dxa"/>
            <w:tcBorders>
              <w:top w:val="nil"/>
              <w:left w:val="nil"/>
              <w:bottom w:val="single" w:sz="4" w:space="0" w:color="auto"/>
              <w:right w:val="single" w:sz="4" w:space="0" w:color="auto"/>
            </w:tcBorders>
            <w:shd w:val="clear" w:color="auto" w:fill="auto"/>
            <w:noWrap/>
            <w:vAlign w:val="bottom"/>
            <w:hideMark/>
          </w:tcPr>
          <w:p w14:paraId="1A33CBCC" w14:textId="7B4311BB" w:rsidR="00B75AF1" w:rsidRPr="00D960DB" w:rsidRDefault="00B75AF1" w:rsidP="00F75FF9">
            <w:pPr>
              <w:jc w:val="center"/>
              <w:rPr>
                <w:rFonts w:eastAsiaTheme="minorEastAsia"/>
                <w:sz w:val="20"/>
                <w:szCs w:val="20"/>
              </w:rPr>
            </w:pPr>
            <w:r w:rsidRPr="00D960DB">
              <w:rPr>
                <w:rFonts w:eastAsiaTheme="minorEastAsia"/>
                <w:sz w:val="20"/>
                <w:szCs w:val="20"/>
              </w:rPr>
              <w:t>4,476</w:t>
            </w:r>
          </w:p>
        </w:tc>
        <w:tc>
          <w:tcPr>
            <w:tcW w:w="1503" w:type="dxa"/>
            <w:tcBorders>
              <w:top w:val="nil"/>
              <w:left w:val="nil"/>
              <w:bottom w:val="single" w:sz="4" w:space="0" w:color="auto"/>
              <w:right w:val="single" w:sz="4" w:space="0" w:color="auto"/>
            </w:tcBorders>
            <w:shd w:val="clear" w:color="auto" w:fill="auto"/>
            <w:noWrap/>
            <w:vAlign w:val="bottom"/>
            <w:hideMark/>
          </w:tcPr>
          <w:p w14:paraId="501E0209" w14:textId="77777777" w:rsidR="00B75AF1" w:rsidRPr="00D960DB" w:rsidRDefault="00B75AF1" w:rsidP="00C0151F">
            <w:pPr>
              <w:jc w:val="center"/>
              <w:rPr>
                <w:rFonts w:eastAsiaTheme="minorEastAsia"/>
                <w:sz w:val="20"/>
                <w:szCs w:val="20"/>
              </w:rPr>
            </w:pPr>
            <w:r w:rsidRPr="00D960DB">
              <w:rPr>
                <w:rFonts w:eastAsiaTheme="minorEastAsia"/>
                <w:sz w:val="20"/>
                <w:szCs w:val="20"/>
              </w:rPr>
              <w:t>2.32%</w:t>
            </w:r>
          </w:p>
        </w:tc>
        <w:tc>
          <w:tcPr>
            <w:tcW w:w="925" w:type="dxa"/>
            <w:tcBorders>
              <w:top w:val="nil"/>
              <w:left w:val="nil"/>
              <w:bottom w:val="single" w:sz="4" w:space="0" w:color="auto"/>
              <w:right w:val="single" w:sz="4" w:space="0" w:color="auto"/>
            </w:tcBorders>
            <w:shd w:val="clear" w:color="auto" w:fill="auto"/>
            <w:noWrap/>
            <w:vAlign w:val="bottom"/>
            <w:hideMark/>
          </w:tcPr>
          <w:p w14:paraId="2A410490" w14:textId="77777777" w:rsidR="00B75AF1" w:rsidRPr="00D960DB" w:rsidRDefault="00B75AF1" w:rsidP="00F75FF9">
            <w:pPr>
              <w:jc w:val="center"/>
              <w:rPr>
                <w:rFonts w:eastAsiaTheme="minorEastAsia"/>
                <w:sz w:val="20"/>
                <w:szCs w:val="20"/>
              </w:rPr>
            </w:pPr>
            <w:r w:rsidRPr="00D960DB">
              <w:rPr>
                <w:rFonts w:eastAsiaTheme="minorEastAsia"/>
                <w:sz w:val="20"/>
                <w:szCs w:val="20"/>
              </w:rPr>
              <w:t>3.05%</w:t>
            </w:r>
          </w:p>
        </w:tc>
      </w:tr>
      <w:tr w:rsidR="00B75AF1" w:rsidRPr="00B75AF1" w14:paraId="2A99B1C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9D7DBA3" w14:textId="77777777" w:rsidR="00B75AF1" w:rsidRPr="00D960DB" w:rsidRDefault="00B75AF1" w:rsidP="00B75AF1">
            <w:pPr>
              <w:rPr>
                <w:rFonts w:eastAsiaTheme="minorEastAsia"/>
                <w:sz w:val="20"/>
                <w:szCs w:val="20"/>
              </w:rPr>
            </w:pPr>
            <w:r w:rsidRPr="00D960DB">
              <w:rPr>
                <w:rFonts w:eastAsiaTheme="minorEastAsia"/>
                <w:sz w:val="20"/>
                <w:szCs w:val="20"/>
              </w:rPr>
              <w:t>Robeson County</w:t>
            </w:r>
          </w:p>
        </w:tc>
        <w:tc>
          <w:tcPr>
            <w:tcW w:w="2536" w:type="dxa"/>
            <w:tcBorders>
              <w:top w:val="nil"/>
              <w:left w:val="nil"/>
              <w:bottom w:val="single" w:sz="4" w:space="0" w:color="auto"/>
              <w:right w:val="single" w:sz="4" w:space="0" w:color="auto"/>
            </w:tcBorders>
            <w:shd w:val="clear" w:color="auto" w:fill="auto"/>
            <w:noWrap/>
            <w:vAlign w:val="bottom"/>
            <w:hideMark/>
          </w:tcPr>
          <w:p w14:paraId="2911CC9D" w14:textId="0EAABACB" w:rsidR="00B75AF1" w:rsidRPr="00D960DB" w:rsidRDefault="00B75AF1" w:rsidP="00F75FF9">
            <w:pPr>
              <w:jc w:val="center"/>
              <w:rPr>
                <w:rFonts w:eastAsiaTheme="minorEastAsia"/>
                <w:sz w:val="20"/>
                <w:szCs w:val="20"/>
              </w:rPr>
            </w:pPr>
            <w:r w:rsidRPr="00D960DB">
              <w:rPr>
                <w:rFonts w:eastAsiaTheme="minorEastAsia"/>
                <w:sz w:val="20"/>
                <w:szCs w:val="20"/>
              </w:rPr>
              <w:t>60</w:t>
            </w:r>
          </w:p>
        </w:tc>
        <w:tc>
          <w:tcPr>
            <w:tcW w:w="1890" w:type="dxa"/>
            <w:tcBorders>
              <w:top w:val="nil"/>
              <w:left w:val="nil"/>
              <w:bottom w:val="single" w:sz="4" w:space="0" w:color="auto"/>
              <w:right w:val="single" w:sz="4" w:space="0" w:color="auto"/>
            </w:tcBorders>
            <w:shd w:val="clear" w:color="auto" w:fill="auto"/>
            <w:noWrap/>
            <w:vAlign w:val="bottom"/>
            <w:hideMark/>
          </w:tcPr>
          <w:p w14:paraId="2AE3790E" w14:textId="0BDE82C6" w:rsidR="00B75AF1" w:rsidRPr="00D960DB" w:rsidRDefault="00B75AF1" w:rsidP="00F75FF9">
            <w:pPr>
              <w:jc w:val="center"/>
              <w:rPr>
                <w:rFonts w:eastAsiaTheme="minorEastAsia"/>
                <w:sz w:val="20"/>
                <w:szCs w:val="20"/>
              </w:rPr>
            </w:pPr>
            <w:r w:rsidRPr="00D960DB">
              <w:rPr>
                <w:rFonts w:eastAsiaTheme="minorEastAsia"/>
                <w:sz w:val="20"/>
                <w:szCs w:val="20"/>
              </w:rPr>
              <w:t>3,441</w:t>
            </w:r>
          </w:p>
        </w:tc>
        <w:tc>
          <w:tcPr>
            <w:tcW w:w="1503" w:type="dxa"/>
            <w:tcBorders>
              <w:top w:val="nil"/>
              <w:left w:val="nil"/>
              <w:bottom w:val="single" w:sz="4" w:space="0" w:color="auto"/>
              <w:right w:val="single" w:sz="4" w:space="0" w:color="auto"/>
            </w:tcBorders>
            <w:shd w:val="clear" w:color="auto" w:fill="auto"/>
            <w:noWrap/>
            <w:vAlign w:val="bottom"/>
            <w:hideMark/>
          </w:tcPr>
          <w:p w14:paraId="73A7D5A4" w14:textId="77777777" w:rsidR="00B75AF1" w:rsidRPr="00D960DB" w:rsidRDefault="00B75AF1" w:rsidP="00C0151F">
            <w:pPr>
              <w:jc w:val="center"/>
              <w:rPr>
                <w:rFonts w:eastAsiaTheme="minorEastAsia"/>
                <w:sz w:val="20"/>
                <w:szCs w:val="20"/>
              </w:rPr>
            </w:pPr>
            <w:r w:rsidRPr="00D960DB">
              <w:rPr>
                <w:rFonts w:eastAsiaTheme="minorEastAsia"/>
                <w:sz w:val="20"/>
                <w:szCs w:val="20"/>
              </w:rPr>
              <w:t>1.99%</w:t>
            </w:r>
          </w:p>
        </w:tc>
        <w:tc>
          <w:tcPr>
            <w:tcW w:w="925" w:type="dxa"/>
            <w:tcBorders>
              <w:top w:val="nil"/>
              <w:left w:val="nil"/>
              <w:bottom w:val="single" w:sz="4" w:space="0" w:color="auto"/>
              <w:right w:val="single" w:sz="4" w:space="0" w:color="auto"/>
            </w:tcBorders>
            <w:shd w:val="clear" w:color="auto" w:fill="auto"/>
            <w:noWrap/>
            <w:vAlign w:val="bottom"/>
            <w:hideMark/>
          </w:tcPr>
          <w:p w14:paraId="08BBE054" w14:textId="77777777" w:rsidR="00B75AF1" w:rsidRPr="00D960DB" w:rsidRDefault="00B75AF1" w:rsidP="00F75FF9">
            <w:pPr>
              <w:jc w:val="center"/>
              <w:rPr>
                <w:rFonts w:eastAsiaTheme="minorEastAsia"/>
                <w:sz w:val="20"/>
                <w:szCs w:val="20"/>
              </w:rPr>
            </w:pPr>
            <w:r w:rsidRPr="00D960DB">
              <w:rPr>
                <w:rFonts w:eastAsiaTheme="minorEastAsia"/>
                <w:sz w:val="20"/>
                <w:szCs w:val="20"/>
              </w:rPr>
              <w:t>2.34%</w:t>
            </w:r>
          </w:p>
        </w:tc>
      </w:tr>
      <w:tr w:rsidR="00B75AF1" w:rsidRPr="00B75AF1" w14:paraId="6857124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546397E" w14:textId="77777777" w:rsidR="00B75AF1" w:rsidRPr="00D960DB" w:rsidRDefault="00B75AF1" w:rsidP="00B75AF1">
            <w:pPr>
              <w:rPr>
                <w:rFonts w:eastAsiaTheme="minorEastAsia"/>
                <w:sz w:val="20"/>
                <w:szCs w:val="20"/>
              </w:rPr>
            </w:pPr>
            <w:r w:rsidRPr="00D960DB">
              <w:rPr>
                <w:rFonts w:eastAsiaTheme="minorEastAsia"/>
                <w:sz w:val="20"/>
                <w:szCs w:val="20"/>
              </w:rPr>
              <w:t>Pitt County</w:t>
            </w:r>
          </w:p>
        </w:tc>
        <w:tc>
          <w:tcPr>
            <w:tcW w:w="2536" w:type="dxa"/>
            <w:tcBorders>
              <w:top w:val="nil"/>
              <w:left w:val="nil"/>
              <w:bottom w:val="single" w:sz="4" w:space="0" w:color="auto"/>
              <w:right w:val="single" w:sz="4" w:space="0" w:color="auto"/>
            </w:tcBorders>
            <w:shd w:val="clear" w:color="auto" w:fill="auto"/>
            <w:noWrap/>
            <w:vAlign w:val="bottom"/>
            <w:hideMark/>
          </w:tcPr>
          <w:p w14:paraId="52188FEF" w14:textId="387229F4" w:rsidR="00B75AF1" w:rsidRPr="00D960DB" w:rsidRDefault="00B75AF1" w:rsidP="00F75FF9">
            <w:pPr>
              <w:jc w:val="center"/>
              <w:rPr>
                <w:rFonts w:eastAsiaTheme="minorEastAsia"/>
                <w:sz w:val="20"/>
                <w:szCs w:val="20"/>
              </w:rPr>
            </w:pPr>
            <w:r w:rsidRPr="00D960DB">
              <w:rPr>
                <w:rFonts w:eastAsiaTheme="minorEastAsia"/>
                <w:sz w:val="20"/>
                <w:szCs w:val="20"/>
              </w:rPr>
              <w:t>60</w:t>
            </w:r>
          </w:p>
        </w:tc>
        <w:tc>
          <w:tcPr>
            <w:tcW w:w="1890" w:type="dxa"/>
            <w:tcBorders>
              <w:top w:val="nil"/>
              <w:left w:val="nil"/>
              <w:bottom w:val="single" w:sz="4" w:space="0" w:color="auto"/>
              <w:right w:val="single" w:sz="4" w:space="0" w:color="auto"/>
            </w:tcBorders>
            <w:shd w:val="clear" w:color="auto" w:fill="auto"/>
            <w:noWrap/>
            <w:vAlign w:val="bottom"/>
            <w:hideMark/>
          </w:tcPr>
          <w:p w14:paraId="135692A7" w14:textId="592F1D9E" w:rsidR="00B75AF1" w:rsidRPr="00D960DB" w:rsidRDefault="00B75AF1" w:rsidP="00F75FF9">
            <w:pPr>
              <w:jc w:val="center"/>
              <w:rPr>
                <w:rFonts w:eastAsiaTheme="minorEastAsia"/>
                <w:sz w:val="20"/>
                <w:szCs w:val="20"/>
              </w:rPr>
            </w:pPr>
            <w:r w:rsidRPr="00D960DB">
              <w:rPr>
                <w:rFonts w:eastAsiaTheme="minorEastAsia"/>
                <w:sz w:val="20"/>
                <w:szCs w:val="20"/>
              </w:rPr>
              <w:t>3,387</w:t>
            </w:r>
          </w:p>
        </w:tc>
        <w:tc>
          <w:tcPr>
            <w:tcW w:w="1503" w:type="dxa"/>
            <w:tcBorders>
              <w:top w:val="nil"/>
              <w:left w:val="nil"/>
              <w:bottom w:val="single" w:sz="4" w:space="0" w:color="auto"/>
              <w:right w:val="single" w:sz="4" w:space="0" w:color="auto"/>
            </w:tcBorders>
            <w:shd w:val="clear" w:color="auto" w:fill="auto"/>
            <w:noWrap/>
            <w:vAlign w:val="bottom"/>
            <w:hideMark/>
          </w:tcPr>
          <w:p w14:paraId="7B44C770" w14:textId="77777777" w:rsidR="00B75AF1" w:rsidRPr="00D960DB" w:rsidRDefault="00B75AF1" w:rsidP="00C0151F">
            <w:pPr>
              <w:jc w:val="center"/>
              <w:rPr>
                <w:rFonts w:eastAsiaTheme="minorEastAsia"/>
                <w:sz w:val="20"/>
                <w:szCs w:val="20"/>
              </w:rPr>
            </w:pPr>
            <w:r w:rsidRPr="00D960DB">
              <w:rPr>
                <w:rFonts w:eastAsiaTheme="minorEastAsia"/>
                <w:sz w:val="20"/>
                <w:szCs w:val="20"/>
              </w:rPr>
              <w:t>1.99%</w:t>
            </w:r>
          </w:p>
        </w:tc>
        <w:tc>
          <w:tcPr>
            <w:tcW w:w="925" w:type="dxa"/>
            <w:tcBorders>
              <w:top w:val="nil"/>
              <w:left w:val="nil"/>
              <w:bottom w:val="single" w:sz="4" w:space="0" w:color="auto"/>
              <w:right w:val="single" w:sz="4" w:space="0" w:color="auto"/>
            </w:tcBorders>
            <w:shd w:val="clear" w:color="auto" w:fill="auto"/>
            <w:noWrap/>
            <w:vAlign w:val="bottom"/>
            <w:hideMark/>
          </w:tcPr>
          <w:p w14:paraId="18A40B6D" w14:textId="77777777" w:rsidR="00B75AF1" w:rsidRPr="00D960DB" w:rsidRDefault="00B75AF1" w:rsidP="00F75FF9">
            <w:pPr>
              <w:jc w:val="center"/>
              <w:rPr>
                <w:rFonts w:eastAsiaTheme="minorEastAsia"/>
                <w:sz w:val="20"/>
                <w:szCs w:val="20"/>
              </w:rPr>
            </w:pPr>
            <w:r w:rsidRPr="00D960DB">
              <w:rPr>
                <w:rFonts w:eastAsiaTheme="minorEastAsia"/>
                <w:sz w:val="20"/>
                <w:szCs w:val="20"/>
              </w:rPr>
              <w:t>2.31%</w:t>
            </w:r>
          </w:p>
        </w:tc>
      </w:tr>
      <w:tr w:rsidR="00B75AF1" w:rsidRPr="00B75AF1" w14:paraId="3D5A113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F6480FC" w14:textId="77777777" w:rsidR="00B75AF1" w:rsidRPr="00D960DB" w:rsidRDefault="00B75AF1" w:rsidP="00B75AF1">
            <w:pPr>
              <w:rPr>
                <w:rFonts w:eastAsiaTheme="minorEastAsia"/>
                <w:sz w:val="20"/>
                <w:szCs w:val="20"/>
              </w:rPr>
            </w:pPr>
            <w:r w:rsidRPr="00D960DB">
              <w:rPr>
                <w:rFonts w:eastAsiaTheme="minorEastAsia"/>
                <w:sz w:val="20"/>
                <w:szCs w:val="20"/>
              </w:rPr>
              <w:t>New Hanover County</w:t>
            </w:r>
          </w:p>
        </w:tc>
        <w:tc>
          <w:tcPr>
            <w:tcW w:w="2536" w:type="dxa"/>
            <w:tcBorders>
              <w:top w:val="nil"/>
              <w:left w:val="nil"/>
              <w:bottom w:val="single" w:sz="4" w:space="0" w:color="auto"/>
              <w:right w:val="single" w:sz="4" w:space="0" w:color="auto"/>
            </w:tcBorders>
            <w:shd w:val="clear" w:color="auto" w:fill="auto"/>
            <w:noWrap/>
            <w:vAlign w:val="bottom"/>
            <w:hideMark/>
          </w:tcPr>
          <w:p w14:paraId="7DB52BEB" w14:textId="020C5AFD" w:rsidR="00B75AF1" w:rsidRPr="00D960DB" w:rsidRDefault="00B75AF1" w:rsidP="00F75FF9">
            <w:pPr>
              <w:jc w:val="center"/>
              <w:rPr>
                <w:rFonts w:eastAsiaTheme="minorEastAsia"/>
                <w:sz w:val="20"/>
                <w:szCs w:val="20"/>
              </w:rPr>
            </w:pPr>
            <w:r w:rsidRPr="00D960DB">
              <w:rPr>
                <w:rFonts w:eastAsiaTheme="minorEastAsia"/>
                <w:sz w:val="20"/>
                <w:szCs w:val="20"/>
              </w:rPr>
              <w:t>52</w:t>
            </w:r>
          </w:p>
        </w:tc>
        <w:tc>
          <w:tcPr>
            <w:tcW w:w="1890" w:type="dxa"/>
            <w:tcBorders>
              <w:top w:val="nil"/>
              <w:left w:val="nil"/>
              <w:bottom w:val="single" w:sz="4" w:space="0" w:color="auto"/>
              <w:right w:val="single" w:sz="4" w:space="0" w:color="auto"/>
            </w:tcBorders>
            <w:shd w:val="clear" w:color="auto" w:fill="auto"/>
            <w:noWrap/>
            <w:vAlign w:val="bottom"/>
            <w:hideMark/>
          </w:tcPr>
          <w:p w14:paraId="2A62D7A0" w14:textId="548C88AD" w:rsidR="00B75AF1" w:rsidRPr="00D960DB" w:rsidRDefault="00B75AF1" w:rsidP="00F75FF9">
            <w:pPr>
              <w:jc w:val="center"/>
              <w:rPr>
                <w:rFonts w:eastAsiaTheme="minorEastAsia"/>
                <w:sz w:val="20"/>
                <w:szCs w:val="20"/>
              </w:rPr>
            </w:pPr>
            <w:r w:rsidRPr="00D960DB">
              <w:rPr>
                <w:rFonts w:eastAsiaTheme="minorEastAsia"/>
                <w:sz w:val="20"/>
                <w:szCs w:val="20"/>
              </w:rPr>
              <w:t>3,336</w:t>
            </w:r>
          </w:p>
        </w:tc>
        <w:tc>
          <w:tcPr>
            <w:tcW w:w="1503" w:type="dxa"/>
            <w:tcBorders>
              <w:top w:val="nil"/>
              <w:left w:val="nil"/>
              <w:bottom w:val="single" w:sz="4" w:space="0" w:color="auto"/>
              <w:right w:val="single" w:sz="4" w:space="0" w:color="auto"/>
            </w:tcBorders>
            <w:shd w:val="clear" w:color="auto" w:fill="auto"/>
            <w:noWrap/>
            <w:vAlign w:val="bottom"/>
            <w:hideMark/>
          </w:tcPr>
          <w:p w14:paraId="2CF6D557" w14:textId="77777777" w:rsidR="00B75AF1" w:rsidRPr="00D960DB" w:rsidRDefault="00B75AF1" w:rsidP="00C0151F">
            <w:pPr>
              <w:jc w:val="center"/>
              <w:rPr>
                <w:rFonts w:eastAsiaTheme="minorEastAsia"/>
                <w:sz w:val="20"/>
                <w:szCs w:val="20"/>
              </w:rPr>
            </w:pPr>
            <w:r w:rsidRPr="00D960DB">
              <w:rPr>
                <w:rFonts w:eastAsiaTheme="minorEastAsia"/>
                <w:sz w:val="20"/>
                <w:szCs w:val="20"/>
              </w:rPr>
              <w:t>1.72%</w:t>
            </w:r>
          </w:p>
        </w:tc>
        <w:tc>
          <w:tcPr>
            <w:tcW w:w="925" w:type="dxa"/>
            <w:tcBorders>
              <w:top w:val="nil"/>
              <w:left w:val="nil"/>
              <w:bottom w:val="single" w:sz="4" w:space="0" w:color="auto"/>
              <w:right w:val="single" w:sz="4" w:space="0" w:color="auto"/>
            </w:tcBorders>
            <w:shd w:val="clear" w:color="auto" w:fill="auto"/>
            <w:noWrap/>
            <w:vAlign w:val="bottom"/>
            <w:hideMark/>
          </w:tcPr>
          <w:p w14:paraId="146337A2" w14:textId="77777777" w:rsidR="00B75AF1" w:rsidRPr="00D960DB" w:rsidRDefault="00B75AF1" w:rsidP="00F75FF9">
            <w:pPr>
              <w:jc w:val="center"/>
              <w:rPr>
                <w:rFonts w:eastAsiaTheme="minorEastAsia"/>
                <w:sz w:val="20"/>
                <w:szCs w:val="20"/>
              </w:rPr>
            </w:pPr>
            <w:r w:rsidRPr="00D960DB">
              <w:rPr>
                <w:rFonts w:eastAsiaTheme="minorEastAsia"/>
                <w:sz w:val="20"/>
                <w:szCs w:val="20"/>
              </w:rPr>
              <w:t>2.27%</w:t>
            </w:r>
          </w:p>
        </w:tc>
      </w:tr>
      <w:tr w:rsidR="00B75AF1" w:rsidRPr="00B75AF1" w14:paraId="7FBB76E7"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352B914" w14:textId="77777777" w:rsidR="00B75AF1" w:rsidRPr="00D960DB" w:rsidRDefault="00B75AF1" w:rsidP="00B75AF1">
            <w:pPr>
              <w:rPr>
                <w:rFonts w:eastAsiaTheme="minorEastAsia"/>
                <w:sz w:val="20"/>
                <w:szCs w:val="20"/>
              </w:rPr>
            </w:pPr>
            <w:r w:rsidRPr="00D960DB">
              <w:rPr>
                <w:rFonts w:eastAsiaTheme="minorEastAsia"/>
                <w:sz w:val="20"/>
                <w:szCs w:val="20"/>
              </w:rPr>
              <w:t>Wayne County</w:t>
            </w:r>
          </w:p>
        </w:tc>
        <w:tc>
          <w:tcPr>
            <w:tcW w:w="2536" w:type="dxa"/>
            <w:tcBorders>
              <w:top w:val="nil"/>
              <w:left w:val="nil"/>
              <w:bottom w:val="single" w:sz="4" w:space="0" w:color="auto"/>
              <w:right w:val="single" w:sz="4" w:space="0" w:color="auto"/>
            </w:tcBorders>
            <w:shd w:val="clear" w:color="auto" w:fill="auto"/>
            <w:noWrap/>
            <w:vAlign w:val="bottom"/>
            <w:hideMark/>
          </w:tcPr>
          <w:p w14:paraId="57930F27" w14:textId="61D1650A" w:rsidR="00B75AF1" w:rsidRPr="00D960DB" w:rsidRDefault="00B75AF1" w:rsidP="00F75FF9">
            <w:pPr>
              <w:jc w:val="center"/>
              <w:rPr>
                <w:rFonts w:eastAsiaTheme="minorEastAsia"/>
                <w:sz w:val="20"/>
                <w:szCs w:val="20"/>
              </w:rPr>
            </w:pPr>
            <w:r w:rsidRPr="00D960DB">
              <w:rPr>
                <w:rFonts w:eastAsiaTheme="minorEastAsia"/>
                <w:sz w:val="20"/>
                <w:szCs w:val="20"/>
              </w:rPr>
              <w:t>41</w:t>
            </w:r>
          </w:p>
        </w:tc>
        <w:tc>
          <w:tcPr>
            <w:tcW w:w="1890" w:type="dxa"/>
            <w:tcBorders>
              <w:top w:val="nil"/>
              <w:left w:val="nil"/>
              <w:bottom w:val="single" w:sz="4" w:space="0" w:color="auto"/>
              <w:right w:val="single" w:sz="4" w:space="0" w:color="auto"/>
            </w:tcBorders>
            <w:shd w:val="clear" w:color="auto" w:fill="auto"/>
            <w:noWrap/>
            <w:vAlign w:val="bottom"/>
            <w:hideMark/>
          </w:tcPr>
          <w:p w14:paraId="3FB931AC" w14:textId="56655054" w:rsidR="00B75AF1" w:rsidRPr="00D960DB" w:rsidRDefault="00B75AF1" w:rsidP="00F75FF9">
            <w:pPr>
              <w:jc w:val="center"/>
              <w:rPr>
                <w:rFonts w:eastAsiaTheme="minorEastAsia"/>
                <w:sz w:val="20"/>
                <w:szCs w:val="20"/>
              </w:rPr>
            </w:pPr>
            <w:r w:rsidRPr="00D960DB">
              <w:rPr>
                <w:rFonts w:eastAsiaTheme="minorEastAsia"/>
                <w:sz w:val="20"/>
                <w:szCs w:val="20"/>
              </w:rPr>
              <w:t>3,066</w:t>
            </w:r>
          </w:p>
        </w:tc>
        <w:tc>
          <w:tcPr>
            <w:tcW w:w="1503" w:type="dxa"/>
            <w:tcBorders>
              <w:top w:val="nil"/>
              <w:left w:val="nil"/>
              <w:bottom w:val="single" w:sz="4" w:space="0" w:color="auto"/>
              <w:right w:val="single" w:sz="4" w:space="0" w:color="auto"/>
            </w:tcBorders>
            <w:shd w:val="clear" w:color="auto" w:fill="auto"/>
            <w:noWrap/>
            <w:vAlign w:val="bottom"/>
            <w:hideMark/>
          </w:tcPr>
          <w:p w14:paraId="3EB3598B" w14:textId="77777777" w:rsidR="00B75AF1" w:rsidRPr="00D960DB" w:rsidRDefault="00B75AF1" w:rsidP="00C0151F">
            <w:pPr>
              <w:jc w:val="center"/>
              <w:rPr>
                <w:rFonts w:eastAsiaTheme="minorEastAsia"/>
                <w:sz w:val="20"/>
                <w:szCs w:val="20"/>
              </w:rPr>
            </w:pPr>
            <w:r w:rsidRPr="00D960DB">
              <w:rPr>
                <w:rFonts w:eastAsiaTheme="minorEastAsia"/>
                <w:sz w:val="20"/>
                <w:szCs w:val="20"/>
              </w:rPr>
              <w:t>1.36%</w:t>
            </w:r>
          </w:p>
        </w:tc>
        <w:tc>
          <w:tcPr>
            <w:tcW w:w="925" w:type="dxa"/>
            <w:tcBorders>
              <w:top w:val="nil"/>
              <w:left w:val="nil"/>
              <w:bottom w:val="single" w:sz="4" w:space="0" w:color="auto"/>
              <w:right w:val="single" w:sz="4" w:space="0" w:color="auto"/>
            </w:tcBorders>
            <w:shd w:val="clear" w:color="auto" w:fill="auto"/>
            <w:noWrap/>
            <w:vAlign w:val="bottom"/>
            <w:hideMark/>
          </w:tcPr>
          <w:p w14:paraId="017EFCF8" w14:textId="77777777" w:rsidR="00B75AF1" w:rsidRPr="00D960DB" w:rsidRDefault="00B75AF1" w:rsidP="00F75FF9">
            <w:pPr>
              <w:jc w:val="center"/>
              <w:rPr>
                <w:rFonts w:eastAsiaTheme="minorEastAsia"/>
                <w:sz w:val="20"/>
                <w:szCs w:val="20"/>
              </w:rPr>
            </w:pPr>
            <w:r w:rsidRPr="00D960DB">
              <w:rPr>
                <w:rFonts w:eastAsiaTheme="minorEastAsia"/>
                <w:sz w:val="20"/>
                <w:szCs w:val="20"/>
              </w:rPr>
              <w:t>2.09%</w:t>
            </w:r>
          </w:p>
        </w:tc>
      </w:tr>
      <w:tr w:rsidR="00B75AF1" w:rsidRPr="00B75AF1" w14:paraId="2CF021F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5CD80B1" w14:textId="77777777" w:rsidR="00B75AF1" w:rsidRPr="00D960DB" w:rsidRDefault="00B75AF1" w:rsidP="00B75AF1">
            <w:pPr>
              <w:rPr>
                <w:rFonts w:eastAsiaTheme="minorEastAsia"/>
                <w:sz w:val="20"/>
                <w:szCs w:val="20"/>
              </w:rPr>
            </w:pPr>
            <w:r w:rsidRPr="00D960DB">
              <w:rPr>
                <w:rFonts w:eastAsiaTheme="minorEastAsia"/>
                <w:sz w:val="20"/>
                <w:szCs w:val="20"/>
              </w:rPr>
              <w:t>Gaston County</w:t>
            </w:r>
          </w:p>
        </w:tc>
        <w:tc>
          <w:tcPr>
            <w:tcW w:w="2536" w:type="dxa"/>
            <w:tcBorders>
              <w:top w:val="nil"/>
              <w:left w:val="nil"/>
              <w:bottom w:val="single" w:sz="4" w:space="0" w:color="auto"/>
              <w:right w:val="single" w:sz="4" w:space="0" w:color="auto"/>
            </w:tcBorders>
            <w:shd w:val="clear" w:color="auto" w:fill="auto"/>
            <w:noWrap/>
            <w:vAlign w:val="bottom"/>
            <w:hideMark/>
          </w:tcPr>
          <w:p w14:paraId="47CEE695" w14:textId="543EEAB1" w:rsidR="00B75AF1" w:rsidRPr="00D960DB" w:rsidRDefault="00B75AF1" w:rsidP="00F75FF9">
            <w:pPr>
              <w:jc w:val="center"/>
              <w:rPr>
                <w:rFonts w:eastAsiaTheme="minorEastAsia"/>
                <w:sz w:val="20"/>
                <w:szCs w:val="20"/>
              </w:rPr>
            </w:pPr>
            <w:r w:rsidRPr="00D960DB">
              <w:rPr>
                <w:rFonts w:eastAsiaTheme="minorEastAsia"/>
                <w:sz w:val="20"/>
                <w:szCs w:val="20"/>
              </w:rPr>
              <w:t>72</w:t>
            </w:r>
          </w:p>
        </w:tc>
        <w:tc>
          <w:tcPr>
            <w:tcW w:w="1890" w:type="dxa"/>
            <w:tcBorders>
              <w:top w:val="nil"/>
              <w:left w:val="nil"/>
              <w:bottom w:val="single" w:sz="4" w:space="0" w:color="auto"/>
              <w:right w:val="single" w:sz="4" w:space="0" w:color="auto"/>
            </w:tcBorders>
            <w:shd w:val="clear" w:color="auto" w:fill="auto"/>
            <w:noWrap/>
            <w:vAlign w:val="bottom"/>
            <w:hideMark/>
          </w:tcPr>
          <w:p w14:paraId="6770CBA0" w14:textId="0F54098A" w:rsidR="00B75AF1" w:rsidRPr="00D960DB" w:rsidRDefault="00B75AF1" w:rsidP="00F75FF9">
            <w:pPr>
              <w:jc w:val="center"/>
              <w:rPr>
                <w:rFonts w:eastAsiaTheme="minorEastAsia"/>
                <w:sz w:val="20"/>
                <w:szCs w:val="20"/>
              </w:rPr>
            </w:pPr>
            <w:r w:rsidRPr="00D960DB">
              <w:rPr>
                <w:rFonts w:eastAsiaTheme="minorEastAsia"/>
                <w:sz w:val="20"/>
                <w:szCs w:val="20"/>
              </w:rPr>
              <w:t>3,008</w:t>
            </w:r>
          </w:p>
        </w:tc>
        <w:tc>
          <w:tcPr>
            <w:tcW w:w="1503" w:type="dxa"/>
            <w:tcBorders>
              <w:top w:val="nil"/>
              <w:left w:val="nil"/>
              <w:bottom w:val="single" w:sz="4" w:space="0" w:color="auto"/>
              <w:right w:val="single" w:sz="4" w:space="0" w:color="auto"/>
            </w:tcBorders>
            <w:shd w:val="clear" w:color="auto" w:fill="auto"/>
            <w:noWrap/>
            <w:vAlign w:val="bottom"/>
            <w:hideMark/>
          </w:tcPr>
          <w:p w14:paraId="6D40AFBC" w14:textId="77777777" w:rsidR="00B75AF1" w:rsidRPr="00D960DB" w:rsidRDefault="00B75AF1" w:rsidP="00C0151F">
            <w:pPr>
              <w:jc w:val="center"/>
              <w:rPr>
                <w:rFonts w:eastAsiaTheme="minorEastAsia"/>
                <w:sz w:val="20"/>
                <w:szCs w:val="20"/>
              </w:rPr>
            </w:pPr>
            <w:r w:rsidRPr="00D960DB">
              <w:rPr>
                <w:rFonts w:eastAsiaTheme="minorEastAsia"/>
                <w:sz w:val="20"/>
                <w:szCs w:val="20"/>
              </w:rPr>
              <w:t>2.38%</w:t>
            </w:r>
          </w:p>
        </w:tc>
        <w:tc>
          <w:tcPr>
            <w:tcW w:w="925" w:type="dxa"/>
            <w:tcBorders>
              <w:top w:val="nil"/>
              <w:left w:val="nil"/>
              <w:bottom w:val="single" w:sz="4" w:space="0" w:color="auto"/>
              <w:right w:val="single" w:sz="4" w:space="0" w:color="auto"/>
            </w:tcBorders>
            <w:shd w:val="clear" w:color="auto" w:fill="auto"/>
            <w:noWrap/>
            <w:vAlign w:val="bottom"/>
            <w:hideMark/>
          </w:tcPr>
          <w:p w14:paraId="65A2ADBD" w14:textId="77777777" w:rsidR="00B75AF1" w:rsidRPr="00D960DB" w:rsidRDefault="00B75AF1" w:rsidP="00F75FF9">
            <w:pPr>
              <w:jc w:val="center"/>
              <w:rPr>
                <w:rFonts w:eastAsiaTheme="minorEastAsia"/>
                <w:sz w:val="20"/>
                <w:szCs w:val="20"/>
              </w:rPr>
            </w:pPr>
            <w:r w:rsidRPr="00D960DB">
              <w:rPr>
                <w:rFonts w:eastAsiaTheme="minorEastAsia"/>
                <w:sz w:val="20"/>
                <w:szCs w:val="20"/>
              </w:rPr>
              <w:t>2.05%</w:t>
            </w:r>
          </w:p>
        </w:tc>
      </w:tr>
      <w:tr w:rsidR="00B75AF1" w:rsidRPr="00B75AF1" w14:paraId="2208CC7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3542008" w14:textId="77777777" w:rsidR="00B75AF1" w:rsidRPr="00D960DB" w:rsidRDefault="00B75AF1" w:rsidP="00B75AF1">
            <w:pPr>
              <w:rPr>
                <w:rFonts w:eastAsiaTheme="minorEastAsia"/>
                <w:sz w:val="20"/>
                <w:szCs w:val="20"/>
              </w:rPr>
            </w:pPr>
            <w:r w:rsidRPr="00D960DB">
              <w:rPr>
                <w:rFonts w:eastAsiaTheme="minorEastAsia"/>
                <w:sz w:val="20"/>
                <w:szCs w:val="20"/>
              </w:rPr>
              <w:t>Alamance County</w:t>
            </w:r>
          </w:p>
        </w:tc>
        <w:tc>
          <w:tcPr>
            <w:tcW w:w="2536" w:type="dxa"/>
            <w:tcBorders>
              <w:top w:val="nil"/>
              <w:left w:val="nil"/>
              <w:bottom w:val="single" w:sz="4" w:space="0" w:color="auto"/>
              <w:right w:val="single" w:sz="4" w:space="0" w:color="auto"/>
            </w:tcBorders>
            <w:shd w:val="clear" w:color="auto" w:fill="auto"/>
            <w:noWrap/>
            <w:vAlign w:val="bottom"/>
            <w:hideMark/>
          </w:tcPr>
          <w:p w14:paraId="1D5D8CD4" w14:textId="00A4FB49" w:rsidR="00B75AF1" w:rsidRPr="00D960DB" w:rsidRDefault="00B75AF1" w:rsidP="00F75FF9">
            <w:pPr>
              <w:jc w:val="center"/>
              <w:rPr>
                <w:rFonts w:eastAsiaTheme="minorEastAsia"/>
                <w:sz w:val="20"/>
                <w:szCs w:val="20"/>
              </w:rPr>
            </w:pPr>
            <w:r w:rsidRPr="00D960DB">
              <w:rPr>
                <w:rFonts w:eastAsiaTheme="minorEastAsia"/>
                <w:sz w:val="20"/>
                <w:szCs w:val="20"/>
              </w:rPr>
              <w:t>50</w:t>
            </w:r>
          </w:p>
        </w:tc>
        <w:tc>
          <w:tcPr>
            <w:tcW w:w="1890" w:type="dxa"/>
            <w:tcBorders>
              <w:top w:val="nil"/>
              <w:left w:val="nil"/>
              <w:bottom w:val="single" w:sz="4" w:space="0" w:color="auto"/>
              <w:right w:val="single" w:sz="4" w:space="0" w:color="auto"/>
            </w:tcBorders>
            <w:shd w:val="clear" w:color="auto" w:fill="auto"/>
            <w:noWrap/>
            <w:vAlign w:val="bottom"/>
            <w:hideMark/>
          </w:tcPr>
          <w:p w14:paraId="28F06427" w14:textId="35EB791A" w:rsidR="00B75AF1" w:rsidRPr="00D960DB" w:rsidRDefault="00B75AF1" w:rsidP="00F75FF9">
            <w:pPr>
              <w:jc w:val="center"/>
              <w:rPr>
                <w:rFonts w:eastAsiaTheme="minorEastAsia"/>
                <w:sz w:val="20"/>
                <w:szCs w:val="20"/>
              </w:rPr>
            </w:pPr>
            <w:r w:rsidRPr="00D960DB">
              <w:rPr>
                <w:rFonts w:eastAsiaTheme="minorEastAsia"/>
                <w:sz w:val="20"/>
                <w:szCs w:val="20"/>
              </w:rPr>
              <w:t>2,693</w:t>
            </w:r>
          </w:p>
        </w:tc>
        <w:tc>
          <w:tcPr>
            <w:tcW w:w="1503" w:type="dxa"/>
            <w:tcBorders>
              <w:top w:val="nil"/>
              <w:left w:val="nil"/>
              <w:bottom w:val="single" w:sz="4" w:space="0" w:color="auto"/>
              <w:right w:val="single" w:sz="4" w:space="0" w:color="auto"/>
            </w:tcBorders>
            <w:shd w:val="clear" w:color="auto" w:fill="auto"/>
            <w:noWrap/>
            <w:vAlign w:val="bottom"/>
            <w:hideMark/>
          </w:tcPr>
          <w:p w14:paraId="293EFC6B" w14:textId="77777777" w:rsidR="00B75AF1" w:rsidRPr="00D960DB" w:rsidRDefault="00B75AF1" w:rsidP="00C0151F">
            <w:pPr>
              <w:jc w:val="center"/>
              <w:rPr>
                <w:rFonts w:eastAsiaTheme="minorEastAsia"/>
                <w:sz w:val="20"/>
                <w:szCs w:val="20"/>
              </w:rPr>
            </w:pPr>
            <w:r w:rsidRPr="00D960DB">
              <w:rPr>
                <w:rFonts w:eastAsiaTheme="minorEastAsia"/>
                <w:sz w:val="20"/>
                <w:szCs w:val="20"/>
              </w:rPr>
              <w:t>1.66%</w:t>
            </w:r>
          </w:p>
        </w:tc>
        <w:tc>
          <w:tcPr>
            <w:tcW w:w="925" w:type="dxa"/>
            <w:tcBorders>
              <w:top w:val="nil"/>
              <w:left w:val="nil"/>
              <w:bottom w:val="single" w:sz="4" w:space="0" w:color="auto"/>
              <w:right w:val="single" w:sz="4" w:space="0" w:color="auto"/>
            </w:tcBorders>
            <w:shd w:val="clear" w:color="auto" w:fill="auto"/>
            <w:noWrap/>
            <w:vAlign w:val="bottom"/>
            <w:hideMark/>
          </w:tcPr>
          <w:p w14:paraId="70665CF3" w14:textId="77777777" w:rsidR="00B75AF1" w:rsidRPr="00D960DB" w:rsidRDefault="00B75AF1" w:rsidP="00F75FF9">
            <w:pPr>
              <w:jc w:val="center"/>
              <w:rPr>
                <w:rFonts w:eastAsiaTheme="minorEastAsia"/>
                <w:sz w:val="20"/>
                <w:szCs w:val="20"/>
              </w:rPr>
            </w:pPr>
            <w:r w:rsidRPr="00D960DB">
              <w:rPr>
                <w:rFonts w:eastAsiaTheme="minorEastAsia"/>
                <w:sz w:val="20"/>
                <w:szCs w:val="20"/>
              </w:rPr>
              <w:t>1.84%</w:t>
            </w:r>
          </w:p>
        </w:tc>
      </w:tr>
      <w:tr w:rsidR="00B75AF1" w:rsidRPr="00B75AF1" w14:paraId="7A649877"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697CFC3" w14:textId="77777777" w:rsidR="00B75AF1" w:rsidRPr="00D960DB" w:rsidRDefault="00B75AF1" w:rsidP="00B75AF1">
            <w:pPr>
              <w:rPr>
                <w:rFonts w:eastAsiaTheme="minorEastAsia"/>
                <w:sz w:val="20"/>
                <w:szCs w:val="20"/>
              </w:rPr>
            </w:pPr>
            <w:r w:rsidRPr="00D960DB">
              <w:rPr>
                <w:rFonts w:eastAsiaTheme="minorEastAsia"/>
                <w:sz w:val="20"/>
                <w:szCs w:val="20"/>
              </w:rPr>
              <w:t>Johnston County</w:t>
            </w:r>
          </w:p>
        </w:tc>
        <w:tc>
          <w:tcPr>
            <w:tcW w:w="2536" w:type="dxa"/>
            <w:tcBorders>
              <w:top w:val="nil"/>
              <w:left w:val="nil"/>
              <w:bottom w:val="single" w:sz="4" w:space="0" w:color="auto"/>
              <w:right w:val="single" w:sz="4" w:space="0" w:color="auto"/>
            </w:tcBorders>
            <w:shd w:val="clear" w:color="auto" w:fill="auto"/>
            <w:noWrap/>
            <w:vAlign w:val="bottom"/>
            <w:hideMark/>
          </w:tcPr>
          <w:p w14:paraId="490A34F8" w14:textId="09B947F8" w:rsidR="00B75AF1" w:rsidRPr="00D960DB" w:rsidRDefault="00B75AF1" w:rsidP="00F75FF9">
            <w:pPr>
              <w:jc w:val="center"/>
              <w:rPr>
                <w:rFonts w:eastAsiaTheme="minorEastAsia"/>
                <w:sz w:val="20"/>
                <w:szCs w:val="20"/>
              </w:rPr>
            </w:pPr>
            <w:r w:rsidRPr="00D960DB">
              <w:rPr>
                <w:rFonts w:eastAsiaTheme="minorEastAsia"/>
                <w:sz w:val="20"/>
                <w:szCs w:val="20"/>
              </w:rPr>
              <w:t>48</w:t>
            </w:r>
          </w:p>
        </w:tc>
        <w:tc>
          <w:tcPr>
            <w:tcW w:w="1890" w:type="dxa"/>
            <w:tcBorders>
              <w:top w:val="nil"/>
              <w:left w:val="nil"/>
              <w:bottom w:val="single" w:sz="4" w:space="0" w:color="auto"/>
              <w:right w:val="single" w:sz="4" w:space="0" w:color="auto"/>
            </w:tcBorders>
            <w:shd w:val="clear" w:color="auto" w:fill="auto"/>
            <w:noWrap/>
            <w:vAlign w:val="bottom"/>
            <w:hideMark/>
          </w:tcPr>
          <w:p w14:paraId="279EF2B9" w14:textId="6195E800" w:rsidR="00B75AF1" w:rsidRPr="00D960DB" w:rsidRDefault="00B75AF1" w:rsidP="00F75FF9">
            <w:pPr>
              <w:jc w:val="center"/>
              <w:rPr>
                <w:rFonts w:eastAsiaTheme="minorEastAsia"/>
                <w:sz w:val="20"/>
                <w:szCs w:val="20"/>
              </w:rPr>
            </w:pPr>
            <w:r w:rsidRPr="00D960DB">
              <w:rPr>
                <w:rFonts w:eastAsiaTheme="minorEastAsia"/>
                <w:sz w:val="20"/>
                <w:szCs w:val="20"/>
              </w:rPr>
              <w:t>2,627</w:t>
            </w:r>
          </w:p>
        </w:tc>
        <w:tc>
          <w:tcPr>
            <w:tcW w:w="1503" w:type="dxa"/>
            <w:tcBorders>
              <w:top w:val="nil"/>
              <w:left w:val="nil"/>
              <w:bottom w:val="single" w:sz="4" w:space="0" w:color="auto"/>
              <w:right w:val="single" w:sz="4" w:space="0" w:color="auto"/>
            </w:tcBorders>
            <w:shd w:val="clear" w:color="auto" w:fill="auto"/>
            <w:noWrap/>
            <w:vAlign w:val="bottom"/>
            <w:hideMark/>
          </w:tcPr>
          <w:p w14:paraId="17D27AE0" w14:textId="77777777" w:rsidR="00B75AF1" w:rsidRPr="00D960DB" w:rsidRDefault="00B75AF1" w:rsidP="00C0151F">
            <w:pPr>
              <w:jc w:val="center"/>
              <w:rPr>
                <w:rFonts w:eastAsiaTheme="minorEastAsia"/>
                <w:sz w:val="20"/>
                <w:szCs w:val="20"/>
              </w:rPr>
            </w:pPr>
            <w:r w:rsidRPr="00D960DB">
              <w:rPr>
                <w:rFonts w:eastAsiaTheme="minorEastAsia"/>
                <w:sz w:val="20"/>
                <w:szCs w:val="20"/>
              </w:rPr>
              <w:t>1.59%</w:t>
            </w:r>
          </w:p>
        </w:tc>
        <w:tc>
          <w:tcPr>
            <w:tcW w:w="925" w:type="dxa"/>
            <w:tcBorders>
              <w:top w:val="nil"/>
              <w:left w:val="nil"/>
              <w:bottom w:val="single" w:sz="4" w:space="0" w:color="auto"/>
              <w:right w:val="single" w:sz="4" w:space="0" w:color="auto"/>
            </w:tcBorders>
            <w:shd w:val="clear" w:color="auto" w:fill="auto"/>
            <w:noWrap/>
            <w:vAlign w:val="bottom"/>
            <w:hideMark/>
          </w:tcPr>
          <w:p w14:paraId="00C0AAC9" w14:textId="77777777" w:rsidR="00B75AF1" w:rsidRPr="00D960DB" w:rsidRDefault="00B75AF1" w:rsidP="00F75FF9">
            <w:pPr>
              <w:jc w:val="center"/>
              <w:rPr>
                <w:rFonts w:eastAsiaTheme="minorEastAsia"/>
                <w:sz w:val="20"/>
                <w:szCs w:val="20"/>
              </w:rPr>
            </w:pPr>
            <w:r w:rsidRPr="00D960DB">
              <w:rPr>
                <w:rFonts w:eastAsiaTheme="minorEastAsia"/>
                <w:sz w:val="20"/>
                <w:szCs w:val="20"/>
              </w:rPr>
              <w:t>1.79%</w:t>
            </w:r>
          </w:p>
        </w:tc>
      </w:tr>
      <w:tr w:rsidR="00B75AF1" w:rsidRPr="00B75AF1" w14:paraId="65C5520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039F6F6" w14:textId="77777777" w:rsidR="00B75AF1" w:rsidRPr="00D960DB" w:rsidRDefault="00B75AF1" w:rsidP="00B75AF1">
            <w:pPr>
              <w:rPr>
                <w:rFonts w:eastAsiaTheme="minorEastAsia"/>
                <w:sz w:val="20"/>
                <w:szCs w:val="20"/>
              </w:rPr>
            </w:pPr>
            <w:r w:rsidRPr="00D960DB">
              <w:rPr>
                <w:rFonts w:eastAsiaTheme="minorEastAsia"/>
                <w:sz w:val="20"/>
                <w:szCs w:val="20"/>
              </w:rPr>
              <w:t>Cabarrus County</w:t>
            </w:r>
          </w:p>
        </w:tc>
        <w:tc>
          <w:tcPr>
            <w:tcW w:w="2536" w:type="dxa"/>
            <w:tcBorders>
              <w:top w:val="nil"/>
              <w:left w:val="nil"/>
              <w:bottom w:val="single" w:sz="4" w:space="0" w:color="auto"/>
              <w:right w:val="single" w:sz="4" w:space="0" w:color="auto"/>
            </w:tcBorders>
            <w:shd w:val="clear" w:color="auto" w:fill="auto"/>
            <w:noWrap/>
            <w:vAlign w:val="bottom"/>
            <w:hideMark/>
          </w:tcPr>
          <w:p w14:paraId="4AC3DF68" w14:textId="462E6F04" w:rsidR="00B75AF1" w:rsidRPr="00D960DB" w:rsidRDefault="00B75AF1" w:rsidP="00F75FF9">
            <w:pPr>
              <w:jc w:val="center"/>
              <w:rPr>
                <w:rFonts w:eastAsiaTheme="minorEastAsia"/>
                <w:sz w:val="20"/>
                <w:szCs w:val="20"/>
              </w:rPr>
            </w:pPr>
            <w:r w:rsidRPr="00D960DB">
              <w:rPr>
                <w:rFonts w:eastAsiaTheme="minorEastAsia"/>
                <w:sz w:val="20"/>
                <w:szCs w:val="20"/>
              </w:rPr>
              <w:t>44</w:t>
            </w:r>
          </w:p>
        </w:tc>
        <w:tc>
          <w:tcPr>
            <w:tcW w:w="1890" w:type="dxa"/>
            <w:tcBorders>
              <w:top w:val="nil"/>
              <w:left w:val="nil"/>
              <w:bottom w:val="single" w:sz="4" w:space="0" w:color="auto"/>
              <w:right w:val="single" w:sz="4" w:space="0" w:color="auto"/>
            </w:tcBorders>
            <w:shd w:val="clear" w:color="auto" w:fill="auto"/>
            <w:noWrap/>
            <w:vAlign w:val="bottom"/>
            <w:hideMark/>
          </w:tcPr>
          <w:p w14:paraId="575E80C8" w14:textId="3CDD6630" w:rsidR="00B75AF1" w:rsidRPr="00D960DB" w:rsidRDefault="00B75AF1" w:rsidP="00F75FF9">
            <w:pPr>
              <w:jc w:val="center"/>
              <w:rPr>
                <w:rFonts w:eastAsiaTheme="minorEastAsia"/>
                <w:sz w:val="20"/>
                <w:szCs w:val="20"/>
              </w:rPr>
            </w:pPr>
            <w:r w:rsidRPr="00D960DB">
              <w:rPr>
                <w:rFonts w:eastAsiaTheme="minorEastAsia"/>
                <w:sz w:val="20"/>
                <w:szCs w:val="20"/>
              </w:rPr>
              <w:t>2,275</w:t>
            </w:r>
          </w:p>
        </w:tc>
        <w:tc>
          <w:tcPr>
            <w:tcW w:w="1503" w:type="dxa"/>
            <w:tcBorders>
              <w:top w:val="nil"/>
              <w:left w:val="nil"/>
              <w:bottom w:val="single" w:sz="4" w:space="0" w:color="auto"/>
              <w:right w:val="single" w:sz="4" w:space="0" w:color="auto"/>
            </w:tcBorders>
            <w:shd w:val="clear" w:color="auto" w:fill="auto"/>
            <w:noWrap/>
            <w:vAlign w:val="bottom"/>
            <w:hideMark/>
          </w:tcPr>
          <w:p w14:paraId="5F7F6560" w14:textId="77777777" w:rsidR="00B75AF1" w:rsidRPr="00D960DB" w:rsidRDefault="00B75AF1" w:rsidP="00C0151F">
            <w:pPr>
              <w:jc w:val="center"/>
              <w:rPr>
                <w:rFonts w:eastAsiaTheme="minorEastAsia"/>
                <w:sz w:val="20"/>
                <w:szCs w:val="20"/>
              </w:rPr>
            </w:pPr>
            <w:r w:rsidRPr="00D960DB">
              <w:rPr>
                <w:rFonts w:eastAsiaTheme="minorEastAsia"/>
                <w:sz w:val="20"/>
                <w:szCs w:val="20"/>
              </w:rPr>
              <w:t>1.46%</w:t>
            </w:r>
          </w:p>
        </w:tc>
        <w:tc>
          <w:tcPr>
            <w:tcW w:w="925" w:type="dxa"/>
            <w:tcBorders>
              <w:top w:val="nil"/>
              <w:left w:val="nil"/>
              <w:bottom w:val="single" w:sz="4" w:space="0" w:color="auto"/>
              <w:right w:val="single" w:sz="4" w:space="0" w:color="auto"/>
            </w:tcBorders>
            <w:shd w:val="clear" w:color="auto" w:fill="auto"/>
            <w:noWrap/>
            <w:vAlign w:val="bottom"/>
            <w:hideMark/>
          </w:tcPr>
          <w:p w14:paraId="35610338" w14:textId="77777777" w:rsidR="00B75AF1" w:rsidRPr="00D960DB" w:rsidRDefault="00B75AF1" w:rsidP="00F75FF9">
            <w:pPr>
              <w:jc w:val="center"/>
              <w:rPr>
                <w:rFonts w:eastAsiaTheme="minorEastAsia"/>
                <w:sz w:val="20"/>
                <w:szCs w:val="20"/>
              </w:rPr>
            </w:pPr>
            <w:r w:rsidRPr="00D960DB">
              <w:rPr>
                <w:rFonts w:eastAsiaTheme="minorEastAsia"/>
                <w:sz w:val="20"/>
                <w:szCs w:val="20"/>
              </w:rPr>
              <w:t>1.55%</w:t>
            </w:r>
          </w:p>
        </w:tc>
      </w:tr>
      <w:tr w:rsidR="00B75AF1" w:rsidRPr="00B75AF1" w14:paraId="7552035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DE9032D" w14:textId="77777777" w:rsidR="00B75AF1" w:rsidRPr="00D960DB" w:rsidRDefault="00B75AF1" w:rsidP="00B75AF1">
            <w:pPr>
              <w:rPr>
                <w:rFonts w:eastAsiaTheme="minorEastAsia"/>
                <w:sz w:val="20"/>
                <w:szCs w:val="20"/>
              </w:rPr>
            </w:pPr>
            <w:r w:rsidRPr="00D960DB">
              <w:rPr>
                <w:rFonts w:eastAsiaTheme="minorEastAsia"/>
                <w:sz w:val="20"/>
                <w:szCs w:val="20"/>
              </w:rPr>
              <w:t>Wilson County</w:t>
            </w:r>
          </w:p>
        </w:tc>
        <w:tc>
          <w:tcPr>
            <w:tcW w:w="2536" w:type="dxa"/>
            <w:tcBorders>
              <w:top w:val="nil"/>
              <w:left w:val="nil"/>
              <w:bottom w:val="single" w:sz="4" w:space="0" w:color="auto"/>
              <w:right w:val="single" w:sz="4" w:space="0" w:color="auto"/>
            </w:tcBorders>
            <w:shd w:val="clear" w:color="auto" w:fill="auto"/>
            <w:noWrap/>
            <w:vAlign w:val="bottom"/>
            <w:hideMark/>
          </w:tcPr>
          <w:p w14:paraId="4F2BC25E" w14:textId="209D669F" w:rsidR="00B75AF1" w:rsidRPr="00D960DB" w:rsidRDefault="00B75AF1" w:rsidP="00F75FF9">
            <w:pPr>
              <w:jc w:val="center"/>
              <w:rPr>
                <w:rFonts w:eastAsiaTheme="minorEastAsia"/>
                <w:sz w:val="20"/>
                <w:szCs w:val="20"/>
              </w:rPr>
            </w:pPr>
            <w:r w:rsidRPr="00D960DB">
              <w:rPr>
                <w:rFonts w:eastAsiaTheme="minorEastAsia"/>
                <w:sz w:val="20"/>
                <w:szCs w:val="20"/>
              </w:rPr>
              <w:t>70</w:t>
            </w:r>
          </w:p>
        </w:tc>
        <w:tc>
          <w:tcPr>
            <w:tcW w:w="1890" w:type="dxa"/>
            <w:tcBorders>
              <w:top w:val="nil"/>
              <w:left w:val="nil"/>
              <w:bottom w:val="single" w:sz="4" w:space="0" w:color="auto"/>
              <w:right w:val="single" w:sz="4" w:space="0" w:color="auto"/>
            </w:tcBorders>
            <w:shd w:val="clear" w:color="auto" w:fill="auto"/>
            <w:noWrap/>
            <w:vAlign w:val="bottom"/>
            <w:hideMark/>
          </w:tcPr>
          <w:p w14:paraId="5CCC7500" w14:textId="42ABCFE6" w:rsidR="00B75AF1" w:rsidRPr="00D960DB" w:rsidRDefault="00B75AF1" w:rsidP="00F75FF9">
            <w:pPr>
              <w:jc w:val="center"/>
              <w:rPr>
                <w:rFonts w:eastAsiaTheme="minorEastAsia"/>
                <w:sz w:val="20"/>
                <w:szCs w:val="20"/>
              </w:rPr>
            </w:pPr>
            <w:r w:rsidRPr="00D960DB">
              <w:rPr>
                <w:rFonts w:eastAsiaTheme="minorEastAsia"/>
                <w:sz w:val="20"/>
                <w:szCs w:val="20"/>
              </w:rPr>
              <w:t>2,200</w:t>
            </w:r>
          </w:p>
        </w:tc>
        <w:tc>
          <w:tcPr>
            <w:tcW w:w="1503" w:type="dxa"/>
            <w:tcBorders>
              <w:top w:val="nil"/>
              <w:left w:val="nil"/>
              <w:bottom w:val="single" w:sz="4" w:space="0" w:color="auto"/>
              <w:right w:val="single" w:sz="4" w:space="0" w:color="auto"/>
            </w:tcBorders>
            <w:shd w:val="clear" w:color="auto" w:fill="auto"/>
            <w:noWrap/>
            <w:vAlign w:val="bottom"/>
            <w:hideMark/>
          </w:tcPr>
          <w:p w14:paraId="2AB16D93" w14:textId="77777777" w:rsidR="00B75AF1" w:rsidRPr="00D960DB" w:rsidRDefault="00B75AF1" w:rsidP="00C0151F">
            <w:pPr>
              <w:jc w:val="center"/>
              <w:rPr>
                <w:rFonts w:eastAsiaTheme="minorEastAsia"/>
                <w:sz w:val="20"/>
                <w:szCs w:val="20"/>
              </w:rPr>
            </w:pPr>
            <w:r w:rsidRPr="00D960DB">
              <w:rPr>
                <w:rFonts w:eastAsiaTheme="minorEastAsia"/>
                <w:sz w:val="20"/>
                <w:szCs w:val="20"/>
              </w:rPr>
              <w:t>2.32%</w:t>
            </w:r>
          </w:p>
        </w:tc>
        <w:tc>
          <w:tcPr>
            <w:tcW w:w="925" w:type="dxa"/>
            <w:tcBorders>
              <w:top w:val="nil"/>
              <w:left w:val="nil"/>
              <w:bottom w:val="single" w:sz="4" w:space="0" w:color="auto"/>
              <w:right w:val="single" w:sz="4" w:space="0" w:color="auto"/>
            </w:tcBorders>
            <w:shd w:val="clear" w:color="auto" w:fill="auto"/>
            <w:noWrap/>
            <w:vAlign w:val="bottom"/>
            <w:hideMark/>
          </w:tcPr>
          <w:p w14:paraId="73C55B71" w14:textId="77777777" w:rsidR="00B75AF1" w:rsidRPr="00D960DB" w:rsidRDefault="00B75AF1" w:rsidP="00F75FF9">
            <w:pPr>
              <w:jc w:val="center"/>
              <w:rPr>
                <w:rFonts w:eastAsiaTheme="minorEastAsia"/>
                <w:sz w:val="20"/>
                <w:szCs w:val="20"/>
              </w:rPr>
            </w:pPr>
            <w:r w:rsidRPr="00D960DB">
              <w:rPr>
                <w:rFonts w:eastAsiaTheme="minorEastAsia"/>
                <w:sz w:val="20"/>
                <w:szCs w:val="20"/>
              </w:rPr>
              <w:t>1.50%</w:t>
            </w:r>
          </w:p>
        </w:tc>
      </w:tr>
      <w:tr w:rsidR="00B75AF1" w:rsidRPr="00B75AF1" w14:paraId="23B8D160"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6574C90" w14:textId="77777777" w:rsidR="00B75AF1" w:rsidRPr="00D960DB" w:rsidRDefault="00B75AF1" w:rsidP="00B75AF1">
            <w:pPr>
              <w:rPr>
                <w:rFonts w:eastAsiaTheme="minorEastAsia"/>
                <w:sz w:val="20"/>
                <w:szCs w:val="20"/>
              </w:rPr>
            </w:pPr>
            <w:r w:rsidRPr="00D960DB">
              <w:rPr>
                <w:rFonts w:eastAsiaTheme="minorEastAsia"/>
                <w:sz w:val="20"/>
                <w:szCs w:val="20"/>
              </w:rPr>
              <w:t>Iredell County</w:t>
            </w:r>
          </w:p>
        </w:tc>
        <w:tc>
          <w:tcPr>
            <w:tcW w:w="2536" w:type="dxa"/>
            <w:tcBorders>
              <w:top w:val="nil"/>
              <w:left w:val="nil"/>
              <w:bottom w:val="single" w:sz="4" w:space="0" w:color="auto"/>
              <w:right w:val="single" w:sz="4" w:space="0" w:color="auto"/>
            </w:tcBorders>
            <w:shd w:val="clear" w:color="auto" w:fill="auto"/>
            <w:noWrap/>
            <w:vAlign w:val="bottom"/>
            <w:hideMark/>
          </w:tcPr>
          <w:p w14:paraId="3E212B6C" w14:textId="4D8D13BA" w:rsidR="00B75AF1" w:rsidRPr="00D960DB" w:rsidRDefault="00B75AF1" w:rsidP="00F75FF9">
            <w:pPr>
              <w:jc w:val="center"/>
              <w:rPr>
                <w:rFonts w:eastAsiaTheme="minorEastAsia"/>
                <w:sz w:val="20"/>
                <w:szCs w:val="20"/>
              </w:rPr>
            </w:pPr>
            <w:r w:rsidRPr="00D960DB">
              <w:rPr>
                <w:rFonts w:eastAsiaTheme="minorEastAsia"/>
                <w:sz w:val="20"/>
                <w:szCs w:val="20"/>
              </w:rPr>
              <w:t>43</w:t>
            </w:r>
          </w:p>
        </w:tc>
        <w:tc>
          <w:tcPr>
            <w:tcW w:w="1890" w:type="dxa"/>
            <w:tcBorders>
              <w:top w:val="nil"/>
              <w:left w:val="nil"/>
              <w:bottom w:val="single" w:sz="4" w:space="0" w:color="auto"/>
              <w:right w:val="single" w:sz="4" w:space="0" w:color="auto"/>
            </w:tcBorders>
            <w:shd w:val="clear" w:color="auto" w:fill="auto"/>
            <w:noWrap/>
            <w:vAlign w:val="bottom"/>
            <w:hideMark/>
          </w:tcPr>
          <w:p w14:paraId="198B926C" w14:textId="202B0979" w:rsidR="00B75AF1" w:rsidRPr="00D960DB" w:rsidRDefault="00B75AF1" w:rsidP="00F75FF9">
            <w:pPr>
              <w:jc w:val="center"/>
              <w:rPr>
                <w:rFonts w:eastAsiaTheme="minorEastAsia"/>
                <w:sz w:val="20"/>
                <w:szCs w:val="20"/>
              </w:rPr>
            </w:pPr>
            <w:r w:rsidRPr="00D960DB">
              <w:rPr>
                <w:rFonts w:eastAsiaTheme="minorEastAsia"/>
                <w:sz w:val="20"/>
                <w:szCs w:val="20"/>
              </w:rPr>
              <w:t>2,191</w:t>
            </w:r>
          </w:p>
        </w:tc>
        <w:tc>
          <w:tcPr>
            <w:tcW w:w="1503" w:type="dxa"/>
            <w:tcBorders>
              <w:top w:val="nil"/>
              <w:left w:val="nil"/>
              <w:bottom w:val="single" w:sz="4" w:space="0" w:color="auto"/>
              <w:right w:val="single" w:sz="4" w:space="0" w:color="auto"/>
            </w:tcBorders>
            <w:shd w:val="clear" w:color="auto" w:fill="auto"/>
            <w:noWrap/>
            <w:vAlign w:val="bottom"/>
            <w:hideMark/>
          </w:tcPr>
          <w:p w14:paraId="1A7CF7F4" w14:textId="77777777" w:rsidR="00B75AF1" w:rsidRPr="00D960DB" w:rsidRDefault="00B75AF1" w:rsidP="00C0151F">
            <w:pPr>
              <w:jc w:val="center"/>
              <w:rPr>
                <w:rFonts w:eastAsiaTheme="minorEastAsia"/>
                <w:sz w:val="20"/>
                <w:szCs w:val="20"/>
              </w:rPr>
            </w:pPr>
            <w:r w:rsidRPr="00D960DB">
              <w:rPr>
                <w:rFonts w:eastAsiaTheme="minorEastAsia"/>
                <w:sz w:val="20"/>
                <w:szCs w:val="20"/>
              </w:rPr>
              <w:t>1.42%</w:t>
            </w:r>
          </w:p>
        </w:tc>
        <w:tc>
          <w:tcPr>
            <w:tcW w:w="925" w:type="dxa"/>
            <w:tcBorders>
              <w:top w:val="nil"/>
              <w:left w:val="nil"/>
              <w:bottom w:val="single" w:sz="4" w:space="0" w:color="auto"/>
              <w:right w:val="single" w:sz="4" w:space="0" w:color="auto"/>
            </w:tcBorders>
            <w:shd w:val="clear" w:color="auto" w:fill="auto"/>
            <w:noWrap/>
            <w:vAlign w:val="bottom"/>
            <w:hideMark/>
          </w:tcPr>
          <w:p w14:paraId="47410064" w14:textId="77777777" w:rsidR="00B75AF1" w:rsidRPr="00D960DB" w:rsidRDefault="00B75AF1" w:rsidP="00F75FF9">
            <w:pPr>
              <w:jc w:val="center"/>
              <w:rPr>
                <w:rFonts w:eastAsiaTheme="minorEastAsia"/>
                <w:sz w:val="20"/>
                <w:szCs w:val="20"/>
              </w:rPr>
            </w:pPr>
            <w:r w:rsidRPr="00D960DB">
              <w:rPr>
                <w:rFonts w:eastAsiaTheme="minorEastAsia"/>
                <w:sz w:val="20"/>
                <w:szCs w:val="20"/>
              </w:rPr>
              <w:t>1.49%</w:t>
            </w:r>
          </w:p>
        </w:tc>
      </w:tr>
      <w:tr w:rsidR="00B75AF1" w:rsidRPr="00B75AF1" w14:paraId="1A09D890"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4450993" w14:textId="77777777" w:rsidR="00B75AF1" w:rsidRPr="00D960DB" w:rsidRDefault="00B75AF1" w:rsidP="00B75AF1">
            <w:pPr>
              <w:rPr>
                <w:rFonts w:eastAsiaTheme="minorEastAsia"/>
                <w:sz w:val="20"/>
                <w:szCs w:val="20"/>
              </w:rPr>
            </w:pPr>
            <w:r w:rsidRPr="00D960DB">
              <w:rPr>
                <w:rFonts w:eastAsiaTheme="minorEastAsia"/>
                <w:sz w:val="20"/>
                <w:szCs w:val="20"/>
              </w:rPr>
              <w:t>Onslow County</w:t>
            </w:r>
          </w:p>
        </w:tc>
        <w:tc>
          <w:tcPr>
            <w:tcW w:w="2536" w:type="dxa"/>
            <w:tcBorders>
              <w:top w:val="nil"/>
              <w:left w:val="nil"/>
              <w:bottom w:val="single" w:sz="4" w:space="0" w:color="auto"/>
              <w:right w:val="single" w:sz="4" w:space="0" w:color="auto"/>
            </w:tcBorders>
            <w:shd w:val="clear" w:color="auto" w:fill="auto"/>
            <w:noWrap/>
            <w:vAlign w:val="bottom"/>
            <w:hideMark/>
          </w:tcPr>
          <w:p w14:paraId="678CFAA2" w14:textId="3E8452A9" w:rsidR="00B75AF1" w:rsidRPr="00D960DB" w:rsidRDefault="00B75AF1" w:rsidP="00F75FF9">
            <w:pPr>
              <w:jc w:val="center"/>
              <w:rPr>
                <w:rFonts w:eastAsiaTheme="minorEastAsia"/>
                <w:sz w:val="20"/>
                <w:szCs w:val="20"/>
              </w:rPr>
            </w:pPr>
            <w:r w:rsidRPr="00D960DB">
              <w:rPr>
                <w:rFonts w:eastAsiaTheme="minorEastAsia"/>
                <w:sz w:val="20"/>
                <w:szCs w:val="20"/>
              </w:rPr>
              <w:t>31</w:t>
            </w:r>
          </w:p>
        </w:tc>
        <w:tc>
          <w:tcPr>
            <w:tcW w:w="1890" w:type="dxa"/>
            <w:tcBorders>
              <w:top w:val="nil"/>
              <w:left w:val="nil"/>
              <w:bottom w:val="single" w:sz="4" w:space="0" w:color="auto"/>
              <w:right w:val="single" w:sz="4" w:space="0" w:color="auto"/>
            </w:tcBorders>
            <w:shd w:val="clear" w:color="auto" w:fill="auto"/>
            <w:noWrap/>
            <w:vAlign w:val="bottom"/>
            <w:hideMark/>
          </w:tcPr>
          <w:p w14:paraId="2677F577" w14:textId="4A2C85AA" w:rsidR="00B75AF1" w:rsidRPr="00D960DB" w:rsidRDefault="00B75AF1" w:rsidP="00F75FF9">
            <w:pPr>
              <w:jc w:val="center"/>
              <w:rPr>
                <w:rFonts w:eastAsiaTheme="minorEastAsia"/>
                <w:sz w:val="20"/>
                <w:szCs w:val="20"/>
              </w:rPr>
            </w:pPr>
            <w:r w:rsidRPr="00D960DB">
              <w:rPr>
                <w:rFonts w:eastAsiaTheme="minorEastAsia"/>
                <w:sz w:val="20"/>
                <w:szCs w:val="20"/>
              </w:rPr>
              <w:t>2,111</w:t>
            </w:r>
          </w:p>
        </w:tc>
        <w:tc>
          <w:tcPr>
            <w:tcW w:w="1503" w:type="dxa"/>
            <w:tcBorders>
              <w:top w:val="nil"/>
              <w:left w:val="nil"/>
              <w:bottom w:val="single" w:sz="4" w:space="0" w:color="auto"/>
              <w:right w:val="single" w:sz="4" w:space="0" w:color="auto"/>
            </w:tcBorders>
            <w:shd w:val="clear" w:color="auto" w:fill="auto"/>
            <w:noWrap/>
            <w:vAlign w:val="bottom"/>
            <w:hideMark/>
          </w:tcPr>
          <w:p w14:paraId="63109D30" w14:textId="77777777" w:rsidR="00B75AF1" w:rsidRPr="00D960DB" w:rsidRDefault="00B75AF1" w:rsidP="00C0151F">
            <w:pPr>
              <w:jc w:val="center"/>
              <w:rPr>
                <w:rFonts w:eastAsiaTheme="minorEastAsia"/>
                <w:sz w:val="20"/>
                <w:szCs w:val="20"/>
              </w:rPr>
            </w:pPr>
            <w:r w:rsidRPr="00D960DB">
              <w:rPr>
                <w:rFonts w:eastAsiaTheme="minorEastAsia"/>
                <w:sz w:val="20"/>
                <w:szCs w:val="20"/>
              </w:rPr>
              <w:t>1.03%</w:t>
            </w:r>
          </w:p>
        </w:tc>
        <w:tc>
          <w:tcPr>
            <w:tcW w:w="925" w:type="dxa"/>
            <w:tcBorders>
              <w:top w:val="nil"/>
              <w:left w:val="nil"/>
              <w:bottom w:val="single" w:sz="4" w:space="0" w:color="auto"/>
              <w:right w:val="single" w:sz="4" w:space="0" w:color="auto"/>
            </w:tcBorders>
            <w:shd w:val="clear" w:color="auto" w:fill="auto"/>
            <w:noWrap/>
            <w:vAlign w:val="bottom"/>
            <w:hideMark/>
          </w:tcPr>
          <w:p w14:paraId="0F6B14CE" w14:textId="77777777" w:rsidR="00B75AF1" w:rsidRPr="00D960DB" w:rsidRDefault="00B75AF1" w:rsidP="00F75FF9">
            <w:pPr>
              <w:jc w:val="center"/>
              <w:rPr>
                <w:rFonts w:eastAsiaTheme="minorEastAsia"/>
                <w:sz w:val="20"/>
                <w:szCs w:val="20"/>
              </w:rPr>
            </w:pPr>
            <w:r w:rsidRPr="00D960DB">
              <w:rPr>
                <w:rFonts w:eastAsiaTheme="minorEastAsia"/>
                <w:sz w:val="20"/>
                <w:szCs w:val="20"/>
              </w:rPr>
              <w:t>1.44%</w:t>
            </w:r>
          </w:p>
        </w:tc>
      </w:tr>
      <w:tr w:rsidR="00B75AF1" w:rsidRPr="00B75AF1" w14:paraId="15754E7A"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6C5C8DC" w14:textId="77777777" w:rsidR="00B75AF1" w:rsidRPr="00D960DB" w:rsidRDefault="00B75AF1" w:rsidP="00B75AF1">
            <w:pPr>
              <w:rPr>
                <w:rFonts w:eastAsiaTheme="minorEastAsia"/>
                <w:sz w:val="20"/>
                <w:szCs w:val="20"/>
              </w:rPr>
            </w:pPr>
            <w:r w:rsidRPr="00D960DB">
              <w:rPr>
                <w:rFonts w:eastAsiaTheme="minorEastAsia"/>
                <w:sz w:val="20"/>
                <w:szCs w:val="20"/>
              </w:rPr>
              <w:t>Craven County</w:t>
            </w:r>
          </w:p>
        </w:tc>
        <w:tc>
          <w:tcPr>
            <w:tcW w:w="2536" w:type="dxa"/>
            <w:tcBorders>
              <w:top w:val="nil"/>
              <w:left w:val="nil"/>
              <w:bottom w:val="single" w:sz="4" w:space="0" w:color="auto"/>
              <w:right w:val="single" w:sz="4" w:space="0" w:color="auto"/>
            </w:tcBorders>
            <w:shd w:val="clear" w:color="auto" w:fill="auto"/>
            <w:noWrap/>
            <w:vAlign w:val="bottom"/>
            <w:hideMark/>
          </w:tcPr>
          <w:p w14:paraId="6CB74A67" w14:textId="13C9303C" w:rsidR="00B75AF1" w:rsidRPr="00D960DB" w:rsidRDefault="00B75AF1" w:rsidP="00F75FF9">
            <w:pPr>
              <w:jc w:val="center"/>
              <w:rPr>
                <w:rFonts w:eastAsiaTheme="minorEastAsia"/>
                <w:sz w:val="20"/>
                <w:szCs w:val="20"/>
              </w:rPr>
            </w:pPr>
            <w:r w:rsidRPr="00D960DB">
              <w:rPr>
                <w:rFonts w:eastAsiaTheme="minorEastAsia"/>
                <w:sz w:val="20"/>
                <w:szCs w:val="20"/>
              </w:rPr>
              <w:t>37</w:t>
            </w:r>
          </w:p>
        </w:tc>
        <w:tc>
          <w:tcPr>
            <w:tcW w:w="1890" w:type="dxa"/>
            <w:tcBorders>
              <w:top w:val="nil"/>
              <w:left w:val="nil"/>
              <w:bottom w:val="single" w:sz="4" w:space="0" w:color="auto"/>
              <w:right w:val="single" w:sz="4" w:space="0" w:color="auto"/>
            </w:tcBorders>
            <w:shd w:val="clear" w:color="auto" w:fill="auto"/>
            <w:noWrap/>
            <w:vAlign w:val="bottom"/>
            <w:hideMark/>
          </w:tcPr>
          <w:p w14:paraId="4EAE513F" w14:textId="7F4ACA75" w:rsidR="00B75AF1" w:rsidRPr="00D960DB" w:rsidRDefault="00B75AF1" w:rsidP="00F75FF9">
            <w:pPr>
              <w:jc w:val="center"/>
              <w:rPr>
                <w:rFonts w:eastAsiaTheme="minorEastAsia"/>
                <w:sz w:val="20"/>
                <w:szCs w:val="20"/>
              </w:rPr>
            </w:pPr>
            <w:r w:rsidRPr="00D960DB">
              <w:rPr>
                <w:rFonts w:eastAsiaTheme="minorEastAsia"/>
                <w:sz w:val="20"/>
                <w:szCs w:val="20"/>
              </w:rPr>
              <w:t>2,085</w:t>
            </w:r>
          </w:p>
        </w:tc>
        <w:tc>
          <w:tcPr>
            <w:tcW w:w="1503" w:type="dxa"/>
            <w:tcBorders>
              <w:top w:val="nil"/>
              <w:left w:val="nil"/>
              <w:bottom w:val="single" w:sz="4" w:space="0" w:color="auto"/>
              <w:right w:val="single" w:sz="4" w:space="0" w:color="auto"/>
            </w:tcBorders>
            <w:shd w:val="clear" w:color="auto" w:fill="auto"/>
            <w:noWrap/>
            <w:vAlign w:val="bottom"/>
            <w:hideMark/>
          </w:tcPr>
          <w:p w14:paraId="106FB33C" w14:textId="77777777" w:rsidR="00B75AF1" w:rsidRPr="00D960DB" w:rsidRDefault="00B75AF1" w:rsidP="00C0151F">
            <w:pPr>
              <w:jc w:val="center"/>
              <w:rPr>
                <w:rFonts w:eastAsiaTheme="minorEastAsia"/>
                <w:sz w:val="20"/>
                <w:szCs w:val="20"/>
              </w:rPr>
            </w:pPr>
            <w:r w:rsidRPr="00D960DB">
              <w:rPr>
                <w:rFonts w:eastAsiaTheme="minorEastAsia"/>
                <w:sz w:val="20"/>
                <w:szCs w:val="20"/>
              </w:rPr>
              <w:t>1.23%</w:t>
            </w:r>
          </w:p>
        </w:tc>
        <w:tc>
          <w:tcPr>
            <w:tcW w:w="925" w:type="dxa"/>
            <w:tcBorders>
              <w:top w:val="nil"/>
              <w:left w:val="nil"/>
              <w:bottom w:val="single" w:sz="4" w:space="0" w:color="auto"/>
              <w:right w:val="single" w:sz="4" w:space="0" w:color="auto"/>
            </w:tcBorders>
            <w:shd w:val="clear" w:color="auto" w:fill="auto"/>
            <w:noWrap/>
            <w:vAlign w:val="bottom"/>
            <w:hideMark/>
          </w:tcPr>
          <w:p w14:paraId="283BB401" w14:textId="77777777" w:rsidR="00B75AF1" w:rsidRPr="00D960DB" w:rsidRDefault="00B75AF1" w:rsidP="00F75FF9">
            <w:pPr>
              <w:jc w:val="center"/>
              <w:rPr>
                <w:rFonts w:eastAsiaTheme="minorEastAsia"/>
                <w:sz w:val="20"/>
                <w:szCs w:val="20"/>
              </w:rPr>
            </w:pPr>
            <w:r w:rsidRPr="00D960DB">
              <w:rPr>
                <w:rFonts w:eastAsiaTheme="minorEastAsia"/>
                <w:sz w:val="20"/>
                <w:szCs w:val="20"/>
              </w:rPr>
              <w:t>1.42%</w:t>
            </w:r>
          </w:p>
        </w:tc>
      </w:tr>
      <w:tr w:rsidR="00B75AF1" w:rsidRPr="00B75AF1" w14:paraId="3736648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0505611" w14:textId="77777777" w:rsidR="00B75AF1" w:rsidRPr="00D960DB" w:rsidRDefault="00B75AF1" w:rsidP="00B75AF1">
            <w:pPr>
              <w:rPr>
                <w:rFonts w:eastAsiaTheme="minorEastAsia"/>
                <w:sz w:val="20"/>
                <w:szCs w:val="20"/>
              </w:rPr>
            </w:pPr>
            <w:r w:rsidRPr="00D960DB">
              <w:rPr>
                <w:rFonts w:eastAsiaTheme="minorEastAsia"/>
                <w:sz w:val="20"/>
                <w:szCs w:val="20"/>
              </w:rPr>
              <w:t>Rockingham County</w:t>
            </w:r>
          </w:p>
        </w:tc>
        <w:tc>
          <w:tcPr>
            <w:tcW w:w="2536" w:type="dxa"/>
            <w:tcBorders>
              <w:top w:val="nil"/>
              <w:left w:val="nil"/>
              <w:bottom w:val="single" w:sz="4" w:space="0" w:color="auto"/>
              <w:right w:val="single" w:sz="4" w:space="0" w:color="auto"/>
            </w:tcBorders>
            <w:shd w:val="clear" w:color="auto" w:fill="auto"/>
            <w:noWrap/>
            <w:vAlign w:val="bottom"/>
            <w:hideMark/>
          </w:tcPr>
          <w:p w14:paraId="3502A969" w14:textId="0DB6344F" w:rsidR="00B75AF1" w:rsidRPr="00D960DB" w:rsidRDefault="00B75AF1" w:rsidP="00F75FF9">
            <w:pPr>
              <w:jc w:val="center"/>
              <w:rPr>
                <w:rFonts w:eastAsiaTheme="minorEastAsia"/>
                <w:sz w:val="20"/>
                <w:szCs w:val="20"/>
              </w:rPr>
            </w:pPr>
            <w:r w:rsidRPr="00D960DB">
              <w:rPr>
                <w:rFonts w:eastAsiaTheme="minorEastAsia"/>
                <w:sz w:val="20"/>
                <w:szCs w:val="20"/>
              </w:rPr>
              <w:t>46</w:t>
            </w:r>
          </w:p>
        </w:tc>
        <w:tc>
          <w:tcPr>
            <w:tcW w:w="1890" w:type="dxa"/>
            <w:tcBorders>
              <w:top w:val="nil"/>
              <w:left w:val="nil"/>
              <w:bottom w:val="single" w:sz="4" w:space="0" w:color="auto"/>
              <w:right w:val="single" w:sz="4" w:space="0" w:color="auto"/>
            </w:tcBorders>
            <w:shd w:val="clear" w:color="auto" w:fill="auto"/>
            <w:noWrap/>
            <w:vAlign w:val="bottom"/>
            <w:hideMark/>
          </w:tcPr>
          <w:p w14:paraId="4229F5D0" w14:textId="5A784873" w:rsidR="00B75AF1" w:rsidRPr="00D960DB" w:rsidRDefault="00B75AF1" w:rsidP="00F75FF9">
            <w:pPr>
              <w:jc w:val="center"/>
              <w:rPr>
                <w:rFonts w:eastAsiaTheme="minorEastAsia"/>
                <w:sz w:val="20"/>
                <w:szCs w:val="20"/>
              </w:rPr>
            </w:pPr>
            <w:r w:rsidRPr="00D960DB">
              <w:rPr>
                <w:rFonts w:eastAsiaTheme="minorEastAsia"/>
                <w:sz w:val="20"/>
                <w:szCs w:val="20"/>
              </w:rPr>
              <w:t>2,002</w:t>
            </w:r>
          </w:p>
        </w:tc>
        <w:tc>
          <w:tcPr>
            <w:tcW w:w="1503" w:type="dxa"/>
            <w:tcBorders>
              <w:top w:val="nil"/>
              <w:left w:val="nil"/>
              <w:bottom w:val="single" w:sz="4" w:space="0" w:color="auto"/>
              <w:right w:val="single" w:sz="4" w:space="0" w:color="auto"/>
            </w:tcBorders>
            <w:shd w:val="clear" w:color="auto" w:fill="auto"/>
            <w:noWrap/>
            <w:vAlign w:val="bottom"/>
            <w:hideMark/>
          </w:tcPr>
          <w:p w14:paraId="5EC81024" w14:textId="77777777" w:rsidR="00B75AF1" w:rsidRPr="00D960DB" w:rsidRDefault="00B75AF1" w:rsidP="00C0151F">
            <w:pPr>
              <w:jc w:val="center"/>
              <w:rPr>
                <w:rFonts w:eastAsiaTheme="minorEastAsia"/>
                <w:sz w:val="20"/>
                <w:szCs w:val="20"/>
              </w:rPr>
            </w:pPr>
            <w:r w:rsidRPr="00D960DB">
              <w:rPr>
                <w:rFonts w:eastAsiaTheme="minorEastAsia"/>
                <w:sz w:val="20"/>
                <w:szCs w:val="20"/>
              </w:rPr>
              <w:t>1.52%</w:t>
            </w:r>
          </w:p>
        </w:tc>
        <w:tc>
          <w:tcPr>
            <w:tcW w:w="925" w:type="dxa"/>
            <w:tcBorders>
              <w:top w:val="nil"/>
              <w:left w:val="nil"/>
              <w:bottom w:val="single" w:sz="4" w:space="0" w:color="auto"/>
              <w:right w:val="single" w:sz="4" w:space="0" w:color="auto"/>
            </w:tcBorders>
            <w:shd w:val="clear" w:color="auto" w:fill="auto"/>
            <w:noWrap/>
            <w:vAlign w:val="bottom"/>
            <w:hideMark/>
          </w:tcPr>
          <w:p w14:paraId="3C201E47" w14:textId="77777777" w:rsidR="00B75AF1" w:rsidRPr="00D960DB" w:rsidRDefault="00B75AF1" w:rsidP="00F75FF9">
            <w:pPr>
              <w:jc w:val="center"/>
              <w:rPr>
                <w:rFonts w:eastAsiaTheme="minorEastAsia"/>
                <w:sz w:val="20"/>
                <w:szCs w:val="20"/>
              </w:rPr>
            </w:pPr>
            <w:r w:rsidRPr="00D960DB">
              <w:rPr>
                <w:rFonts w:eastAsiaTheme="minorEastAsia"/>
                <w:sz w:val="20"/>
                <w:szCs w:val="20"/>
              </w:rPr>
              <w:t>1.36%</w:t>
            </w:r>
          </w:p>
        </w:tc>
      </w:tr>
      <w:tr w:rsidR="00B75AF1" w:rsidRPr="00B75AF1" w14:paraId="64ABDD37"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CBB8DF9" w14:textId="77777777" w:rsidR="00B75AF1" w:rsidRPr="00D960DB" w:rsidRDefault="00B75AF1" w:rsidP="00B75AF1">
            <w:pPr>
              <w:rPr>
                <w:rFonts w:eastAsiaTheme="minorEastAsia"/>
                <w:sz w:val="20"/>
                <w:szCs w:val="20"/>
              </w:rPr>
            </w:pPr>
            <w:r w:rsidRPr="00D960DB">
              <w:rPr>
                <w:rFonts w:eastAsiaTheme="minorEastAsia"/>
                <w:sz w:val="20"/>
                <w:szCs w:val="20"/>
              </w:rPr>
              <w:t>Lenoir County</w:t>
            </w:r>
          </w:p>
        </w:tc>
        <w:tc>
          <w:tcPr>
            <w:tcW w:w="2536" w:type="dxa"/>
            <w:tcBorders>
              <w:top w:val="nil"/>
              <w:left w:val="nil"/>
              <w:bottom w:val="single" w:sz="4" w:space="0" w:color="auto"/>
              <w:right w:val="single" w:sz="4" w:space="0" w:color="auto"/>
            </w:tcBorders>
            <w:shd w:val="clear" w:color="auto" w:fill="auto"/>
            <w:noWrap/>
            <w:vAlign w:val="bottom"/>
            <w:hideMark/>
          </w:tcPr>
          <w:p w14:paraId="024257C3" w14:textId="2D343747" w:rsidR="00B75AF1" w:rsidRPr="00D960DB" w:rsidRDefault="00B75AF1" w:rsidP="00F75FF9">
            <w:pPr>
              <w:jc w:val="center"/>
              <w:rPr>
                <w:rFonts w:eastAsiaTheme="minorEastAsia"/>
                <w:sz w:val="20"/>
                <w:szCs w:val="20"/>
              </w:rPr>
            </w:pPr>
            <w:r w:rsidRPr="00D960DB">
              <w:rPr>
                <w:rFonts w:eastAsiaTheme="minorEastAsia"/>
                <w:sz w:val="20"/>
                <w:szCs w:val="20"/>
              </w:rPr>
              <w:t>31</w:t>
            </w:r>
          </w:p>
        </w:tc>
        <w:tc>
          <w:tcPr>
            <w:tcW w:w="1890" w:type="dxa"/>
            <w:tcBorders>
              <w:top w:val="nil"/>
              <w:left w:val="nil"/>
              <w:bottom w:val="single" w:sz="4" w:space="0" w:color="auto"/>
              <w:right w:val="single" w:sz="4" w:space="0" w:color="auto"/>
            </w:tcBorders>
            <w:shd w:val="clear" w:color="auto" w:fill="auto"/>
            <w:noWrap/>
            <w:vAlign w:val="bottom"/>
            <w:hideMark/>
          </w:tcPr>
          <w:p w14:paraId="462D8033" w14:textId="7D15C20C" w:rsidR="00B75AF1" w:rsidRPr="00D960DB" w:rsidRDefault="00B75AF1" w:rsidP="00F75FF9">
            <w:pPr>
              <w:jc w:val="center"/>
              <w:rPr>
                <w:rFonts w:eastAsiaTheme="minorEastAsia"/>
                <w:sz w:val="20"/>
                <w:szCs w:val="20"/>
              </w:rPr>
            </w:pPr>
            <w:r w:rsidRPr="00D960DB">
              <w:rPr>
                <w:rFonts w:eastAsiaTheme="minorEastAsia"/>
                <w:sz w:val="20"/>
                <w:szCs w:val="20"/>
              </w:rPr>
              <w:t>1,818</w:t>
            </w:r>
          </w:p>
        </w:tc>
        <w:tc>
          <w:tcPr>
            <w:tcW w:w="1503" w:type="dxa"/>
            <w:tcBorders>
              <w:top w:val="nil"/>
              <w:left w:val="nil"/>
              <w:bottom w:val="single" w:sz="4" w:space="0" w:color="auto"/>
              <w:right w:val="single" w:sz="4" w:space="0" w:color="auto"/>
            </w:tcBorders>
            <w:shd w:val="clear" w:color="auto" w:fill="auto"/>
            <w:noWrap/>
            <w:vAlign w:val="bottom"/>
            <w:hideMark/>
          </w:tcPr>
          <w:p w14:paraId="5A9BEC62" w14:textId="77777777" w:rsidR="00B75AF1" w:rsidRPr="00D960DB" w:rsidRDefault="00B75AF1" w:rsidP="00C0151F">
            <w:pPr>
              <w:jc w:val="center"/>
              <w:rPr>
                <w:rFonts w:eastAsiaTheme="minorEastAsia"/>
                <w:sz w:val="20"/>
                <w:szCs w:val="20"/>
              </w:rPr>
            </w:pPr>
            <w:r w:rsidRPr="00D960DB">
              <w:rPr>
                <w:rFonts w:eastAsiaTheme="minorEastAsia"/>
                <w:sz w:val="20"/>
                <w:szCs w:val="20"/>
              </w:rPr>
              <w:t>1.03%</w:t>
            </w:r>
          </w:p>
        </w:tc>
        <w:tc>
          <w:tcPr>
            <w:tcW w:w="925" w:type="dxa"/>
            <w:tcBorders>
              <w:top w:val="nil"/>
              <w:left w:val="nil"/>
              <w:bottom w:val="single" w:sz="4" w:space="0" w:color="auto"/>
              <w:right w:val="single" w:sz="4" w:space="0" w:color="auto"/>
            </w:tcBorders>
            <w:shd w:val="clear" w:color="auto" w:fill="auto"/>
            <w:noWrap/>
            <w:vAlign w:val="bottom"/>
            <w:hideMark/>
          </w:tcPr>
          <w:p w14:paraId="2AC863DD" w14:textId="77777777" w:rsidR="00B75AF1" w:rsidRPr="00D960DB" w:rsidRDefault="00B75AF1" w:rsidP="00F75FF9">
            <w:pPr>
              <w:jc w:val="center"/>
              <w:rPr>
                <w:rFonts w:eastAsiaTheme="minorEastAsia"/>
                <w:sz w:val="20"/>
                <w:szCs w:val="20"/>
              </w:rPr>
            </w:pPr>
            <w:r w:rsidRPr="00D960DB">
              <w:rPr>
                <w:rFonts w:eastAsiaTheme="minorEastAsia"/>
                <w:sz w:val="20"/>
                <w:szCs w:val="20"/>
              </w:rPr>
              <w:t>1.24%</w:t>
            </w:r>
          </w:p>
        </w:tc>
      </w:tr>
      <w:tr w:rsidR="00B75AF1" w:rsidRPr="00B75AF1" w14:paraId="0627FD7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0526F35" w14:textId="77777777" w:rsidR="00B75AF1" w:rsidRPr="00D960DB" w:rsidRDefault="00B75AF1" w:rsidP="00B75AF1">
            <w:pPr>
              <w:rPr>
                <w:rFonts w:eastAsiaTheme="minorEastAsia"/>
                <w:sz w:val="20"/>
                <w:szCs w:val="20"/>
              </w:rPr>
            </w:pPr>
            <w:r w:rsidRPr="00D960DB">
              <w:rPr>
                <w:rFonts w:eastAsiaTheme="minorEastAsia"/>
                <w:sz w:val="20"/>
                <w:szCs w:val="20"/>
              </w:rPr>
              <w:t>Catawba County</w:t>
            </w:r>
          </w:p>
        </w:tc>
        <w:tc>
          <w:tcPr>
            <w:tcW w:w="2536" w:type="dxa"/>
            <w:tcBorders>
              <w:top w:val="nil"/>
              <w:left w:val="nil"/>
              <w:bottom w:val="single" w:sz="4" w:space="0" w:color="auto"/>
              <w:right w:val="single" w:sz="4" w:space="0" w:color="auto"/>
            </w:tcBorders>
            <w:shd w:val="clear" w:color="auto" w:fill="auto"/>
            <w:noWrap/>
            <w:vAlign w:val="bottom"/>
            <w:hideMark/>
          </w:tcPr>
          <w:p w14:paraId="65811121" w14:textId="015A4199" w:rsidR="00B75AF1" w:rsidRPr="00D960DB" w:rsidRDefault="00B75AF1" w:rsidP="00F75FF9">
            <w:pPr>
              <w:jc w:val="center"/>
              <w:rPr>
                <w:rFonts w:eastAsiaTheme="minorEastAsia"/>
                <w:sz w:val="20"/>
                <w:szCs w:val="20"/>
              </w:rPr>
            </w:pPr>
            <w:r w:rsidRPr="00D960DB">
              <w:rPr>
                <w:rFonts w:eastAsiaTheme="minorEastAsia"/>
                <w:sz w:val="20"/>
                <w:szCs w:val="20"/>
              </w:rPr>
              <w:t>31</w:t>
            </w:r>
          </w:p>
        </w:tc>
        <w:tc>
          <w:tcPr>
            <w:tcW w:w="1890" w:type="dxa"/>
            <w:tcBorders>
              <w:top w:val="nil"/>
              <w:left w:val="nil"/>
              <w:bottom w:val="single" w:sz="4" w:space="0" w:color="auto"/>
              <w:right w:val="single" w:sz="4" w:space="0" w:color="auto"/>
            </w:tcBorders>
            <w:shd w:val="clear" w:color="auto" w:fill="auto"/>
            <w:noWrap/>
            <w:vAlign w:val="bottom"/>
            <w:hideMark/>
          </w:tcPr>
          <w:p w14:paraId="237B06C4" w14:textId="22AFFB60" w:rsidR="00B75AF1" w:rsidRPr="00D960DB" w:rsidRDefault="00B75AF1" w:rsidP="00F75FF9">
            <w:pPr>
              <w:jc w:val="center"/>
              <w:rPr>
                <w:rFonts w:eastAsiaTheme="minorEastAsia"/>
                <w:sz w:val="20"/>
                <w:szCs w:val="20"/>
              </w:rPr>
            </w:pPr>
            <w:r w:rsidRPr="00D960DB">
              <w:rPr>
                <w:rFonts w:eastAsiaTheme="minorEastAsia"/>
                <w:sz w:val="20"/>
                <w:szCs w:val="20"/>
              </w:rPr>
              <w:t>1,766</w:t>
            </w:r>
          </w:p>
        </w:tc>
        <w:tc>
          <w:tcPr>
            <w:tcW w:w="1503" w:type="dxa"/>
            <w:tcBorders>
              <w:top w:val="nil"/>
              <w:left w:val="nil"/>
              <w:bottom w:val="single" w:sz="4" w:space="0" w:color="auto"/>
              <w:right w:val="single" w:sz="4" w:space="0" w:color="auto"/>
            </w:tcBorders>
            <w:shd w:val="clear" w:color="auto" w:fill="auto"/>
            <w:noWrap/>
            <w:vAlign w:val="bottom"/>
            <w:hideMark/>
          </w:tcPr>
          <w:p w14:paraId="41BF56A2" w14:textId="77777777" w:rsidR="00B75AF1" w:rsidRPr="00D960DB" w:rsidRDefault="00B75AF1" w:rsidP="00C0151F">
            <w:pPr>
              <w:jc w:val="center"/>
              <w:rPr>
                <w:rFonts w:eastAsiaTheme="minorEastAsia"/>
                <w:sz w:val="20"/>
                <w:szCs w:val="20"/>
              </w:rPr>
            </w:pPr>
            <w:r w:rsidRPr="00D960DB">
              <w:rPr>
                <w:rFonts w:eastAsiaTheme="minorEastAsia"/>
                <w:sz w:val="20"/>
                <w:szCs w:val="20"/>
              </w:rPr>
              <w:t>1.03%</w:t>
            </w:r>
          </w:p>
        </w:tc>
        <w:tc>
          <w:tcPr>
            <w:tcW w:w="925" w:type="dxa"/>
            <w:tcBorders>
              <w:top w:val="nil"/>
              <w:left w:val="nil"/>
              <w:bottom w:val="single" w:sz="4" w:space="0" w:color="auto"/>
              <w:right w:val="single" w:sz="4" w:space="0" w:color="auto"/>
            </w:tcBorders>
            <w:shd w:val="clear" w:color="auto" w:fill="auto"/>
            <w:noWrap/>
            <w:vAlign w:val="bottom"/>
            <w:hideMark/>
          </w:tcPr>
          <w:p w14:paraId="646B5EFD" w14:textId="77777777" w:rsidR="00B75AF1" w:rsidRPr="00D960DB" w:rsidRDefault="00B75AF1" w:rsidP="00F75FF9">
            <w:pPr>
              <w:jc w:val="center"/>
              <w:rPr>
                <w:rFonts w:eastAsiaTheme="minorEastAsia"/>
                <w:sz w:val="20"/>
                <w:szCs w:val="20"/>
              </w:rPr>
            </w:pPr>
            <w:r w:rsidRPr="00D960DB">
              <w:rPr>
                <w:rFonts w:eastAsiaTheme="minorEastAsia"/>
                <w:sz w:val="20"/>
                <w:szCs w:val="20"/>
              </w:rPr>
              <w:t>1.20%</w:t>
            </w:r>
          </w:p>
        </w:tc>
      </w:tr>
      <w:tr w:rsidR="00B75AF1" w:rsidRPr="00B75AF1" w14:paraId="16B6449F"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7333A69" w14:textId="77777777" w:rsidR="00B75AF1" w:rsidRPr="00D960DB" w:rsidRDefault="00B75AF1" w:rsidP="00B75AF1">
            <w:pPr>
              <w:rPr>
                <w:rFonts w:eastAsiaTheme="minorEastAsia"/>
                <w:sz w:val="20"/>
                <w:szCs w:val="20"/>
              </w:rPr>
            </w:pPr>
            <w:r w:rsidRPr="00D960DB">
              <w:rPr>
                <w:rFonts w:eastAsiaTheme="minorEastAsia"/>
                <w:sz w:val="20"/>
                <w:szCs w:val="20"/>
              </w:rPr>
              <w:t>Cleveland County</w:t>
            </w:r>
          </w:p>
        </w:tc>
        <w:tc>
          <w:tcPr>
            <w:tcW w:w="2536" w:type="dxa"/>
            <w:tcBorders>
              <w:top w:val="nil"/>
              <w:left w:val="nil"/>
              <w:bottom w:val="single" w:sz="4" w:space="0" w:color="auto"/>
              <w:right w:val="single" w:sz="4" w:space="0" w:color="auto"/>
            </w:tcBorders>
            <w:shd w:val="clear" w:color="auto" w:fill="auto"/>
            <w:noWrap/>
            <w:vAlign w:val="bottom"/>
            <w:hideMark/>
          </w:tcPr>
          <w:p w14:paraId="13549DDF" w14:textId="72B7CBFF" w:rsidR="00B75AF1" w:rsidRPr="00D960DB" w:rsidRDefault="00B75AF1" w:rsidP="00F75FF9">
            <w:pPr>
              <w:jc w:val="center"/>
              <w:rPr>
                <w:rFonts w:eastAsiaTheme="minorEastAsia"/>
                <w:sz w:val="20"/>
                <w:szCs w:val="20"/>
              </w:rPr>
            </w:pPr>
            <w:r w:rsidRPr="00D960DB">
              <w:rPr>
                <w:rFonts w:eastAsiaTheme="minorEastAsia"/>
                <w:sz w:val="20"/>
                <w:szCs w:val="20"/>
              </w:rPr>
              <w:t>37</w:t>
            </w:r>
          </w:p>
        </w:tc>
        <w:tc>
          <w:tcPr>
            <w:tcW w:w="1890" w:type="dxa"/>
            <w:tcBorders>
              <w:top w:val="nil"/>
              <w:left w:val="nil"/>
              <w:bottom w:val="single" w:sz="4" w:space="0" w:color="auto"/>
              <w:right w:val="single" w:sz="4" w:space="0" w:color="auto"/>
            </w:tcBorders>
            <w:shd w:val="clear" w:color="auto" w:fill="auto"/>
            <w:noWrap/>
            <w:vAlign w:val="bottom"/>
            <w:hideMark/>
          </w:tcPr>
          <w:p w14:paraId="303931AE" w14:textId="6B7048A9" w:rsidR="00B75AF1" w:rsidRPr="00D960DB" w:rsidRDefault="00B75AF1" w:rsidP="00F75FF9">
            <w:pPr>
              <w:jc w:val="center"/>
              <w:rPr>
                <w:rFonts w:eastAsiaTheme="minorEastAsia"/>
                <w:sz w:val="20"/>
                <w:szCs w:val="20"/>
              </w:rPr>
            </w:pPr>
            <w:r w:rsidRPr="00D960DB">
              <w:rPr>
                <w:rFonts w:eastAsiaTheme="minorEastAsia"/>
                <w:sz w:val="20"/>
                <w:szCs w:val="20"/>
              </w:rPr>
              <w:t>1,759</w:t>
            </w:r>
          </w:p>
        </w:tc>
        <w:tc>
          <w:tcPr>
            <w:tcW w:w="1503" w:type="dxa"/>
            <w:tcBorders>
              <w:top w:val="nil"/>
              <w:left w:val="nil"/>
              <w:bottom w:val="single" w:sz="4" w:space="0" w:color="auto"/>
              <w:right w:val="single" w:sz="4" w:space="0" w:color="auto"/>
            </w:tcBorders>
            <w:shd w:val="clear" w:color="auto" w:fill="auto"/>
            <w:noWrap/>
            <w:vAlign w:val="bottom"/>
            <w:hideMark/>
          </w:tcPr>
          <w:p w14:paraId="1D33A67F" w14:textId="77777777" w:rsidR="00B75AF1" w:rsidRPr="00D960DB" w:rsidRDefault="00B75AF1" w:rsidP="00C0151F">
            <w:pPr>
              <w:jc w:val="center"/>
              <w:rPr>
                <w:rFonts w:eastAsiaTheme="minorEastAsia"/>
                <w:sz w:val="20"/>
                <w:szCs w:val="20"/>
              </w:rPr>
            </w:pPr>
            <w:r w:rsidRPr="00D960DB">
              <w:rPr>
                <w:rFonts w:eastAsiaTheme="minorEastAsia"/>
                <w:sz w:val="20"/>
                <w:szCs w:val="20"/>
              </w:rPr>
              <w:t>1.23%</w:t>
            </w:r>
          </w:p>
        </w:tc>
        <w:tc>
          <w:tcPr>
            <w:tcW w:w="925" w:type="dxa"/>
            <w:tcBorders>
              <w:top w:val="nil"/>
              <w:left w:val="nil"/>
              <w:bottom w:val="single" w:sz="4" w:space="0" w:color="auto"/>
              <w:right w:val="single" w:sz="4" w:space="0" w:color="auto"/>
            </w:tcBorders>
            <w:shd w:val="clear" w:color="auto" w:fill="auto"/>
            <w:noWrap/>
            <w:vAlign w:val="bottom"/>
            <w:hideMark/>
          </w:tcPr>
          <w:p w14:paraId="61871826" w14:textId="77777777" w:rsidR="00B75AF1" w:rsidRPr="00D960DB" w:rsidRDefault="00B75AF1" w:rsidP="00F75FF9">
            <w:pPr>
              <w:jc w:val="center"/>
              <w:rPr>
                <w:rFonts w:eastAsiaTheme="minorEastAsia"/>
                <w:sz w:val="20"/>
                <w:szCs w:val="20"/>
              </w:rPr>
            </w:pPr>
            <w:r w:rsidRPr="00D960DB">
              <w:rPr>
                <w:rFonts w:eastAsiaTheme="minorEastAsia"/>
                <w:sz w:val="20"/>
                <w:szCs w:val="20"/>
              </w:rPr>
              <w:t>1.20%</w:t>
            </w:r>
          </w:p>
        </w:tc>
      </w:tr>
      <w:tr w:rsidR="00B75AF1" w:rsidRPr="00B75AF1" w14:paraId="5B5C755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97340EE" w14:textId="77777777" w:rsidR="00B75AF1" w:rsidRPr="00D960DB" w:rsidRDefault="00B75AF1" w:rsidP="00B75AF1">
            <w:pPr>
              <w:rPr>
                <w:rFonts w:eastAsiaTheme="minorEastAsia"/>
                <w:sz w:val="20"/>
                <w:szCs w:val="20"/>
              </w:rPr>
            </w:pPr>
            <w:r w:rsidRPr="00D960DB">
              <w:rPr>
                <w:rFonts w:eastAsiaTheme="minorEastAsia"/>
                <w:sz w:val="20"/>
                <w:szCs w:val="20"/>
              </w:rPr>
              <w:t>Rowan County</w:t>
            </w:r>
          </w:p>
        </w:tc>
        <w:tc>
          <w:tcPr>
            <w:tcW w:w="2536" w:type="dxa"/>
            <w:tcBorders>
              <w:top w:val="nil"/>
              <w:left w:val="nil"/>
              <w:bottom w:val="single" w:sz="4" w:space="0" w:color="auto"/>
              <w:right w:val="single" w:sz="4" w:space="0" w:color="auto"/>
            </w:tcBorders>
            <w:shd w:val="clear" w:color="auto" w:fill="auto"/>
            <w:noWrap/>
            <w:vAlign w:val="bottom"/>
            <w:hideMark/>
          </w:tcPr>
          <w:p w14:paraId="058EDB02" w14:textId="4F43C77D" w:rsidR="00B75AF1" w:rsidRPr="00D960DB" w:rsidRDefault="00B75AF1" w:rsidP="00F75FF9">
            <w:pPr>
              <w:jc w:val="center"/>
              <w:rPr>
                <w:rFonts w:eastAsiaTheme="minorEastAsia"/>
                <w:sz w:val="20"/>
                <w:szCs w:val="20"/>
              </w:rPr>
            </w:pPr>
            <w:r w:rsidRPr="00D960DB">
              <w:rPr>
                <w:rFonts w:eastAsiaTheme="minorEastAsia"/>
                <w:sz w:val="20"/>
                <w:szCs w:val="20"/>
              </w:rPr>
              <w:t>33</w:t>
            </w:r>
          </w:p>
        </w:tc>
        <w:tc>
          <w:tcPr>
            <w:tcW w:w="1890" w:type="dxa"/>
            <w:tcBorders>
              <w:top w:val="nil"/>
              <w:left w:val="nil"/>
              <w:bottom w:val="single" w:sz="4" w:space="0" w:color="auto"/>
              <w:right w:val="single" w:sz="4" w:space="0" w:color="auto"/>
            </w:tcBorders>
            <w:shd w:val="clear" w:color="auto" w:fill="auto"/>
            <w:noWrap/>
            <w:vAlign w:val="bottom"/>
            <w:hideMark/>
          </w:tcPr>
          <w:p w14:paraId="54748875" w14:textId="1E1A6C21" w:rsidR="00B75AF1" w:rsidRPr="00D960DB" w:rsidRDefault="00B75AF1" w:rsidP="00F75FF9">
            <w:pPr>
              <w:jc w:val="center"/>
              <w:rPr>
                <w:rFonts w:eastAsiaTheme="minorEastAsia"/>
                <w:sz w:val="20"/>
                <w:szCs w:val="20"/>
              </w:rPr>
            </w:pPr>
            <w:r w:rsidRPr="00D960DB">
              <w:rPr>
                <w:rFonts w:eastAsiaTheme="minorEastAsia"/>
                <w:sz w:val="20"/>
                <w:szCs w:val="20"/>
              </w:rPr>
              <w:t>1,709</w:t>
            </w:r>
          </w:p>
        </w:tc>
        <w:tc>
          <w:tcPr>
            <w:tcW w:w="1503" w:type="dxa"/>
            <w:tcBorders>
              <w:top w:val="nil"/>
              <w:left w:val="nil"/>
              <w:bottom w:val="single" w:sz="4" w:space="0" w:color="auto"/>
              <w:right w:val="single" w:sz="4" w:space="0" w:color="auto"/>
            </w:tcBorders>
            <w:shd w:val="clear" w:color="auto" w:fill="auto"/>
            <w:noWrap/>
            <w:vAlign w:val="bottom"/>
            <w:hideMark/>
          </w:tcPr>
          <w:p w14:paraId="15A3DB34" w14:textId="77777777" w:rsidR="00B75AF1" w:rsidRPr="00D960DB" w:rsidRDefault="00B75AF1" w:rsidP="00C0151F">
            <w:pPr>
              <w:jc w:val="center"/>
              <w:rPr>
                <w:rFonts w:eastAsiaTheme="minorEastAsia"/>
                <w:sz w:val="20"/>
                <w:szCs w:val="20"/>
              </w:rPr>
            </w:pPr>
            <w:r w:rsidRPr="00D960DB">
              <w:rPr>
                <w:rFonts w:eastAsiaTheme="minorEastAsia"/>
                <w:sz w:val="20"/>
                <w:szCs w:val="20"/>
              </w:rPr>
              <w:t>1.09%</w:t>
            </w:r>
          </w:p>
        </w:tc>
        <w:tc>
          <w:tcPr>
            <w:tcW w:w="925" w:type="dxa"/>
            <w:tcBorders>
              <w:top w:val="nil"/>
              <w:left w:val="nil"/>
              <w:bottom w:val="single" w:sz="4" w:space="0" w:color="auto"/>
              <w:right w:val="single" w:sz="4" w:space="0" w:color="auto"/>
            </w:tcBorders>
            <w:shd w:val="clear" w:color="auto" w:fill="auto"/>
            <w:noWrap/>
            <w:vAlign w:val="bottom"/>
            <w:hideMark/>
          </w:tcPr>
          <w:p w14:paraId="4A1D268B" w14:textId="77777777" w:rsidR="00B75AF1" w:rsidRPr="00D960DB" w:rsidRDefault="00B75AF1" w:rsidP="00F75FF9">
            <w:pPr>
              <w:jc w:val="center"/>
              <w:rPr>
                <w:rFonts w:eastAsiaTheme="minorEastAsia"/>
                <w:sz w:val="20"/>
                <w:szCs w:val="20"/>
              </w:rPr>
            </w:pPr>
            <w:r w:rsidRPr="00D960DB">
              <w:rPr>
                <w:rFonts w:eastAsiaTheme="minorEastAsia"/>
                <w:sz w:val="20"/>
                <w:szCs w:val="20"/>
              </w:rPr>
              <w:t>1.16%</w:t>
            </w:r>
          </w:p>
        </w:tc>
      </w:tr>
      <w:tr w:rsidR="00B75AF1" w:rsidRPr="00B75AF1" w14:paraId="27053E4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50F6CF2" w14:textId="77777777" w:rsidR="00B75AF1" w:rsidRPr="00D960DB" w:rsidRDefault="00B75AF1" w:rsidP="00B75AF1">
            <w:pPr>
              <w:rPr>
                <w:rFonts w:eastAsiaTheme="minorEastAsia"/>
                <w:sz w:val="20"/>
                <w:szCs w:val="20"/>
              </w:rPr>
            </w:pPr>
            <w:r w:rsidRPr="00D960DB">
              <w:rPr>
                <w:rFonts w:eastAsiaTheme="minorEastAsia"/>
                <w:sz w:val="20"/>
                <w:szCs w:val="20"/>
              </w:rPr>
              <w:t>Davidson County</w:t>
            </w:r>
          </w:p>
        </w:tc>
        <w:tc>
          <w:tcPr>
            <w:tcW w:w="2536" w:type="dxa"/>
            <w:tcBorders>
              <w:top w:val="nil"/>
              <w:left w:val="nil"/>
              <w:bottom w:val="single" w:sz="4" w:space="0" w:color="auto"/>
              <w:right w:val="single" w:sz="4" w:space="0" w:color="auto"/>
            </w:tcBorders>
            <w:shd w:val="clear" w:color="auto" w:fill="auto"/>
            <w:noWrap/>
            <w:vAlign w:val="bottom"/>
            <w:hideMark/>
          </w:tcPr>
          <w:p w14:paraId="3BD33291" w14:textId="66FA8FF6" w:rsidR="00B75AF1" w:rsidRPr="00D960DB" w:rsidRDefault="00B75AF1" w:rsidP="00F75FF9">
            <w:pPr>
              <w:jc w:val="center"/>
              <w:rPr>
                <w:rFonts w:eastAsiaTheme="minorEastAsia"/>
                <w:sz w:val="20"/>
                <w:szCs w:val="20"/>
              </w:rPr>
            </w:pPr>
            <w:r w:rsidRPr="00D960DB">
              <w:rPr>
                <w:rFonts w:eastAsiaTheme="minorEastAsia"/>
                <w:sz w:val="20"/>
                <w:szCs w:val="20"/>
              </w:rPr>
              <w:t>28</w:t>
            </w:r>
          </w:p>
        </w:tc>
        <w:tc>
          <w:tcPr>
            <w:tcW w:w="1890" w:type="dxa"/>
            <w:tcBorders>
              <w:top w:val="nil"/>
              <w:left w:val="nil"/>
              <w:bottom w:val="single" w:sz="4" w:space="0" w:color="auto"/>
              <w:right w:val="single" w:sz="4" w:space="0" w:color="auto"/>
            </w:tcBorders>
            <w:shd w:val="clear" w:color="auto" w:fill="auto"/>
            <w:noWrap/>
            <w:vAlign w:val="bottom"/>
            <w:hideMark/>
          </w:tcPr>
          <w:p w14:paraId="3047B66D" w14:textId="4C1DCEC0" w:rsidR="00B75AF1" w:rsidRPr="00D960DB" w:rsidRDefault="00B75AF1" w:rsidP="00F75FF9">
            <w:pPr>
              <w:jc w:val="center"/>
              <w:rPr>
                <w:rFonts w:eastAsiaTheme="minorEastAsia"/>
                <w:sz w:val="20"/>
                <w:szCs w:val="20"/>
              </w:rPr>
            </w:pPr>
            <w:r w:rsidRPr="00D960DB">
              <w:rPr>
                <w:rFonts w:eastAsiaTheme="minorEastAsia"/>
                <w:sz w:val="20"/>
                <w:szCs w:val="20"/>
              </w:rPr>
              <w:t>1,684</w:t>
            </w:r>
          </w:p>
        </w:tc>
        <w:tc>
          <w:tcPr>
            <w:tcW w:w="1503" w:type="dxa"/>
            <w:tcBorders>
              <w:top w:val="nil"/>
              <w:left w:val="nil"/>
              <w:bottom w:val="single" w:sz="4" w:space="0" w:color="auto"/>
              <w:right w:val="single" w:sz="4" w:space="0" w:color="auto"/>
            </w:tcBorders>
            <w:shd w:val="clear" w:color="auto" w:fill="auto"/>
            <w:noWrap/>
            <w:vAlign w:val="bottom"/>
            <w:hideMark/>
          </w:tcPr>
          <w:p w14:paraId="4A2E2D98" w14:textId="77777777" w:rsidR="00B75AF1" w:rsidRPr="00D960DB" w:rsidRDefault="00B75AF1" w:rsidP="00C0151F">
            <w:pPr>
              <w:jc w:val="center"/>
              <w:rPr>
                <w:rFonts w:eastAsiaTheme="minorEastAsia"/>
                <w:sz w:val="20"/>
                <w:szCs w:val="20"/>
              </w:rPr>
            </w:pPr>
            <w:r w:rsidRPr="00D960DB">
              <w:rPr>
                <w:rFonts w:eastAsiaTheme="minorEastAsia"/>
                <w:sz w:val="20"/>
                <w:szCs w:val="20"/>
              </w:rPr>
              <w:t>0.93%</w:t>
            </w:r>
          </w:p>
        </w:tc>
        <w:tc>
          <w:tcPr>
            <w:tcW w:w="925" w:type="dxa"/>
            <w:tcBorders>
              <w:top w:val="nil"/>
              <w:left w:val="nil"/>
              <w:bottom w:val="single" w:sz="4" w:space="0" w:color="auto"/>
              <w:right w:val="single" w:sz="4" w:space="0" w:color="auto"/>
            </w:tcBorders>
            <w:shd w:val="clear" w:color="auto" w:fill="auto"/>
            <w:noWrap/>
            <w:vAlign w:val="bottom"/>
            <w:hideMark/>
          </w:tcPr>
          <w:p w14:paraId="6897EA52" w14:textId="77777777" w:rsidR="00B75AF1" w:rsidRPr="00D960DB" w:rsidRDefault="00B75AF1" w:rsidP="00F75FF9">
            <w:pPr>
              <w:jc w:val="center"/>
              <w:rPr>
                <w:rFonts w:eastAsiaTheme="minorEastAsia"/>
                <w:sz w:val="20"/>
                <w:szCs w:val="20"/>
              </w:rPr>
            </w:pPr>
            <w:r w:rsidRPr="00D960DB">
              <w:rPr>
                <w:rFonts w:eastAsiaTheme="minorEastAsia"/>
                <w:sz w:val="20"/>
                <w:szCs w:val="20"/>
              </w:rPr>
              <w:t>1.15%</w:t>
            </w:r>
          </w:p>
        </w:tc>
      </w:tr>
      <w:tr w:rsidR="00B75AF1" w:rsidRPr="00B75AF1" w14:paraId="303677C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F33189D" w14:textId="77777777" w:rsidR="00B75AF1" w:rsidRPr="00D960DB" w:rsidRDefault="00B75AF1" w:rsidP="00B75AF1">
            <w:pPr>
              <w:rPr>
                <w:rFonts w:eastAsiaTheme="minorEastAsia"/>
                <w:sz w:val="20"/>
                <w:szCs w:val="20"/>
              </w:rPr>
            </w:pPr>
            <w:r w:rsidRPr="00D960DB">
              <w:rPr>
                <w:rFonts w:eastAsiaTheme="minorEastAsia"/>
                <w:sz w:val="20"/>
                <w:szCs w:val="20"/>
              </w:rPr>
              <w:t>Edgecombe County</w:t>
            </w:r>
          </w:p>
        </w:tc>
        <w:tc>
          <w:tcPr>
            <w:tcW w:w="2536" w:type="dxa"/>
            <w:tcBorders>
              <w:top w:val="nil"/>
              <w:left w:val="nil"/>
              <w:bottom w:val="single" w:sz="4" w:space="0" w:color="auto"/>
              <w:right w:val="single" w:sz="4" w:space="0" w:color="auto"/>
            </w:tcBorders>
            <w:shd w:val="clear" w:color="auto" w:fill="auto"/>
            <w:noWrap/>
            <w:vAlign w:val="bottom"/>
            <w:hideMark/>
          </w:tcPr>
          <w:p w14:paraId="36440B50" w14:textId="6616F3DA" w:rsidR="00B75AF1" w:rsidRPr="00D960DB" w:rsidRDefault="00B75AF1" w:rsidP="00F75FF9">
            <w:pPr>
              <w:jc w:val="center"/>
              <w:rPr>
                <w:rFonts w:eastAsiaTheme="minorEastAsia"/>
                <w:sz w:val="20"/>
                <w:szCs w:val="20"/>
              </w:rPr>
            </w:pPr>
            <w:r w:rsidRPr="00D960DB">
              <w:rPr>
                <w:rFonts w:eastAsiaTheme="minorEastAsia"/>
                <w:sz w:val="20"/>
                <w:szCs w:val="20"/>
              </w:rPr>
              <w:t>36</w:t>
            </w:r>
          </w:p>
        </w:tc>
        <w:tc>
          <w:tcPr>
            <w:tcW w:w="1890" w:type="dxa"/>
            <w:tcBorders>
              <w:top w:val="nil"/>
              <w:left w:val="nil"/>
              <w:bottom w:val="single" w:sz="4" w:space="0" w:color="auto"/>
              <w:right w:val="single" w:sz="4" w:space="0" w:color="auto"/>
            </w:tcBorders>
            <w:shd w:val="clear" w:color="auto" w:fill="auto"/>
            <w:noWrap/>
            <w:vAlign w:val="bottom"/>
            <w:hideMark/>
          </w:tcPr>
          <w:p w14:paraId="6B72D274" w14:textId="1C6D3E22" w:rsidR="00B75AF1" w:rsidRPr="00D960DB" w:rsidRDefault="00B75AF1" w:rsidP="00F75FF9">
            <w:pPr>
              <w:jc w:val="center"/>
              <w:rPr>
                <w:rFonts w:eastAsiaTheme="minorEastAsia"/>
                <w:sz w:val="20"/>
                <w:szCs w:val="20"/>
              </w:rPr>
            </w:pPr>
            <w:r w:rsidRPr="00D960DB">
              <w:rPr>
                <w:rFonts w:eastAsiaTheme="minorEastAsia"/>
                <w:sz w:val="20"/>
                <w:szCs w:val="20"/>
              </w:rPr>
              <w:t>1,678</w:t>
            </w:r>
          </w:p>
        </w:tc>
        <w:tc>
          <w:tcPr>
            <w:tcW w:w="1503" w:type="dxa"/>
            <w:tcBorders>
              <w:top w:val="nil"/>
              <w:left w:val="nil"/>
              <w:bottom w:val="single" w:sz="4" w:space="0" w:color="auto"/>
              <w:right w:val="single" w:sz="4" w:space="0" w:color="auto"/>
            </w:tcBorders>
            <w:shd w:val="clear" w:color="auto" w:fill="auto"/>
            <w:noWrap/>
            <w:vAlign w:val="bottom"/>
            <w:hideMark/>
          </w:tcPr>
          <w:p w14:paraId="2F00968A" w14:textId="77777777" w:rsidR="00B75AF1" w:rsidRPr="00D960DB" w:rsidRDefault="00B75AF1" w:rsidP="00C0151F">
            <w:pPr>
              <w:jc w:val="center"/>
              <w:rPr>
                <w:rFonts w:eastAsiaTheme="minorEastAsia"/>
                <w:sz w:val="20"/>
                <w:szCs w:val="20"/>
              </w:rPr>
            </w:pPr>
            <w:r w:rsidRPr="00D960DB">
              <w:rPr>
                <w:rFonts w:eastAsiaTheme="minorEastAsia"/>
                <w:sz w:val="20"/>
                <w:szCs w:val="20"/>
              </w:rPr>
              <w:t>1.19%</w:t>
            </w:r>
          </w:p>
        </w:tc>
        <w:tc>
          <w:tcPr>
            <w:tcW w:w="925" w:type="dxa"/>
            <w:tcBorders>
              <w:top w:val="nil"/>
              <w:left w:val="nil"/>
              <w:bottom w:val="single" w:sz="4" w:space="0" w:color="auto"/>
              <w:right w:val="single" w:sz="4" w:space="0" w:color="auto"/>
            </w:tcBorders>
            <w:shd w:val="clear" w:color="auto" w:fill="auto"/>
            <w:noWrap/>
            <w:vAlign w:val="bottom"/>
            <w:hideMark/>
          </w:tcPr>
          <w:p w14:paraId="449C0346" w14:textId="77777777" w:rsidR="00B75AF1" w:rsidRPr="00D960DB" w:rsidRDefault="00B75AF1" w:rsidP="00F75FF9">
            <w:pPr>
              <w:jc w:val="center"/>
              <w:rPr>
                <w:rFonts w:eastAsiaTheme="minorEastAsia"/>
                <w:sz w:val="20"/>
                <w:szCs w:val="20"/>
              </w:rPr>
            </w:pPr>
            <w:r w:rsidRPr="00D960DB">
              <w:rPr>
                <w:rFonts w:eastAsiaTheme="minorEastAsia"/>
                <w:sz w:val="20"/>
                <w:szCs w:val="20"/>
              </w:rPr>
              <w:t>1.14%</w:t>
            </w:r>
          </w:p>
        </w:tc>
      </w:tr>
      <w:tr w:rsidR="00B75AF1" w:rsidRPr="00B75AF1" w14:paraId="6FE0309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49E2E51" w14:textId="77777777" w:rsidR="00B75AF1" w:rsidRPr="00D960DB" w:rsidRDefault="00B75AF1" w:rsidP="00B75AF1">
            <w:pPr>
              <w:rPr>
                <w:rFonts w:eastAsiaTheme="minorEastAsia"/>
                <w:sz w:val="20"/>
                <w:szCs w:val="20"/>
              </w:rPr>
            </w:pPr>
            <w:r w:rsidRPr="00D960DB">
              <w:rPr>
                <w:rFonts w:eastAsiaTheme="minorEastAsia"/>
                <w:sz w:val="20"/>
                <w:szCs w:val="20"/>
              </w:rPr>
              <w:t>Lee County</w:t>
            </w:r>
          </w:p>
        </w:tc>
        <w:tc>
          <w:tcPr>
            <w:tcW w:w="2536" w:type="dxa"/>
            <w:tcBorders>
              <w:top w:val="nil"/>
              <w:left w:val="nil"/>
              <w:bottom w:val="single" w:sz="4" w:space="0" w:color="auto"/>
              <w:right w:val="single" w:sz="4" w:space="0" w:color="auto"/>
            </w:tcBorders>
            <w:shd w:val="clear" w:color="auto" w:fill="auto"/>
            <w:noWrap/>
            <w:vAlign w:val="bottom"/>
            <w:hideMark/>
          </w:tcPr>
          <w:p w14:paraId="33639A2A" w14:textId="27675167" w:rsidR="00B75AF1" w:rsidRPr="00D960DB" w:rsidRDefault="00B75AF1" w:rsidP="00F75FF9">
            <w:pPr>
              <w:jc w:val="center"/>
              <w:rPr>
                <w:rFonts w:eastAsiaTheme="minorEastAsia"/>
                <w:sz w:val="20"/>
                <w:szCs w:val="20"/>
              </w:rPr>
            </w:pPr>
            <w:r w:rsidRPr="00D960DB">
              <w:rPr>
                <w:rFonts w:eastAsiaTheme="minorEastAsia"/>
                <w:sz w:val="20"/>
                <w:szCs w:val="20"/>
              </w:rPr>
              <w:t>28</w:t>
            </w:r>
          </w:p>
        </w:tc>
        <w:tc>
          <w:tcPr>
            <w:tcW w:w="1890" w:type="dxa"/>
            <w:tcBorders>
              <w:top w:val="nil"/>
              <w:left w:val="nil"/>
              <w:bottom w:val="single" w:sz="4" w:space="0" w:color="auto"/>
              <w:right w:val="single" w:sz="4" w:space="0" w:color="auto"/>
            </w:tcBorders>
            <w:shd w:val="clear" w:color="auto" w:fill="auto"/>
            <w:noWrap/>
            <w:vAlign w:val="bottom"/>
            <w:hideMark/>
          </w:tcPr>
          <w:p w14:paraId="0F1E14B4" w14:textId="53E5CEEC" w:rsidR="00B75AF1" w:rsidRPr="00D960DB" w:rsidRDefault="00B75AF1" w:rsidP="00F75FF9">
            <w:pPr>
              <w:jc w:val="center"/>
              <w:rPr>
                <w:rFonts w:eastAsiaTheme="minorEastAsia"/>
                <w:sz w:val="20"/>
                <w:szCs w:val="20"/>
              </w:rPr>
            </w:pPr>
            <w:r w:rsidRPr="00D960DB">
              <w:rPr>
                <w:rFonts w:eastAsiaTheme="minorEastAsia"/>
                <w:sz w:val="20"/>
                <w:szCs w:val="20"/>
              </w:rPr>
              <w:t>1,613</w:t>
            </w:r>
          </w:p>
        </w:tc>
        <w:tc>
          <w:tcPr>
            <w:tcW w:w="1503" w:type="dxa"/>
            <w:tcBorders>
              <w:top w:val="nil"/>
              <w:left w:val="nil"/>
              <w:bottom w:val="single" w:sz="4" w:space="0" w:color="auto"/>
              <w:right w:val="single" w:sz="4" w:space="0" w:color="auto"/>
            </w:tcBorders>
            <w:shd w:val="clear" w:color="auto" w:fill="auto"/>
            <w:noWrap/>
            <w:vAlign w:val="bottom"/>
            <w:hideMark/>
          </w:tcPr>
          <w:p w14:paraId="100CEFE5" w14:textId="77777777" w:rsidR="00B75AF1" w:rsidRPr="00D960DB" w:rsidRDefault="00B75AF1" w:rsidP="00C0151F">
            <w:pPr>
              <w:jc w:val="center"/>
              <w:rPr>
                <w:rFonts w:eastAsiaTheme="minorEastAsia"/>
                <w:sz w:val="20"/>
                <w:szCs w:val="20"/>
              </w:rPr>
            </w:pPr>
            <w:r w:rsidRPr="00D960DB">
              <w:rPr>
                <w:rFonts w:eastAsiaTheme="minorEastAsia"/>
                <w:sz w:val="20"/>
                <w:szCs w:val="20"/>
              </w:rPr>
              <w:t>0.93%</w:t>
            </w:r>
          </w:p>
        </w:tc>
        <w:tc>
          <w:tcPr>
            <w:tcW w:w="925" w:type="dxa"/>
            <w:tcBorders>
              <w:top w:val="nil"/>
              <w:left w:val="nil"/>
              <w:bottom w:val="single" w:sz="4" w:space="0" w:color="auto"/>
              <w:right w:val="single" w:sz="4" w:space="0" w:color="auto"/>
            </w:tcBorders>
            <w:shd w:val="clear" w:color="auto" w:fill="auto"/>
            <w:noWrap/>
            <w:vAlign w:val="bottom"/>
            <w:hideMark/>
          </w:tcPr>
          <w:p w14:paraId="5B5BE800" w14:textId="77777777" w:rsidR="00B75AF1" w:rsidRPr="00D960DB" w:rsidRDefault="00B75AF1" w:rsidP="00F75FF9">
            <w:pPr>
              <w:jc w:val="center"/>
              <w:rPr>
                <w:rFonts w:eastAsiaTheme="minorEastAsia"/>
                <w:sz w:val="20"/>
                <w:szCs w:val="20"/>
              </w:rPr>
            </w:pPr>
            <w:r w:rsidRPr="00D960DB">
              <w:rPr>
                <w:rFonts w:eastAsiaTheme="minorEastAsia"/>
                <w:sz w:val="20"/>
                <w:szCs w:val="20"/>
              </w:rPr>
              <w:t>1.10%</w:t>
            </w:r>
          </w:p>
        </w:tc>
      </w:tr>
      <w:tr w:rsidR="00B75AF1" w:rsidRPr="00B75AF1" w14:paraId="370D8FF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6B54D4E" w14:textId="77777777" w:rsidR="00B75AF1" w:rsidRPr="00D960DB" w:rsidRDefault="00B75AF1" w:rsidP="00B75AF1">
            <w:pPr>
              <w:rPr>
                <w:rFonts w:eastAsiaTheme="minorEastAsia"/>
                <w:sz w:val="20"/>
                <w:szCs w:val="20"/>
              </w:rPr>
            </w:pPr>
            <w:r w:rsidRPr="00D960DB">
              <w:rPr>
                <w:rFonts w:eastAsiaTheme="minorEastAsia"/>
                <w:sz w:val="20"/>
                <w:szCs w:val="20"/>
              </w:rPr>
              <w:t>Halifax County</w:t>
            </w:r>
          </w:p>
        </w:tc>
        <w:tc>
          <w:tcPr>
            <w:tcW w:w="2536" w:type="dxa"/>
            <w:tcBorders>
              <w:top w:val="nil"/>
              <w:left w:val="nil"/>
              <w:bottom w:val="single" w:sz="4" w:space="0" w:color="auto"/>
              <w:right w:val="single" w:sz="4" w:space="0" w:color="auto"/>
            </w:tcBorders>
            <w:shd w:val="clear" w:color="auto" w:fill="auto"/>
            <w:noWrap/>
            <w:vAlign w:val="bottom"/>
            <w:hideMark/>
          </w:tcPr>
          <w:p w14:paraId="74635637" w14:textId="4A55F3B9" w:rsidR="00B75AF1" w:rsidRPr="00D960DB" w:rsidRDefault="00B75AF1" w:rsidP="00F75FF9">
            <w:pPr>
              <w:jc w:val="center"/>
              <w:rPr>
                <w:rFonts w:eastAsiaTheme="minorEastAsia"/>
                <w:sz w:val="20"/>
                <w:szCs w:val="20"/>
              </w:rPr>
            </w:pPr>
            <w:r w:rsidRPr="00D960DB">
              <w:rPr>
                <w:rFonts w:eastAsiaTheme="minorEastAsia"/>
                <w:sz w:val="20"/>
                <w:szCs w:val="20"/>
              </w:rPr>
              <w:t>33</w:t>
            </w:r>
          </w:p>
        </w:tc>
        <w:tc>
          <w:tcPr>
            <w:tcW w:w="1890" w:type="dxa"/>
            <w:tcBorders>
              <w:top w:val="nil"/>
              <w:left w:val="nil"/>
              <w:bottom w:val="single" w:sz="4" w:space="0" w:color="auto"/>
              <w:right w:val="single" w:sz="4" w:space="0" w:color="auto"/>
            </w:tcBorders>
            <w:shd w:val="clear" w:color="auto" w:fill="auto"/>
            <w:noWrap/>
            <w:vAlign w:val="bottom"/>
            <w:hideMark/>
          </w:tcPr>
          <w:p w14:paraId="21EF749E" w14:textId="5F414778" w:rsidR="00B75AF1" w:rsidRPr="00D960DB" w:rsidRDefault="00B75AF1" w:rsidP="00F75FF9">
            <w:pPr>
              <w:jc w:val="center"/>
              <w:rPr>
                <w:rFonts w:eastAsiaTheme="minorEastAsia"/>
                <w:sz w:val="20"/>
                <w:szCs w:val="20"/>
              </w:rPr>
            </w:pPr>
            <w:r w:rsidRPr="00D960DB">
              <w:rPr>
                <w:rFonts w:eastAsiaTheme="minorEastAsia"/>
                <w:sz w:val="20"/>
                <w:szCs w:val="20"/>
              </w:rPr>
              <w:t>1,473</w:t>
            </w:r>
          </w:p>
        </w:tc>
        <w:tc>
          <w:tcPr>
            <w:tcW w:w="1503" w:type="dxa"/>
            <w:tcBorders>
              <w:top w:val="nil"/>
              <w:left w:val="nil"/>
              <w:bottom w:val="single" w:sz="4" w:space="0" w:color="auto"/>
              <w:right w:val="single" w:sz="4" w:space="0" w:color="auto"/>
            </w:tcBorders>
            <w:shd w:val="clear" w:color="auto" w:fill="auto"/>
            <w:noWrap/>
            <w:vAlign w:val="bottom"/>
            <w:hideMark/>
          </w:tcPr>
          <w:p w14:paraId="7A5995F4" w14:textId="77777777" w:rsidR="00B75AF1" w:rsidRPr="00D960DB" w:rsidRDefault="00B75AF1" w:rsidP="00C0151F">
            <w:pPr>
              <w:jc w:val="center"/>
              <w:rPr>
                <w:rFonts w:eastAsiaTheme="minorEastAsia"/>
                <w:sz w:val="20"/>
                <w:szCs w:val="20"/>
              </w:rPr>
            </w:pPr>
            <w:r w:rsidRPr="00D960DB">
              <w:rPr>
                <w:rFonts w:eastAsiaTheme="minorEastAsia"/>
                <w:sz w:val="20"/>
                <w:szCs w:val="20"/>
              </w:rPr>
              <w:t>1.09%</w:t>
            </w:r>
          </w:p>
        </w:tc>
        <w:tc>
          <w:tcPr>
            <w:tcW w:w="925" w:type="dxa"/>
            <w:tcBorders>
              <w:top w:val="nil"/>
              <w:left w:val="nil"/>
              <w:bottom w:val="single" w:sz="4" w:space="0" w:color="auto"/>
              <w:right w:val="single" w:sz="4" w:space="0" w:color="auto"/>
            </w:tcBorders>
            <w:shd w:val="clear" w:color="auto" w:fill="auto"/>
            <w:noWrap/>
            <w:vAlign w:val="bottom"/>
            <w:hideMark/>
          </w:tcPr>
          <w:p w14:paraId="59DAB98F" w14:textId="77777777" w:rsidR="00B75AF1" w:rsidRPr="00D960DB" w:rsidRDefault="00B75AF1" w:rsidP="00F75FF9">
            <w:pPr>
              <w:jc w:val="center"/>
              <w:rPr>
                <w:rFonts w:eastAsiaTheme="minorEastAsia"/>
                <w:sz w:val="20"/>
                <w:szCs w:val="20"/>
              </w:rPr>
            </w:pPr>
            <w:r w:rsidRPr="00D960DB">
              <w:rPr>
                <w:rFonts w:eastAsiaTheme="minorEastAsia"/>
                <w:sz w:val="20"/>
                <w:szCs w:val="20"/>
              </w:rPr>
              <w:t>1.00%</w:t>
            </w:r>
          </w:p>
        </w:tc>
      </w:tr>
      <w:tr w:rsidR="00B75AF1" w:rsidRPr="00B75AF1" w14:paraId="633A7F8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E5901F3" w14:textId="77777777" w:rsidR="00B75AF1" w:rsidRPr="00D960DB" w:rsidRDefault="00B75AF1" w:rsidP="00B75AF1">
            <w:pPr>
              <w:rPr>
                <w:rFonts w:eastAsiaTheme="minorEastAsia"/>
                <w:sz w:val="20"/>
                <w:szCs w:val="20"/>
              </w:rPr>
            </w:pPr>
            <w:r w:rsidRPr="00D960DB">
              <w:rPr>
                <w:rFonts w:eastAsiaTheme="minorEastAsia"/>
                <w:sz w:val="20"/>
                <w:szCs w:val="20"/>
              </w:rPr>
              <w:t>Surry County</w:t>
            </w:r>
          </w:p>
        </w:tc>
        <w:tc>
          <w:tcPr>
            <w:tcW w:w="2536" w:type="dxa"/>
            <w:tcBorders>
              <w:top w:val="nil"/>
              <w:left w:val="nil"/>
              <w:bottom w:val="single" w:sz="4" w:space="0" w:color="auto"/>
              <w:right w:val="single" w:sz="4" w:space="0" w:color="auto"/>
            </w:tcBorders>
            <w:shd w:val="clear" w:color="auto" w:fill="auto"/>
            <w:noWrap/>
            <w:vAlign w:val="bottom"/>
            <w:hideMark/>
          </w:tcPr>
          <w:p w14:paraId="57AC8D7C" w14:textId="1B5EA89B" w:rsidR="00B75AF1" w:rsidRPr="00D960DB" w:rsidRDefault="00B75AF1" w:rsidP="00F75FF9">
            <w:pPr>
              <w:jc w:val="center"/>
              <w:rPr>
                <w:rFonts w:eastAsiaTheme="minorEastAsia"/>
                <w:sz w:val="20"/>
                <w:szCs w:val="20"/>
              </w:rPr>
            </w:pPr>
            <w:r w:rsidRPr="00D960DB">
              <w:rPr>
                <w:rFonts w:eastAsiaTheme="minorEastAsia"/>
                <w:sz w:val="20"/>
                <w:szCs w:val="20"/>
              </w:rPr>
              <w:t>38</w:t>
            </w:r>
          </w:p>
        </w:tc>
        <w:tc>
          <w:tcPr>
            <w:tcW w:w="1890" w:type="dxa"/>
            <w:tcBorders>
              <w:top w:val="nil"/>
              <w:left w:val="nil"/>
              <w:bottom w:val="single" w:sz="4" w:space="0" w:color="auto"/>
              <w:right w:val="single" w:sz="4" w:space="0" w:color="auto"/>
            </w:tcBorders>
            <w:shd w:val="clear" w:color="auto" w:fill="auto"/>
            <w:noWrap/>
            <w:vAlign w:val="bottom"/>
            <w:hideMark/>
          </w:tcPr>
          <w:p w14:paraId="11BCAF75" w14:textId="7EA30818" w:rsidR="00B75AF1" w:rsidRPr="00D960DB" w:rsidRDefault="00B75AF1" w:rsidP="00F75FF9">
            <w:pPr>
              <w:jc w:val="center"/>
              <w:rPr>
                <w:rFonts w:eastAsiaTheme="minorEastAsia"/>
                <w:sz w:val="20"/>
                <w:szCs w:val="20"/>
              </w:rPr>
            </w:pPr>
            <w:r w:rsidRPr="00D960DB">
              <w:rPr>
                <w:rFonts w:eastAsiaTheme="minorEastAsia"/>
                <w:sz w:val="20"/>
                <w:szCs w:val="20"/>
              </w:rPr>
              <w:t>1,465</w:t>
            </w:r>
          </w:p>
        </w:tc>
        <w:tc>
          <w:tcPr>
            <w:tcW w:w="1503" w:type="dxa"/>
            <w:tcBorders>
              <w:top w:val="nil"/>
              <w:left w:val="nil"/>
              <w:bottom w:val="single" w:sz="4" w:space="0" w:color="auto"/>
              <w:right w:val="single" w:sz="4" w:space="0" w:color="auto"/>
            </w:tcBorders>
            <w:shd w:val="clear" w:color="auto" w:fill="auto"/>
            <w:noWrap/>
            <w:vAlign w:val="bottom"/>
            <w:hideMark/>
          </w:tcPr>
          <w:p w14:paraId="0EA3D414" w14:textId="77777777" w:rsidR="00B75AF1" w:rsidRPr="00D960DB" w:rsidRDefault="00B75AF1" w:rsidP="00C0151F">
            <w:pPr>
              <w:jc w:val="center"/>
              <w:rPr>
                <w:rFonts w:eastAsiaTheme="minorEastAsia"/>
                <w:sz w:val="20"/>
                <w:szCs w:val="20"/>
              </w:rPr>
            </w:pPr>
            <w:r w:rsidRPr="00D960DB">
              <w:rPr>
                <w:rFonts w:eastAsiaTheme="minorEastAsia"/>
                <w:sz w:val="20"/>
                <w:szCs w:val="20"/>
              </w:rPr>
              <w:t>1.26%</w:t>
            </w:r>
          </w:p>
        </w:tc>
        <w:tc>
          <w:tcPr>
            <w:tcW w:w="925" w:type="dxa"/>
            <w:tcBorders>
              <w:top w:val="nil"/>
              <w:left w:val="nil"/>
              <w:bottom w:val="single" w:sz="4" w:space="0" w:color="auto"/>
              <w:right w:val="single" w:sz="4" w:space="0" w:color="auto"/>
            </w:tcBorders>
            <w:shd w:val="clear" w:color="auto" w:fill="auto"/>
            <w:noWrap/>
            <w:vAlign w:val="bottom"/>
            <w:hideMark/>
          </w:tcPr>
          <w:p w14:paraId="3E0BBC10" w14:textId="77777777" w:rsidR="00B75AF1" w:rsidRPr="00D960DB" w:rsidRDefault="00B75AF1" w:rsidP="00F75FF9">
            <w:pPr>
              <w:jc w:val="center"/>
              <w:rPr>
                <w:rFonts w:eastAsiaTheme="minorEastAsia"/>
                <w:sz w:val="20"/>
                <w:szCs w:val="20"/>
              </w:rPr>
            </w:pPr>
            <w:r w:rsidRPr="00D960DB">
              <w:rPr>
                <w:rFonts w:eastAsiaTheme="minorEastAsia"/>
                <w:sz w:val="20"/>
                <w:szCs w:val="20"/>
              </w:rPr>
              <w:t>1.00%</w:t>
            </w:r>
          </w:p>
        </w:tc>
      </w:tr>
      <w:tr w:rsidR="00B75AF1" w:rsidRPr="00B75AF1" w14:paraId="2CA3C28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63AAC4A" w14:textId="77777777" w:rsidR="00B75AF1" w:rsidRPr="00D960DB" w:rsidRDefault="00B75AF1" w:rsidP="00B75AF1">
            <w:pPr>
              <w:rPr>
                <w:rFonts w:eastAsiaTheme="minorEastAsia"/>
                <w:sz w:val="20"/>
                <w:szCs w:val="20"/>
              </w:rPr>
            </w:pPr>
            <w:r w:rsidRPr="00D960DB">
              <w:rPr>
                <w:rFonts w:eastAsiaTheme="minorEastAsia"/>
                <w:sz w:val="20"/>
                <w:szCs w:val="20"/>
              </w:rPr>
              <w:t>Nash County</w:t>
            </w:r>
          </w:p>
        </w:tc>
        <w:tc>
          <w:tcPr>
            <w:tcW w:w="2536" w:type="dxa"/>
            <w:tcBorders>
              <w:top w:val="nil"/>
              <w:left w:val="nil"/>
              <w:bottom w:val="single" w:sz="4" w:space="0" w:color="auto"/>
              <w:right w:val="single" w:sz="4" w:space="0" w:color="auto"/>
            </w:tcBorders>
            <w:shd w:val="clear" w:color="auto" w:fill="auto"/>
            <w:noWrap/>
            <w:vAlign w:val="bottom"/>
            <w:hideMark/>
          </w:tcPr>
          <w:p w14:paraId="23F07BB6" w14:textId="060A5750" w:rsidR="00B75AF1" w:rsidRPr="00D960DB" w:rsidRDefault="00B75AF1" w:rsidP="00F75FF9">
            <w:pPr>
              <w:jc w:val="center"/>
              <w:rPr>
                <w:rFonts w:eastAsiaTheme="minorEastAsia"/>
                <w:sz w:val="20"/>
                <w:szCs w:val="20"/>
              </w:rPr>
            </w:pPr>
            <w:r w:rsidRPr="00D960DB">
              <w:rPr>
                <w:rFonts w:eastAsiaTheme="minorEastAsia"/>
                <w:sz w:val="20"/>
                <w:szCs w:val="20"/>
              </w:rPr>
              <w:t>33</w:t>
            </w:r>
          </w:p>
        </w:tc>
        <w:tc>
          <w:tcPr>
            <w:tcW w:w="1890" w:type="dxa"/>
            <w:tcBorders>
              <w:top w:val="nil"/>
              <w:left w:val="nil"/>
              <w:bottom w:val="single" w:sz="4" w:space="0" w:color="auto"/>
              <w:right w:val="single" w:sz="4" w:space="0" w:color="auto"/>
            </w:tcBorders>
            <w:shd w:val="clear" w:color="auto" w:fill="auto"/>
            <w:noWrap/>
            <w:vAlign w:val="bottom"/>
            <w:hideMark/>
          </w:tcPr>
          <w:p w14:paraId="5BC6AD03" w14:textId="2A4BE880" w:rsidR="00B75AF1" w:rsidRPr="00D960DB" w:rsidRDefault="00B75AF1" w:rsidP="00F75FF9">
            <w:pPr>
              <w:jc w:val="center"/>
              <w:rPr>
                <w:rFonts w:eastAsiaTheme="minorEastAsia"/>
                <w:sz w:val="20"/>
                <w:szCs w:val="20"/>
              </w:rPr>
            </w:pPr>
            <w:r w:rsidRPr="00D960DB">
              <w:rPr>
                <w:rFonts w:eastAsiaTheme="minorEastAsia"/>
                <w:sz w:val="20"/>
                <w:szCs w:val="20"/>
              </w:rPr>
              <w:t>1,463</w:t>
            </w:r>
          </w:p>
        </w:tc>
        <w:tc>
          <w:tcPr>
            <w:tcW w:w="1503" w:type="dxa"/>
            <w:tcBorders>
              <w:top w:val="nil"/>
              <w:left w:val="nil"/>
              <w:bottom w:val="single" w:sz="4" w:space="0" w:color="auto"/>
              <w:right w:val="single" w:sz="4" w:space="0" w:color="auto"/>
            </w:tcBorders>
            <w:shd w:val="clear" w:color="auto" w:fill="auto"/>
            <w:noWrap/>
            <w:vAlign w:val="bottom"/>
            <w:hideMark/>
          </w:tcPr>
          <w:p w14:paraId="6FE83942" w14:textId="77777777" w:rsidR="00B75AF1" w:rsidRPr="00D960DB" w:rsidRDefault="00B75AF1" w:rsidP="00C0151F">
            <w:pPr>
              <w:jc w:val="center"/>
              <w:rPr>
                <w:rFonts w:eastAsiaTheme="minorEastAsia"/>
                <w:sz w:val="20"/>
                <w:szCs w:val="20"/>
              </w:rPr>
            </w:pPr>
            <w:r w:rsidRPr="00D960DB">
              <w:rPr>
                <w:rFonts w:eastAsiaTheme="minorEastAsia"/>
                <w:sz w:val="20"/>
                <w:szCs w:val="20"/>
              </w:rPr>
              <w:t>1.09%</w:t>
            </w:r>
          </w:p>
        </w:tc>
        <w:tc>
          <w:tcPr>
            <w:tcW w:w="925" w:type="dxa"/>
            <w:tcBorders>
              <w:top w:val="nil"/>
              <w:left w:val="nil"/>
              <w:bottom w:val="single" w:sz="4" w:space="0" w:color="auto"/>
              <w:right w:val="single" w:sz="4" w:space="0" w:color="auto"/>
            </w:tcBorders>
            <w:shd w:val="clear" w:color="auto" w:fill="auto"/>
            <w:noWrap/>
            <w:vAlign w:val="bottom"/>
            <w:hideMark/>
          </w:tcPr>
          <w:p w14:paraId="3AE98BC4" w14:textId="77777777" w:rsidR="00B75AF1" w:rsidRPr="00D960DB" w:rsidRDefault="00B75AF1" w:rsidP="00F75FF9">
            <w:pPr>
              <w:jc w:val="center"/>
              <w:rPr>
                <w:rFonts w:eastAsiaTheme="minorEastAsia"/>
                <w:sz w:val="20"/>
                <w:szCs w:val="20"/>
              </w:rPr>
            </w:pPr>
            <w:r w:rsidRPr="00D960DB">
              <w:rPr>
                <w:rFonts w:eastAsiaTheme="minorEastAsia"/>
                <w:sz w:val="20"/>
                <w:szCs w:val="20"/>
              </w:rPr>
              <w:t>1.00%</w:t>
            </w:r>
          </w:p>
        </w:tc>
      </w:tr>
      <w:tr w:rsidR="00B75AF1" w:rsidRPr="00B75AF1" w14:paraId="3E6906F2"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16ABD91" w14:textId="77777777" w:rsidR="00B75AF1" w:rsidRPr="00D960DB" w:rsidRDefault="00B75AF1" w:rsidP="00B75AF1">
            <w:pPr>
              <w:rPr>
                <w:rFonts w:eastAsiaTheme="minorEastAsia"/>
                <w:sz w:val="20"/>
                <w:szCs w:val="20"/>
              </w:rPr>
            </w:pPr>
            <w:r w:rsidRPr="00D960DB">
              <w:rPr>
                <w:rFonts w:eastAsiaTheme="minorEastAsia"/>
                <w:sz w:val="20"/>
                <w:szCs w:val="20"/>
              </w:rPr>
              <w:lastRenderedPageBreak/>
              <w:t>Orange County</w:t>
            </w:r>
          </w:p>
        </w:tc>
        <w:tc>
          <w:tcPr>
            <w:tcW w:w="2536" w:type="dxa"/>
            <w:tcBorders>
              <w:top w:val="nil"/>
              <w:left w:val="nil"/>
              <w:bottom w:val="single" w:sz="4" w:space="0" w:color="auto"/>
              <w:right w:val="single" w:sz="4" w:space="0" w:color="auto"/>
            </w:tcBorders>
            <w:shd w:val="clear" w:color="auto" w:fill="auto"/>
            <w:noWrap/>
            <w:vAlign w:val="bottom"/>
            <w:hideMark/>
          </w:tcPr>
          <w:p w14:paraId="16F71535" w14:textId="66FFF9E3" w:rsidR="00B75AF1" w:rsidRPr="00D960DB" w:rsidRDefault="00B75AF1" w:rsidP="00F75FF9">
            <w:pPr>
              <w:jc w:val="center"/>
              <w:rPr>
                <w:rFonts w:eastAsiaTheme="minorEastAsia"/>
                <w:sz w:val="20"/>
                <w:szCs w:val="20"/>
              </w:rPr>
            </w:pPr>
            <w:r w:rsidRPr="00D960DB">
              <w:rPr>
                <w:rFonts w:eastAsiaTheme="minorEastAsia"/>
                <w:sz w:val="20"/>
                <w:szCs w:val="20"/>
              </w:rPr>
              <w:t>50</w:t>
            </w:r>
          </w:p>
        </w:tc>
        <w:tc>
          <w:tcPr>
            <w:tcW w:w="1890" w:type="dxa"/>
            <w:tcBorders>
              <w:top w:val="nil"/>
              <w:left w:val="nil"/>
              <w:bottom w:val="single" w:sz="4" w:space="0" w:color="auto"/>
              <w:right w:val="single" w:sz="4" w:space="0" w:color="auto"/>
            </w:tcBorders>
            <w:shd w:val="clear" w:color="auto" w:fill="auto"/>
            <w:noWrap/>
            <w:vAlign w:val="bottom"/>
            <w:hideMark/>
          </w:tcPr>
          <w:p w14:paraId="1FF54834" w14:textId="0B2D750E" w:rsidR="00B75AF1" w:rsidRPr="00D960DB" w:rsidRDefault="00B75AF1" w:rsidP="00F75FF9">
            <w:pPr>
              <w:jc w:val="center"/>
              <w:rPr>
                <w:rFonts w:eastAsiaTheme="minorEastAsia"/>
                <w:sz w:val="20"/>
                <w:szCs w:val="20"/>
              </w:rPr>
            </w:pPr>
            <w:r w:rsidRPr="00D960DB">
              <w:rPr>
                <w:rFonts w:eastAsiaTheme="minorEastAsia"/>
                <w:sz w:val="20"/>
                <w:szCs w:val="20"/>
              </w:rPr>
              <w:t>1,434</w:t>
            </w:r>
          </w:p>
        </w:tc>
        <w:tc>
          <w:tcPr>
            <w:tcW w:w="1503" w:type="dxa"/>
            <w:tcBorders>
              <w:top w:val="nil"/>
              <w:left w:val="nil"/>
              <w:bottom w:val="single" w:sz="4" w:space="0" w:color="auto"/>
              <w:right w:val="single" w:sz="4" w:space="0" w:color="auto"/>
            </w:tcBorders>
            <w:shd w:val="clear" w:color="auto" w:fill="auto"/>
            <w:noWrap/>
            <w:vAlign w:val="bottom"/>
            <w:hideMark/>
          </w:tcPr>
          <w:p w14:paraId="1FDFC457" w14:textId="77777777" w:rsidR="00B75AF1" w:rsidRPr="00D960DB" w:rsidRDefault="00B75AF1" w:rsidP="00C0151F">
            <w:pPr>
              <w:jc w:val="center"/>
              <w:rPr>
                <w:rFonts w:eastAsiaTheme="minorEastAsia"/>
                <w:sz w:val="20"/>
                <w:szCs w:val="20"/>
              </w:rPr>
            </w:pPr>
            <w:r w:rsidRPr="00D960DB">
              <w:rPr>
                <w:rFonts w:eastAsiaTheme="minorEastAsia"/>
                <w:sz w:val="20"/>
                <w:szCs w:val="20"/>
              </w:rPr>
              <w:t>1.66%</w:t>
            </w:r>
          </w:p>
        </w:tc>
        <w:tc>
          <w:tcPr>
            <w:tcW w:w="925" w:type="dxa"/>
            <w:tcBorders>
              <w:top w:val="nil"/>
              <w:left w:val="nil"/>
              <w:bottom w:val="single" w:sz="4" w:space="0" w:color="auto"/>
              <w:right w:val="single" w:sz="4" w:space="0" w:color="auto"/>
            </w:tcBorders>
            <w:shd w:val="clear" w:color="auto" w:fill="auto"/>
            <w:noWrap/>
            <w:vAlign w:val="bottom"/>
            <w:hideMark/>
          </w:tcPr>
          <w:p w14:paraId="667C0217" w14:textId="77777777" w:rsidR="00B75AF1" w:rsidRPr="00D960DB" w:rsidRDefault="00B75AF1" w:rsidP="00F75FF9">
            <w:pPr>
              <w:jc w:val="center"/>
              <w:rPr>
                <w:rFonts w:eastAsiaTheme="minorEastAsia"/>
                <w:sz w:val="20"/>
                <w:szCs w:val="20"/>
              </w:rPr>
            </w:pPr>
            <w:r w:rsidRPr="00D960DB">
              <w:rPr>
                <w:rFonts w:eastAsiaTheme="minorEastAsia"/>
                <w:sz w:val="20"/>
                <w:szCs w:val="20"/>
              </w:rPr>
              <w:t>0.98%</w:t>
            </w:r>
          </w:p>
        </w:tc>
      </w:tr>
      <w:tr w:rsidR="00B75AF1" w:rsidRPr="00B75AF1" w14:paraId="77E6C4AB"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E3C3C8B" w14:textId="77777777" w:rsidR="00B75AF1" w:rsidRPr="00D960DB" w:rsidRDefault="00B75AF1" w:rsidP="00B75AF1">
            <w:pPr>
              <w:rPr>
                <w:rFonts w:eastAsiaTheme="minorEastAsia"/>
                <w:sz w:val="20"/>
                <w:szCs w:val="20"/>
              </w:rPr>
            </w:pPr>
            <w:r w:rsidRPr="00D960DB">
              <w:rPr>
                <w:rFonts w:eastAsiaTheme="minorEastAsia"/>
                <w:sz w:val="20"/>
                <w:szCs w:val="20"/>
              </w:rPr>
              <w:t>Columbus County</w:t>
            </w:r>
          </w:p>
        </w:tc>
        <w:tc>
          <w:tcPr>
            <w:tcW w:w="2536" w:type="dxa"/>
            <w:tcBorders>
              <w:top w:val="nil"/>
              <w:left w:val="nil"/>
              <w:bottom w:val="single" w:sz="4" w:space="0" w:color="auto"/>
              <w:right w:val="single" w:sz="4" w:space="0" w:color="auto"/>
            </w:tcBorders>
            <w:shd w:val="clear" w:color="auto" w:fill="auto"/>
            <w:noWrap/>
            <w:vAlign w:val="bottom"/>
            <w:hideMark/>
          </w:tcPr>
          <w:p w14:paraId="47EB770A" w14:textId="16186D01" w:rsidR="00B75AF1" w:rsidRPr="00D960DB" w:rsidRDefault="00B75AF1" w:rsidP="00F75FF9">
            <w:pPr>
              <w:jc w:val="center"/>
              <w:rPr>
                <w:rFonts w:eastAsiaTheme="minorEastAsia"/>
                <w:sz w:val="20"/>
                <w:szCs w:val="20"/>
              </w:rPr>
            </w:pPr>
            <w:r w:rsidRPr="00D960DB">
              <w:rPr>
                <w:rFonts w:eastAsiaTheme="minorEastAsia"/>
                <w:sz w:val="20"/>
                <w:szCs w:val="20"/>
              </w:rPr>
              <w:t>36</w:t>
            </w:r>
          </w:p>
        </w:tc>
        <w:tc>
          <w:tcPr>
            <w:tcW w:w="1890" w:type="dxa"/>
            <w:tcBorders>
              <w:top w:val="nil"/>
              <w:left w:val="nil"/>
              <w:bottom w:val="single" w:sz="4" w:space="0" w:color="auto"/>
              <w:right w:val="single" w:sz="4" w:space="0" w:color="auto"/>
            </w:tcBorders>
            <w:shd w:val="clear" w:color="auto" w:fill="auto"/>
            <w:noWrap/>
            <w:vAlign w:val="bottom"/>
            <w:hideMark/>
          </w:tcPr>
          <w:p w14:paraId="2F428C9B" w14:textId="410D93CE" w:rsidR="00B75AF1" w:rsidRPr="00D960DB" w:rsidRDefault="00B75AF1" w:rsidP="00F75FF9">
            <w:pPr>
              <w:jc w:val="center"/>
              <w:rPr>
                <w:rFonts w:eastAsiaTheme="minorEastAsia"/>
                <w:sz w:val="20"/>
                <w:szCs w:val="20"/>
              </w:rPr>
            </w:pPr>
            <w:r w:rsidRPr="00D960DB">
              <w:rPr>
                <w:rFonts w:eastAsiaTheme="minorEastAsia"/>
                <w:sz w:val="20"/>
                <w:szCs w:val="20"/>
              </w:rPr>
              <w:t>1,406</w:t>
            </w:r>
          </w:p>
        </w:tc>
        <w:tc>
          <w:tcPr>
            <w:tcW w:w="1503" w:type="dxa"/>
            <w:tcBorders>
              <w:top w:val="nil"/>
              <w:left w:val="nil"/>
              <w:bottom w:val="single" w:sz="4" w:space="0" w:color="auto"/>
              <w:right w:val="single" w:sz="4" w:space="0" w:color="auto"/>
            </w:tcBorders>
            <w:shd w:val="clear" w:color="auto" w:fill="auto"/>
            <w:noWrap/>
            <w:vAlign w:val="bottom"/>
            <w:hideMark/>
          </w:tcPr>
          <w:p w14:paraId="2718E536" w14:textId="77777777" w:rsidR="00B75AF1" w:rsidRPr="00D960DB" w:rsidRDefault="00B75AF1" w:rsidP="00C0151F">
            <w:pPr>
              <w:jc w:val="center"/>
              <w:rPr>
                <w:rFonts w:eastAsiaTheme="minorEastAsia"/>
                <w:sz w:val="20"/>
                <w:szCs w:val="20"/>
              </w:rPr>
            </w:pPr>
            <w:r w:rsidRPr="00D960DB">
              <w:rPr>
                <w:rFonts w:eastAsiaTheme="minorEastAsia"/>
                <w:sz w:val="20"/>
                <w:szCs w:val="20"/>
              </w:rPr>
              <w:t>1.19%</w:t>
            </w:r>
          </w:p>
        </w:tc>
        <w:tc>
          <w:tcPr>
            <w:tcW w:w="925" w:type="dxa"/>
            <w:tcBorders>
              <w:top w:val="nil"/>
              <w:left w:val="nil"/>
              <w:bottom w:val="single" w:sz="4" w:space="0" w:color="auto"/>
              <w:right w:val="single" w:sz="4" w:space="0" w:color="auto"/>
            </w:tcBorders>
            <w:shd w:val="clear" w:color="auto" w:fill="auto"/>
            <w:noWrap/>
            <w:vAlign w:val="bottom"/>
            <w:hideMark/>
          </w:tcPr>
          <w:p w14:paraId="011E065D" w14:textId="77777777" w:rsidR="00B75AF1" w:rsidRPr="00D960DB" w:rsidRDefault="00B75AF1" w:rsidP="00F75FF9">
            <w:pPr>
              <w:jc w:val="center"/>
              <w:rPr>
                <w:rFonts w:eastAsiaTheme="minorEastAsia"/>
                <w:sz w:val="20"/>
                <w:szCs w:val="20"/>
              </w:rPr>
            </w:pPr>
            <w:r w:rsidRPr="00D960DB">
              <w:rPr>
                <w:rFonts w:eastAsiaTheme="minorEastAsia"/>
                <w:sz w:val="20"/>
                <w:szCs w:val="20"/>
              </w:rPr>
              <w:t>0.96%</w:t>
            </w:r>
          </w:p>
        </w:tc>
      </w:tr>
      <w:tr w:rsidR="00B75AF1" w:rsidRPr="00B75AF1" w14:paraId="2FEBF6B5"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B13DEBD" w14:textId="77777777" w:rsidR="00B75AF1" w:rsidRPr="00D960DB" w:rsidRDefault="00B75AF1" w:rsidP="00B75AF1">
            <w:pPr>
              <w:rPr>
                <w:rFonts w:eastAsiaTheme="minorEastAsia"/>
                <w:sz w:val="20"/>
                <w:szCs w:val="20"/>
              </w:rPr>
            </w:pPr>
            <w:r w:rsidRPr="00D960DB">
              <w:rPr>
                <w:rFonts w:eastAsiaTheme="minorEastAsia"/>
                <w:sz w:val="20"/>
                <w:szCs w:val="20"/>
              </w:rPr>
              <w:t>Harnett County</w:t>
            </w:r>
          </w:p>
        </w:tc>
        <w:tc>
          <w:tcPr>
            <w:tcW w:w="2536" w:type="dxa"/>
            <w:tcBorders>
              <w:top w:val="nil"/>
              <w:left w:val="nil"/>
              <w:bottom w:val="single" w:sz="4" w:space="0" w:color="auto"/>
              <w:right w:val="single" w:sz="4" w:space="0" w:color="auto"/>
            </w:tcBorders>
            <w:shd w:val="clear" w:color="auto" w:fill="auto"/>
            <w:noWrap/>
            <w:vAlign w:val="bottom"/>
            <w:hideMark/>
          </w:tcPr>
          <w:p w14:paraId="7454DF62" w14:textId="0C892A36" w:rsidR="00B75AF1" w:rsidRPr="00D960DB" w:rsidRDefault="00B75AF1" w:rsidP="00F75FF9">
            <w:pPr>
              <w:jc w:val="center"/>
              <w:rPr>
                <w:rFonts w:eastAsiaTheme="minorEastAsia"/>
                <w:sz w:val="20"/>
                <w:szCs w:val="20"/>
              </w:rPr>
            </w:pPr>
            <w:r w:rsidRPr="00D960DB">
              <w:rPr>
                <w:rFonts w:eastAsiaTheme="minorEastAsia"/>
                <w:sz w:val="20"/>
                <w:szCs w:val="20"/>
              </w:rPr>
              <w:t>40</w:t>
            </w:r>
          </w:p>
        </w:tc>
        <w:tc>
          <w:tcPr>
            <w:tcW w:w="1890" w:type="dxa"/>
            <w:tcBorders>
              <w:top w:val="nil"/>
              <w:left w:val="nil"/>
              <w:bottom w:val="single" w:sz="4" w:space="0" w:color="auto"/>
              <w:right w:val="single" w:sz="4" w:space="0" w:color="auto"/>
            </w:tcBorders>
            <w:shd w:val="clear" w:color="auto" w:fill="auto"/>
            <w:noWrap/>
            <w:vAlign w:val="bottom"/>
            <w:hideMark/>
          </w:tcPr>
          <w:p w14:paraId="770AB400" w14:textId="3F28CEC5" w:rsidR="00B75AF1" w:rsidRPr="00D960DB" w:rsidRDefault="00B75AF1" w:rsidP="00F75FF9">
            <w:pPr>
              <w:jc w:val="center"/>
              <w:rPr>
                <w:rFonts w:eastAsiaTheme="minorEastAsia"/>
                <w:sz w:val="20"/>
                <w:szCs w:val="20"/>
              </w:rPr>
            </w:pPr>
            <w:r w:rsidRPr="00D960DB">
              <w:rPr>
                <w:rFonts w:eastAsiaTheme="minorEastAsia"/>
                <w:sz w:val="20"/>
                <w:szCs w:val="20"/>
              </w:rPr>
              <w:t>1,402</w:t>
            </w:r>
          </w:p>
        </w:tc>
        <w:tc>
          <w:tcPr>
            <w:tcW w:w="1503" w:type="dxa"/>
            <w:tcBorders>
              <w:top w:val="nil"/>
              <w:left w:val="nil"/>
              <w:bottom w:val="single" w:sz="4" w:space="0" w:color="auto"/>
              <w:right w:val="single" w:sz="4" w:space="0" w:color="auto"/>
            </w:tcBorders>
            <w:shd w:val="clear" w:color="auto" w:fill="auto"/>
            <w:noWrap/>
            <w:vAlign w:val="bottom"/>
            <w:hideMark/>
          </w:tcPr>
          <w:p w14:paraId="70A85883" w14:textId="77777777" w:rsidR="00B75AF1" w:rsidRPr="00D960DB" w:rsidRDefault="00B75AF1" w:rsidP="00C0151F">
            <w:pPr>
              <w:jc w:val="center"/>
              <w:rPr>
                <w:rFonts w:eastAsiaTheme="minorEastAsia"/>
                <w:sz w:val="20"/>
                <w:szCs w:val="20"/>
              </w:rPr>
            </w:pPr>
            <w:r w:rsidRPr="00D960DB">
              <w:rPr>
                <w:rFonts w:eastAsiaTheme="minorEastAsia"/>
                <w:sz w:val="20"/>
                <w:szCs w:val="20"/>
              </w:rPr>
              <w:t>1.32%</w:t>
            </w:r>
          </w:p>
        </w:tc>
        <w:tc>
          <w:tcPr>
            <w:tcW w:w="925" w:type="dxa"/>
            <w:tcBorders>
              <w:top w:val="nil"/>
              <w:left w:val="nil"/>
              <w:bottom w:val="single" w:sz="4" w:space="0" w:color="auto"/>
              <w:right w:val="single" w:sz="4" w:space="0" w:color="auto"/>
            </w:tcBorders>
            <w:shd w:val="clear" w:color="auto" w:fill="auto"/>
            <w:noWrap/>
            <w:vAlign w:val="bottom"/>
            <w:hideMark/>
          </w:tcPr>
          <w:p w14:paraId="055884D1" w14:textId="77777777" w:rsidR="00B75AF1" w:rsidRPr="00D960DB" w:rsidRDefault="00B75AF1" w:rsidP="00F75FF9">
            <w:pPr>
              <w:jc w:val="center"/>
              <w:rPr>
                <w:rFonts w:eastAsiaTheme="minorEastAsia"/>
                <w:sz w:val="20"/>
                <w:szCs w:val="20"/>
              </w:rPr>
            </w:pPr>
            <w:r w:rsidRPr="00D960DB">
              <w:rPr>
                <w:rFonts w:eastAsiaTheme="minorEastAsia"/>
                <w:sz w:val="20"/>
                <w:szCs w:val="20"/>
              </w:rPr>
              <w:t>0.96%</w:t>
            </w:r>
          </w:p>
        </w:tc>
      </w:tr>
      <w:tr w:rsidR="00B75AF1" w:rsidRPr="00B75AF1" w14:paraId="6C1A0DB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A643AC0" w14:textId="77777777" w:rsidR="00B75AF1" w:rsidRPr="00D960DB" w:rsidRDefault="00B75AF1" w:rsidP="00B75AF1">
            <w:pPr>
              <w:rPr>
                <w:rFonts w:eastAsiaTheme="minorEastAsia"/>
                <w:sz w:val="20"/>
                <w:szCs w:val="20"/>
              </w:rPr>
            </w:pPr>
            <w:r w:rsidRPr="00D960DB">
              <w:rPr>
                <w:rFonts w:eastAsiaTheme="minorEastAsia"/>
                <w:sz w:val="20"/>
                <w:szCs w:val="20"/>
              </w:rPr>
              <w:t>Randolph County</w:t>
            </w:r>
          </w:p>
        </w:tc>
        <w:tc>
          <w:tcPr>
            <w:tcW w:w="2536" w:type="dxa"/>
            <w:tcBorders>
              <w:top w:val="nil"/>
              <w:left w:val="nil"/>
              <w:bottom w:val="single" w:sz="4" w:space="0" w:color="auto"/>
              <w:right w:val="single" w:sz="4" w:space="0" w:color="auto"/>
            </w:tcBorders>
            <w:shd w:val="clear" w:color="auto" w:fill="auto"/>
            <w:noWrap/>
            <w:vAlign w:val="bottom"/>
            <w:hideMark/>
          </w:tcPr>
          <w:p w14:paraId="422E85AE" w14:textId="79ADA0CD" w:rsidR="00B75AF1" w:rsidRPr="00D960DB" w:rsidRDefault="00B75AF1" w:rsidP="00F75FF9">
            <w:pPr>
              <w:jc w:val="center"/>
              <w:rPr>
                <w:rFonts w:eastAsiaTheme="minorEastAsia"/>
                <w:sz w:val="20"/>
                <w:szCs w:val="20"/>
              </w:rPr>
            </w:pPr>
            <w:r w:rsidRPr="00D960DB">
              <w:rPr>
                <w:rFonts w:eastAsiaTheme="minorEastAsia"/>
                <w:sz w:val="20"/>
                <w:szCs w:val="20"/>
              </w:rPr>
              <w:t>28</w:t>
            </w:r>
          </w:p>
        </w:tc>
        <w:tc>
          <w:tcPr>
            <w:tcW w:w="1890" w:type="dxa"/>
            <w:tcBorders>
              <w:top w:val="nil"/>
              <w:left w:val="nil"/>
              <w:bottom w:val="single" w:sz="4" w:space="0" w:color="auto"/>
              <w:right w:val="single" w:sz="4" w:space="0" w:color="auto"/>
            </w:tcBorders>
            <w:shd w:val="clear" w:color="auto" w:fill="auto"/>
            <w:noWrap/>
            <w:vAlign w:val="bottom"/>
            <w:hideMark/>
          </w:tcPr>
          <w:p w14:paraId="0DCB4B51" w14:textId="29596F62" w:rsidR="00B75AF1" w:rsidRPr="00D960DB" w:rsidRDefault="00B75AF1" w:rsidP="00F75FF9">
            <w:pPr>
              <w:jc w:val="center"/>
              <w:rPr>
                <w:rFonts w:eastAsiaTheme="minorEastAsia"/>
                <w:sz w:val="20"/>
                <w:szCs w:val="20"/>
              </w:rPr>
            </w:pPr>
            <w:r w:rsidRPr="00D960DB">
              <w:rPr>
                <w:rFonts w:eastAsiaTheme="minorEastAsia"/>
                <w:sz w:val="20"/>
                <w:szCs w:val="20"/>
              </w:rPr>
              <w:t>1,349</w:t>
            </w:r>
          </w:p>
        </w:tc>
        <w:tc>
          <w:tcPr>
            <w:tcW w:w="1503" w:type="dxa"/>
            <w:tcBorders>
              <w:top w:val="nil"/>
              <w:left w:val="nil"/>
              <w:bottom w:val="single" w:sz="4" w:space="0" w:color="auto"/>
              <w:right w:val="single" w:sz="4" w:space="0" w:color="auto"/>
            </w:tcBorders>
            <w:shd w:val="clear" w:color="auto" w:fill="auto"/>
            <w:noWrap/>
            <w:vAlign w:val="bottom"/>
            <w:hideMark/>
          </w:tcPr>
          <w:p w14:paraId="4B151381" w14:textId="77777777" w:rsidR="00B75AF1" w:rsidRPr="00D960DB" w:rsidRDefault="00B75AF1" w:rsidP="00C0151F">
            <w:pPr>
              <w:jc w:val="center"/>
              <w:rPr>
                <w:rFonts w:eastAsiaTheme="minorEastAsia"/>
                <w:sz w:val="20"/>
                <w:szCs w:val="20"/>
              </w:rPr>
            </w:pPr>
            <w:r w:rsidRPr="00D960DB">
              <w:rPr>
                <w:rFonts w:eastAsiaTheme="minorEastAsia"/>
                <w:sz w:val="20"/>
                <w:szCs w:val="20"/>
              </w:rPr>
              <w:t>0.93%</w:t>
            </w:r>
          </w:p>
        </w:tc>
        <w:tc>
          <w:tcPr>
            <w:tcW w:w="925" w:type="dxa"/>
            <w:tcBorders>
              <w:top w:val="nil"/>
              <w:left w:val="nil"/>
              <w:bottom w:val="single" w:sz="4" w:space="0" w:color="auto"/>
              <w:right w:val="single" w:sz="4" w:space="0" w:color="auto"/>
            </w:tcBorders>
            <w:shd w:val="clear" w:color="auto" w:fill="auto"/>
            <w:noWrap/>
            <w:vAlign w:val="bottom"/>
            <w:hideMark/>
          </w:tcPr>
          <w:p w14:paraId="029A14BB" w14:textId="77777777" w:rsidR="00B75AF1" w:rsidRPr="00D960DB" w:rsidRDefault="00B75AF1" w:rsidP="00F75FF9">
            <w:pPr>
              <w:jc w:val="center"/>
              <w:rPr>
                <w:rFonts w:eastAsiaTheme="minorEastAsia"/>
                <w:sz w:val="20"/>
                <w:szCs w:val="20"/>
              </w:rPr>
            </w:pPr>
            <w:r w:rsidRPr="00D960DB">
              <w:rPr>
                <w:rFonts w:eastAsiaTheme="minorEastAsia"/>
                <w:sz w:val="20"/>
                <w:szCs w:val="20"/>
              </w:rPr>
              <w:t>0.92%</w:t>
            </w:r>
          </w:p>
        </w:tc>
      </w:tr>
      <w:tr w:rsidR="00B75AF1" w:rsidRPr="00B75AF1" w14:paraId="518AAA9A"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E8E1AA0" w14:textId="77777777" w:rsidR="00B75AF1" w:rsidRPr="00D960DB" w:rsidRDefault="00B75AF1" w:rsidP="00B75AF1">
            <w:pPr>
              <w:rPr>
                <w:rFonts w:eastAsiaTheme="minorEastAsia"/>
                <w:sz w:val="20"/>
                <w:szCs w:val="20"/>
              </w:rPr>
            </w:pPr>
            <w:r w:rsidRPr="00D960DB">
              <w:rPr>
                <w:rFonts w:eastAsiaTheme="minorEastAsia"/>
                <w:sz w:val="20"/>
                <w:szCs w:val="20"/>
              </w:rPr>
              <w:t>Richmond County</w:t>
            </w:r>
          </w:p>
        </w:tc>
        <w:tc>
          <w:tcPr>
            <w:tcW w:w="2536" w:type="dxa"/>
            <w:tcBorders>
              <w:top w:val="nil"/>
              <w:left w:val="nil"/>
              <w:bottom w:val="single" w:sz="4" w:space="0" w:color="auto"/>
              <w:right w:val="single" w:sz="4" w:space="0" w:color="auto"/>
            </w:tcBorders>
            <w:shd w:val="clear" w:color="auto" w:fill="auto"/>
            <w:noWrap/>
            <w:vAlign w:val="bottom"/>
            <w:hideMark/>
          </w:tcPr>
          <w:p w14:paraId="6CA04C8E" w14:textId="0EDF8134" w:rsidR="00B75AF1" w:rsidRPr="00D960DB" w:rsidRDefault="00B75AF1" w:rsidP="00F75FF9">
            <w:pPr>
              <w:jc w:val="center"/>
              <w:rPr>
                <w:rFonts w:eastAsiaTheme="minorEastAsia"/>
                <w:sz w:val="20"/>
                <w:szCs w:val="20"/>
              </w:rPr>
            </w:pPr>
            <w:r w:rsidRPr="00D960DB">
              <w:rPr>
                <w:rFonts w:eastAsiaTheme="minorEastAsia"/>
                <w:sz w:val="20"/>
                <w:szCs w:val="20"/>
              </w:rPr>
              <w:t>26</w:t>
            </w:r>
          </w:p>
        </w:tc>
        <w:tc>
          <w:tcPr>
            <w:tcW w:w="1890" w:type="dxa"/>
            <w:tcBorders>
              <w:top w:val="nil"/>
              <w:left w:val="nil"/>
              <w:bottom w:val="single" w:sz="4" w:space="0" w:color="auto"/>
              <w:right w:val="single" w:sz="4" w:space="0" w:color="auto"/>
            </w:tcBorders>
            <w:shd w:val="clear" w:color="auto" w:fill="auto"/>
            <w:noWrap/>
            <w:vAlign w:val="bottom"/>
            <w:hideMark/>
          </w:tcPr>
          <w:p w14:paraId="5CA5DB05" w14:textId="55BA3999" w:rsidR="00B75AF1" w:rsidRPr="00D960DB" w:rsidRDefault="00B75AF1" w:rsidP="00F75FF9">
            <w:pPr>
              <w:jc w:val="center"/>
              <w:rPr>
                <w:rFonts w:eastAsiaTheme="minorEastAsia"/>
                <w:sz w:val="20"/>
                <w:szCs w:val="20"/>
              </w:rPr>
            </w:pPr>
            <w:r w:rsidRPr="00D960DB">
              <w:rPr>
                <w:rFonts w:eastAsiaTheme="minorEastAsia"/>
                <w:sz w:val="20"/>
                <w:szCs w:val="20"/>
              </w:rPr>
              <w:t>1,329</w:t>
            </w:r>
          </w:p>
        </w:tc>
        <w:tc>
          <w:tcPr>
            <w:tcW w:w="1503" w:type="dxa"/>
            <w:tcBorders>
              <w:top w:val="nil"/>
              <w:left w:val="nil"/>
              <w:bottom w:val="single" w:sz="4" w:space="0" w:color="auto"/>
              <w:right w:val="single" w:sz="4" w:space="0" w:color="auto"/>
            </w:tcBorders>
            <w:shd w:val="clear" w:color="auto" w:fill="auto"/>
            <w:noWrap/>
            <w:vAlign w:val="bottom"/>
            <w:hideMark/>
          </w:tcPr>
          <w:p w14:paraId="61D03D55" w14:textId="77777777" w:rsidR="00B75AF1" w:rsidRPr="00D960DB" w:rsidRDefault="00B75AF1" w:rsidP="00C0151F">
            <w:pPr>
              <w:jc w:val="center"/>
              <w:rPr>
                <w:rFonts w:eastAsiaTheme="minorEastAsia"/>
                <w:sz w:val="20"/>
                <w:szCs w:val="20"/>
              </w:rPr>
            </w:pPr>
            <w:r w:rsidRPr="00D960DB">
              <w:rPr>
                <w:rFonts w:eastAsiaTheme="minorEastAsia"/>
                <w:sz w:val="20"/>
                <w:szCs w:val="20"/>
              </w:rPr>
              <w:t>0.86%</w:t>
            </w:r>
          </w:p>
        </w:tc>
        <w:tc>
          <w:tcPr>
            <w:tcW w:w="925" w:type="dxa"/>
            <w:tcBorders>
              <w:top w:val="nil"/>
              <w:left w:val="nil"/>
              <w:bottom w:val="single" w:sz="4" w:space="0" w:color="auto"/>
              <w:right w:val="single" w:sz="4" w:space="0" w:color="auto"/>
            </w:tcBorders>
            <w:shd w:val="clear" w:color="auto" w:fill="auto"/>
            <w:noWrap/>
            <w:vAlign w:val="bottom"/>
            <w:hideMark/>
          </w:tcPr>
          <w:p w14:paraId="0CCDE303" w14:textId="77777777" w:rsidR="00B75AF1" w:rsidRPr="00D960DB" w:rsidRDefault="00B75AF1" w:rsidP="00F75FF9">
            <w:pPr>
              <w:jc w:val="center"/>
              <w:rPr>
                <w:rFonts w:eastAsiaTheme="minorEastAsia"/>
                <w:sz w:val="20"/>
                <w:szCs w:val="20"/>
              </w:rPr>
            </w:pPr>
            <w:r w:rsidRPr="00D960DB">
              <w:rPr>
                <w:rFonts w:eastAsiaTheme="minorEastAsia"/>
                <w:sz w:val="20"/>
                <w:szCs w:val="20"/>
              </w:rPr>
              <w:t>0.91%</w:t>
            </w:r>
          </w:p>
        </w:tc>
      </w:tr>
      <w:tr w:rsidR="00B75AF1" w:rsidRPr="00B75AF1" w14:paraId="52D1D64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FBFBED8" w14:textId="77777777" w:rsidR="00B75AF1" w:rsidRPr="00D960DB" w:rsidRDefault="00B75AF1" w:rsidP="00B75AF1">
            <w:pPr>
              <w:rPr>
                <w:rFonts w:eastAsiaTheme="minorEastAsia"/>
                <w:sz w:val="20"/>
                <w:szCs w:val="20"/>
              </w:rPr>
            </w:pPr>
            <w:r w:rsidRPr="00D960DB">
              <w:rPr>
                <w:rFonts w:eastAsiaTheme="minorEastAsia"/>
                <w:sz w:val="20"/>
                <w:szCs w:val="20"/>
              </w:rPr>
              <w:t>Carteret County</w:t>
            </w:r>
          </w:p>
        </w:tc>
        <w:tc>
          <w:tcPr>
            <w:tcW w:w="2536" w:type="dxa"/>
            <w:tcBorders>
              <w:top w:val="nil"/>
              <w:left w:val="nil"/>
              <w:bottom w:val="single" w:sz="4" w:space="0" w:color="auto"/>
              <w:right w:val="single" w:sz="4" w:space="0" w:color="auto"/>
            </w:tcBorders>
            <w:shd w:val="clear" w:color="auto" w:fill="auto"/>
            <w:noWrap/>
            <w:vAlign w:val="bottom"/>
            <w:hideMark/>
          </w:tcPr>
          <w:p w14:paraId="0A0949B3" w14:textId="6ADA583E" w:rsidR="00B75AF1" w:rsidRPr="00D960DB" w:rsidRDefault="00B75AF1" w:rsidP="00F75FF9">
            <w:pPr>
              <w:jc w:val="center"/>
              <w:rPr>
                <w:rFonts w:eastAsiaTheme="minorEastAsia"/>
                <w:sz w:val="20"/>
                <w:szCs w:val="20"/>
              </w:rPr>
            </w:pPr>
            <w:r w:rsidRPr="00D960DB">
              <w:rPr>
                <w:rFonts w:eastAsiaTheme="minorEastAsia"/>
                <w:sz w:val="20"/>
                <w:szCs w:val="20"/>
              </w:rPr>
              <w:t>25</w:t>
            </w:r>
          </w:p>
        </w:tc>
        <w:tc>
          <w:tcPr>
            <w:tcW w:w="1890" w:type="dxa"/>
            <w:tcBorders>
              <w:top w:val="nil"/>
              <w:left w:val="nil"/>
              <w:bottom w:val="single" w:sz="4" w:space="0" w:color="auto"/>
              <w:right w:val="single" w:sz="4" w:space="0" w:color="auto"/>
            </w:tcBorders>
            <w:shd w:val="clear" w:color="auto" w:fill="auto"/>
            <w:noWrap/>
            <w:vAlign w:val="bottom"/>
            <w:hideMark/>
          </w:tcPr>
          <w:p w14:paraId="215D1AB7" w14:textId="1A761B73" w:rsidR="00B75AF1" w:rsidRPr="00D960DB" w:rsidRDefault="00B75AF1" w:rsidP="00F75FF9">
            <w:pPr>
              <w:jc w:val="center"/>
              <w:rPr>
                <w:rFonts w:eastAsiaTheme="minorEastAsia"/>
                <w:sz w:val="20"/>
                <w:szCs w:val="20"/>
              </w:rPr>
            </w:pPr>
            <w:r w:rsidRPr="00D960DB">
              <w:rPr>
                <w:rFonts w:eastAsiaTheme="minorEastAsia"/>
                <w:sz w:val="20"/>
                <w:szCs w:val="20"/>
              </w:rPr>
              <w:t>1,291</w:t>
            </w:r>
          </w:p>
        </w:tc>
        <w:tc>
          <w:tcPr>
            <w:tcW w:w="1503" w:type="dxa"/>
            <w:tcBorders>
              <w:top w:val="nil"/>
              <w:left w:val="nil"/>
              <w:bottom w:val="single" w:sz="4" w:space="0" w:color="auto"/>
              <w:right w:val="single" w:sz="4" w:space="0" w:color="auto"/>
            </w:tcBorders>
            <w:shd w:val="clear" w:color="auto" w:fill="auto"/>
            <w:noWrap/>
            <w:vAlign w:val="bottom"/>
            <w:hideMark/>
          </w:tcPr>
          <w:p w14:paraId="0BD6AB49" w14:textId="77777777" w:rsidR="00B75AF1" w:rsidRPr="00D960DB" w:rsidRDefault="00B75AF1" w:rsidP="00C0151F">
            <w:pPr>
              <w:jc w:val="center"/>
              <w:rPr>
                <w:rFonts w:eastAsiaTheme="minorEastAsia"/>
                <w:sz w:val="20"/>
                <w:szCs w:val="20"/>
              </w:rPr>
            </w:pPr>
            <w:r w:rsidRPr="00D960DB">
              <w:rPr>
                <w:rFonts w:eastAsiaTheme="minorEastAsia"/>
                <w:sz w:val="20"/>
                <w:szCs w:val="20"/>
              </w:rPr>
              <w:t>0.83%</w:t>
            </w:r>
          </w:p>
        </w:tc>
        <w:tc>
          <w:tcPr>
            <w:tcW w:w="925" w:type="dxa"/>
            <w:tcBorders>
              <w:top w:val="nil"/>
              <w:left w:val="nil"/>
              <w:bottom w:val="single" w:sz="4" w:space="0" w:color="auto"/>
              <w:right w:val="single" w:sz="4" w:space="0" w:color="auto"/>
            </w:tcBorders>
            <w:shd w:val="clear" w:color="auto" w:fill="auto"/>
            <w:noWrap/>
            <w:vAlign w:val="bottom"/>
            <w:hideMark/>
          </w:tcPr>
          <w:p w14:paraId="4575C9F7" w14:textId="77777777" w:rsidR="00B75AF1" w:rsidRPr="00D960DB" w:rsidRDefault="00B75AF1" w:rsidP="00F75FF9">
            <w:pPr>
              <w:jc w:val="center"/>
              <w:rPr>
                <w:rFonts w:eastAsiaTheme="minorEastAsia"/>
                <w:sz w:val="20"/>
                <w:szCs w:val="20"/>
              </w:rPr>
            </w:pPr>
            <w:r w:rsidRPr="00D960DB">
              <w:rPr>
                <w:rFonts w:eastAsiaTheme="minorEastAsia"/>
                <w:sz w:val="20"/>
                <w:szCs w:val="20"/>
              </w:rPr>
              <w:t>0.88%</w:t>
            </w:r>
          </w:p>
        </w:tc>
      </w:tr>
      <w:tr w:rsidR="00B75AF1" w:rsidRPr="00B75AF1" w14:paraId="7EF7AF2B"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71661EB" w14:textId="77777777" w:rsidR="00B75AF1" w:rsidRPr="00D960DB" w:rsidRDefault="00B75AF1" w:rsidP="00B75AF1">
            <w:pPr>
              <w:rPr>
                <w:rFonts w:eastAsiaTheme="minorEastAsia"/>
                <w:sz w:val="20"/>
                <w:szCs w:val="20"/>
              </w:rPr>
            </w:pPr>
            <w:r w:rsidRPr="00D960DB">
              <w:rPr>
                <w:rFonts w:eastAsiaTheme="minorEastAsia"/>
                <w:sz w:val="20"/>
                <w:szCs w:val="20"/>
              </w:rPr>
              <w:t>Burke County</w:t>
            </w:r>
          </w:p>
        </w:tc>
        <w:tc>
          <w:tcPr>
            <w:tcW w:w="2536" w:type="dxa"/>
            <w:tcBorders>
              <w:top w:val="nil"/>
              <w:left w:val="nil"/>
              <w:bottom w:val="single" w:sz="4" w:space="0" w:color="auto"/>
              <w:right w:val="single" w:sz="4" w:space="0" w:color="auto"/>
            </w:tcBorders>
            <w:shd w:val="clear" w:color="auto" w:fill="auto"/>
            <w:noWrap/>
            <w:vAlign w:val="bottom"/>
            <w:hideMark/>
          </w:tcPr>
          <w:p w14:paraId="10B76571" w14:textId="7CDF025A" w:rsidR="00B75AF1" w:rsidRPr="00D960DB" w:rsidRDefault="00B75AF1" w:rsidP="00F75FF9">
            <w:pPr>
              <w:jc w:val="center"/>
              <w:rPr>
                <w:rFonts w:eastAsiaTheme="minorEastAsia"/>
                <w:sz w:val="20"/>
                <w:szCs w:val="20"/>
              </w:rPr>
            </w:pPr>
            <w:r w:rsidRPr="00D960DB">
              <w:rPr>
                <w:rFonts w:eastAsiaTheme="minorEastAsia"/>
                <w:sz w:val="20"/>
                <w:szCs w:val="20"/>
              </w:rPr>
              <w:t>31</w:t>
            </w:r>
          </w:p>
        </w:tc>
        <w:tc>
          <w:tcPr>
            <w:tcW w:w="1890" w:type="dxa"/>
            <w:tcBorders>
              <w:top w:val="nil"/>
              <w:left w:val="nil"/>
              <w:bottom w:val="single" w:sz="4" w:space="0" w:color="auto"/>
              <w:right w:val="single" w:sz="4" w:space="0" w:color="auto"/>
            </w:tcBorders>
            <w:shd w:val="clear" w:color="auto" w:fill="auto"/>
            <w:noWrap/>
            <w:vAlign w:val="bottom"/>
            <w:hideMark/>
          </w:tcPr>
          <w:p w14:paraId="66BB5732" w14:textId="06E65516" w:rsidR="00B75AF1" w:rsidRPr="00D960DB" w:rsidRDefault="00B75AF1" w:rsidP="00F75FF9">
            <w:pPr>
              <w:jc w:val="center"/>
              <w:rPr>
                <w:rFonts w:eastAsiaTheme="minorEastAsia"/>
                <w:sz w:val="20"/>
                <w:szCs w:val="20"/>
              </w:rPr>
            </w:pPr>
            <w:r w:rsidRPr="00D960DB">
              <w:rPr>
                <w:rFonts w:eastAsiaTheme="minorEastAsia"/>
                <w:sz w:val="20"/>
                <w:szCs w:val="20"/>
              </w:rPr>
              <w:t>1,247</w:t>
            </w:r>
          </w:p>
        </w:tc>
        <w:tc>
          <w:tcPr>
            <w:tcW w:w="1503" w:type="dxa"/>
            <w:tcBorders>
              <w:top w:val="nil"/>
              <w:left w:val="nil"/>
              <w:bottom w:val="single" w:sz="4" w:space="0" w:color="auto"/>
              <w:right w:val="single" w:sz="4" w:space="0" w:color="auto"/>
            </w:tcBorders>
            <w:shd w:val="clear" w:color="auto" w:fill="auto"/>
            <w:noWrap/>
            <w:vAlign w:val="bottom"/>
            <w:hideMark/>
          </w:tcPr>
          <w:p w14:paraId="3C0D0D61" w14:textId="77777777" w:rsidR="00B75AF1" w:rsidRPr="00D960DB" w:rsidRDefault="00B75AF1" w:rsidP="00C0151F">
            <w:pPr>
              <w:jc w:val="center"/>
              <w:rPr>
                <w:rFonts w:eastAsiaTheme="minorEastAsia"/>
                <w:sz w:val="20"/>
                <w:szCs w:val="20"/>
              </w:rPr>
            </w:pPr>
            <w:r w:rsidRPr="00D960DB">
              <w:rPr>
                <w:rFonts w:eastAsiaTheme="minorEastAsia"/>
                <w:sz w:val="20"/>
                <w:szCs w:val="20"/>
              </w:rPr>
              <w:t>1.03%</w:t>
            </w:r>
          </w:p>
        </w:tc>
        <w:tc>
          <w:tcPr>
            <w:tcW w:w="925" w:type="dxa"/>
            <w:tcBorders>
              <w:top w:val="nil"/>
              <w:left w:val="nil"/>
              <w:bottom w:val="single" w:sz="4" w:space="0" w:color="auto"/>
              <w:right w:val="single" w:sz="4" w:space="0" w:color="auto"/>
            </w:tcBorders>
            <w:shd w:val="clear" w:color="auto" w:fill="auto"/>
            <w:noWrap/>
            <w:vAlign w:val="bottom"/>
            <w:hideMark/>
          </w:tcPr>
          <w:p w14:paraId="5BC71183" w14:textId="77777777" w:rsidR="00B75AF1" w:rsidRPr="00D960DB" w:rsidRDefault="00B75AF1" w:rsidP="00F75FF9">
            <w:pPr>
              <w:jc w:val="center"/>
              <w:rPr>
                <w:rFonts w:eastAsiaTheme="minorEastAsia"/>
                <w:sz w:val="20"/>
                <w:szCs w:val="20"/>
              </w:rPr>
            </w:pPr>
            <w:r w:rsidRPr="00D960DB">
              <w:rPr>
                <w:rFonts w:eastAsiaTheme="minorEastAsia"/>
                <w:sz w:val="20"/>
                <w:szCs w:val="20"/>
              </w:rPr>
              <w:t>0.85%</w:t>
            </w:r>
          </w:p>
        </w:tc>
      </w:tr>
      <w:tr w:rsidR="00B75AF1" w:rsidRPr="00B75AF1" w14:paraId="2AE302DB"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F0809FD" w14:textId="77777777" w:rsidR="00B75AF1" w:rsidRPr="00D960DB" w:rsidRDefault="00B75AF1" w:rsidP="00B75AF1">
            <w:pPr>
              <w:rPr>
                <w:rFonts w:eastAsiaTheme="minorEastAsia"/>
                <w:sz w:val="20"/>
                <w:szCs w:val="20"/>
              </w:rPr>
            </w:pPr>
            <w:r w:rsidRPr="00D960DB">
              <w:rPr>
                <w:rFonts w:eastAsiaTheme="minorEastAsia"/>
                <w:sz w:val="20"/>
                <w:szCs w:val="20"/>
              </w:rPr>
              <w:t>Caldwell County</w:t>
            </w:r>
          </w:p>
        </w:tc>
        <w:tc>
          <w:tcPr>
            <w:tcW w:w="2536" w:type="dxa"/>
            <w:tcBorders>
              <w:top w:val="nil"/>
              <w:left w:val="nil"/>
              <w:bottom w:val="single" w:sz="4" w:space="0" w:color="auto"/>
              <w:right w:val="single" w:sz="4" w:space="0" w:color="auto"/>
            </w:tcBorders>
            <w:shd w:val="clear" w:color="auto" w:fill="auto"/>
            <w:noWrap/>
            <w:vAlign w:val="bottom"/>
            <w:hideMark/>
          </w:tcPr>
          <w:p w14:paraId="72743B66" w14:textId="0FD186FE" w:rsidR="00B75AF1" w:rsidRPr="00D960DB" w:rsidRDefault="00B75AF1" w:rsidP="00F75FF9">
            <w:pPr>
              <w:jc w:val="center"/>
              <w:rPr>
                <w:rFonts w:eastAsiaTheme="minorEastAsia"/>
                <w:sz w:val="20"/>
                <w:szCs w:val="20"/>
              </w:rPr>
            </w:pPr>
            <w:r w:rsidRPr="00D960DB">
              <w:rPr>
                <w:rFonts w:eastAsiaTheme="minorEastAsia"/>
                <w:sz w:val="20"/>
                <w:szCs w:val="20"/>
              </w:rPr>
              <w:t>25</w:t>
            </w:r>
          </w:p>
        </w:tc>
        <w:tc>
          <w:tcPr>
            <w:tcW w:w="1890" w:type="dxa"/>
            <w:tcBorders>
              <w:top w:val="nil"/>
              <w:left w:val="nil"/>
              <w:bottom w:val="single" w:sz="4" w:space="0" w:color="auto"/>
              <w:right w:val="single" w:sz="4" w:space="0" w:color="auto"/>
            </w:tcBorders>
            <w:shd w:val="clear" w:color="auto" w:fill="auto"/>
            <w:noWrap/>
            <w:vAlign w:val="bottom"/>
            <w:hideMark/>
          </w:tcPr>
          <w:p w14:paraId="7017A812" w14:textId="33C3BD5C" w:rsidR="00B75AF1" w:rsidRPr="00D960DB" w:rsidRDefault="00B75AF1" w:rsidP="00F75FF9">
            <w:pPr>
              <w:jc w:val="center"/>
              <w:rPr>
                <w:rFonts w:eastAsiaTheme="minorEastAsia"/>
                <w:sz w:val="20"/>
                <w:szCs w:val="20"/>
              </w:rPr>
            </w:pPr>
            <w:r w:rsidRPr="00D960DB">
              <w:rPr>
                <w:rFonts w:eastAsiaTheme="minorEastAsia"/>
                <w:sz w:val="20"/>
                <w:szCs w:val="20"/>
              </w:rPr>
              <w:t>1,247</w:t>
            </w:r>
          </w:p>
        </w:tc>
        <w:tc>
          <w:tcPr>
            <w:tcW w:w="1503" w:type="dxa"/>
            <w:tcBorders>
              <w:top w:val="nil"/>
              <w:left w:val="nil"/>
              <w:bottom w:val="single" w:sz="4" w:space="0" w:color="auto"/>
              <w:right w:val="single" w:sz="4" w:space="0" w:color="auto"/>
            </w:tcBorders>
            <w:shd w:val="clear" w:color="auto" w:fill="auto"/>
            <w:noWrap/>
            <w:vAlign w:val="bottom"/>
            <w:hideMark/>
          </w:tcPr>
          <w:p w14:paraId="5697A9A8" w14:textId="77777777" w:rsidR="00B75AF1" w:rsidRPr="00D960DB" w:rsidRDefault="00B75AF1" w:rsidP="00C0151F">
            <w:pPr>
              <w:jc w:val="center"/>
              <w:rPr>
                <w:rFonts w:eastAsiaTheme="minorEastAsia"/>
                <w:sz w:val="20"/>
                <w:szCs w:val="20"/>
              </w:rPr>
            </w:pPr>
            <w:r w:rsidRPr="00D960DB">
              <w:rPr>
                <w:rFonts w:eastAsiaTheme="minorEastAsia"/>
                <w:sz w:val="20"/>
                <w:szCs w:val="20"/>
              </w:rPr>
              <w:t>0.83%</w:t>
            </w:r>
          </w:p>
        </w:tc>
        <w:tc>
          <w:tcPr>
            <w:tcW w:w="925" w:type="dxa"/>
            <w:tcBorders>
              <w:top w:val="nil"/>
              <w:left w:val="nil"/>
              <w:bottom w:val="single" w:sz="4" w:space="0" w:color="auto"/>
              <w:right w:val="single" w:sz="4" w:space="0" w:color="auto"/>
            </w:tcBorders>
            <w:shd w:val="clear" w:color="auto" w:fill="auto"/>
            <w:noWrap/>
            <w:vAlign w:val="bottom"/>
            <w:hideMark/>
          </w:tcPr>
          <w:p w14:paraId="13547A42" w14:textId="77777777" w:rsidR="00B75AF1" w:rsidRPr="00D960DB" w:rsidRDefault="00B75AF1" w:rsidP="00F75FF9">
            <w:pPr>
              <w:jc w:val="center"/>
              <w:rPr>
                <w:rFonts w:eastAsiaTheme="minorEastAsia"/>
                <w:sz w:val="20"/>
                <w:szCs w:val="20"/>
              </w:rPr>
            </w:pPr>
            <w:r w:rsidRPr="00D960DB">
              <w:rPr>
                <w:rFonts w:eastAsiaTheme="minorEastAsia"/>
                <w:sz w:val="20"/>
                <w:szCs w:val="20"/>
              </w:rPr>
              <w:t>0.85%</w:t>
            </w:r>
          </w:p>
        </w:tc>
      </w:tr>
      <w:tr w:rsidR="00B75AF1" w:rsidRPr="00B75AF1" w14:paraId="7121C53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1F14CF8" w14:textId="77777777" w:rsidR="00B75AF1" w:rsidRPr="00D960DB" w:rsidRDefault="00B75AF1" w:rsidP="00B75AF1">
            <w:pPr>
              <w:rPr>
                <w:rFonts w:eastAsiaTheme="minorEastAsia"/>
                <w:sz w:val="20"/>
                <w:szCs w:val="20"/>
              </w:rPr>
            </w:pPr>
            <w:r w:rsidRPr="00D960DB">
              <w:rPr>
                <w:rFonts w:eastAsiaTheme="minorEastAsia"/>
                <w:sz w:val="20"/>
                <w:szCs w:val="20"/>
              </w:rPr>
              <w:t>Henderson County</w:t>
            </w:r>
          </w:p>
        </w:tc>
        <w:tc>
          <w:tcPr>
            <w:tcW w:w="2536" w:type="dxa"/>
            <w:tcBorders>
              <w:top w:val="nil"/>
              <w:left w:val="nil"/>
              <w:bottom w:val="single" w:sz="4" w:space="0" w:color="auto"/>
              <w:right w:val="single" w:sz="4" w:space="0" w:color="auto"/>
            </w:tcBorders>
            <w:shd w:val="clear" w:color="auto" w:fill="auto"/>
            <w:noWrap/>
            <w:vAlign w:val="bottom"/>
            <w:hideMark/>
          </w:tcPr>
          <w:p w14:paraId="0122B5E4" w14:textId="1B27C27C" w:rsidR="00B75AF1" w:rsidRPr="00D960DB" w:rsidRDefault="00B75AF1" w:rsidP="00F75FF9">
            <w:pPr>
              <w:jc w:val="center"/>
              <w:rPr>
                <w:rFonts w:eastAsiaTheme="minorEastAsia"/>
                <w:sz w:val="20"/>
                <w:szCs w:val="20"/>
              </w:rPr>
            </w:pPr>
            <w:r w:rsidRPr="00D960DB">
              <w:rPr>
                <w:rFonts w:eastAsiaTheme="minorEastAsia"/>
                <w:sz w:val="20"/>
                <w:szCs w:val="20"/>
              </w:rPr>
              <w:t>21</w:t>
            </w:r>
          </w:p>
        </w:tc>
        <w:tc>
          <w:tcPr>
            <w:tcW w:w="1890" w:type="dxa"/>
            <w:tcBorders>
              <w:top w:val="nil"/>
              <w:left w:val="nil"/>
              <w:bottom w:val="single" w:sz="4" w:space="0" w:color="auto"/>
              <w:right w:val="single" w:sz="4" w:space="0" w:color="auto"/>
            </w:tcBorders>
            <w:shd w:val="clear" w:color="auto" w:fill="auto"/>
            <w:noWrap/>
            <w:vAlign w:val="bottom"/>
            <w:hideMark/>
          </w:tcPr>
          <w:p w14:paraId="2BA89F9B" w14:textId="10E3E6E3" w:rsidR="00B75AF1" w:rsidRPr="00D960DB" w:rsidRDefault="00B75AF1" w:rsidP="00F75FF9">
            <w:pPr>
              <w:jc w:val="center"/>
              <w:rPr>
                <w:rFonts w:eastAsiaTheme="minorEastAsia"/>
                <w:sz w:val="20"/>
                <w:szCs w:val="20"/>
              </w:rPr>
            </w:pPr>
            <w:r w:rsidRPr="00D960DB">
              <w:rPr>
                <w:rFonts w:eastAsiaTheme="minorEastAsia"/>
                <w:sz w:val="20"/>
                <w:szCs w:val="20"/>
              </w:rPr>
              <w:t>1,205</w:t>
            </w:r>
          </w:p>
        </w:tc>
        <w:tc>
          <w:tcPr>
            <w:tcW w:w="1503" w:type="dxa"/>
            <w:tcBorders>
              <w:top w:val="nil"/>
              <w:left w:val="nil"/>
              <w:bottom w:val="single" w:sz="4" w:space="0" w:color="auto"/>
              <w:right w:val="single" w:sz="4" w:space="0" w:color="auto"/>
            </w:tcBorders>
            <w:shd w:val="clear" w:color="auto" w:fill="auto"/>
            <w:noWrap/>
            <w:vAlign w:val="bottom"/>
            <w:hideMark/>
          </w:tcPr>
          <w:p w14:paraId="7EFFC47D" w14:textId="77777777" w:rsidR="00B75AF1" w:rsidRPr="00D960DB" w:rsidRDefault="00B75AF1" w:rsidP="00C0151F">
            <w:pPr>
              <w:jc w:val="center"/>
              <w:rPr>
                <w:rFonts w:eastAsiaTheme="minorEastAsia"/>
                <w:sz w:val="20"/>
                <w:szCs w:val="20"/>
              </w:rPr>
            </w:pPr>
            <w:r w:rsidRPr="00D960DB">
              <w:rPr>
                <w:rFonts w:eastAsiaTheme="minorEastAsia"/>
                <w:sz w:val="20"/>
                <w:szCs w:val="20"/>
              </w:rPr>
              <w:t>0.70%</w:t>
            </w:r>
          </w:p>
        </w:tc>
        <w:tc>
          <w:tcPr>
            <w:tcW w:w="925" w:type="dxa"/>
            <w:tcBorders>
              <w:top w:val="nil"/>
              <w:left w:val="nil"/>
              <w:bottom w:val="single" w:sz="4" w:space="0" w:color="auto"/>
              <w:right w:val="single" w:sz="4" w:space="0" w:color="auto"/>
            </w:tcBorders>
            <w:shd w:val="clear" w:color="auto" w:fill="auto"/>
            <w:noWrap/>
            <w:vAlign w:val="bottom"/>
            <w:hideMark/>
          </w:tcPr>
          <w:p w14:paraId="3521EA2E" w14:textId="77777777" w:rsidR="00B75AF1" w:rsidRPr="00D960DB" w:rsidRDefault="00B75AF1" w:rsidP="00F75FF9">
            <w:pPr>
              <w:jc w:val="center"/>
              <w:rPr>
                <w:rFonts w:eastAsiaTheme="minorEastAsia"/>
                <w:sz w:val="20"/>
                <w:szCs w:val="20"/>
              </w:rPr>
            </w:pPr>
            <w:r w:rsidRPr="00D960DB">
              <w:rPr>
                <w:rFonts w:eastAsiaTheme="minorEastAsia"/>
                <w:sz w:val="20"/>
                <w:szCs w:val="20"/>
              </w:rPr>
              <w:t>0.82%</w:t>
            </w:r>
          </w:p>
        </w:tc>
      </w:tr>
      <w:tr w:rsidR="00B75AF1" w:rsidRPr="00B75AF1" w14:paraId="58D8EF97"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796EAE1" w14:textId="77777777" w:rsidR="00B75AF1" w:rsidRPr="00D960DB" w:rsidRDefault="00B75AF1" w:rsidP="00B75AF1">
            <w:pPr>
              <w:rPr>
                <w:rFonts w:eastAsiaTheme="minorEastAsia"/>
                <w:sz w:val="20"/>
                <w:szCs w:val="20"/>
              </w:rPr>
            </w:pPr>
            <w:r w:rsidRPr="00D960DB">
              <w:rPr>
                <w:rFonts w:eastAsiaTheme="minorEastAsia"/>
                <w:sz w:val="20"/>
                <w:szCs w:val="20"/>
              </w:rPr>
              <w:t>Pasquotank County</w:t>
            </w:r>
          </w:p>
        </w:tc>
        <w:tc>
          <w:tcPr>
            <w:tcW w:w="2536" w:type="dxa"/>
            <w:tcBorders>
              <w:top w:val="nil"/>
              <w:left w:val="nil"/>
              <w:bottom w:val="single" w:sz="4" w:space="0" w:color="auto"/>
              <w:right w:val="single" w:sz="4" w:space="0" w:color="auto"/>
            </w:tcBorders>
            <w:shd w:val="clear" w:color="auto" w:fill="auto"/>
            <w:noWrap/>
            <w:vAlign w:val="bottom"/>
            <w:hideMark/>
          </w:tcPr>
          <w:p w14:paraId="33BD79CE" w14:textId="06CD0744" w:rsidR="00B75AF1" w:rsidRPr="00D960DB" w:rsidRDefault="00B75AF1" w:rsidP="00F75FF9">
            <w:pPr>
              <w:jc w:val="center"/>
              <w:rPr>
                <w:rFonts w:eastAsiaTheme="minorEastAsia"/>
                <w:sz w:val="20"/>
                <w:szCs w:val="20"/>
              </w:rPr>
            </w:pPr>
            <w:r w:rsidRPr="00D960DB">
              <w:rPr>
                <w:rFonts w:eastAsiaTheme="minorEastAsia"/>
                <w:sz w:val="20"/>
                <w:szCs w:val="20"/>
              </w:rPr>
              <w:t>17</w:t>
            </w:r>
          </w:p>
        </w:tc>
        <w:tc>
          <w:tcPr>
            <w:tcW w:w="1890" w:type="dxa"/>
            <w:tcBorders>
              <w:top w:val="nil"/>
              <w:left w:val="nil"/>
              <w:bottom w:val="single" w:sz="4" w:space="0" w:color="auto"/>
              <w:right w:val="single" w:sz="4" w:space="0" w:color="auto"/>
            </w:tcBorders>
            <w:shd w:val="clear" w:color="auto" w:fill="auto"/>
            <w:noWrap/>
            <w:vAlign w:val="bottom"/>
            <w:hideMark/>
          </w:tcPr>
          <w:p w14:paraId="06F692EE" w14:textId="0A0AE977" w:rsidR="00B75AF1" w:rsidRPr="00D960DB" w:rsidRDefault="00B75AF1" w:rsidP="00F75FF9">
            <w:pPr>
              <w:jc w:val="center"/>
              <w:rPr>
                <w:rFonts w:eastAsiaTheme="minorEastAsia"/>
                <w:sz w:val="20"/>
                <w:szCs w:val="20"/>
              </w:rPr>
            </w:pPr>
            <w:r w:rsidRPr="00D960DB">
              <w:rPr>
                <w:rFonts w:eastAsiaTheme="minorEastAsia"/>
                <w:sz w:val="20"/>
                <w:szCs w:val="20"/>
              </w:rPr>
              <w:t>1,188</w:t>
            </w:r>
          </w:p>
        </w:tc>
        <w:tc>
          <w:tcPr>
            <w:tcW w:w="1503" w:type="dxa"/>
            <w:tcBorders>
              <w:top w:val="nil"/>
              <w:left w:val="nil"/>
              <w:bottom w:val="single" w:sz="4" w:space="0" w:color="auto"/>
              <w:right w:val="single" w:sz="4" w:space="0" w:color="auto"/>
            </w:tcBorders>
            <w:shd w:val="clear" w:color="auto" w:fill="auto"/>
            <w:noWrap/>
            <w:vAlign w:val="bottom"/>
            <w:hideMark/>
          </w:tcPr>
          <w:p w14:paraId="3C6F65B0" w14:textId="77777777" w:rsidR="00B75AF1" w:rsidRPr="00D960DB" w:rsidRDefault="00B75AF1" w:rsidP="00C0151F">
            <w:pPr>
              <w:jc w:val="center"/>
              <w:rPr>
                <w:rFonts w:eastAsiaTheme="minorEastAsia"/>
                <w:sz w:val="20"/>
                <w:szCs w:val="20"/>
              </w:rPr>
            </w:pPr>
            <w:r w:rsidRPr="00D960DB">
              <w:rPr>
                <w:rFonts w:eastAsiaTheme="minorEastAsia"/>
                <w:sz w:val="20"/>
                <w:szCs w:val="20"/>
              </w:rPr>
              <w:t>0.56%</w:t>
            </w:r>
          </w:p>
        </w:tc>
        <w:tc>
          <w:tcPr>
            <w:tcW w:w="925" w:type="dxa"/>
            <w:tcBorders>
              <w:top w:val="nil"/>
              <w:left w:val="nil"/>
              <w:bottom w:val="single" w:sz="4" w:space="0" w:color="auto"/>
              <w:right w:val="single" w:sz="4" w:space="0" w:color="auto"/>
            </w:tcBorders>
            <w:shd w:val="clear" w:color="auto" w:fill="auto"/>
            <w:noWrap/>
            <w:vAlign w:val="bottom"/>
            <w:hideMark/>
          </w:tcPr>
          <w:p w14:paraId="189CF7BE" w14:textId="77777777" w:rsidR="00B75AF1" w:rsidRPr="00D960DB" w:rsidRDefault="00B75AF1" w:rsidP="00F75FF9">
            <w:pPr>
              <w:jc w:val="center"/>
              <w:rPr>
                <w:rFonts w:eastAsiaTheme="minorEastAsia"/>
                <w:sz w:val="20"/>
                <w:szCs w:val="20"/>
              </w:rPr>
            </w:pPr>
            <w:r w:rsidRPr="00D960DB">
              <w:rPr>
                <w:rFonts w:eastAsiaTheme="minorEastAsia"/>
                <w:sz w:val="20"/>
                <w:szCs w:val="20"/>
              </w:rPr>
              <w:t>0.81%</w:t>
            </w:r>
          </w:p>
        </w:tc>
      </w:tr>
      <w:tr w:rsidR="00B75AF1" w:rsidRPr="00B75AF1" w14:paraId="475AB46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56C5D35" w14:textId="77777777" w:rsidR="00B75AF1" w:rsidRPr="00D960DB" w:rsidRDefault="00B75AF1" w:rsidP="00B75AF1">
            <w:pPr>
              <w:rPr>
                <w:rFonts w:eastAsiaTheme="minorEastAsia"/>
                <w:sz w:val="20"/>
                <w:szCs w:val="20"/>
              </w:rPr>
            </w:pPr>
            <w:r w:rsidRPr="00D960DB">
              <w:rPr>
                <w:rFonts w:eastAsiaTheme="minorEastAsia"/>
                <w:sz w:val="20"/>
                <w:szCs w:val="20"/>
              </w:rPr>
              <w:t>Beaufort County</w:t>
            </w:r>
          </w:p>
        </w:tc>
        <w:tc>
          <w:tcPr>
            <w:tcW w:w="2536" w:type="dxa"/>
            <w:tcBorders>
              <w:top w:val="nil"/>
              <w:left w:val="nil"/>
              <w:bottom w:val="single" w:sz="4" w:space="0" w:color="auto"/>
              <w:right w:val="single" w:sz="4" w:space="0" w:color="auto"/>
            </w:tcBorders>
            <w:shd w:val="clear" w:color="auto" w:fill="auto"/>
            <w:noWrap/>
            <w:vAlign w:val="bottom"/>
            <w:hideMark/>
          </w:tcPr>
          <w:p w14:paraId="79407C90" w14:textId="473C7F8E" w:rsidR="00B75AF1" w:rsidRPr="00D960DB" w:rsidRDefault="00B75AF1" w:rsidP="00F75FF9">
            <w:pPr>
              <w:jc w:val="center"/>
              <w:rPr>
                <w:rFonts w:eastAsiaTheme="minorEastAsia"/>
                <w:sz w:val="20"/>
                <w:szCs w:val="20"/>
              </w:rPr>
            </w:pPr>
            <w:r w:rsidRPr="00D960DB">
              <w:rPr>
                <w:rFonts w:eastAsiaTheme="minorEastAsia"/>
                <w:sz w:val="20"/>
                <w:szCs w:val="20"/>
              </w:rPr>
              <w:t>30</w:t>
            </w:r>
          </w:p>
        </w:tc>
        <w:tc>
          <w:tcPr>
            <w:tcW w:w="1890" w:type="dxa"/>
            <w:tcBorders>
              <w:top w:val="nil"/>
              <w:left w:val="nil"/>
              <w:bottom w:val="single" w:sz="4" w:space="0" w:color="auto"/>
              <w:right w:val="single" w:sz="4" w:space="0" w:color="auto"/>
            </w:tcBorders>
            <w:shd w:val="clear" w:color="auto" w:fill="auto"/>
            <w:noWrap/>
            <w:vAlign w:val="bottom"/>
            <w:hideMark/>
          </w:tcPr>
          <w:p w14:paraId="39F79700" w14:textId="457E04FE" w:rsidR="00B75AF1" w:rsidRPr="00D960DB" w:rsidRDefault="00B75AF1" w:rsidP="00F75FF9">
            <w:pPr>
              <w:jc w:val="center"/>
              <w:rPr>
                <w:rFonts w:eastAsiaTheme="minorEastAsia"/>
                <w:sz w:val="20"/>
                <w:szCs w:val="20"/>
              </w:rPr>
            </w:pPr>
            <w:r w:rsidRPr="00D960DB">
              <w:rPr>
                <w:rFonts w:eastAsiaTheme="minorEastAsia"/>
                <w:sz w:val="20"/>
                <w:szCs w:val="20"/>
              </w:rPr>
              <w:t>1,185</w:t>
            </w:r>
          </w:p>
        </w:tc>
        <w:tc>
          <w:tcPr>
            <w:tcW w:w="1503" w:type="dxa"/>
            <w:tcBorders>
              <w:top w:val="nil"/>
              <w:left w:val="nil"/>
              <w:bottom w:val="single" w:sz="4" w:space="0" w:color="auto"/>
              <w:right w:val="single" w:sz="4" w:space="0" w:color="auto"/>
            </w:tcBorders>
            <w:shd w:val="clear" w:color="auto" w:fill="auto"/>
            <w:noWrap/>
            <w:vAlign w:val="bottom"/>
            <w:hideMark/>
          </w:tcPr>
          <w:p w14:paraId="6A68AA0C" w14:textId="77777777" w:rsidR="00B75AF1" w:rsidRPr="00D960DB" w:rsidRDefault="00B75AF1" w:rsidP="00C0151F">
            <w:pPr>
              <w:jc w:val="center"/>
              <w:rPr>
                <w:rFonts w:eastAsiaTheme="minorEastAsia"/>
                <w:sz w:val="20"/>
                <w:szCs w:val="20"/>
              </w:rPr>
            </w:pPr>
            <w:r w:rsidRPr="00D960DB">
              <w:rPr>
                <w:rFonts w:eastAsiaTheme="minorEastAsia"/>
                <w:sz w:val="20"/>
                <w:szCs w:val="20"/>
              </w:rPr>
              <w:t>0.99%</w:t>
            </w:r>
          </w:p>
        </w:tc>
        <w:tc>
          <w:tcPr>
            <w:tcW w:w="925" w:type="dxa"/>
            <w:tcBorders>
              <w:top w:val="nil"/>
              <w:left w:val="nil"/>
              <w:bottom w:val="single" w:sz="4" w:space="0" w:color="auto"/>
              <w:right w:val="single" w:sz="4" w:space="0" w:color="auto"/>
            </w:tcBorders>
            <w:shd w:val="clear" w:color="auto" w:fill="auto"/>
            <w:noWrap/>
            <w:vAlign w:val="bottom"/>
            <w:hideMark/>
          </w:tcPr>
          <w:p w14:paraId="4C508066" w14:textId="77777777" w:rsidR="00B75AF1" w:rsidRPr="00D960DB" w:rsidRDefault="00B75AF1" w:rsidP="00F75FF9">
            <w:pPr>
              <w:jc w:val="center"/>
              <w:rPr>
                <w:rFonts w:eastAsiaTheme="minorEastAsia"/>
                <w:sz w:val="20"/>
                <w:szCs w:val="20"/>
              </w:rPr>
            </w:pPr>
            <w:r w:rsidRPr="00D960DB">
              <w:rPr>
                <w:rFonts w:eastAsiaTheme="minorEastAsia"/>
                <w:sz w:val="20"/>
                <w:szCs w:val="20"/>
              </w:rPr>
              <w:t>0.81%</w:t>
            </w:r>
          </w:p>
        </w:tc>
      </w:tr>
      <w:tr w:rsidR="00B75AF1" w:rsidRPr="00B75AF1" w14:paraId="6943F4F4"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DC89E99" w14:textId="77777777" w:rsidR="00B75AF1" w:rsidRPr="00D960DB" w:rsidRDefault="00B75AF1" w:rsidP="00B75AF1">
            <w:pPr>
              <w:rPr>
                <w:rFonts w:eastAsiaTheme="minorEastAsia"/>
                <w:sz w:val="20"/>
                <w:szCs w:val="20"/>
              </w:rPr>
            </w:pPr>
            <w:r w:rsidRPr="00D960DB">
              <w:rPr>
                <w:rFonts w:eastAsiaTheme="minorEastAsia"/>
                <w:sz w:val="20"/>
                <w:szCs w:val="20"/>
              </w:rPr>
              <w:t>Vance County</w:t>
            </w:r>
          </w:p>
        </w:tc>
        <w:tc>
          <w:tcPr>
            <w:tcW w:w="2536" w:type="dxa"/>
            <w:tcBorders>
              <w:top w:val="nil"/>
              <w:left w:val="nil"/>
              <w:bottom w:val="single" w:sz="4" w:space="0" w:color="auto"/>
              <w:right w:val="single" w:sz="4" w:space="0" w:color="auto"/>
            </w:tcBorders>
            <w:shd w:val="clear" w:color="auto" w:fill="auto"/>
            <w:noWrap/>
            <w:vAlign w:val="bottom"/>
            <w:hideMark/>
          </w:tcPr>
          <w:p w14:paraId="14794E18" w14:textId="5FA93DE9" w:rsidR="00B75AF1" w:rsidRPr="00D960DB" w:rsidRDefault="00B75AF1" w:rsidP="00F75FF9">
            <w:pPr>
              <w:jc w:val="center"/>
              <w:rPr>
                <w:rFonts w:eastAsiaTheme="minorEastAsia"/>
                <w:sz w:val="20"/>
                <w:szCs w:val="20"/>
              </w:rPr>
            </w:pPr>
            <w:r w:rsidRPr="00D960DB">
              <w:rPr>
                <w:rFonts w:eastAsiaTheme="minorEastAsia"/>
                <w:sz w:val="20"/>
                <w:szCs w:val="20"/>
              </w:rPr>
              <w:t>42</w:t>
            </w:r>
          </w:p>
        </w:tc>
        <w:tc>
          <w:tcPr>
            <w:tcW w:w="1890" w:type="dxa"/>
            <w:tcBorders>
              <w:top w:val="nil"/>
              <w:left w:val="nil"/>
              <w:bottom w:val="single" w:sz="4" w:space="0" w:color="auto"/>
              <w:right w:val="single" w:sz="4" w:space="0" w:color="auto"/>
            </w:tcBorders>
            <w:shd w:val="clear" w:color="auto" w:fill="auto"/>
            <w:noWrap/>
            <w:vAlign w:val="bottom"/>
            <w:hideMark/>
          </w:tcPr>
          <w:p w14:paraId="0CB5A199" w14:textId="22EEB0A7" w:rsidR="00B75AF1" w:rsidRPr="00D960DB" w:rsidRDefault="00B75AF1" w:rsidP="00F75FF9">
            <w:pPr>
              <w:jc w:val="center"/>
              <w:rPr>
                <w:rFonts w:eastAsiaTheme="minorEastAsia"/>
                <w:sz w:val="20"/>
                <w:szCs w:val="20"/>
              </w:rPr>
            </w:pPr>
            <w:r w:rsidRPr="00D960DB">
              <w:rPr>
                <w:rFonts w:eastAsiaTheme="minorEastAsia"/>
                <w:sz w:val="20"/>
                <w:szCs w:val="20"/>
              </w:rPr>
              <w:t>1,092</w:t>
            </w:r>
          </w:p>
        </w:tc>
        <w:tc>
          <w:tcPr>
            <w:tcW w:w="1503" w:type="dxa"/>
            <w:tcBorders>
              <w:top w:val="nil"/>
              <w:left w:val="nil"/>
              <w:bottom w:val="single" w:sz="4" w:space="0" w:color="auto"/>
              <w:right w:val="single" w:sz="4" w:space="0" w:color="auto"/>
            </w:tcBorders>
            <w:shd w:val="clear" w:color="auto" w:fill="auto"/>
            <w:noWrap/>
            <w:vAlign w:val="bottom"/>
            <w:hideMark/>
          </w:tcPr>
          <w:p w14:paraId="2F052ADF" w14:textId="77777777" w:rsidR="00B75AF1" w:rsidRPr="00D960DB" w:rsidRDefault="00B75AF1" w:rsidP="00C0151F">
            <w:pPr>
              <w:jc w:val="center"/>
              <w:rPr>
                <w:rFonts w:eastAsiaTheme="minorEastAsia"/>
                <w:sz w:val="20"/>
                <w:szCs w:val="20"/>
              </w:rPr>
            </w:pPr>
            <w:r w:rsidRPr="00D960DB">
              <w:rPr>
                <w:rFonts w:eastAsiaTheme="minorEastAsia"/>
                <w:sz w:val="20"/>
                <w:szCs w:val="20"/>
              </w:rPr>
              <w:t>1.39%</w:t>
            </w:r>
          </w:p>
        </w:tc>
        <w:tc>
          <w:tcPr>
            <w:tcW w:w="925" w:type="dxa"/>
            <w:tcBorders>
              <w:top w:val="nil"/>
              <w:left w:val="nil"/>
              <w:bottom w:val="single" w:sz="4" w:space="0" w:color="auto"/>
              <w:right w:val="single" w:sz="4" w:space="0" w:color="auto"/>
            </w:tcBorders>
            <w:shd w:val="clear" w:color="auto" w:fill="auto"/>
            <w:noWrap/>
            <w:vAlign w:val="bottom"/>
            <w:hideMark/>
          </w:tcPr>
          <w:p w14:paraId="744A8101" w14:textId="77777777" w:rsidR="00B75AF1" w:rsidRPr="00D960DB" w:rsidRDefault="00B75AF1" w:rsidP="00F75FF9">
            <w:pPr>
              <w:jc w:val="center"/>
              <w:rPr>
                <w:rFonts w:eastAsiaTheme="minorEastAsia"/>
                <w:sz w:val="20"/>
                <w:szCs w:val="20"/>
              </w:rPr>
            </w:pPr>
            <w:r w:rsidRPr="00D960DB">
              <w:rPr>
                <w:rFonts w:eastAsiaTheme="minorEastAsia"/>
                <w:sz w:val="20"/>
                <w:szCs w:val="20"/>
              </w:rPr>
              <w:t>0.74%</w:t>
            </w:r>
          </w:p>
        </w:tc>
      </w:tr>
      <w:tr w:rsidR="00B75AF1" w:rsidRPr="00B75AF1" w14:paraId="627C73B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F191C90" w14:textId="77777777" w:rsidR="00B75AF1" w:rsidRPr="00D960DB" w:rsidRDefault="00B75AF1" w:rsidP="00B75AF1">
            <w:pPr>
              <w:rPr>
                <w:rFonts w:eastAsiaTheme="minorEastAsia"/>
                <w:sz w:val="20"/>
                <w:szCs w:val="20"/>
              </w:rPr>
            </w:pPr>
            <w:r w:rsidRPr="00D960DB">
              <w:rPr>
                <w:rFonts w:eastAsiaTheme="minorEastAsia"/>
                <w:sz w:val="20"/>
                <w:szCs w:val="20"/>
              </w:rPr>
              <w:t>Stanly County</w:t>
            </w:r>
          </w:p>
        </w:tc>
        <w:tc>
          <w:tcPr>
            <w:tcW w:w="2536" w:type="dxa"/>
            <w:tcBorders>
              <w:top w:val="nil"/>
              <w:left w:val="nil"/>
              <w:bottom w:val="single" w:sz="4" w:space="0" w:color="auto"/>
              <w:right w:val="single" w:sz="4" w:space="0" w:color="auto"/>
            </w:tcBorders>
            <w:shd w:val="clear" w:color="auto" w:fill="auto"/>
            <w:noWrap/>
            <w:vAlign w:val="bottom"/>
            <w:hideMark/>
          </w:tcPr>
          <w:p w14:paraId="3169BE0B" w14:textId="25E863C9" w:rsidR="00B75AF1" w:rsidRPr="00D960DB" w:rsidRDefault="00B75AF1" w:rsidP="00F75FF9">
            <w:pPr>
              <w:jc w:val="center"/>
              <w:rPr>
                <w:rFonts w:eastAsiaTheme="minorEastAsia"/>
                <w:sz w:val="20"/>
                <w:szCs w:val="20"/>
              </w:rPr>
            </w:pPr>
            <w:r w:rsidRPr="00D960DB">
              <w:rPr>
                <w:rFonts w:eastAsiaTheme="minorEastAsia"/>
                <w:sz w:val="20"/>
                <w:szCs w:val="20"/>
              </w:rPr>
              <w:t>26</w:t>
            </w:r>
          </w:p>
        </w:tc>
        <w:tc>
          <w:tcPr>
            <w:tcW w:w="1890" w:type="dxa"/>
            <w:tcBorders>
              <w:top w:val="nil"/>
              <w:left w:val="nil"/>
              <w:bottom w:val="single" w:sz="4" w:space="0" w:color="auto"/>
              <w:right w:val="single" w:sz="4" w:space="0" w:color="auto"/>
            </w:tcBorders>
            <w:shd w:val="clear" w:color="auto" w:fill="auto"/>
            <w:noWrap/>
            <w:vAlign w:val="bottom"/>
            <w:hideMark/>
          </w:tcPr>
          <w:p w14:paraId="40AC7E0B" w14:textId="0B332BA5" w:rsidR="00B75AF1" w:rsidRPr="00D960DB" w:rsidRDefault="00B75AF1" w:rsidP="00F75FF9">
            <w:pPr>
              <w:jc w:val="center"/>
              <w:rPr>
                <w:rFonts w:eastAsiaTheme="minorEastAsia"/>
                <w:sz w:val="20"/>
                <w:szCs w:val="20"/>
              </w:rPr>
            </w:pPr>
            <w:r w:rsidRPr="00D960DB">
              <w:rPr>
                <w:rFonts w:eastAsiaTheme="minorEastAsia"/>
                <w:sz w:val="20"/>
                <w:szCs w:val="20"/>
              </w:rPr>
              <w:t>1,083</w:t>
            </w:r>
          </w:p>
        </w:tc>
        <w:tc>
          <w:tcPr>
            <w:tcW w:w="1503" w:type="dxa"/>
            <w:tcBorders>
              <w:top w:val="nil"/>
              <w:left w:val="nil"/>
              <w:bottom w:val="single" w:sz="4" w:space="0" w:color="auto"/>
              <w:right w:val="single" w:sz="4" w:space="0" w:color="auto"/>
            </w:tcBorders>
            <w:shd w:val="clear" w:color="auto" w:fill="auto"/>
            <w:noWrap/>
            <w:vAlign w:val="bottom"/>
            <w:hideMark/>
          </w:tcPr>
          <w:p w14:paraId="346C41DD" w14:textId="77777777" w:rsidR="00B75AF1" w:rsidRPr="00D960DB" w:rsidRDefault="00B75AF1" w:rsidP="00C0151F">
            <w:pPr>
              <w:jc w:val="center"/>
              <w:rPr>
                <w:rFonts w:eastAsiaTheme="minorEastAsia"/>
                <w:sz w:val="20"/>
                <w:szCs w:val="20"/>
              </w:rPr>
            </w:pPr>
            <w:r w:rsidRPr="00D960DB">
              <w:rPr>
                <w:rFonts w:eastAsiaTheme="minorEastAsia"/>
                <w:sz w:val="20"/>
                <w:szCs w:val="20"/>
              </w:rPr>
              <w:t>0.86%</w:t>
            </w:r>
          </w:p>
        </w:tc>
        <w:tc>
          <w:tcPr>
            <w:tcW w:w="925" w:type="dxa"/>
            <w:tcBorders>
              <w:top w:val="nil"/>
              <w:left w:val="nil"/>
              <w:bottom w:val="single" w:sz="4" w:space="0" w:color="auto"/>
              <w:right w:val="single" w:sz="4" w:space="0" w:color="auto"/>
            </w:tcBorders>
            <w:shd w:val="clear" w:color="auto" w:fill="auto"/>
            <w:noWrap/>
            <w:vAlign w:val="bottom"/>
            <w:hideMark/>
          </w:tcPr>
          <w:p w14:paraId="38279B45" w14:textId="77777777" w:rsidR="00B75AF1" w:rsidRPr="00D960DB" w:rsidRDefault="00B75AF1" w:rsidP="00F75FF9">
            <w:pPr>
              <w:jc w:val="center"/>
              <w:rPr>
                <w:rFonts w:eastAsiaTheme="minorEastAsia"/>
                <w:sz w:val="20"/>
                <w:szCs w:val="20"/>
              </w:rPr>
            </w:pPr>
            <w:r w:rsidRPr="00D960DB">
              <w:rPr>
                <w:rFonts w:eastAsiaTheme="minorEastAsia"/>
                <w:sz w:val="20"/>
                <w:szCs w:val="20"/>
              </w:rPr>
              <w:t>0.74%</w:t>
            </w:r>
          </w:p>
        </w:tc>
      </w:tr>
      <w:tr w:rsidR="00B75AF1" w:rsidRPr="00B75AF1" w14:paraId="6739ACB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B6F2E08" w14:textId="77777777" w:rsidR="00B75AF1" w:rsidRPr="00D960DB" w:rsidRDefault="00B75AF1" w:rsidP="00B75AF1">
            <w:pPr>
              <w:rPr>
                <w:rFonts w:eastAsiaTheme="minorEastAsia"/>
                <w:sz w:val="20"/>
                <w:szCs w:val="20"/>
              </w:rPr>
            </w:pPr>
            <w:r w:rsidRPr="00D960DB">
              <w:rPr>
                <w:rFonts w:eastAsiaTheme="minorEastAsia"/>
                <w:sz w:val="20"/>
                <w:szCs w:val="20"/>
              </w:rPr>
              <w:t>Moore County</w:t>
            </w:r>
          </w:p>
        </w:tc>
        <w:tc>
          <w:tcPr>
            <w:tcW w:w="2536" w:type="dxa"/>
            <w:tcBorders>
              <w:top w:val="nil"/>
              <w:left w:val="nil"/>
              <w:bottom w:val="single" w:sz="4" w:space="0" w:color="auto"/>
              <w:right w:val="single" w:sz="4" w:space="0" w:color="auto"/>
            </w:tcBorders>
            <w:shd w:val="clear" w:color="auto" w:fill="auto"/>
            <w:noWrap/>
            <w:vAlign w:val="bottom"/>
            <w:hideMark/>
          </w:tcPr>
          <w:p w14:paraId="5345D5DA" w14:textId="0AF02A91" w:rsidR="00B75AF1" w:rsidRPr="00D960DB" w:rsidRDefault="00B75AF1" w:rsidP="00F75FF9">
            <w:pPr>
              <w:jc w:val="center"/>
              <w:rPr>
                <w:rFonts w:eastAsiaTheme="minorEastAsia"/>
                <w:sz w:val="20"/>
                <w:szCs w:val="20"/>
              </w:rPr>
            </w:pPr>
            <w:r w:rsidRPr="00D960DB">
              <w:rPr>
                <w:rFonts w:eastAsiaTheme="minorEastAsia"/>
                <w:sz w:val="20"/>
                <w:szCs w:val="20"/>
              </w:rPr>
              <w:t>31</w:t>
            </w:r>
          </w:p>
        </w:tc>
        <w:tc>
          <w:tcPr>
            <w:tcW w:w="1890" w:type="dxa"/>
            <w:tcBorders>
              <w:top w:val="nil"/>
              <w:left w:val="nil"/>
              <w:bottom w:val="single" w:sz="4" w:space="0" w:color="auto"/>
              <w:right w:val="single" w:sz="4" w:space="0" w:color="auto"/>
            </w:tcBorders>
            <w:shd w:val="clear" w:color="auto" w:fill="auto"/>
            <w:noWrap/>
            <w:vAlign w:val="bottom"/>
            <w:hideMark/>
          </w:tcPr>
          <w:p w14:paraId="3929EA15" w14:textId="2E282706" w:rsidR="00B75AF1" w:rsidRPr="00D960DB" w:rsidRDefault="00B75AF1" w:rsidP="00F75FF9">
            <w:pPr>
              <w:jc w:val="center"/>
              <w:rPr>
                <w:rFonts w:eastAsiaTheme="minorEastAsia"/>
                <w:sz w:val="20"/>
                <w:szCs w:val="20"/>
              </w:rPr>
            </w:pPr>
            <w:r w:rsidRPr="00D960DB">
              <w:rPr>
                <w:rFonts w:eastAsiaTheme="minorEastAsia"/>
                <w:sz w:val="20"/>
                <w:szCs w:val="20"/>
              </w:rPr>
              <w:t>1,070</w:t>
            </w:r>
          </w:p>
        </w:tc>
        <w:tc>
          <w:tcPr>
            <w:tcW w:w="1503" w:type="dxa"/>
            <w:tcBorders>
              <w:top w:val="nil"/>
              <w:left w:val="nil"/>
              <w:bottom w:val="single" w:sz="4" w:space="0" w:color="auto"/>
              <w:right w:val="single" w:sz="4" w:space="0" w:color="auto"/>
            </w:tcBorders>
            <w:shd w:val="clear" w:color="auto" w:fill="auto"/>
            <w:noWrap/>
            <w:vAlign w:val="bottom"/>
            <w:hideMark/>
          </w:tcPr>
          <w:p w14:paraId="1805F1F6" w14:textId="77777777" w:rsidR="00B75AF1" w:rsidRPr="00D960DB" w:rsidRDefault="00B75AF1" w:rsidP="00C0151F">
            <w:pPr>
              <w:jc w:val="center"/>
              <w:rPr>
                <w:rFonts w:eastAsiaTheme="minorEastAsia"/>
                <w:sz w:val="20"/>
                <w:szCs w:val="20"/>
              </w:rPr>
            </w:pPr>
            <w:r w:rsidRPr="00D960DB">
              <w:rPr>
                <w:rFonts w:eastAsiaTheme="minorEastAsia"/>
                <w:sz w:val="20"/>
                <w:szCs w:val="20"/>
              </w:rPr>
              <w:t>1.03%</w:t>
            </w:r>
          </w:p>
        </w:tc>
        <w:tc>
          <w:tcPr>
            <w:tcW w:w="925" w:type="dxa"/>
            <w:tcBorders>
              <w:top w:val="nil"/>
              <w:left w:val="nil"/>
              <w:bottom w:val="single" w:sz="4" w:space="0" w:color="auto"/>
              <w:right w:val="single" w:sz="4" w:space="0" w:color="auto"/>
            </w:tcBorders>
            <w:shd w:val="clear" w:color="auto" w:fill="auto"/>
            <w:noWrap/>
            <w:vAlign w:val="bottom"/>
            <w:hideMark/>
          </w:tcPr>
          <w:p w14:paraId="37202509" w14:textId="77777777" w:rsidR="00B75AF1" w:rsidRPr="00D960DB" w:rsidRDefault="00B75AF1" w:rsidP="00F75FF9">
            <w:pPr>
              <w:jc w:val="center"/>
              <w:rPr>
                <w:rFonts w:eastAsiaTheme="minorEastAsia"/>
                <w:sz w:val="20"/>
                <w:szCs w:val="20"/>
              </w:rPr>
            </w:pPr>
            <w:r w:rsidRPr="00D960DB">
              <w:rPr>
                <w:rFonts w:eastAsiaTheme="minorEastAsia"/>
                <w:sz w:val="20"/>
                <w:szCs w:val="20"/>
              </w:rPr>
              <w:t>0.73%</w:t>
            </w:r>
          </w:p>
        </w:tc>
      </w:tr>
      <w:tr w:rsidR="00B75AF1" w:rsidRPr="00B75AF1" w14:paraId="60F26A8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AA428F9" w14:textId="77777777" w:rsidR="00B75AF1" w:rsidRPr="00D960DB" w:rsidRDefault="00B75AF1" w:rsidP="00B75AF1">
            <w:pPr>
              <w:rPr>
                <w:rFonts w:eastAsiaTheme="minorEastAsia"/>
                <w:sz w:val="20"/>
                <w:szCs w:val="20"/>
              </w:rPr>
            </w:pPr>
            <w:r w:rsidRPr="00D960DB">
              <w:rPr>
                <w:rFonts w:eastAsiaTheme="minorEastAsia"/>
                <w:sz w:val="20"/>
                <w:szCs w:val="20"/>
              </w:rPr>
              <w:t>Granville County</w:t>
            </w:r>
          </w:p>
        </w:tc>
        <w:tc>
          <w:tcPr>
            <w:tcW w:w="2536" w:type="dxa"/>
            <w:tcBorders>
              <w:top w:val="nil"/>
              <w:left w:val="nil"/>
              <w:bottom w:val="single" w:sz="4" w:space="0" w:color="auto"/>
              <w:right w:val="single" w:sz="4" w:space="0" w:color="auto"/>
            </w:tcBorders>
            <w:shd w:val="clear" w:color="auto" w:fill="auto"/>
            <w:noWrap/>
            <w:vAlign w:val="bottom"/>
            <w:hideMark/>
          </w:tcPr>
          <w:p w14:paraId="76C4A448" w14:textId="4C1FF4FF" w:rsidR="00B75AF1" w:rsidRPr="00D960DB" w:rsidRDefault="00B75AF1" w:rsidP="00F75FF9">
            <w:pPr>
              <w:jc w:val="center"/>
              <w:rPr>
                <w:rFonts w:eastAsiaTheme="minorEastAsia"/>
                <w:sz w:val="20"/>
                <w:szCs w:val="20"/>
              </w:rPr>
            </w:pPr>
            <w:r w:rsidRPr="00D960DB">
              <w:rPr>
                <w:rFonts w:eastAsiaTheme="minorEastAsia"/>
                <w:sz w:val="20"/>
                <w:szCs w:val="20"/>
              </w:rPr>
              <w:t>23</w:t>
            </w:r>
          </w:p>
        </w:tc>
        <w:tc>
          <w:tcPr>
            <w:tcW w:w="1890" w:type="dxa"/>
            <w:tcBorders>
              <w:top w:val="nil"/>
              <w:left w:val="nil"/>
              <w:bottom w:val="single" w:sz="4" w:space="0" w:color="auto"/>
              <w:right w:val="single" w:sz="4" w:space="0" w:color="auto"/>
            </w:tcBorders>
            <w:shd w:val="clear" w:color="auto" w:fill="auto"/>
            <w:noWrap/>
            <w:vAlign w:val="bottom"/>
            <w:hideMark/>
          </w:tcPr>
          <w:p w14:paraId="70DF5776" w14:textId="756DAA05" w:rsidR="00B75AF1" w:rsidRPr="00D960DB" w:rsidRDefault="00B75AF1" w:rsidP="00F75FF9">
            <w:pPr>
              <w:jc w:val="center"/>
              <w:rPr>
                <w:rFonts w:eastAsiaTheme="minorEastAsia"/>
                <w:sz w:val="20"/>
                <w:szCs w:val="20"/>
              </w:rPr>
            </w:pPr>
            <w:r w:rsidRPr="00D960DB">
              <w:rPr>
                <w:rFonts w:eastAsiaTheme="minorEastAsia"/>
                <w:sz w:val="20"/>
                <w:szCs w:val="20"/>
              </w:rPr>
              <w:t>908</w:t>
            </w:r>
          </w:p>
        </w:tc>
        <w:tc>
          <w:tcPr>
            <w:tcW w:w="1503" w:type="dxa"/>
            <w:tcBorders>
              <w:top w:val="nil"/>
              <w:left w:val="nil"/>
              <w:bottom w:val="single" w:sz="4" w:space="0" w:color="auto"/>
              <w:right w:val="single" w:sz="4" w:space="0" w:color="auto"/>
            </w:tcBorders>
            <w:shd w:val="clear" w:color="auto" w:fill="auto"/>
            <w:noWrap/>
            <w:vAlign w:val="bottom"/>
            <w:hideMark/>
          </w:tcPr>
          <w:p w14:paraId="432B4D11" w14:textId="77777777" w:rsidR="00B75AF1" w:rsidRPr="00D960DB" w:rsidRDefault="00B75AF1" w:rsidP="00C0151F">
            <w:pPr>
              <w:jc w:val="center"/>
              <w:rPr>
                <w:rFonts w:eastAsiaTheme="minorEastAsia"/>
                <w:sz w:val="20"/>
                <w:szCs w:val="20"/>
              </w:rPr>
            </w:pPr>
            <w:r w:rsidRPr="00D960DB">
              <w:rPr>
                <w:rFonts w:eastAsiaTheme="minorEastAsia"/>
                <w:sz w:val="20"/>
                <w:szCs w:val="20"/>
              </w:rPr>
              <w:t>0.76%</w:t>
            </w:r>
          </w:p>
        </w:tc>
        <w:tc>
          <w:tcPr>
            <w:tcW w:w="925" w:type="dxa"/>
            <w:tcBorders>
              <w:top w:val="nil"/>
              <w:left w:val="nil"/>
              <w:bottom w:val="single" w:sz="4" w:space="0" w:color="auto"/>
              <w:right w:val="single" w:sz="4" w:space="0" w:color="auto"/>
            </w:tcBorders>
            <w:shd w:val="clear" w:color="auto" w:fill="auto"/>
            <w:noWrap/>
            <w:vAlign w:val="bottom"/>
            <w:hideMark/>
          </w:tcPr>
          <w:p w14:paraId="6F38611C" w14:textId="77777777" w:rsidR="00B75AF1" w:rsidRPr="00D960DB" w:rsidRDefault="00B75AF1" w:rsidP="00F75FF9">
            <w:pPr>
              <w:jc w:val="center"/>
              <w:rPr>
                <w:rFonts w:eastAsiaTheme="minorEastAsia"/>
                <w:sz w:val="20"/>
                <w:szCs w:val="20"/>
              </w:rPr>
            </w:pPr>
            <w:r w:rsidRPr="00D960DB">
              <w:rPr>
                <w:rFonts w:eastAsiaTheme="minorEastAsia"/>
                <w:sz w:val="20"/>
                <w:szCs w:val="20"/>
              </w:rPr>
              <w:t>0.62%</w:t>
            </w:r>
          </w:p>
        </w:tc>
      </w:tr>
      <w:tr w:rsidR="00B75AF1" w:rsidRPr="00B75AF1" w14:paraId="4B65A465"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EECB01A" w14:textId="77777777" w:rsidR="00B75AF1" w:rsidRPr="00D960DB" w:rsidRDefault="00B75AF1" w:rsidP="00B75AF1">
            <w:pPr>
              <w:rPr>
                <w:rFonts w:eastAsiaTheme="minorEastAsia"/>
                <w:sz w:val="20"/>
                <w:szCs w:val="20"/>
              </w:rPr>
            </w:pPr>
            <w:r w:rsidRPr="00D960DB">
              <w:rPr>
                <w:rFonts w:eastAsiaTheme="minorEastAsia"/>
                <w:sz w:val="20"/>
                <w:szCs w:val="20"/>
              </w:rPr>
              <w:t>Wilkes County</w:t>
            </w:r>
          </w:p>
        </w:tc>
        <w:tc>
          <w:tcPr>
            <w:tcW w:w="2536" w:type="dxa"/>
            <w:tcBorders>
              <w:top w:val="nil"/>
              <w:left w:val="nil"/>
              <w:bottom w:val="single" w:sz="4" w:space="0" w:color="auto"/>
              <w:right w:val="single" w:sz="4" w:space="0" w:color="auto"/>
            </w:tcBorders>
            <w:shd w:val="clear" w:color="auto" w:fill="auto"/>
            <w:noWrap/>
            <w:vAlign w:val="bottom"/>
            <w:hideMark/>
          </w:tcPr>
          <w:p w14:paraId="692CBC18" w14:textId="7C6B59C7" w:rsidR="00B75AF1" w:rsidRPr="00D960DB" w:rsidRDefault="00B75AF1" w:rsidP="00F75FF9">
            <w:pPr>
              <w:jc w:val="center"/>
              <w:rPr>
                <w:rFonts w:eastAsiaTheme="minorEastAsia"/>
                <w:sz w:val="20"/>
                <w:szCs w:val="20"/>
              </w:rPr>
            </w:pPr>
            <w:r w:rsidRPr="00D960DB">
              <w:rPr>
                <w:rFonts w:eastAsiaTheme="minorEastAsia"/>
                <w:sz w:val="20"/>
                <w:szCs w:val="20"/>
              </w:rPr>
              <w:t>18</w:t>
            </w:r>
          </w:p>
        </w:tc>
        <w:tc>
          <w:tcPr>
            <w:tcW w:w="1890" w:type="dxa"/>
            <w:tcBorders>
              <w:top w:val="nil"/>
              <w:left w:val="nil"/>
              <w:bottom w:val="single" w:sz="4" w:space="0" w:color="auto"/>
              <w:right w:val="single" w:sz="4" w:space="0" w:color="auto"/>
            </w:tcBorders>
            <w:shd w:val="clear" w:color="auto" w:fill="auto"/>
            <w:noWrap/>
            <w:vAlign w:val="bottom"/>
            <w:hideMark/>
          </w:tcPr>
          <w:p w14:paraId="7438DF13" w14:textId="76F564E8" w:rsidR="00B75AF1" w:rsidRPr="00D960DB" w:rsidRDefault="00B75AF1" w:rsidP="00F75FF9">
            <w:pPr>
              <w:jc w:val="center"/>
              <w:rPr>
                <w:rFonts w:eastAsiaTheme="minorEastAsia"/>
                <w:sz w:val="20"/>
                <w:szCs w:val="20"/>
              </w:rPr>
            </w:pPr>
            <w:r w:rsidRPr="00D960DB">
              <w:rPr>
                <w:rFonts w:eastAsiaTheme="minorEastAsia"/>
                <w:sz w:val="20"/>
                <w:szCs w:val="20"/>
              </w:rPr>
              <w:t>833</w:t>
            </w:r>
          </w:p>
        </w:tc>
        <w:tc>
          <w:tcPr>
            <w:tcW w:w="1503" w:type="dxa"/>
            <w:tcBorders>
              <w:top w:val="nil"/>
              <w:left w:val="nil"/>
              <w:bottom w:val="single" w:sz="4" w:space="0" w:color="auto"/>
              <w:right w:val="single" w:sz="4" w:space="0" w:color="auto"/>
            </w:tcBorders>
            <w:shd w:val="clear" w:color="auto" w:fill="auto"/>
            <w:noWrap/>
            <w:vAlign w:val="bottom"/>
            <w:hideMark/>
          </w:tcPr>
          <w:p w14:paraId="44D2CD7E" w14:textId="77777777" w:rsidR="00B75AF1" w:rsidRPr="00D960DB" w:rsidRDefault="00B75AF1" w:rsidP="00C0151F">
            <w:pPr>
              <w:jc w:val="center"/>
              <w:rPr>
                <w:rFonts w:eastAsiaTheme="minorEastAsia"/>
                <w:sz w:val="20"/>
                <w:szCs w:val="20"/>
              </w:rPr>
            </w:pPr>
            <w:r w:rsidRPr="00D960DB">
              <w:rPr>
                <w:rFonts w:eastAsiaTheme="minorEastAsia"/>
                <w:sz w:val="20"/>
                <w:szCs w:val="20"/>
              </w:rPr>
              <w:t>0.60%</w:t>
            </w:r>
          </w:p>
        </w:tc>
        <w:tc>
          <w:tcPr>
            <w:tcW w:w="925" w:type="dxa"/>
            <w:tcBorders>
              <w:top w:val="nil"/>
              <w:left w:val="nil"/>
              <w:bottom w:val="single" w:sz="4" w:space="0" w:color="auto"/>
              <w:right w:val="single" w:sz="4" w:space="0" w:color="auto"/>
            </w:tcBorders>
            <w:shd w:val="clear" w:color="auto" w:fill="auto"/>
            <w:noWrap/>
            <w:vAlign w:val="bottom"/>
            <w:hideMark/>
          </w:tcPr>
          <w:p w14:paraId="662242B2" w14:textId="77777777" w:rsidR="00B75AF1" w:rsidRPr="00D960DB" w:rsidRDefault="00B75AF1" w:rsidP="00F75FF9">
            <w:pPr>
              <w:jc w:val="center"/>
              <w:rPr>
                <w:rFonts w:eastAsiaTheme="minorEastAsia"/>
                <w:sz w:val="20"/>
                <w:szCs w:val="20"/>
              </w:rPr>
            </w:pPr>
            <w:r w:rsidRPr="00D960DB">
              <w:rPr>
                <w:rFonts w:eastAsiaTheme="minorEastAsia"/>
                <w:sz w:val="20"/>
                <w:szCs w:val="20"/>
              </w:rPr>
              <w:t>0.57%</w:t>
            </w:r>
          </w:p>
        </w:tc>
      </w:tr>
      <w:tr w:rsidR="00B75AF1" w:rsidRPr="00B75AF1" w14:paraId="5BFDEED4"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5608897" w14:textId="77777777" w:rsidR="00B75AF1" w:rsidRPr="00D960DB" w:rsidRDefault="00B75AF1" w:rsidP="00B75AF1">
            <w:pPr>
              <w:rPr>
                <w:rFonts w:eastAsiaTheme="minorEastAsia"/>
                <w:sz w:val="20"/>
                <w:szCs w:val="20"/>
              </w:rPr>
            </w:pPr>
            <w:r w:rsidRPr="00D960DB">
              <w:rPr>
                <w:rFonts w:eastAsiaTheme="minorEastAsia"/>
                <w:sz w:val="20"/>
                <w:szCs w:val="20"/>
              </w:rPr>
              <w:t>Bladen County</w:t>
            </w:r>
          </w:p>
        </w:tc>
        <w:tc>
          <w:tcPr>
            <w:tcW w:w="2536" w:type="dxa"/>
            <w:tcBorders>
              <w:top w:val="nil"/>
              <w:left w:val="nil"/>
              <w:bottom w:val="single" w:sz="4" w:space="0" w:color="auto"/>
              <w:right w:val="single" w:sz="4" w:space="0" w:color="auto"/>
            </w:tcBorders>
            <w:shd w:val="clear" w:color="auto" w:fill="auto"/>
            <w:noWrap/>
            <w:vAlign w:val="bottom"/>
            <w:hideMark/>
          </w:tcPr>
          <w:p w14:paraId="3364D0CA" w14:textId="2C53D65F" w:rsidR="00B75AF1" w:rsidRPr="00D960DB" w:rsidRDefault="00B75AF1" w:rsidP="00F75FF9">
            <w:pPr>
              <w:jc w:val="center"/>
              <w:rPr>
                <w:rFonts w:eastAsiaTheme="minorEastAsia"/>
                <w:sz w:val="20"/>
                <w:szCs w:val="20"/>
              </w:rPr>
            </w:pPr>
            <w:r w:rsidRPr="00D960DB">
              <w:rPr>
                <w:rFonts w:eastAsiaTheme="minorEastAsia"/>
                <w:sz w:val="20"/>
                <w:szCs w:val="20"/>
              </w:rPr>
              <w:t>22</w:t>
            </w:r>
          </w:p>
        </w:tc>
        <w:tc>
          <w:tcPr>
            <w:tcW w:w="1890" w:type="dxa"/>
            <w:tcBorders>
              <w:top w:val="nil"/>
              <w:left w:val="nil"/>
              <w:bottom w:val="single" w:sz="4" w:space="0" w:color="auto"/>
              <w:right w:val="single" w:sz="4" w:space="0" w:color="auto"/>
            </w:tcBorders>
            <w:shd w:val="clear" w:color="auto" w:fill="auto"/>
            <w:noWrap/>
            <w:vAlign w:val="bottom"/>
            <w:hideMark/>
          </w:tcPr>
          <w:p w14:paraId="3DAA973F" w14:textId="415BAFFF" w:rsidR="00B75AF1" w:rsidRPr="00D960DB" w:rsidRDefault="00B75AF1" w:rsidP="00F75FF9">
            <w:pPr>
              <w:jc w:val="center"/>
              <w:rPr>
                <w:rFonts w:eastAsiaTheme="minorEastAsia"/>
                <w:sz w:val="20"/>
                <w:szCs w:val="20"/>
              </w:rPr>
            </w:pPr>
            <w:r w:rsidRPr="00D960DB">
              <w:rPr>
                <w:rFonts w:eastAsiaTheme="minorEastAsia"/>
                <w:sz w:val="20"/>
                <w:szCs w:val="20"/>
              </w:rPr>
              <w:t>797</w:t>
            </w:r>
          </w:p>
        </w:tc>
        <w:tc>
          <w:tcPr>
            <w:tcW w:w="1503" w:type="dxa"/>
            <w:tcBorders>
              <w:top w:val="nil"/>
              <w:left w:val="nil"/>
              <w:bottom w:val="single" w:sz="4" w:space="0" w:color="auto"/>
              <w:right w:val="single" w:sz="4" w:space="0" w:color="auto"/>
            </w:tcBorders>
            <w:shd w:val="clear" w:color="auto" w:fill="auto"/>
            <w:noWrap/>
            <w:vAlign w:val="bottom"/>
            <w:hideMark/>
          </w:tcPr>
          <w:p w14:paraId="547918C3" w14:textId="77777777" w:rsidR="00B75AF1" w:rsidRPr="00D960DB" w:rsidRDefault="00B75AF1" w:rsidP="00C0151F">
            <w:pPr>
              <w:jc w:val="center"/>
              <w:rPr>
                <w:rFonts w:eastAsiaTheme="minorEastAsia"/>
                <w:sz w:val="20"/>
                <w:szCs w:val="20"/>
              </w:rPr>
            </w:pPr>
            <w:r w:rsidRPr="00D960DB">
              <w:rPr>
                <w:rFonts w:eastAsiaTheme="minorEastAsia"/>
                <w:sz w:val="20"/>
                <w:szCs w:val="20"/>
              </w:rPr>
              <w:t>0.73%</w:t>
            </w:r>
          </w:p>
        </w:tc>
        <w:tc>
          <w:tcPr>
            <w:tcW w:w="925" w:type="dxa"/>
            <w:tcBorders>
              <w:top w:val="nil"/>
              <w:left w:val="nil"/>
              <w:bottom w:val="single" w:sz="4" w:space="0" w:color="auto"/>
              <w:right w:val="single" w:sz="4" w:space="0" w:color="auto"/>
            </w:tcBorders>
            <w:shd w:val="clear" w:color="auto" w:fill="auto"/>
            <w:noWrap/>
            <w:vAlign w:val="bottom"/>
            <w:hideMark/>
          </w:tcPr>
          <w:p w14:paraId="44B7D89E" w14:textId="77777777" w:rsidR="00B75AF1" w:rsidRPr="00D960DB" w:rsidRDefault="00B75AF1" w:rsidP="00F75FF9">
            <w:pPr>
              <w:jc w:val="center"/>
              <w:rPr>
                <w:rFonts w:eastAsiaTheme="minorEastAsia"/>
                <w:sz w:val="20"/>
                <w:szCs w:val="20"/>
              </w:rPr>
            </w:pPr>
            <w:r w:rsidRPr="00D960DB">
              <w:rPr>
                <w:rFonts w:eastAsiaTheme="minorEastAsia"/>
                <w:sz w:val="20"/>
                <w:szCs w:val="20"/>
              </w:rPr>
              <w:t>0.54%</w:t>
            </w:r>
          </w:p>
        </w:tc>
      </w:tr>
      <w:tr w:rsidR="00B75AF1" w:rsidRPr="00B75AF1" w14:paraId="72F3237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7C01528" w14:textId="77777777" w:rsidR="00B75AF1" w:rsidRPr="00D960DB" w:rsidRDefault="00B75AF1" w:rsidP="00B75AF1">
            <w:pPr>
              <w:rPr>
                <w:rFonts w:eastAsiaTheme="minorEastAsia"/>
                <w:sz w:val="20"/>
                <w:szCs w:val="20"/>
              </w:rPr>
            </w:pPr>
            <w:r w:rsidRPr="00D960DB">
              <w:rPr>
                <w:rFonts w:eastAsiaTheme="minorEastAsia"/>
                <w:sz w:val="20"/>
                <w:szCs w:val="20"/>
              </w:rPr>
              <w:t>Brunswick County</w:t>
            </w:r>
          </w:p>
        </w:tc>
        <w:tc>
          <w:tcPr>
            <w:tcW w:w="2536" w:type="dxa"/>
            <w:tcBorders>
              <w:top w:val="nil"/>
              <w:left w:val="nil"/>
              <w:bottom w:val="single" w:sz="4" w:space="0" w:color="auto"/>
              <w:right w:val="single" w:sz="4" w:space="0" w:color="auto"/>
            </w:tcBorders>
            <w:shd w:val="clear" w:color="auto" w:fill="auto"/>
            <w:noWrap/>
            <w:vAlign w:val="bottom"/>
            <w:hideMark/>
          </w:tcPr>
          <w:p w14:paraId="5EF866B6" w14:textId="5681ECCE" w:rsidR="00B75AF1" w:rsidRPr="00D960DB" w:rsidRDefault="00B75AF1" w:rsidP="00F75FF9">
            <w:pPr>
              <w:jc w:val="center"/>
              <w:rPr>
                <w:rFonts w:eastAsiaTheme="minorEastAsia"/>
                <w:sz w:val="20"/>
                <w:szCs w:val="20"/>
              </w:rPr>
            </w:pPr>
            <w:r w:rsidRPr="00D960DB">
              <w:rPr>
                <w:rFonts w:eastAsiaTheme="minorEastAsia"/>
                <w:sz w:val="20"/>
                <w:szCs w:val="20"/>
              </w:rPr>
              <w:t>16</w:t>
            </w:r>
          </w:p>
        </w:tc>
        <w:tc>
          <w:tcPr>
            <w:tcW w:w="1890" w:type="dxa"/>
            <w:tcBorders>
              <w:top w:val="nil"/>
              <w:left w:val="nil"/>
              <w:bottom w:val="single" w:sz="4" w:space="0" w:color="auto"/>
              <w:right w:val="single" w:sz="4" w:space="0" w:color="auto"/>
            </w:tcBorders>
            <w:shd w:val="clear" w:color="auto" w:fill="auto"/>
            <w:noWrap/>
            <w:vAlign w:val="bottom"/>
            <w:hideMark/>
          </w:tcPr>
          <w:p w14:paraId="7A894362" w14:textId="23387120" w:rsidR="00B75AF1" w:rsidRPr="00D960DB" w:rsidRDefault="00B75AF1" w:rsidP="00F75FF9">
            <w:pPr>
              <w:jc w:val="center"/>
              <w:rPr>
                <w:rFonts w:eastAsiaTheme="minorEastAsia"/>
                <w:sz w:val="20"/>
                <w:szCs w:val="20"/>
              </w:rPr>
            </w:pPr>
            <w:r w:rsidRPr="00D960DB">
              <w:rPr>
                <w:rFonts w:eastAsiaTheme="minorEastAsia"/>
                <w:sz w:val="20"/>
                <w:szCs w:val="20"/>
              </w:rPr>
              <w:t>795</w:t>
            </w:r>
          </w:p>
        </w:tc>
        <w:tc>
          <w:tcPr>
            <w:tcW w:w="1503" w:type="dxa"/>
            <w:tcBorders>
              <w:top w:val="nil"/>
              <w:left w:val="nil"/>
              <w:bottom w:val="single" w:sz="4" w:space="0" w:color="auto"/>
              <w:right w:val="single" w:sz="4" w:space="0" w:color="auto"/>
            </w:tcBorders>
            <w:shd w:val="clear" w:color="auto" w:fill="auto"/>
            <w:noWrap/>
            <w:vAlign w:val="bottom"/>
            <w:hideMark/>
          </w:tcPr>
          <w:p w14:paraId="7EEAFCAF" w14:textId="77777777" w:rsidR="00B75AF1" w:rsidRPr="00D960DB" w:rsidRDefault="00B75AF1" w:rsidP="00C0151F">
            <w:pPr>
              <w:jc w:val="center"/>
              <w:rPr>
                <w:rFonts w:eastAsiaTheme="minorEastAsia"/>
                <w:sz w:val="20"/>
                <w:szCs w:val="20"/>
              </w:rPr>
            </w:pPr>
            <w:r w:rsidRPr="00D960DB">
              <w:rPr>
                <w:rFonts w:eastAsiaTheme="minorEastAsia"/>
                <w:sz w:val="20"/>
                <w:szCs w:val="20"/>
              </w:rPr>
              <w:t>0.53%</w:t>
            </w:r>
          </w:p>
        </w:tc>
        <w:tc>
          <w:tcPr>
            <w:tcW w:w="925" w:type="dxa"/>
            <w:tcBorders>
              <w:top w:val="nil"/>
              <w:left w:val="nil"/>
              <w:bottom w:val="single" w:sz="4" w:space="0" w:color="auto"/>
              <w:right w:val="single" w:sz="4" w:space="0" w:color="auto"/>
            </w:tcBorders>
            <w:shd w:val="clear" w:color="auto" w:fill="auto"/>
            <w:noWrap/>
            <w:vAlign w:val="bottom"/>
            <w:hideMark/>
          </w:tcPr>
          <w:p w14:paraId="17ECCFF8" w14:textId="77777777" w:rsidR="00B75AF1" w:rsidRPr="00D960DB" w:rsidRDefault="00B75AF1" w:rsidP="00F75FF9">
            <w:pPr>
              <w:jc w:val="center"/>
              <w:rPr>
                <w:rFonts w:eastAsiaTheme="minorEastAsia"/>
                <w:sz w:val="20"/>
                <w:szCs w:val="20"/>
              </w:rPr>
            </w:pPr>
            <w:r w:rsidRPr="00D960DB">
              <w:rPr>
                <w:rFonts w:eastAsiaTheme="minorEastAsia"/>
                <w:sz w:val="20"/>
                <w:szCs w:val="20"/>
              </w:rPr>
              <w:t>0.54%</w:t>
            </w:r>
          </w:p>
        </w:tc>
      </w:tr>
      <w:tr w:rsidR="00B75AF1" w:rsidRPr="00B75AF1" w14:paraId="0FDB6C5F"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4A3E21E" w14:textId="77777777" w:rsidR="00B75AF1" w:rsidRPr="00D960DB" w:rsidRDefault="00B75AF1" w:rsidP="00B75AF1">
            <w:pPr>
              <w:rPr>
                <w:rFonts w:eastAsiaTheme="minorEastAsia"/>
                <w:sz w:val="20"/>
                <w:szCs w:val="20"/>
              </w:rPr>
            </w:pPr>
            <w:r w:rsidRPr="00D960DB">
              <w:rPr>
                <w:rFonts w:eastAsiaTheme="minorEastAsia"/>
                <w:sz w:val="20"/>
                <w:szCs w:val="20"/>
              </w:rPr>
              <w:t>Martin County</w:t>
            </w:r>
          </w:p>
        </w:tc>
        <w:tc>
          <w:tcPr>
            <w:tcW w:w="2536" w:type="dxa"/>
            <w:tcBorders>
              <w:top w:val="nil"/>
              <w:left w:val="nil"/>
              <w:bottom w:val="single" w:sz="4" w:space="0" w:color="auto"/>
              <w:right w:val="single" w:sz="4" w:space="0" w:color="auto"/>
            </w:tcBorders>
            <w:shd w:val="clear" w:color="auto" w:fill="auto"/>
            <w:noWrap/>
            <w:vAlign w:val="bottom"/>
            <w:hideMark/>
          </w:tcPr>
          <w:p w14:paraId="4E26961A" w14:textId="64B62A13" w:rsidR="00B75AF1" w:rsidRPr="00D960DB" w:rsidRDefault="00B75AF1" w:rsidP="00F75FF9">
            <w:pPr>
              <w:jc w:val="center"/>
              <w:rPr>
                <w:rFonts w:eastAsiaTheme="minorEastAsia"/>
                <w:sz w:val="20"/>
                <w:szCs w:val="20"/>
              </w:rPr>
            </w:pPr>
            <w:r w:rsidRPr="00D960DB">
              <w:rPr>
                <w:rFonts w:eastAsiaTheme="minorEastAsia"/>
                <w:sz w:val="20"/>
                <w:szCs w:val="20"/>
              </w:rPr>
              <w:t>14</w:t>
            </w:r>
          </w:p>
        </w:tc>
        <w:tc>
          <w:tcPr>
            <w:tcW w:w="1890" w:type="dxa"/>
            <w:tcBorders>
              <w:top w:val="nil"/>
              <w:left w:val="nil"/>
              <w:bottom w:val="single" w:sz="4" w:space="0" w:color="auto"/>
              <w:right w:val="single" w:sz="4" w:space="0" w:color="auto"/>
            </w:tcBorders>
            <w:shd w:val="clear" w:color="auto" w:fill="auto"/>
            <w:noWrap/>
            <w:vAlign w:val="bottom"/>
            <w:hideMark/>
          </w:tcPr>
          <w:p w14:paraId="3959515E" w14:textId="2B934CA7" w:rsidR="00B75AF1" w:rsidRPr="00D960DB" w:rsidRDefault="00B75AF1" w:rsidP="00F75FF9">
            <w:pPr>
              <w:jc w:val="center"/>
              <w:rPr>
                <w:rFonts w:eastAsiaTheme="minorEastAsia"/>
                <w:sz w:val="20"/>
                <w:szCs w:val="20"/>
              </w:rPr>
            </w:pPr>
            <w:r w:rsidRPr="00D960DB">
              <w:rPr>
                <w:rFonts w:eastAsiaTheme="minorEastAsia"/>
                <w:sz w:val="20"/>
                <w:szCs w:val="20"/>
              </w:rPr>
              <w:t>795</w:t>
            </w:r>
          </w:p>
        </w:tc>
        <w:tc>
          <w:tcPr>
            <w:tcW w:w="1503" w:type="dxa"/>
            <w:tcBorders>
              <w:top w:val="nil"/>
              <w:left w:val="nil"/>
              <w:bottom w:val="single" w:sz="4" w:space="0" w:color="auto"/>
              <w:right w:val="single" w:sz="4" w:space="0" w:color="auto"/>
            </w:tcBorders>
            <w:shd w:val="clear" w:color="auto" w:fill="auto"/>
            <w:noWrap/>
            <w:vAlign w:val="bottom"/>
            <w:hideMark/>
          </w:tcPr>
          <w:p w14:paraId="32934888" w14:textId="77777777" w:rsidR="00B75AF1" w:rsidRPr="00D960DB" w:rsidRDefault="00B75AF1" w:rsidP="00C0151F">
            <w:pPr>
              <w:jc w:val="center"/>
              <w:rPr>
                <w:rFonts w:eastAsiaTheme="minorEastAsia"/>
                <w:sz w:val="20"/>
                <w:szCs w:val="20"/>
              </w:rPr>
            </w:pPr>
            <w:r w:rsidRPr="00D960DB">
              <w:rPr>
                <w:rFonts w:eastAsiaTheme="minorEastAsia"/>
                <w:sz w:val="20"/>
                <w:szCs w:val="20"/>
              </w:rPr>
              <w:t>0.46%</w:t>
            </w:r>
          </w:p>
        </w:tc>
        <w:tc>
          <w:tcPr>
            <w:tcW w:w="925" w:type="dxa"/>
            <w:tcBorders>
              <w:top w:val="nil"/>
              <w:left w:val="nil"/>
              <w:bottom w:val="single" w:sz="4" w:space="0" w:color="auto"/>
              <w:right w:val="single" w:sz="4" w:space="0" w:color="auto"/>
            </w:tcBorders>
            <w:shd w:val="clear" w:color="auto" w:fill="auto"/>
            <w:noWrap/>
            <w:vAlign w:val="bottom"/>
            <w:hideMark/>
          </w:tcPr>
          <w:p w14:paraId="57526AE3" w14:textId="77777777" w:rsidR="00B75AF1" w:rsidRPr="00D960DB" w:rsidRDefault="00B75AF1" w:rsidP="00F75FF9">
            <w:pPr>
              <w:jc w:val="center"/>
              <w:rPr>
                <w:rFonts w:eastAsiaTheme="minorEastAsia"/>
                <w:sz w:val="20"/>
                <w:szCs w:val="20"/>
              </w:rPr>
            </w:pPr>
            <w:r w:rsidRPr="00D960DB">
              <w:rPr>
                <w:rFonts w:eastAsiaTheme="minorEastAsia"/>
                <w:sz w:val="20"/>
                <w:szCs w:val="20"/>
              </w:rPr>
              <w:t>0.54%</w:t>
            </w:r>
          </w:p>
        </w:tc>
      </w:tr>
      <w:tr w:rsidR="00B75AF1" w:rsidRPr="00B75AF1" w14:paraId="03F0B30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FD92D2F" w14:textId="77777777" w:rsidR="00B75AF1" w:rsidRPr="00D960DB" w:rsidRDefault="00B75AF1" w:rsidP="00B75AF1">
            <w:pPr>
              <w:rPr>
                <w:rFonts w:eastAsiaTheme="minorEastAsia"/>
                <w:sz w:val="20"/>
                <w:szCs w:val="20"/>
              </w:rPr>
            </w:pPr>
            <w:r w:rsidRPr="00D960DB">
              <w:rPr>
                <w:rFonts w:eastAsiaTheme="minorEastAsia"/>
                <w:sz w:val="20"/>
                <w:szCs w:val="20"/>
              </w:rPr>
              <w:t>Scotland County</w:t>
            </w:r>
          </w:p>
        </w:tc>
        <w:tc>
          <w:tcPr>
            <w:tcW w:w="2536" w:type="dxa"/>
            <w:tcBorders>
              <w:top w:val="nil"/>
              <w:left w:val="nil"/>
              <w:bottom w:val="single" w:sz="4" w:space="0" w:color="auto"/>
              <w:right w:val="single" w:sz="4" w:space="0" w:color="auto"/>
            </w:tcBorders>
            <w:shd w:val="clear" w:color="auto" w:fill="auto"/>
            <w:noWrap/>
            <w:vAlign w:val="bottom"/>
            <w:hideMark/>
          </w:tcPr>
          <w:p w14:paraId="79A75882" w14:textId="2E42E14E" w:rsidR="00B75AF1" w:rsidRPr="00D960DB" w:rsidRDefault="00B75AF1" w:rsidP="00F75FF9">
            <w:pPr>
              <w:jc w:val="center"/>
              <w:rPr>
                <w:rFonts w:eastAsiaTheme="minorEastAsia"/>
                <w:sz w:val="20"/>
                <w:szCs w:val="20"/>
              </w:rPr>
            </w:pPr>
            <w:r w:rsidRPr="00D960DB">
              <w:rPr>
                <w:rFonts w:eastAsiaTheme="minorEastAsia"/>
                <w:sz w:val="20"/>
                <w:szCs w:val="20"/>
              </w:rPr>
              <w:t>19</w:t>
            </w:r>
          </w:p>
        </w:tc>
        <w:tc>
          <w:tcPr>
            <w:tcW w:w="1890" w:type="dxa"/>
            <w:tcBorders>
              <w:top w:val="nil"/>
              <w:left w:val="nil"/>
              <w:bottom w:val="single" w:sz="4" w:space="0" w:color="auto"/>
              <w:right w:val="single" w:sz="4" w:space="0" w:color="auto"/>
            </w:tcBorders>
            <w:shd w:val="clear" w:color="auto" w:fill="auto"/>
            <w:noWrap/>
            <w:vAlign w:val="bottom"/>
            <w:hideMark/>
          </w:tcPr>
          <w:p w14:paraId="23FB7DEC" w14:textId="3EB1F23F" w:rsidR="00B75AF1" w:rsidRPr="00D960DB" w:rsidRDefault="00B75AF1" w:rsidP="00F75FF9">
            <w:pPr>
              <w:jc w:val="center"/>
              <w:rPr>
                <w:rFonts w:eastAsiaTheme="minorEastAsia"/>
                <w:sz w:val="20"/>
                <w:szCs w:val="20"/>
              </w:rPr>
            </w:pPr>
            <w:r w:rsidRPr="00D960DB">
              <w:rPr>
                <w:rFonts w:eastAsiaTheme="minorEastAsia"/>
                <w:sz w:val="20"/>
                <w:szCs w:val="20"/>
              </w:rPr>
              <w:t>757</w:t>
            </w:r>
          </w:p>
        </w:tc>
        <w:tc>
          <w:tcPr>
            <w:tcW w:w="1503" w:type="dxa"/>
            <w:tcBorders>
              <w:top w:val="nil"/>
              <w:left w:val="nil"/>
              <w:bottom w:val="single" w:sz="4" w:space="0" w:color="auto"/>
              <w:right w:val="single" w:sz="4" w:space="0" w:color="auto"/>
            </w:tcBorders>
            <w:shd w:val="clear" w:color="auto" w:fill="auto"/>
            <w:noWrap/>
            <w:vAlign w:val="bottom"/>
            <w:hideMark/>
          </w:tcPr>
          <w:p w14:paraId="021A829B" w14:textId="77777777" w:rsidR="00B75AF1" w:rsidRPr="00D960DB" w:rsidRDefault="00B75AF1" w:rsidP="00C0151F">
            <w:pPr>
              <w:jc w:val="center"/>
              <w:rPr>
                <w:rFonts w:eastAsiaTheme="minorEastAsia"/>
                <w:sz w:val="20"/>
                <w:szCs w:val="20"/>
              </w:rPr>
            </w:pPr>
            <w:r w:rsidRPr="00D960DB">
              <w:rPr>
                <w:rFonts w:eastAsiaTheme="minorEastAsia"/>
                <w:sz w:val="20"/>
                <w:szCs w:val="20"/>
              </w:rPr>
              <w:t>0.63%</w:t>
            </w:r>
          </w:p>
        </w:tc>
        <w:tc>
          <w:tcPr>
            <w:tcW w:w="925" w:type="dxa"/>
            <w:tcBorders>
              <w:top w:val="nil"/>
              <w:left w:val="nil"/>
              <w:bottom w:val="single" w:sz="4" w:space="0" w:color="auto"/>
              <w:right w:val="single" w:sz="4" w:space="0" w:color="auto"/>
            </w:tcBorders>
            <w:shd w:val="clear" w:color="auto" w:fill="auto"/>
            <w:noWrap/>
            <w:vAlign w:val="bottom"/>
            <w:hideMark/>
          </w:tcPr>
          <w:p w14:paraId="4E112CCE" w14:textId="77777777" w:rsidR="00B75AF1" w:rsidRPr="00D960DB" w:rsidRDefault="00B75AF1" w:rsidP="00F75FF9">
            <w:pPr>
              <w:jc w:val="center"/>
              <w:rPr>
                <w:rFonts w:eastAsiaTheme="minorEastAsia"/>
                <w:sz w:val="20"/>
                <w:szCs w:val="20"/>
              </w:rPr>
            </w:pPr>
            <w:r w:rsidRPr="00D960DB">
              <w:rPr>
                <w:rFonts w:eastAsiaTheme="minorEastAsia"/>
                <w:sz w:val="20"/>
                <w:szCs w:val="20"/>
              </w:rPr>
              <w:t>0.52%</w:t>
            </w:r>
          </w:p>
        </w:tc>
      </w:tr>
      <w:tr w:rsidR="00B75AF1" w:rsidRPr="00B75AF1" w14:paraId="19DBF60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410FC5E" w14:textId="77777777" w:rsidR="00B75AF1" w:rsidRPr="00D960DB" w:rsidRDefault="00B75AF1" w:rsidP="00B75AF1">
            <w:pPr>
              <w:rPr>
                <w:rFonts w:eastAsiaTheme="minorEastAsia"/>
                <w:sz w:val="20"/>
                <w:szCs w:val="20"/>
              </w:rPr>
            </w:pPr>
            <w:r w:rsidRPr="00D960DB">
              <w:rPr>
                <w:rFonts w:eastAsiaTheme="minorEastAsia"/>
                <w:sz w:val="20"/>
                <w:szCs w:val="20"/>
              </w:rPr>
              <w:t>Sampson County</w:t>
            </w:r>
          </w:p>
        </w:tc>
        <w:tc>
          <w:tcPr>
            <w:tcW w:w="2536" w:type="dxa"/>
            <w:tcBorders>
              <w:top w:val="nil"/>
              <w:left w:val="nil"/>
              <w:bottom w:val="single" w:sz="4" w:space="0" w:color="auto"/>
              <w:right w:val="single" w:sz="4" w:space="0" w:color="auto"/>
            </w:tcBorders>
            <w:shd w:val="clear" w:color="auto" w:fill="auto"/>
            <w:noWrap/>
            <w:vAlign w:val="bottom"/>
            <w:hideMark/>
          </w:tcPr>
          <w:p w14:paraId="5AAE8068" w14:textId="24FA6A7C" w:rsidR="00B75AF1" w:rsidRPr="00D960DB" w:rsidRDefault="00B75AF1" w:rsidP="00F75FF9">
            <w:pPr>
              <w:jc w:val="center"/>
              <w:rPr>
                <w:rFonts w:eastAsiaTheme="minorEastAsia"/>
                <w:sz w:val="20"/>
                <w:szCs w:val="20"/>
              </w:rPr>
            </w:pPr>
            <w:r w:rsidRPr="00D960DB">
              <w:rPr>
                <w:rFonts w:eastAsiaTheme="minorEastAsia"/>
                <w:sz w:val="20"/>
                <w:szCs w:val="20"/>
              </w:rPr>
              <w:t>18</w:t>
            </w:r>
          </w:p>
        </w:tc>
        <w:tc>
          <w:tcPr>
            <w:tcW w:w="1890" w:type="dxa"/>
            <w:tcBorders>
              <w:top w:val="nil"/>
              <w:left w:val="nil"/>
              <w:bottom w:val="single" w:sz="4" w:space="0" w:color="auto"/>
              <w:right w:val="single" w:sz="4" w:space="0" w:color="auto"/>
            </w:tcBorders>
            <w:shd w:val="clear" w:color="auto" w:fill="auto"/>
            <w:noWrap/>
            <w:vAlign w:val="bottom"/>
            <w:hideMark/>
          </w:tcPr>
          <w:p w14:paraId="738102F3" w14:textId="68DDD265" w:rsidR="00B75AF1" w:rsidRPr="00D960DB" w:rsidRDefault="00B75AF1" w:rsidP="00F75FF9">
            <w:pPr>
              <w:jc w:val="center"/>
              <w:rPr>
                <w:rFonts w:eastAsiaTheme="minorEastAsia"/>
                <w:sz w:val="20"/>
                <w:szCs w:val="20"/>
              </w:rPr>
            </w:pPr>
            <w:r w:rsidRPr="00D960DB">
              <w:rPr>
                <w:rFonts w:eastAsiaTheme="minorEastAsia"/>
                <w:sz w:val="20"/>
                <w:szCs w:val="20"/>
              </w:rPr>
              <w:t>730</w:t>
            </w:r>
          </w:p>
        </w:tc>
        <w:tc>
          <w:tcPr>
            <w:tcW w:w="1503" w:type="dxa"/>
            <w:tcBorders>
              <w:top w:val="nil"/>
              <w:left w:val="nil"/>
              <w:bottom w:val="single" w:sz="4" w:space="0" w:color="auto"/>
              <w:right w:val="single" w:sz="4" w:space="0" w:color="auto"/>
            </w:tcBorders>
            <w:shd w:val="clear" w:color="auto" w:fill="auto"/>
            <w:noWrap/>
            <w:vAlign w:val="bottom"/>
            <w:hideMark/>
          </w:tcPr>
          <w:p w14:paraId="375B1711" w14:textId="77777777" w:rsidR="00B75AF1" w:rsidRPr="00D960DB" w:rsidRDefault="00B75AF1" w:rsidP="00C0151F">
            <w:pPr>
              <w:jc w:val="center"/>
              <w:rPr>
                <w:rFonts w:eastAsiaTheme="minorEastAsia"/>
                <w:sz w:val="20"/>
                <w:szCs w:val="20"/>
              </w:rPr>
            </w:pPr>
            <w:r w:rsidRPr="00D960DB">
              <w:rPr>
                <w:rFonts w:eastAsiaTheme="minorEastAsia"/>
                <w:sz w:val="20"/>
                <w:szCs w:val="20"/>
              </w:rPr>
              <w:t>0.60%</w:t>
            </w:r>
          </w:p>
        </w:tc>
        <w:tc>
          <w:tcPr>
            <w:tcW w:w="925" w:type="dxa"/>
            <w:tcBorders>
              <w:top w:val="nil"/>
              <w:left w:val="nil"/>
              <w:bottom w:val="single" w:sz="4" w:space="0" w:color="auto"/>
              <w:right w:val="single" w:sz="4" w:space="0" w:color="auto"/>
            </w:tcBorders>
            <w:shd w:val="clear" w:color="auto" w:fill="auto"/>
            <w:noWrap/>
            <w:vAlign w:val="bottom"/>
            <w:hideMark/>
          </w:tcPr>
          <w:p w14:paraId="3C90CB81" w14:textId="77777777" w:rsidR="00B75AF1" w:rsidRPr="00D960DB" w:rsidRDefault="00B75AF1" w:rsidP="00F75FF9">
            <w:pPr>
              <w:jc w:val="center"/>
              <w:rPr>
                <w:rFonts w:eastAsiaTheme="minorEastAsia"/>
                <w:sz w:val="20"/>
                <w:szCs w:val="20"/>
              </w:rPr>
            </w:pPr>
            <w:r w:rsidRPr="00D960DB">
              <w:rPr>
                <w:rFonts w:eastAsiaTheme="minorEastAsia"/>
                <w:sz w:val="20"/>
                <w:szCs w:val="20"/>
              </w:rPr>
              <w:t>0.50%</w:t>
            </w:r>
          </w:p>
        </w:tc>
      </w:tr>
      <w:tr w:rsidR="00B75AF1" w:rsidRPr="00B75AF1" w14:paraId="2FF88FB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679F5B6" w14:textId="77777777" w:rsidR="00B75AF1" w:rsidRPr="00D960DB" w:rsidRDefault="00B75AF1" w:rsidP="00B75AF1">
            <w:pPr>
              <w:rPr>
                <w:rFonts w:eastAsiaTheme="minorEastAsia"/>
                <w:sz w:val="20"/>
                <w:szCs w:val="20"/>
              </w:rPr>
            </w:pPr>
            <w:r w:rsidRPr="00D960DB">
              <w:rPr>
                <w:rFonts w:eastAsiaTheme="minorEastAsia"/>
                <w:sz w:val="20"/>
                <w:szCs w:val="20"/>
              </w:rPr>
              <w:t>Duplin County</w:t>
            </w:r>
          </w:p>
        </w:tc>
        <w:tc>
          <w:tcPr>
            <w:tcW w:w="2536" w:type="dxa"/>
            <w:tcBorders>
              <w:top w:val="nil"/>
              <w:left w:val="nil"/>
              <w:bottom w:val="single" w:sz="4" w:space="0" w:color="auto"/>
              <w:right w:val="single" w:sz="4" w:space="0" w:color="auto"/>
            </w:tcBorders>
            <w:shd w:val="clear" w:color="auto" w:fill="auto"/>
            <w:noWrap/>
            <w:vAlign w:val="bottom"/>
            <w:hideMark/>
          </w:tcPr>
          <w:p w14:paraId="2FD3FD11" w14:textId="1B6BCD11" w:rsidR="00B75AF1" w:rsidRPr="00D960DB" w:rsidRDefault="00B75AF1" w:rsidP="00F75FF9">
            <w:pPr>
              <w:jc w:val="center"/>
              <w:rPr>
                <w:rFonts w:eastAsiaTheme="minorEastAsia"/>
                <w:sz w:val="20"/>
                <w:szCs w:val="20"/>
              </w:rPr>
            </w:pPr>
            <w:r w:rsidRPr="00D960DB">
              <w:rPr>
                <w:rFonts w:eastAsiaTheme="minorEastAsia"/>
                <w:sz w:val="20"/>
                <w:szCs w:val="20"/>
              </w:rPr>
              <w:t>21</w:t>
            </w:r>
          </w:p>
        </w:tc>
        <w:tc>
          <w:tcPr>
            <w:tcW w:w="1890" w:type="dxa"/>
            <w:tcBorders>
              <w:top w:val="nil"/>
              <w:left w:val="nil"/>
              <w:bottom w:val="single" w:sz="4" w:space="0" w:color="auto"/>
              <w:right w:val="single" w:sz="4" w:space="0" w:color="auto"/>
            </w:tcBorders>
            <w:shd w:val="clear" w:color="auto" w:fill="auto"/>
            <w:noWrap/>
            <w:vAlign w:val="bottom"/>
            <w:hideMark/>
          </w:tcPr>
          <w:p w14:paraId="72A0469F" w14:textId="677F77B1" w:rsidR="00B75AF1" w:rsidRPr="00D960DB" w:rsidRDefault="00B75AF1" w:rsidP="00F75FF9">
            <w:pPr>
              <w:jc w:val="center"/>
              <w:rPr>
                <w:rFonts w:eastAsiaTheme="minorEastAsia"/>
                <w:sz w:val="20"/>
                <w:szCs w:val="20"/>
              </w:rPr>
            </w:pPr>
            <w:r w:rsidRPr="00D960DB">
              <w:rPr>
                <w:rFonts w:eastAsiaTheme="minorEastAsia"/>
                <w:sz w:val="20"/>
                <w:szCs w:val="20"/>
              </w:rPr>
              <w:t>716</w:t>
            </w:r>
          </w:p>
        </w:tc>
        <w:tc>
          <w:tcPr>
            <w:tcW w:w="1503" w:type="dxa"/>
            <w:tcBorders>
              <w:top w:val="nil"/>
              <w:left w:val="nil"/>
              <w:bottom w:val="single" w:sz="4" w:space="0" w:color="auto"/>
              <w:right w:val="single" w:sz="4" w:space="0" w:color="auto"/>
            </w:tcBorders>
            <w:shd w:val="clear" w:color="auto" w:fill="auto"/>
            <w:noWrap/>
            <w:vAlign w:val="bottom"/>
            <w:hideMark/>
          </w:tcPr>
          <w:p w14:paraId="09C22C9D" w14:textId="77777777" w:rsidR="00B75AF1" w:rsidRPr="00D960DB" w:rsidRDefault="00B75AF1" w:rsidP="00C0151F">
            <w:pPr>
              <w:jc w:val="center"/>
              <w:rPr>
                <w:rFonts w:eastAsiaTheme="minorEastAsia"/>
                <w:sz w:val="20"/>
                <w:szCs w:val="20"/>
              </w:rPr>
            </w:pPr>
            <w:r w:rsidRPr="00D960DB">
              <w:rPr>
                <w:rFonts w:eastAsiaTheme="minorEastAsia"/>
                <w:sz w:val="20"/>
                <w:szCs w:val="20"/>
              </w:rPr>
              <w:t>0.70%</w:t>
            </w:r>
          </w:p>
        </w:tc>
        <w:tc>
          <w:tcPr>
            <w:tcW w:w="925" w:type="dxa"/>
            <w:tcBorders>
              <w:top w:val="nil"/>
              <w:left w:val="nil"/>
              <w:bottom w:val="single" w:sz="4" w:space="0" w:color="auto"/>
              <w:right w:val="single" w:sz="4" w:space="0" w:color="auto"/>
            </w:tcBorders>
            <w:shd w:val="clear" w:color="auto" w:fill="auto"/>
            <w:noWrap/>
            <w:vAlign w:val="bottom"/>
            <w:hideMark/>
          </w:tcPr>
          <w:p w14:paraId="79363768" w14:textId="77777777" w:rsidR="00B75AF1" w:rsidRPr="00D960DB" w:rsidRDefault="00B75AF1" w:rsidP="00F75FF9">
            <w:pPr>
              <w:jc w:val="center"/>
              <w:rPr>
                <w:rFonts w:eastAsiaTheme="minorEastAsia"/>
                <w:sz w:val="20"/>
                <w:szCs w:val="20"/>
              </w:rPr>
            </w:pPr>
            <w:r w:rsidRPr="00D960DB">
              <w:rPr>
                <w:rFonts w:eastAsiaTheme="minorEastAsia"/>
                <w:sz w:val="20"/>
                <w:szCs w:val="20"/>
              </w:rPr>
              <w:t>0.49%</w:t>
            </w:r>
          </w:p>
        </w:tc>
      </w:tr>
      <w:tr w:rsidR="00B75AF1" w:rsidRPr="00B75AF1" w14:paraId="5EDC1430"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DAE0791" w14:textId="77777777" w:rsidR="00B75AF1" w:rsidRPr="00D960DB" w:rsidRDefault="00B75AF1" w:rsidP="00B75AF1">
            <w:pPr>
              <w:rPr>
                <w:rFonts w:eastAsiaTheme="minorEastAsia"/>
                <w:sz w:val="20"/>
                <w:szCs w:val="20"/>
              </w:rPr>
            </w:pPr>
            <w:r w:rsidRPr="00D960DB">
              <w:rPr>
                <w:rFonts w:eastAsiaTheme="minorEastAsia"/>
                <w:sz w:val="20"/>
                <w:szCs w:val="20"/>
              </w:rPr>
              <w:t>Person County</w:t>
            </w:r>
          </w:p>
        </w:tc>
        <w:tc>
          <w:tcPr>
            <w:tcW w:w="2536" w:type="dxa"/>
            <w:tcBorders>
              <w:top w:val="nil"/>
              <w:left w:val="nil"/>
              <w:bottom w:val="single" w:sz="4" w:space="0" w:color="auto"/>
              <w:right w:val="single" w:sz="4" w:space="0" w:color="auto"/>
            </w:tcBorders>
            <w:shd w:val="clear" w:color="auto" w:fill="auto"/>
            <w:noWrap/>
            <w:vAlign w:val="bottom"/>
            <w:hideMark/>
          </w:tcPr>
          <w:p w14:paraId="48652655" w14:textId="45E0FB00" w:rsidR="00B75AF1" w:rsidRPr="00D960DB" w:rsidRDefault="00B75AF1" w:rsidP="00F75FF9">
            <w:pPr>
              <w:jc w:val="center"/>
              <w:rPr>
                <w:rFonts w:eastAsiaTheme="minorEastAsia"/>
                <w:sz w:val="20"/>
                <w:szCs w:val="20"/>
              </w:rPr>
            </w:pPr>
            <w:r w:rsidRPr="00D960DB">
              <w:rPr>
                <w:rFonts w:eastAsiaTheme="minorEastAsia"/>
                <w:sz w:val="20"/>
                <w:szCs w:val="20"/>
              </w:rPr>
              <w:t>17</w:t>
            </w:r>
          </w:p>
        </w:tc>
        <w:tc>
          <w:tcPr>
            <w:tcW w:w="1890" w:type="dxa"/>
            <w:tcBorders>
              <w:top w:val="nil"/>
              <w:left w:val="nil"/>
              <w:bottom w:val="single" w:sz="4" w:space="0" w:color="auto"/>
              <w:right w:val="single" w:sz="4" w:space="0" w:color="auto"/>
            </w:tcBorders>
            <w:shd w:val="clear" w:color="auto" w:fill="auto"/>
            <w:noWrap/>
            <w:vAlign w:val="bottom"/>
            <w:hideMark/>
          </w:tcPr>
          <w:p w14:paraId="6B7C7101" w14:textId="7B161D23" w:rsidR="00B75AF1" w:rsidRPr="00D960DB" w:rsidRDefault="00B75AF1" w:rsidP="00F75FF9">
            <w:pPr>
              <w:jc w:val="center"/>
              <w:rPr>
                <w:rFonts w:eastAsiaTheme="minorEastAsia"/>
                <w:sz w:val="20"/>
                <w:szCs w:val="20"/>
              </w:rPr>
            </w:pPr>
            <w:r w:rsidRPr="00D960DB">
              <w:rPr>
                <w:rFonts w:eastAsiaTheme="minorEastAsia"/>
                <w:sz w:val="20"/>
                <w:szCs w:val="20"/>
              </w:rPr>
              <w:t>696</w:t>
            </w:r>
          </w:p>
        </w:tc>
        <w:tc>
          <w:tcPr>
            <w:tcW w:w="1503" w:type="dxa"/>
            <w:tcBorders>
              <w:top w:val="nil"/>
              <w:left w:val="nil"/>
              <w:bottom w:val="single" w:sz="4" w:space="0" w:color="auto"/>
              <w:right w:val="single" w:sz="4" w:space="0" w:color="auto"/>
            </w:tcBorders>
            <w:shd w:val="clear" w:color="auto" w:fill="auto"/>
            <w:noWrap/>
            <w:vAlign w:val="bottom"/>
            <w:hideMark/>
          </w:tcPr>
          <w:p w14:paraId="2008234F" w14:textId="77777777" w:rsidR="00B75AF1" w:rsidRPr="00D960DB" w:rsidRDefault="00B75AF1" w:rsidP="00C0151F">
            <w:pPr>
              <w:jc w:val="center"/>
              <w:rPr>
                <w:rFonts w:eastAsiaTheme="minorEastAsia"/>
                <w:sz w:val="20"/>
                <w:szCs w:val="20"/>
              </w:rPr>
            </w:pPr>
            <w:r w:rsidRPr="00D960DB">
              <w:rPr>
                <w:rFonts w:eastAsiaTheme="minorEastAsia"/>
                <w:sz w:val="20"/>
                <w:szCs w:val="20"/>
              </w:rPr>
              <w:t>0.56%</w:t>
            </w:r>
          </w:p>
        </w:tc>
        <w:tc>
          <w:tcPr>
            <w:tcW w:w="925" w:type="dxa"/>
            <w:tcBorders>
              <w:top w:val="nil"/>
              <w:left w:val="nil"/>
              <w:bottom w:val="single" w:sz="4" w:space="0" w:color="auto"/>
              <w:right w:val="single" w:sz="4" w:space="0" w:color="auto"/>
            </w:tcBorders>
            <w:shd w:val="clear" w:color="auto" w:fill="auto"/>
            <w:noWrap/>
            <w:vAlign w:val="bottom"/>
            <w:hideMark/>
          </w:tcPr>
          <w:p w14:paraId="733F4F8F" w14:textId="77777777" w:rsidR="00B75AF1" w:rsidRPr="00D960DB" w:rsidRDefault="00B75AF1" w:rsidP="00F75FF9">
            <w:pPr>
              <w:jc w:val="center"/>
              <w:rPr>
                <w:rFonts w:eastAsiaTheme="minorEastAsia"/>
                <w:sz w:val="20"/>
                <w:szCs w:val="20"/>
              </w:rPr>
            </w:pPr>
            <w:r w:rsidRPr="00D960DB">
              <w:rPr>
                <w:rFonts w:eastAsiaTheme="minorEastAsia"/>
                <w:sz w:val="20"/>
                <w:szCs w:val="20"/>
              </w:rPr>
              <w:t>0.47%</w:t>
            </w:r>
          </w:p>
        </w:tc>
      </w:tr>
      <w:tr w:rsidR="00B75AF1" w:rsidRPr="00B75AF1" w14:paraId="7B4BA025"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BFF5D5D" w14:textId="77777777" w:rsidR="00B75AF1" w:rsidRPr="00D960DB" w:rsidRDefault="00B75AF1" w:rsidP="00B75AF1">
            <w:pPr>
              <w:rPr>
                <w:rFonts w:eastAsiaTheme="minorEastAsia"/>
                <w:sz w:val="20"/>
                <w:szCs w:val="20"/>
              </w:rPr>
            </w:pPr>
            <w:r w:rsidRPr="00D960DB">
              <w:rPr>
                <w:rFonts w:eastAsiaTheme="minorEastAsia"/>
                <w:sz w:val="20"/>
                <w:szCs w:val="20"/>
              </w:rPr>
              <w:t>Rutherford County</w:t>
            </w:r>
          </w:p>
        </w:tc>
        <w:tc>
          <w:tcPr>
            <w:tcW w:w="2536" w:type="dxa"/>
            <w:tcBorders>
              <w:top w:val="nil"/>
              <w:left w:val="nil"/>
              <w:bottom w:val="single" w:sz="4" w:space="0" w:color="auto"/>
              <w:right w:val="single" w:sz="4" w:space="0" w:color="auto"/>
            </w:tcBorders>
            <w:shd w:val="clear" w:color="auto" w:fill="auto"/>
            <w:noWrap/>
            <w:vAlign w:val="bottom"/>
            <w:hideMark/>
          </w:tcPr>
          <w:p w14:paraId="4EAD9027" w14:textId="14860052" w:rsidR="00B75AF1" w:rsidRPr="00D960DB" w:rsidRDefault="00B75AF1" w:rsidP="00F75FF9">
            <w:pPr>
              <w:jc w:val="center"/>
              <w:rPr>
                <w:rFonts w:eastAsiaTheme="minorEastAsia"/>
                <w:sz w:val="20"/>
                <w:szCs w:val="20"/>
              </w:rPr>
            </w:pPr>
            <w:r w:rsidRPr="00D960DB">
              <w:rPr>
                <w:rFonts w:eastAsiaTheme="minorEastAsia"/>
                <w:sz w:val="20"/>
                <w:szCs w:val="20"/>
              </w:rPr>
              <w:t>17</w:t>
            </w:r>
          </w:p>
        </w:tc>
        <w:tc>
          <w:tcPr>
            <w:tcW w:w="1890" w:type="dxa"/>
            <w:tcBorders>
              <w:top w:val="nil"/>
              <w:left w:val="nil"/>
              <w:bottom w:val="single" w:sz="4" w:space="0" w:color="auto"/>
              <w:right w:val="single" w:sz="4" w:space="0" w:color="auto"/>
            </w:tcBorders>
            <w:shd w:val="clear" w:color="auto" w:fill="auto"/>
            <w:noWrap/>
            <w:vAlign w:val="bottom"/>
            <w:hideMark/>
          </w:tcPr>
          <w:p w14:paraId="737FFA10" w14:textId="4245C30C" w:rsidR="00B75AF1" w:rsidRPr="00D960DB" w:rsidRDefault="00B75AF1" w:rsidP="00F75FF9">
            <w:pPr>
              <w:jc w:val="center"/>
              <w:rPr>
                <w:rFonts w:eastAsiaTheme="minorEastAsia"/>
                <w:sz w:val="20"/>
                <w:szCs w:val="20"/>
              </w:rPr>
            </w:pPr>
            <w:r w:rsidRPr="00D960DB">
              <w:rPr>
                <w:rFonts w:eastAsiaTheme="minorEastAsia"/>
                <w:sz w:val="20"/>
                <w:szCs w:val="20"/>
              </w:rPr>
              <w:t>665</w:t>
            </w:r>
          </w:p>
        </w:tc>
        <w:tc>
          <w:tcPr>
            <w:tcW w:w="1503" w:type="dxa"/>
            <w:tcBorders>
              <w:top w:val="nil"/>
              <w:left w:val="nil"/>
              <w:bottom w:val="single" w:sz="4" w:space="0" w:color="auto"/>
              <w:right w:val="single" w:sz="4" w:space="0" w:color="auto"/>
            </w:tcBorders>
            <w:shd w:val="clear" w:color="auto" w:fill="auto"/>
            <w:noWrap/>
            <w:vAlign w:val="bottom"/>
            <w:hideMark/>
          </w:tcPr>
          <w:p w14:paraId="0FA9261C" w14:textId="77777777" w:rsidR="00B75AF1" w:rsidRPr="00D960DB" w:rsidRDefault="00B75AF1" w:rsidP="00C0151F">
            <w:pPr>
              <w:jc w:val="center"/>
              <w:rPr>
                <w:rFonts w:eastAsiaTheme="minorEastAsia"/>
                <w:sz w:val="20"/>
                <w:szCs w:val="20"/>
              </w:rPr>
            </w:pPr>
            <w:r w:rsidRPr="00D960DB">
              <w:rPr>
                <w:rFonts w:eastAsiaTheme="minorEastAsia"/>
                <w:sz w:val="20"/>
                <w:szCs w:val="20"/>
              </w:rPr>
              <w:t>0.56%</w:t>
            </w:r>
          </w:p>
        </w:tc>
        <w:tc>
          <w:tcPr>
            <w:tcW w:w="925" w:type="dxa"/>
            <w:tcBorders>
              <w:top w:val="nil"/>
              <w:left w:val="nil"/>
              <w:bottom w:val="single" w:sz="4" w:space="0" w:color="auto"/>
              <w:right w:val="single" w:sz="4" w:space="0" w:color="auto"/>
            </w:tcBorders>
            <w:shd w:val="clear" w:color="auto" w:fill="auto"/>
            <w:noWrap/>
            <w:vAlign w:val="bottom"/>
            <w:hideMark/>
          </w:tcPr>
          <w:p w14:paraId="6727C208" w14:textId="77777777" w:rsidR="00B75AF1" w:rsidRPr="00D960DB" w:rsidRDefault="00B75AF1" w:rsidP="00F75FF9">
            <w:pPr>
              <w:jc w:val="center"/>
              <w:rPr>
                <w:rFonts w:eastAsiaTheme="minorEastAsia"/>
                <w:sz w:val="20"/>
                <w:szCs w:val="20"/>
              </w:rPr>
            </w:pPr>
            <w:r w:rsidRPr="00D960DB">
              <w:rPr>
                <w:rFonts w:eastAsiaTheme="minorEastAsia"/>
                <w:sz w:val="20"/>
                <w:szCs w:val="20"/>
              </w:rPr>
              <w:t>0.45%</w:t>
            </w:r>
          </w:p>
        </w:tc>
      </w:tr>
      <w:tr w:rsidR="00B75AF1" w:rsidRPr="00B75AF1" w14:paraId="4C04ACA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F4B9338" w14:textId="77777777" w:rsidR="00B75AF1" w:rsidRPr="00D960DB" w:rsidRDefault="00B75AF1" w:rsidP="00B75AF1">
            <w:pPr>
              <w:rPr>
                <w:rFonts w:eastAsiaTheme="minorEastAsia"/>
                <w:sz w:val="20"/>
                <w:szCs w:val="20"/>
              </w:rPr>
            </w:pPr>
            <w:r w:rsidRPr="00D960DB">
              <w:rPr>
                <w:rFonts w:eastAsiaTheme="minorEastAsia"/>
                <w:sz w:val="20"/>
                <w:szCs w:val="20"/>
              </w:rPr>
              <w:t>Lincoln County</w:t>
            </w:r>
          </w:p>
        </w:tc>
        <w:tc>
          <w:tcPr>
            <w:tcW w:w="2536" w:type="dxa"/>
            <w:tcBorders>
              <w:top w:val="nil"/>
              <w:left w:val="nil"/>
              <w:bottom w:val="single" w:sz="4" w:space="0" w:color="auto"/>
              <w:right w:val="single" w:sz="4" w:space="0" w:color="auto"/>
            </w:tcBorders>
            <w:shd w:val="clear" w:color="auto" w:fill="auto"/>
            <w:noWrap/>
            <w:vAlign w:val="bottom"/>
            <w:hideMark/>
          </w:tcPr>
          <w:p w14:paraId="315B94DA" w14:textId="36BAAB2C" w:rsidR="00B75AF1" w:rsidRPr="00D960DB" w:rsidRDefault="00B75AF1" w:rsidP="00F75FF9">
            <w:pPr>
              <w:jc w:val="center"/>
              <w:rPr>
                <w:rFonts w:eastAsiaTheme="minorEastAsia"/>
                <w:sz w:val="20"/>
                <w:szCs w:val="20"/>
              </w:rPr>
            </w:pPr>
            <w:r w:rsidRPr="00D960DB">
              <w:rPr>
                <w:rFonts w:eastAsiaTheme="minorEastAsia"/>
                <w:sz w:val="20"/>
                <w:szCs w:val="20"/>
              </w:rPr>
              <w:t>14</w:t>
            </w:r>
          </w:p>
        </w:tc>
        <w:tc>
          <w:tcPr>
            <w:tcW w:w="1890" w:type="dxa"/>
            <w:tcBorders>
              <w:top w:val="nil"/>
              <w:left w:val="nil"/>
              <w:bottom w:val="single" w:sz="4" w:space="0" w:color="auto"/>
              <w:right w:val="single" w:sz="4" w:space="0" w:color="auto"/>
            </w:tcBorders>
            <w:shd w:val="clear" w:color="auto" w:fill="auto"/>
            <w:noWrap/>
            <w:vAlign w:val="bottom"/>
            <w:hideMark/>
          </w:tcPr>
          <w:p w14:paraId="216A29F1" w14:textId="22B97FD9" w:rsidR="00B75AF1" w:rsidRPr="00D960DB" w:rsidRDefault="00B75AF1" w:rsidP="00F75FF9">
            <w:pPr>
              <w:jc w:val="center"/>
              <w:rPr>
                <w:rFonts w:eastAsiaTheme="minorEastAsia"/>
                <w:sz w:val="20"/>
                <w:szCs w:val="20"/>
              </w:rPr>
            </w:pPr>
            <w:r w:rsidRPr="00D960DB">
              <w:rPr>
                <w:rFonts w:eastAsiaTheme="minorEastAsia"/>
                <w:sz w:val="20"/>
                <w:szCs w:val="20"/>
              </w:rPr>
              <w:t>614</w:t>
            </w:r>
          </w:p>
        </w:tc>
        <w:tc>
          <w:tcPr>
            <w:tcW w:w="1503" w:type="dxa"/>
            <w:tcBorders>
              <w:top w:val="nil"/>
              <w:left w:val="nil"/>
              <w:bottom w:val="single" w:sz="4" w:space="0" w:color="auto"/>
              <w:right w:val="single" w:sz="4" w:space="0" w:color="auto"/>
            </w:tcBorders>
            <w:shd w:val="clear" w:color="auto" w:fill="auto"/>
            <w:noWrap/>
            <w:vAlign w:val="bottom"/>
            <w:hideMark/>
          </w:tcPr>
          <w:p w14:paraId="00D7C59E" w14:textId="77777777" w:rsidR="00B75AF1" w:rsidRPr="00D960DB" w:rsidRDefault="00B75AF1" w:rsidP="00C0151F">
            <w:pPr>
              <w:jc w:val="center"/>
              <w:rPr>
                <w:rFonts w:eastAsiaTheme="minorEastAsia"/>
                <w:sz w:val="20"/>
                <w:szCs w:val="20"/>
              </w:rPr>
            </w:pPr>
            <w:r w:rsidRPr="00D960DB">
              <w:rPr>
                <w:rFonts w:eastAsiaTheme="minorEastAsia"/>
                <w:sz w:val="20"/>
                <w:szCs w:val="20"/>
              </w:rPr>
              <w:t>0.46%</w:t>
            </w:r>
          </w:p>
        </w:tc>
        <w:tc>
          <w:tcPr>
            <w:tcW w:w="925" w:type="dxa"/>
            <w:tcBorders>
              <w:top w:val="nil"/>
              <w:left w:val="nil"/>
              <w:bottom w:val="single" w:sz="4" w:space="0" w:color="auto"/>
              <w:right w:val="single" w:sz="4" w:space="0" w:color="auto"/>
            </w:tcBorders>
            <w:shd w:val="clear" w:color="auto" w:fill="auto"/>
            <w:noWrap/>
            <w:vAlign w:val="bottom"/>
            <w:hideMark/>
          </w:tcPr>
          <w:p w14:paraId="70C4E150" w14:textId="77777777" w:rsidR="00B75AF1" w:rsidRPr="00D960DB" w:rsidRDefault="00B75AF1" w:rsidP="00F75FF9">
            <w:pPr>
              <w:jc w:val="center"/>
              <w:rPr>
                <w:rFonts w:eastAsiaTheme="minorEastAsia"/>
                <w:sz w:val="20"/>
                <w:szCs w:val="20"/>
              </w:rPr>
            </w:pPr>
            <w:r w:rsidRPr="00D960DB">
              <w:rPr>
                <w:rFonts w:eastAsiaTheme="minorEastAsia"/>
                <w:sz w:val="20"/>
                <w:szCs w:val="20"/>
              </w:rPr>
              <w:t>0.42%</w:t>
            </w:r>
          </w:p>
        </w:tc>
      </w:tr>
      <w:tr w:rsidR="00B75AF1" w:rsidRPr="00B75AF1" w14:paraId="2864C92A"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A5F7786" w14:textId="77777777" w:rsidR="00B75AF1" w:rsidRPr="00D960DB" w:rsidRDefault="00B75AF1" w:rsidP="00B75AF1">
            <w:pPr>
              <w:rPr>
                <w:rFonts w:eastAsiaTheme="minorEastAsia"/>
                <w:sz w:val="20"/>
                <w:szCs w:val="20"/>
              </w:rPr>
            </w:pPr>
            <w:r w:rsidRPr="00D960DB">
              <w:rPr>
                <w:rFonts w:eastAsiaTheme="minorEastAsia"/>
                <w:sz w:val="20"/>
                <w:szCs w:val="20"/>
              </w:rPr>
              <w:t>Chatham County</w:t>
            </w:r>
          </w:p>
        </w:tc>
        <w:tc>
          <w:tcPr>
            <w:tcW w:w="2536" w:type="dxa"/>
            <w:tcBorders>
              <w:top w:val="nil"/>
              <w:left w:val="nil"/>
              <w:bottom w:val="single" w:sz="4" w:space="0" w:color="auto"/>
              <w:right w:val="single" w:sz="4" w:space="0" w:color="auto"/>
            </w:tcBorders>
            <w:shd w:val="clear" w:color="auto" w:fill="auto"/>
            <w:noWrap/>
            <w:vAlign w:val="bottom"/>
            <w:hideMark/>
          </w:tcPr>
          <w:p w14:paraId="6B79441E" w14:textId="3336304A" w:rsidR="00B75AF1" w:rsidRPr="00D960DB" w:rsidRDefault="00B75AF1" w:rsidP="00F75FF9">
            <w:pPr>
              <w:jc w:val="center"/>
              <w:rPr>
                <w:rFonts w:eastAsiaTheme="minorEastAsia"/>
                <w:sz w:val="20"/>
                <w:szCs w:val="20"/>
              </w:rPr>
            </w:pPr>
            <w:r w:rsidRPr="00D960DB">
              <w:rPr>
                <w:rFonts w:eastAsiaTheme="minorEastAsia"/>
                <w:sz w:val="20"/>
                <w:szCs w:val="20"/>
              </w:rPr>
              <w:t>17</w:t>
            </w:r>
          </w:p>
        </w:tc>
        <w:tc>
          <w:tcPr>
            <w:tcW w:w="1890" w:type="dxa"/>
            <w:tcBorders>
              <w:top w:val="nil"/>
              <w:left w:val="nil"/>
              <w:bottom w:val="single" w:sz="4" w:space="0" w:color="auto"/>
              <w:right w:val="single" w:sz="4" w:space="0" w:color="auto"/>
            </w:tcBorders>
            <w:shd w:val="clear" w:color="auto" w:fill="auto"/>
            <w:noWrap/>
            <w:vAlign w:val="bottom"/>
            <w:hideMark/>
          </w:tcPr>
          <w:p w14:paraId="26371714" w14:textId="2B42F496" w:rsidR="00B75AF1" w:rsidRPr="00D960DB" w:rsidRDefault="00B75AF1" w:rsidP="00F75FF9">
            <w:pPr>
              <w:jc w:val="center"/>
              <w:rPr>
                <w:rFonts w:eastAsiaTheme="minorEastAsia"/>
                <w:sz w:val="20"/>
                <w:szCs w:val="20"/>
              </w:rPr>
            </w:pPr>
            <w:r w:rsidRPr="00D960DB">
              <w:rPr>
                <w:rFonts w:eastAsiaTheme="minorEastAsia"/>
                <w:sz w:val="20"/>
                <w:szCs w:val="20"/>
              </w:rPr>
              <w:t>612</w:t>
            </w:r>
          </w:p>
        </w:tc>
        <w:tc>
          <w:tcPr>
            <w:tcW w:w="1503" w:type="dxa"/>
            <w:tcBorders>
              <w:top w:val="nil"/>
              <w:left w:val="nil"/>
              <w:bottom w:val="single" w:sz="4" w:space="0" w:color="auto"/>
              <w:right w:val="single" w:sz="4" w:space="0" w:color="auto"/>
            </w:tcBorders>
            <w:shd w:val="clear" w:color="auto" w:fill="auto"/>
            <w:noWrap/>
            <w:vAlign w:val="bottom"/>
            <w:hideMark/>
          </w:tcPr>
          <w:p w14:paraId="2A7D2E90" w14:textId="77777777" w:rsidR="00B75AF1" w:rsidRPr="00D960DB" w:rsidRDefault="00B75AF1" w:rsidP="00C0151F">
            <w:pPr>
              <w:jc w:val="center"/>
              <w:rPr>
                <w:rFonts w:eastAsiaTheme="minorEastAsia"/>
                <w:sz w:val="20"/>
                <w:szCs w:val="20"/>
              </w:rPr>
            </w:pPr>
            <w:r w:rsidRPr="00D960DB">
              <w:rPr>
                <w:rFonts w:eastAsiaTheme="minorEastAsia"/>
                <w:sz w:val="20"/>
                <w:szCs w:val="20"/>
              </w:rPr>
              <w:t>0.56%</w:t>
            </w:r>
          </w:p>
        </w:tc>
        <w:tc>
          <w:tcPr>
            <w:tcW w:w="925" w:type="dxa"/>
            <w:tcBorders>
              <w:top w:val="nil"/>
              <w:left w:val="nil"/>
              <w:bottom w:val="single" w:sz="4" w:space="0" w:color="auto"/>
              <w:right w:val="single" w:sz="4" w:space="0" w:color="auto"/>
            </w:tcBorders>
            <w:shd w:val="clear" w:color="auto" w:fill="auto"/>
            <w:noWrap/>
            <w:vAlign w:val="bottom"/>
            <w:hideMark/>
          </w:tcPr>
          <w:p w14:paraId="1F700B0E" w14:textId="77777777" w:rsidR="00B75AF1" w:rsidRPr="00D960DB" w:rsidRDefault="00B75AF1" w:rsidP="00F75FF9">
            <w:pPr>
              <w:jc w:val="center"/>
              <w:rPr>
                <w:rFonts w:eastAsiaTheme="minorEastAsia"/>
                <w:sz w:val="20"/>
                <w:szCs w:val="20"/>
              </w:rPr>
            </w:pPr>
            <w:r w:rsidRPr="00D960DB">
              <w:rPr>
                <w:rFonts w:eastAsiaTheme="minorEastAsia"/>
                <w:sz w:val="20"/>
                <w:szCs w:val="20"/>
              </w:rPr>
              <w:t>0.42%</w:t>
            </w:r>
          </w:p>
        </w:tc>
      </w:tr>
      <w:tr w:rsidR="00B75AF1" w:rsidRPr="00B75AF1" w14:paraId="224AC43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D862920" w14:textId="77777777" w:rsidR="00B75AF1" w:rsidRPr="00D960DB" w:rsidRDefault="00B75AF1" w:rsidP="00B75AF1">
            <w:pPr>
              <w:rPr>
                <w:rFonts w:eastAsiaTheme="minorEastAsia"/>
                <w:sz w:val="20"/>
                <w:szCs w:val="20"/>
              </w:rPr>
            </w:pPr>
            <w:r w:rsidRPr="00D960DB">
              <w:rPr>
                <w:rFonts w:eastAsiaTheme="minorEastAsia"/>
                <w:sz w:val="20"/>
                <w:szCs w:val="20"/>
              </w:rPr>
              <w:t>Haywood County</w:t>
            </w:r>
          </w:p>
        </w:tc>
        <w:tc>
          <w:tcPr>
            <w:tcW w:w="2536" w:type="dxa"/>
            <w:tcBorders>
              <w:top w:val="nil"/>
              <w:left w:val="nil"/>
              <w:bottom w:val="single" w:sz="4" w:space="0" w:color="auto"/>
              <w:right w:val="single" w:sz="4" w:space="0" w:color="auto"/>
            </w:tcBorders>
            <w:shd w:val="clear" w:color="auto" w:fill="auto"/>
            <w:noWrap/>
            <w:vAlign w:val="bottom"/>
            <w:hideMark/>
          </w:tcPr>
          <w:p w14:paraId="5EE4746F" w14:textId="058DC0DE" w:rsidR="00B75AF1" w:rsidRPr="00D960DB" w:rsidRDefault="00B75AF1" w:rsidP="00F75FF9">
            <w:pPr>
              <w:jc w:val="center"/>
              <w:rPr>
                <w:rFonts w:eastAsiaTheme="minorEastAsia"/>
                <w:sz w:val="20"/>
                <w:szCs w:val="20"/>
              </w:rPr>
            </w:pPr>
            <w:r w:rsidRPr="00D960DB">
              <w:rPr>
                <w:rFonts w:eastAsiaTheme="minorEastAsia"/>
                <w:sz w:val="20"/>
                <w:szCs w:val="20"/>
              </w:rPr>
              <w:t>13</w:t>
            </w:r>
          </w:p>
        </w:tc>
        <w:tc>
          <w:tcPr>
            <w:tcW w:w="1890" w:type="dxa"/>
            <w:tcBorders>
              <w:top w:val="nil"/>
              <w:left w:val="nil"/>
              <w:bottom w:val="single" w:sz="4" w:space="0" w:color="auto"/>
              <w:right w:val="single" w:sz="4" w:space="0" w:color="auto"/>
            </w:tcBorders>
            <w:shd w:val="clear" w:color="auto" w:fill="auto"/>
            <w:noWrap/>
            <w:vAlign w:val="bottom"/>
            <w:hideMark/>
          </w:tcPr>
          <w:p w14:paraId="7D53AEEC" w14:textId="21E402B0" w:rsidR="00B75AF1" w:rsidRPr="00D960DB" w:rsidRDefault="00B75AF1" w:rsidP="00F75FF9">
            <w:pPr>
              <w:jc w:val="center"/>
              <w:rPr>
                <w:rFonts w:eastAsiaTheme="minorEastAsia"/>
                <w:sz w:val="20"/>
                <w:szCs w:val="20"/>
              </w:rPr>
            </w:pPr>
            <w:r w:rsidRPr="00D960DB">
              <w:rPr>
                <w:rFonts w:eastAsiaTheme="minorEastAsia"/>
                <w:sz w:val="20"/>
                <w:szCs w:val="20"/>
              </w:rPr>
              <w:t>571</w:t>
            </w:r>
          </w:p>
        </w:tc>
        <w:tc>
          <w:tcPr>
            <w:tcW w:w="1503" w:type="dxa"/>
            <w:tcBorders>
              <w:top w:val="nil"/>
              <w:left w:val="nil"/>
              <w:bottom w:val="single" w:sz="4" w:space="0" w:color="auto"/>
              <w:right w:val="single" w:sz="4" w:space="0" w:color="auto"/>
            </w:tcBorders>
            <w:shd w:val="clear" w:color="auto" w:fill="auto"/>
            <w:noWrap/>
            <w:vAlign w:val="bottom"/>
            <w:hideMark/>
          </w:tcPr>
          <w:p w14:paraId="0E6A8375" w14:textId="77777777" w:rsidR="00B75AF1" w:rsidRPr="00D960DB" w:rsidRDefault="00B75AF1" w:rsidP="00C0151F">
            <w:pPr>
              <w:jc w:val="center"/>
              <w:rPr>
                <w:rFonts w:eastAsiaTheme="minorEastAsia"/>
                <w:sz w:val="20"/>
                <w:szCs w:val="20"/>
              </w:rPr>
            </w:pPr>
            <w:r w:rsidRPr="00D960DB">
              <w:rPr>
                <w:rFonts w:eastAsiaTheme="minorEastAsia"/>
                <w:sz w:val="20"/>
                <w:szCs w:val="20"/>
              </w:rPr>
              <w:t>0.43%</w:t>
            </w:r>
          </w:p>
        </w:tc>
        <w:tc>
          <w:tcPr>
            <w:tcW w:w="925" w:type="dxa"/>
            <w:tcBorders>
              <w:top w:val="nil"/>
              <w:left w:val="nil"/>
              <w:bottom w:val="single" w:sz="4" w:space="0" w:color="auto"/>
              <w:right w:val="single" w:sz="4" w:space="0" w:color="auto"/>
            </w:tcBorders>
            <w:shd w:val="clear" w:color="auto" w:fill="auto"/>
            <w:noWrap/>
            <w:vAlign w:val="bottom"/>
            <w:hideMark/>
          </w:tcPr>
          <w:p w14:paraId="2741CC63" w14:textId="77777777" w:rsidR="00B75AF1" w:rsidRPr="00D960DB" w:rsidRDefault="00B75AF1" w:rsidP="00F75FF9">
            <w:pPr>
              <w:jc w:val="center"/>
              <w:rPr>
                <w:rFonts w:eastAsiaTheme="minorEastAsia"/>
                <w:sz w:val="20"/>
                <w:szCs w:val="20"/>
              </w:rPr>
            </w:pPr>
            <w:r w:rsidRPr="00D960DB">
              <w:rPr>
                <w:rFonts w:eastAsiaTheme="minorEastAsia"/>
                <w:sz w:val="20"/>
                <w:szCs w:val="20"/>
              </w:rPr>
              <w:t>0.39%</w:t>
            </w:r>
          </w:p>
        </w:tc>
      </w:tr>
      <w:tr w:rsidR="00B75AF1" w:rsidRPr="00B75AF1" w14:paraId="458E7FC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9571C92" w14:textId="77777777" w:rsidR="00B75AF1" w:rsidRPr="00D960DB" w:rsidRDefault="00B75AF1" w:rsidP="00B75AF1">
            <w:pPr>
              <w:rPr>
                <w:rFonts w:eastAsiaTheme="minorEastAsia"/>
                <w:sz w:val="20"/>
                <w:szCs w:val="20"/>
              </w:rPr>
            </w:pPr>
            <w:r w:rsidRPr="00D960DB">
              <w:rPr>
                <w:rFonts w:eastAsiaTheme="minorEastAsia"/>
                <w:sz w:val="20"/>
                <w:szCs w:val="20"/>
              </w:rPr>
              <w:t>Union County</w:t>
            </w:r>
          </w:p>
        </w:tc>
        <w:tc>
          <w:tcPr>
            <w:tcW w:w="2536" w:type="dxa"/>
            <w:tcBorders>
              <w:top w:val="nil"/>
              <w:left w:val="nil"/>
              <w:bottom w:val="single" w:sz="4" w:space="0" w:color="auto"/>
              <w:right w:val="single" w:sz="4" w:space="0" w:color="auto"/>
            </w:tcBorders>
            <w:shd w:val="clear" w:color="auto" w:fill="auto"/>
            <w:noWrap/>
            <w:vAlign w:val="bottom"/>
            <w:hideMark/>
          </w:tcPr>
          <w:p w14:paraId="0DEFE0AA" w14:textId="121064BF" w:rsidR="00B75AF1" w:rsidRPr="00D960DB" w:rsidRDefault="00B75AF1" w:rsidP="00F75FF9">
            <w:pPr>
              <w:jc w:val="center"/>
              <w:rPr>
                <w:rFonts w:eastAsiaTheme="minorEastAsia"/>
                <w:sz w:val="20"/>
                <w:szCs w:val="20"/>
              </w:rPr>
            </w:pPr>
            <w:r w:rsidRPr="00D960DB">
              <w:rPr>
                <w:rFonts w:eastAsiaTheme="minorEastAsia"/>
                <w:sz w:val="20"/>
                <w:szCs w:val="20"/>
              </w:rPr>
              <w:t>12</w:t>
            </w:r>
          </w:p>
        </w:tc>
        <w:tc>
          <w:tcPr>
            <w:tcW w:w="1890" w:type="dxa"/>
            <w:tcBorders>
              <w:top w:val="nil"/>
              <w:left w:val="nil"/>
              <w:bottom w:val="single" w:sz="4" w:space="0" w:color="auto"/>
              <w:right w:val="single" w:sz="4" w:space="0" w:color="auto"/>
            </w:tcBorders>
            <w:shd w:val="clear" w:color="auto" w:fill="auto"/>
            <w:noWrap/>
            <w:vAlign w:val="bottom"/>
            <w:hideMark/>
          </w:tcPr>
          <w:p w14:paraId="468A8225" w14:textId="3A06CEF9" w:rsidR="00B75AF1" w:rsidRPr="00D960DB" w:rsidRDefault="00B75AF1" w:rsidP="00F75FF9">
            <w:pPr>
              <w:jc w:val="center"/>
              <w:rPr>
                <w:rFonts w:eastAsiaTheme="minorEastAsia"/>
                <w:sz w:val="20"/>
                <w:szCs w:val="20"/>
              </w:rPr>
            </w:pPr>
            <w:r w:rsidRPr="00D960DB">
              <w:rPr>
                <w:rFonts w:eastAsiaTheme="minorEastAsia"/>
                <w:sz w:val="20"/>
                <w:szCs w:val="20"/>
              </w:rPr>
              <w:t>566</w:t>
            </w:r>
          </w:p>
        </w:tc>
        <w:tc>
          <w:tcPr>
            <w:tcW w:w="1503" w:type="dxa"/>
            <w:tcBorders>
              <w:top w:val="nil"/>
              <w:left w:val="nil"/>
              <w:bottom w:val="single" w:sz="4" w:space="0" w:color="auto"/>
              <w:right w:val="single" w:sz="4" w:space="0" w:color="auto"/>
            </w:tcBorders>
            <w:shd w:val="clear" w:color="auto" w:fill="auto"/>
            <w:noWrap/>
            <w:vAlign w:val="bottom"/>
            <w:hideMark/>
          </w:tcPr>
          <w:p w14:paraId="4AAF9B9C" w14:textId="77777777" w:rsidR="00B75AF1" w:rsidRPr="00D960DB" w:rsidRDefault="00B75AF1" w:rsidP="00C0151F">
            <w:pPr>
              <w:jc w:val="center"/>
              <w:rPr>
                <w:rFonts w:eastAsiaTheme="minorEastAsia"/>
                <w:sz w:val="20"/>
                <w:szCs w:val="20"/>
              </w:rPr>
            </w:pPr>
            <w:r w:rsidRPr="00D960DB">
              <w:rPr>
                <w:rFonts w:eastAsiaTheme="minorEastAsia"/>
                <w:sz w:val="20"/>
                <w:szCs w:val="20"/>
              </w:rPr>
              <w:t>0.40%</w:t>
            </w:r>
          </w:p>
        </w:tc>
        <w:tc>
          <w:tcPr>
            <w:tcW w:w="925" w:type="dxa"/>
            <w:tcBorders>
              <w:top w:val="nil"/>
              <w:left w:val="nil"/>
              <w:bottom w:val="single" w:sz="4" w:space="0" w:color="auto"/>
              <w:right w:val="single" w:sz="4" w:space="0" w:color="auto"/>
            </w:tcBorders>
            <w:shd w:val="clear" w:color="auto" w:fill="auto"/>
            <w:noWrap/>
            <w:vAlign w:val="bottom"/>
            <w:hideMark/>
          </w:tcPr>
          <w:p w14:paraId="4DF1852A" w14:textId="77777777" w:rsidR="00B75AF1" w:rsidRPr="00D960DB" w:rsidRDefault="00B75AF1" w:rsidP="00F75FF9">
            <w:pPr>
              <w:jc w:val="center"/>
              <w:rPr>
                <w:rFonts w:eastAsiaTheme="minorEastAsia"/>
                <w:sz w:val="20"/>
                <w:szCs w:val="20"/>
              </w:rPr>
            </w:pPr>
            <w:r w:rsidRPr="00D960DB">
              <w:rPr>
                <w:rFonts w:eastAsiaTheme="minorEastAsia"/>
                <w:sz w:val="20"/>
                <w:szCs w:val="20"/>
              </w:rPr>
              <w:t>0.39%</w:t>
            </w:r>
          </w:p>
        </w:tc>
      </w:tr>
      <w:tr w:rsidR="00B75AF1" w:rsidRPr="00B75AF1" w14:paraId="0322B49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6C83E13" w14:textId="77777777" w:rsidR="00B75AF1" w:rsidRPr="00D960DB" w:rsidRDefault="00B75AF1" w:rsidP="00B75AF1">
            <w:pPr>
              <w:rPr>
                <w:rFonts w:eastAsiaTheme="minorEastAsia"/>
                <w:sz w:val="20"/>
                <w:szCs w:val="20"/>
              </w:rPr>
            </w:pPr>
            <w:r w:rsidRPr="00D960DB">
              <w:rPr>
                <w:rFonts w:eastAsiaTheme="minorEastAsia"/>
                <w:sz w:val="20"/>
                <w:szCs w:val="20"/>
              </w:rPr>
              <w:t>Hertford County</w:t>
            </w:r>
          </w:p>
        </w:tc>
        <w:tc>
          <w:tcPr>
            <w:tcW w:w="2536" w:type="dxa"/>
            <w:tcBorders>
              <w:top w:val="nil"/>
              <w:left w:val="nil"/>
              <w:bottom w:val="single" w:sz="4" w:space="0" w:color="auto"/>
              <w:right w:val="single" w:sz="4" w:space="0" w:color="auto"/>
            </w:tcBorders>
            <w:shd w:val="clear" w:color="auto" w:fill="auto"/>
            <w:noWrap/>
            <w:vAlign w:val="bottom"/>
            <w:hideMark/>
          </w:tcPr>
          <w:p w14:paraId="4B021766" w14:textId="016DEE2F" w:rsidR="00B75AF1" w:rsidRPr="00D960DB" w:rsidRDefault="00B75AF1" w:rsidP="00F75FF9">
            <w:pPr>
              <w:jc w:val="center"/>
              <w:rPr>
                <w:rFonts w:eastAsiaTheme="minorEastAsia"/>
                <w:sz w:val="20"/>
                <w:szCs w:val="20"/>
              </w:rPr>
            </w:pPr>
            <w:r w:rsidRPr="00D960DB">
              <w:rPr>
                <w:rFonts w:eastAsiaTheme="minorEastAsia"/>
                <w:sz w:val="20"/>
                <w:szCs w:val="20"/>
              </w:rPr>
              <w:t>16</w:t>
            </w:r>
          </w:p>
        </w:tc>
        <w:tc>
          <w:tcPr>
            <w:tcW w:w="1890" w:type="dxa"/>
            <w:tcBorders>
              <w:top w:val="nil"/>
              <w:left w:val="nil"/>
              <w:bottom w:val="single" w:sz="4" w:space="0" w:color="auto"/>
              <w:right w:val="single" w:sz="4" w:space="0" w:color="auto"/>
            </w:tcBorders>
            <w:shd w:val="clear" w:color="auto" w:fill="auto"/>
            <w:noWrap/>
            <w:vAlign w:val="bottom"/>
            <w:hideMark/>
          </w:tcPr>
          <w:p w14:paraId="2A487C3F" w14:textId="37CFC034" w:rsidR="00B75AF1" w:rsidRPr="00D960DB" w:rsidRDefault="00B75AF1" w:rsidP="00F75FF9">
            <w:pPr>
              <w:jc w:val="center"/>
              <w:rPr>
                <w:rFonts w:eastAsiaTheme="minorEastAsia"/>
                <w:sz w:val="20"/>
                <w:szCs w:val="20"/>
              </w:rPr>
            </w:pPr>
            <w:r w:rsidRPr="00D960DB">
              <w:rPr>
                <w:rFonts w:eastAsiaTheme="minorEastAsia"/>
                <w:sz w:val="20"/>
                <w:szCs w:val="20"/>
              </w:rPr>
              <w:t>553</w:t>
            </w:r>
          </w:p>
        </w:tc>
        <w:tc>
          <w:tcPr>
            <w:tcW w:w="1503" w:type="dxa"/>
            <w:tcBorders>
              <w:top w:val="nil"/>
              <w:left w:val="nil"/>
              <w:bottom w:val="single" w:sz="4" w:space="0" w:color="auto"/>
              <w:right w:val="single" w:sz="4" w:space="0" w:color="auto"/>
            </w:tcBorders>
            <w:shd w:val="clear" w:color="auto" w:fill="auto"/>
            <w:noWrap/>
            <w:vAlign w:val="bottom"/>
            <w:hideMark/>
          </w:tcPr>
          <w:p w14:paraId="39D34EB6" w14:textId="77777777" w:rsidR="00B75AF1" w:rsidRPr="00D960DB" w:rsidRDefault="00B75AF1" w:rsidP="00C0151F">
            <w:pPr>
              <w:jc w:val="center"/>
              <w:rPr>
                <w:rFonts w:eastAsiaTheme="minorEastAsia"/>
                <w:sz w:val="20"/>
                <w:szCs w:val="20"/>
              </w:rPr>
            </w:pPr>
            <w:r w:rsidRPr="00D960DB">
              <w:rPr>
                <w:rFonts w:eastAsiaTheme="minorEastAsia"/>
                <w:sz w:val="20"/>
                <w:szCs w:val="20"/>
              </w:rPr>
              <w:t>0.53%</w:t>
            </w:r>
          </w:p>
        </w:tc>
        <w:tc>
          <w:tcPr>
            <w:tcW w:w="925" w:type="dxa"/>
            <w:tcBorders>
              <w:top w:val="nil"/>
              <w:left w:val="nil"/>
              <w:bottom w:val="single" w:sz="4" w:space="0" w:color="auto"/>
              <w:right w:val="single" w:sz="4" w:space="0" w:color="auto"/>
            </w:tcBorders>
            <w:shd w:val="clear" w:color="auto" w:fill="auto"/>
            <w:noWrap/>
            <w:vAlign w:val="bottom"/>
            <w:hideMark/>
          </w:tcPr>
          <w:p w14:paraId="7A7F5D14" w14:textId="77777777" w:rsidR="00B75AF1" w:rsidRPr="00D960DB" w:rsidRDefault="00B75AF1" w:rsidP="00F75FF9">
            <w:pPr>
              <w:jc w:val="center"/>
              <w:rPr>
                <w:rFonts w:eastAsiaTheme="minorEastAsia"/>
                <w:sz w:val="20"/>
                <w:szCs w:val="20"/>
              </w:rPr>
            </w:pPr>
            <w:r w:rsidRPr="00D960DB">
              <w:rPr>
                <w:rFonts w:eastAsiaTheme="minorEastAsia"/>
                <w:sz w:val="20"/>
                <w:szCs w:val="20"/>
              </w:rPr>
              <w:t>0.38%</w:t>
            </w:r>
          </w:p>
        </w:tc>
      </w:tr>
      <w:tr w:rsidR="00B75AF1" w:rsidRPr="00B75AF1" w14:paraId="2047E71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577B7AF" w14:textId="77777777" w:rsidR="00B75AF1" w:rsidRPr="00D960DB" w:rsidRDefault="00B75AF1" w:rsidP="00B75AF1">
            <w:pPr>
              <w:rPr>
                <w:rFonts w:eastAsiaTheme="minorEastAsia"/>
                <w:sz w:val="20"/>
                <w:szCs w:val="20"/>
              </w:rPr>
            </w:pPr>
            <w:r w:rsidRPr="00D960DB">
              <w:rPr>
                <w:rFonts w:eastAsiaTheme="minorEastAsia"/>
                <w:sz w:val="20"/>
                <w:szCs w:val="20"/>
              </w:rPr>
              <w:t>Stokes County</w:t>
            </w:r>
          </w:p>
        </w:tc>
        <w:tc>
          <w:tcPr>
            <w:tcW w:w="2536" w:type="dxa"/>
            <w:tcBorders>
              <w:top w:val="nil"/>
              <w:left w:val="nil"/>
              <w:bottom w:val="single" w:sz="4" w:space="0" w:color="auto"/>
              <w:right w:val="single" w:sz="4" w:space="0" w:color="auto"/>
            </w:tcBorders>
            <w:shd w:val="clear" w:color="auto" w:fill="auto"/>
            <w:noWrap/>
            <w:vAlign w:val="bottom"/>
            <w:hideMark/>
          </w:tcPr>
          <w:p w14:paraId="3CCEADD0" w14:textId="38DB5EA8" w:rsidR="00B75AF1" w:rsidRPr="00D960DB" w:rsidRDefault="00B75AF1" w:rsidP="00F75FF9">
            <w:pPr>
              <w:jc w:val="center"/>
              <w:rPr>
                <w:rFonts w:eastAsiaTheme="minorEastAsia"/>
                <w:sz w:val="20"/>
                <w:szCs w:val="20"/>
              </w:rPr>
            </w:pPr>
            <w:r w:rsidRPr="00D960DB">
              <w:rPr>
                <w:rFonts w:eastAsiaTheme="minorEastAsia"/>
                <w:sz w:val="20"/>
                <w:szCs w:val="20"/>
              </w:rPr>
              <w:t>18</w:t>
            </w:r>
          </w:p>
        </w:tc>
        <w:tc>
          <w:tcPr>
            <w:tcW w:w="1890" w:type="dxa"/>
            <w:tcBorders>
              <w:top w:val="nil"/>
              <w:left w:val="nil"/>
              <w:bottom w:val="single" w:sz="4" w:space="0" w:color="auto"/>
              <w:right w:val="single" w:sz="4" w:space="0" w:color="auto"/>
            </w:tcBorders>
            <w:shd w:val="clear" w:color="auto" w:fill="auto"/>
            <w:noWrap/>
            <w:vAlign w:val="bottom"/>
            <w:hideMark/>
          </w:tcPr>
          <w:p w14:paraId="5FEECAFE" w14:textId="71DEAE22" w:rsidR="00B75AF1" w:rsidRPr="00D960DB" w:rsidRDefault="00B75AF1" w:rsidP="00F75FF9">
            <w:pPr>
              <w:jc w:val="center"/>
              <w:rPr>
                <w:rFonts w:eastAsiaTheme="minorEastAsia"/>
                <w:sz w:val="20"/>
                <w:szCs w:val="20"/>
              </w:rPr>
            </w:pPr>
            <w:r w:rsidRPr="00D960DB">
              <w:rPr>
                <w:rFonts w:eastAsiaTheme="minorEastAsia"/>
                <w:sz w:val="20"/>
                <w:szCs w:val="20"/>
              </w:rPr>
              <w:t>549</w:t>
            </w:r>
          </w:p>
        </w:tc>
        <w:tc>
          <w:tcPr>
            <w:tcW w:w="1503" w:type="dxa"/>
            <w:tcBorders>
              <w:top w:val="nil"/>
              <w:left w:val="nil"/>
              <w:bottom w:val="single" w:sz="4" w:space="0" w:color="auto"/>
              <w:right w:val="single" w:sz="4" w:space="0" w:color="auto"/>
            </w:tcBorders>
            <w:shd w:val="clear" w:color="auto" w:fill="auto"/>
            <w:noWrap/>
            <w:vAlign w:val="bottom"/>
            <w:hideMark/>
          </w:tcPr>
          <w:p w14:paraId="66EE6895" w14:textId="77777777" w:rsidR="00B75AF1" w:rsidRPr="00D960DB" w:rsidRDefault="00B75AF1" w:rsidP="00C0151F">
            <w:pPr>
              <w:jc w:val="center"/>
              <w:rPr>
                <w:rFonts w:eastAsiaTheme="minorEastAsia"/>
                <w:sz w:val="20"/>
                <w:szCs w:val="20"/>
              </w:rPr>
            </w:pPr>
            <w:r w:rsidRPr="00D960DB">
              <w:rPr>
                <w:rFonts w:eastAsiaTheme="minorEastAsia"/>
                <w:sz w:val="20"/>
                <w:szCs w:val="20"/>
              </w:rPr>
              <w:t>0.60%</w:t>
            </w:r>
          </w:p>
        </w:tc>
        <w:tc>
          <w:tcPr>
            <w:tcW w:w="925" w:type="dxa"/>
            <w:tcBorders>
              <w:top w:val="nil"/>
              <w:left w:val="nil"/>
              <w:bottom w:val="single" w:sz="4" w:space="0" w:color="auto"/>
              <w:right w:val="single" w:sz="4" w:space="0" w:color="auto"/>
            </w:tcBorders>
            <w:shd w:val="clear" w:color="auto" w:fill="auto"/>
            <w:noWrap/>
            <w:vAlign w:val="bottom"/>
            <w:hideMark/>
          </w:tcPr>
          <w:p w14:paraId="632F1510" w14:textId="77777777" w:rsidR="00B75AF1" w:rsidRPr="00D960DB" w:rsidRDefault="00B75AF1" w:rsidP="00F75FF9">
            <w:pPr>
              <w:jc w:val="center"/>
              <w:rPr>
                <w:rFonts w:eastAsiaTheme="minorEastAsia"/>
                <w:sz w:val="20"/>
                <w:szCs w:val="20"/>
              </w:rPr>
            </w:pPr>
            <w:r w:rsidRPr="00D960DB">
              <w:rPr>
                <w:rFonts w:eastAsiaTheme="minorEastAsia"/>
                <w:sz w:val="20"/>
                <w:szCs w:val="20"/>
              </w:rPr>
              <w:t>0.37%</w:t>
            </w:r>
          </w:p>
        </w:tc>
      </w:tr>
      <w:tr w:rsidR="00B75AF1" w:rsidRPr="00B75AF1" w14:paraId="7C5523FC"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1796D39" w14:textId="77777777" w:rsidR="00B75AF1" w:rsidRPr="00D960DB" w:rsidRDefault="00B75AF1" w:rsidP="00B75AF1">
            <w:pPr>
              <w:rPr>
                <w:rFonts w:eastAsiaTheme="minorEastAsia"/>
                <w:sz w:val="20"/>
                <w:szCs w:val="20"/>
              </w:rPr>
            </w:pPr>
            <w:r w:rsidRPr="00D960DB">
              <w:rPr>
                <w:rFonts w:eastAsiaTheme="minorEastAsia"/>
                <w:sz w:val="20"/>
                <w:szCs w:val="20"/>
              </w:rPr>
              <w:t>Hoke County</w:t>
            </w:r>
          </w:p>
        </w:tc>
        <w:tc>
          <w:tcPr>
            <w:tcW w:w="2536" w:type="dxa"/>
            <w:tcBorders>
              <w:top w:val="nil"/>
              <w:left w:val="nil"/>
              <w:bottom w:val="single" w:sz="4" w:space="0" w:color="auto"/>
              <w:right w:val="single" w:sz="4" w:space="0" w:color="auto"/>
            </w:tcBorders>
            <w:shd w:val="clear" w:color="auto" w:fill="auto"/>
            <w:noWrap/>
            <w:vAlign w:val="bottom"/>
            <w:hideMark/>
          </w:tcPr>
          <w:p w14:paraId="2A5FCD98" w14:textId="55FE4A45" w:rsidR="00B75AF1" w:rsidRPr="00D960DB" w:rsidRDefault="00B75AF1" w:rsidP="00F75FF9">
            <w:pPr>
              <w:jc w:val="center"/>
              <w:rPr>
                <w:rFonts w:eastAsiaTheme="minorEastAsia"/>
                <w:sz w:val="20"/>
                <w:szCs w:val="20"/>
              </w:rPr>
            </w:pPr>
            <w:r w:rsidRPr="00D960DB">
              <w:rPr>
                <w:rFonts w:eastAsiaTheme="minorEastAsia"/>
                <w:sz w:val="20"/>
                <w:szCs w:val="20"/>
              </w:rPr>
              <w:t>16</w:t>
            </w:r>
          </w:p>
        </w:tc>
        <w:tc>
          <w:tcPr>
            <w:tcW w:w="1890" w:type="dxa"/>
            <w:tcBorders>
              <w:top w:val="nil"/>
              <w:left w:val="nil"/>
              <w:bottom w:val="single" w:sz="4" w:space="0" w:color="auto"/>
              <w:right w:val="single" w:sz="4" w:space="0" w:color="auto"/>
            </w:tcBorders>
            <w:shd w:val="clear" w:color="auto" w:fill="auto"/>
            <w:noWrap/>
            <w:vAlign w:val="bottom"/>
            <w:hideMark/>
          </w:tcPr>
          <w:p w14:paraId="385F084D" w14:textId="3EABA544" w:rsidR="00B75AF1" w:rsidRPr="00D960DB" w:rsidRDefault="00B75AF1" w:rsidP="00F75FF9">
            <w:pPr>
              <w:jc w:val="center"/>
              <w:rPr>
                <w:rFonts w:eastAsiaTheme="minorEastAsia"/>
                <w:sz w:val="20"/>
                <w:szCs w:val="20"/>
              </w:rPr>
            </w:pPr>
            <w:r w:rsidRPr="00D960DB">
              <w:rPr>
                <w:rFonts w:eastAsiaTheme="minorEastAsia"/>
                <w:sz w:val="20"/>
                <w:szCs w:val="20"/>
              </w:rPr>
              <w:t>520</w:t>
            </w:r>
          </w:p>
        </w:tc>
        <w:tc>
          <w:tcPr>
            <w:tcW w:w="1503" w:type="dxa"/>
            <w:tcBorders>
              <w:top w:val="nil"/>
              <w:left w:val="nil"/>
              <w:bottom w:val="single" w:sz="4" w:space="0" w:color="auto"/>
              <w:right w:val="single" w:sz="4" w:space="0" w:color="auto"/>
            </w:tcBorders>
            <w:shd w:val="clear" w:color="auto" w:fill="auto"/>
            <w:noWrap/>
            <w:vAlign w:val="bottom"/>
            <w:hideMark/>
          </w:tcPr>
          <w:p w14:paraId="30CE4D46" w14:textId="77777777" w:rsidR="00B75AF1" w:rsidRPr="00D960DB" w:rsidRDefault="00B75AF1" w:rsidP="00C0151F">
            <w:pPr>
              <w:jc w:val="center"/>
              <w:rPr>
                <w:rFonts w:eastAsiaTheme="minorEastAsia"/>
                <w:sz w:val="20"/>
                <w:szCs w:val="20"/>
              </w:rPr>
            </w:pPr>
            <w:r w:rsidRPr="00D960DB">
              <w:rPr>
                <w:rFonts w:eastAsiaTheme="minorEastAsia"/>
                <w:sz w:val="20"/>
                <w:szCs w:val="20"/>
              </w:rPr>
              <w:t>0.53%</w:t>
            </w:r>
          </w:p>
        </w:tc>
        <w:tc>
          <w:tcPr>
            <w:tcW w:w="925" w:type="dxa"/>
            <w:tcBorders>
              <w:top w:val="nil"/>
              <w:left w:val="nil"/>
              <w:bottom w:val="single" w:sz="4" w:space="0" w:color="auto"/>
              <w:right w:val="single" w:sz="4" w:space="0" w:color="auto"/>
            </w:tcBorders>
            <w:shd w:val="clear" w:color="auto" w:fill="auto"/>
            <w:noWrap/>
            <w:vAlign w:val="bottom"/>
            <w:hideMark/>
          </w:tcPr>
          <w:p w14:paraId="757749BF" w14:textId="77777777" w:rsidR="00B75AF1" w:rsidRPr="00D960DB" w:rsidRDefault="00B75AF1" w:rsidP="00F75FF9">
            <w:pPr>
              <w:jc w:val="center"/>
              <w:rPr>
                <w:rFonts w:eastAsiaTheme="minorEastAsia"/>
                <w:sz w:val="20"/>
                <w:szCs w:val="20"/>
              </w:rPr>
            </w:pPr>
            <w:r w:rsidRPr="00D960DB">
              <w:rPr>
                <w:rFonts w:eastAsiaTheme="minorEastAsia"/>
                <w:sz w:val="20"/>
                <w:szCs w:val="20"/>
              </w:rPr>
              <w:t>0.35%</w:t>
            </w:r>
          </w:p>
        </w:tc>
      </w:tr>
      <w:tr w:rsidR="00B75AF1" w:rsidRPr="00B75AF1" w14:paraId="4AB26408"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95287A2" w14:textId="77777777" w:rsidR="00B75AF1" w:rsidRPr="00D960DB" w:rsidRDefault="00B75AF1" w:rsidP="00B75AF1">
            <w:pPr>
              <w:rPr>
                <w:rFonts w:eastAsiaTheme="minorEastAsia"/>
                <w:sz w:val="20"/>
                <w:szCs w:val="20"/>
              </w:rPr>
            </w:pPr>
            <w:r w:rsidRPr="00D960DB">
              <w:rPr>
                <w:rFonts w:eastAsiaTheme="minorEastAsia"/>
                <w:sz w:val="20"/>
                <w:szCs w:val="20"/>
              </w:rPr>
              <w:t>Davie County</w:t>
            </w:r>
          </w:p>
        </w:tc>
        <w:tc>
          <w:tcPr>
            <w:tcW w:w="2536" w:type="dxa"/>
            <w:tcBorders>
              <w:top w:val="nil"/>
              <w:left w:val="nil"/>
              <w:bottom w:val="single" w:sz="4" w:space="0" w:color="auto"/>
              <w:right w:val="single" w:sz="4" w:space="0" w:color="auto"/>
            </w:tcBorders>
            <w:shd w:val="clear" w:color="auto" w:fill="auto"/>
            <w:noWrap/>
            <w:vAlign w:val="bottom"/>
            <w:hideMark/>
          </w:tcPr>
          <w:p w14:paraId="1E2A5341" w14:textId="5E75B861" w:rsidR="00B75AF1" w:rsidRPr="00D960DB" w:rsidRDefault="00B75AF1" w:rsidP="00F75FF9">
            <w:pPr>
              <w:jc w:val="center"/>
              <w:rPr>
                <w:rFonts w:eastAsiaTheme="minorEastAsia"/>
                <w:sz w:val="20"/>
                <w:szCs w:val="20"/>
              </w:rPr>
            </w:pPr>
            <w:r w:rsidRPr="00D960DB">
              <w:rPr>
                <w:rFonts w:eastAsiaTheme="minorEastAsia"/>
                <w:sz w:val="20"/>
                <w:szCs w:val="20"/>
              </w:rPr>
              <w:t>14</w:t>
            </w:r>
          </w:p>
        </w:tc>
        <w:tc>
          <w:tcPr>
            <w:tcW w:w="1890" w:type="dxa"/>
            <w:tcBorders>
              <w:top w:val="nil"/>
              <w:left w:val="nil"/>
              <w:bottom w:val="single" w:sz="4" w:space="0" w:color="auto"/>
              <w:right w:val="single" w:sz="4" w:space="0" w:color="auto"/>
            </w:tcBorders>
            <w:shd w:val="clear" w:color="auto" w:fill="auto"/>
            <w:noWrap/>
            <w:vAlign w:val="bottom"/>
            <w:hideMark/>
          </w:tcPr>
          <w:p w14:paraId="58C8B2B0" w14:textId="63BA95E3" w:rsidR="00B75AF1" w:rsidRPr="00D960DB" w:rsidRDefault="00B75AF1" w:rsidP="00F75FF9">
            <w:pPr>
              <w:jc w:val="center"/>
              <w:rPr>
                <w:rFonts w:eastAsiaTheme="minorEastAsia"/>
                <w:sz w:val="20"/>
                <w:szCs w:val="20"/>
              </w:rPr>
            </w:pPr>
            <w:r w:rsidRPr="00D960DB">
              <w:rPr>
                <w:rFonts w:eastAsiaTheme="minorEastAsia"/>
                <w:sz w:val="20"/>
                <w:szCs w:val="20"/>
              </w:rPr>
              <w:t>514</w:t>
            </w:r>
          </w:p>
        </w:tc>
        <w:tc>
          <w:tcPr>
            <w:tcW w:w="1503" w:type="dxa"/>
            <w:tcBorders>
              <w:top w:val="nil"/>
              <w:left w:val="nil"/>
              <w:bottom w:val="single" w:sz="4" w:space="0" w:color="auto"/>
              <w:right w:val="single" w:sz="4" w:space="0" w:color="auto"/>
            </w:tcBorders>
            <w:shd w:val="clear" w:color="auto" w:fill="auto"/>
            <w:noWrap/>
            <w:vAlign w:val="bottom"/>
            <w:hideMark/>
          </w:tcPr>
          <w:p w14:paraId="267BEE1E" w14:textId="77777777" w:rsidR="00B75AF1" w:rsidRPr="00D960DB" w:rsidRDefault="00B75AF1" w:rsidP="00C0151F">
            <w:pPr>
              <w:jc w:val="center"/>
              <w:rPr>
                <w:rFonts w:eastAsiaTheme="minorEastAsia"/>
                <w:sz w:val="20"/>
                <w:szCs w:val="20"/>
              </w:rPr>
            </w:pPr>
            <w:r w:rsidRPr="00D960DB">
              <w:rPr>
                <w:rFonts w:eastAsiaTheme="minorEastAsia"/>
                <w:sz w:val="20"/>
                <w:szCs w:val="20"/>
              </w:rPr>
              <w:t>0.46%</w:t>
            </w:r>
          </w:p>
        </w:tc>
        <w:tc>
          <w:tcPr>
            <w:tcW w:w="925" w:type="dxa"/>
            <w:tcBorders>
              <w:top w:val="nil"/>
              <w:left w:val="nil"/>
              <w:bottom w:val="single" w:sz="4" w:space="0" w:color="auto"/>
              <w:right w:val="single" w:sz="4" w:space="0" w:color="auto"/>
            </w:tcBorders>
            <w:shd w:val="clear" w:color="auto" w:fill="auto"/>
            <w:noWrap/>
            <w:vAlign w:val="bottom"/>
            <w:hideMark/>
          </w:tcPr>
          <w:p w14:paraId="7B6AC91D" w14:textId="77777777" w:rsidR="00B75AF1" w:rsidRPr="00D960DB" w:rsidRDefault="00B75AF1" w:rsidP="00F75FF9">
            <w:pPr>
              <w:jc w:val="center"/>
              <w:rPr>
                <w:rFonts w:eastAsiaTheme="minorEastAsia"/>
                <w:sz w:val="20"/>
                <w:szCs w:val="20"/>
              </w:rPr>
            </w:pPr>
            <w:r w:rsidRPr="00D960DB">
              <w:rPr>
                <w:rFonts w:eastAsiaTheme="minorEastAsia"/>
                <w:sz w:val="20"/>
                <w:szCs w:val="20"/>
              </w:rPr>
              <w:t>0.35%</w:t>
            </w:r>
          </w:p>
        </w:tc>
      </w:tr>
      <w:tr w:rsidR="00B75AF1" w:rsidRPr="00B75AF1" w14:paraId="4C14797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8B4628B" w14:textId="77777777" w:rsidR="00B75AF1" w:rsidRPr="00D960DB" w:rsidRDefault="00B75AF1" w:rsidP="00B75AF1">
            <w:pPr>
              <w:rPr>
                <w:rFonts w:eastAsiaTheme="minorEastAsia"/>
                <w:sz w:val="20"/>
                <w:szCs w:val="20"/>
              </w:rPr>
            </w:pPr>
            <w:r w:rsidRPr="00D960DB">
              <w:rPr>
                <w:rFonts w:eastAsiaTheme="minorEastAsia"/>
                <w:sz w:val="20"/>
                <w:szCs w:val="20"/>
              </w:rPr>
              <w:t>Transylvania County</w:t>
            </w:r>
          </w:p>
        </w:tc>
        <w:tc>
          <w:tcPr>
            <w:tcW w:w="2536" w:type="dxa"/>
            <w:tcBorders>
              <w:top w:val="nil"/>
              <w:left w:val="nil"/>
              <w:bottom w:val="single" w:sz="4" w:space="0" w:color="auto"/>
              <w:right w:val="single" w:sz="4" w:space="0" w:color="auto"/>
            </w:tcBorders>
            <w:shd w:val="clear" w:color="auto" w:fill="auto"/>
            <w:noWrap/>
            <w:vAlign w:val="bottom"/>
            <w:hideMark/>
          </w:tcPr>
          <w:p w14:paraId="7B354DF4" w14:textId="60A6B82D" w:rsidR="00B75AF1" w:rsidRPr="00D960DB" w:rsidRDefault="00B75AF1" w:rsidP="00F75FF9">
            <w:pPr>
              <w:jc w:val="center"/>
              <w:rPr>
                <w:rFonts w:eastAsiaTheme="minorEastAsia"/>
                <w:sz w:val="20"/>
                <w:szCs w:val="20"/>
              </w:rPr>
            </w:pPr>
            <w:r w:rsidRPr="00D960DB">
              <w:rPr>
                <w:rFonts w:eastAsiaTheme="minorEastAsia"/>
                <w:sz w:val="20"/>
                <w:szCs w:val="20"/>
              </w:rPr>
              <w:t>10</w:t>
            </w:r>
          </w:p>
        </w:tc>
        <w:tc>
          <w:tcPr>
            <w:tcW w:w="1890" w:type="dxa"/>
            <w:tcBorders>
              <w:top w:val="nil"/>
              <w:left w:val="nil"/>
              <w:bottom w:val="single" w:sz="4" w:space="0" w:color="auto"/>
              <w:right w:val="single" w:sz="4" w:space="0" w:color="auto"/>
            </w:tcBorders>
            <w:shd w:val="clear" w:color="auto" w:fill="auto"/>
            <w:noWrap/>
            <w:vAlign w:val="bottom"/>
            <w:hideMark/>
          </w:tcPr>
          <w:p w14:paraId="46FC7337" w14:textId="29877A04" w:rsidR="00B75AF1" w:rsidRPr="00D960DB" w:rsidRDefault="00B75AF1" w:rsidP="00F75FF9">
            <w:pPr>
              <w:jc w:val="center"/>
              <w:rPr>
                <w:rFonts w:eastAsiaTheme="minorEastAsia"/>
                <w:sz w:val="20"/>
                <w:szCs w:val="20"/>
              </w:rPr>
            </w:pPr>
            <w:r w:rsidRPr="00D960DB">
              <w:rPr>
                <w:rFonts w:eastAsiaTheme="minorEastAsia"/>
                <w:sz w:val="20"/>
                <w:szCs w:val="20"/>
              </w:rPr>
              <w:t>495</w:t>
            </w:r>
          </w:p>
        </w:tc>
        <w:tc>
          <w:tcPr>
            <w:tcW w:w="1503" w:type="dxa"/>
            <w:tcBorders>
              <w:top w:val="nil"/>
              <w:left w:val="nil"/>
              <w:bottom w:val="single" w:sz="4" w:space="0" w:color="auto"/>
              <w:right w:val="single" w:sz="4" w:space="0" w:color="auto"/>
            </w:tcBorders>
            <w:shd w:val="clear" w:color="auto" w:fill="auto"/>
            <w:noWrap/>
            <w:vAlign w:val="bottom"/>
            <w:hideMark/>
          </w:tcPr>
          <w:p w14:paraId="5DDCDC45" w14:textId="77777777" w:rsidR="00B75AF1" w:rsidRPr="00D960DB" w:rsidRDefault="00B75AF1" w:rsidP="00C0151F">
            <w:pPr>
              <w:jc w:val="center"/>
              <w:rPr>
                <w:rFonts w:eastAsiaTheme="minorEastAsia"/>
                <w:sz w:val="20"/>
                <w:szCs w:val="20"/>
              </w:rPr>
            </w:pPr>
            <w:r w:rsidRPr="00D960DB">
              <w:rPr>
                <w:rFonts w:eastAsiaTheme="minorEastAsia"/>
                <w:sz w:val="20"/>
                <w:szCs w:val="20"/>
              </w:rPr>
              <w:t>0.33%</w:t>
            </w:r>
          </w:p>
        </w:tc>
        <w:tc>
          <w:tcPr>
            <w:tcW w:w="925" w:type="dxa"/>
            <w:tcBorders>
              <w:top w:val="nil"/>
              <w:left w:val="nil"/>
              <w:bottom w:val="single" w:sz="4" w:space="0" w:color="auto"/>
              <w:right w:val="single" w:sz="4" w:space="0" w:color="auto"/>
            </w:tcBorders>
            <w:shd w:val="clear" w:color="auto" w:fill="auto"/>
            <w:noWrap/>
            <w:vAlign w:val="bottom"/>
            <w:hideMark/>
          </w:tcPr>
          <w:p w14:paraId="7CFB345B" w14:textId="77777777" w:rsidR="00B75AF1" w:rsidRPr="00D960DB" w:rsidRDefault="00B75AF1" w:rsidP="00F75FF9">
            <w:pPr>
              <w:jc w:val="center"/>
              <w:rPr>
                <w:rFonts w:eastAsiaTheme="minorEastAsia"/>
                <w:sz w:val="20"/>
                <w:szCs w:val="20"/>
              </w:rPr>
            </w:pPr>
            <w:r w:rsidRPr="00D960DB">
              <w:rPr>
                <w:rFonts w:eastAsiaTheme="minorEastAsia"/>
                <w:sz w:val="20"/>
                <w:szCs w:val="20"/>
              </w:rPr>
              <w:t>0.34%</w:t>
            </w:r>
          </w:p>
        </w:tc>
      </w:tr>
      <w:tr w:rsidR="00B75AF1" w:rsidRPr="00B75AF1" w14:paraId="4305D44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884FEE2" w14:textId="77777777" w:rsidR="00B75AF1" w:rsidRPr="00D960DB" w:rsidRDefault="00B75AF1" w:rsidP="00B75AF1">
            <w:pPr>
              <w:rPr>
                <w:rFonts w:eastAsiaTheme="minorEastAsia"/>
                <w:sz w:val="20"/>
                <w:szCs w:val="20"/>
              </w:rPr>
            </w:pPr>
            <w:r w:rsidRPr="00D960DB">
              <w:rPr>
                <w:rFonts w:eastAsiaTheme="minorEastAsia"/>
                <w:sz w:val="20"/>
                <w:szCs w:val="20"/>
              </w:rPr>
              <w:t>Franklin County</w:t>
            </w:r>
          </w:p>
        </w:tc>
        <w:tc>
          <w:tcPr>
            <w:tcW w:w="2536" w:type="dxa"/>
            <w:tcBorders>
              <w:top w:val="nil"/>
              <w:left w:val="nil"/>
              <w:bottom w:val="single" w:sz="4" w:space="0" w:color="auto"/>
              <w:right w:val="single" w:sz="4" w:space="0" w:color="auto"/>
            </w:tcBorders>
            <w:shd w:val="clear" w:color="auto" w:fill="auto"/>
            <w:noWrap/>
            <w:vAlign w:val="bottom"/>
            <w:hideMark/>
          </w:tcPr>
          <w:p w14:paraId="3132FB78" w14:textId="1D9FCF29" w:rsidR="00B75AF1" w:rsidRPr="00D960DB" w:rsidRDefault="00B75AF1" w:rsidP="00F75FF9">
            <w:pPr>
              <w:jc w:val="center"/>
              <w:rPr>
                <w:rFonts w:eastAsiaTheme="minorEastAsia"/>
                <w:sz w:val="20"/>
                <w:szCs w:val="20"/>
              </w:rPr>
            </w:pPr>
            <w:r w:rsidRPr="00D960DB">
              <w:rPr>
                <w:rFonts w:eastAsiaTheme="minorEastAsia"/>
                <w:sz w:val="20"/>
                <w:szCs w:val="20"/>
              </w:rPr>
              <w:t>17</w:t>
            </w:r>
          </w:p>
        </w:tc>
        <w:tc>
          <w:tcPr>
            <w:tcW w:w="1890" w:type="dxa"/>
            <w:tcBorders>
              <w:top w:val="nil"/>
              <w:left w:val="nil"/>
              <w:bottom w:val="single" w:sz="4" w:space="0" w:color="auto"/>
              <w:right w:val="single" w:sz="4" w:space="0" w:color="auto"/>
            </w:tcBorders>
            <w:shd w:val="clear" w:color="auto" w:fill="auto"/>
            <w:noWrap/>
            <w:vAlign w:val="bottom"/>
            <w:hideMark/>
          </w:tcPr>
          <w:p w14:paraId="0BE5FC7E" w14:textId="13ABC95D" w:rsidR="00B75AF1" w:rsidRPr="00D960DB" w:rsidRDefault="00B75AF1" w:rsidP="00F75FF9">
            <w:pPr>
              <w:jc w:val="center"/>
              <w:rPr>
                <w:rFonts w:eastAsiaTheme="minorEastAsia"/>
                <w:sz w:val="20"/>
                <w:szCs w:val="20"/>
              </w:rPr>
            </w:pPr>
            <w:r w:rsidRPr="00D960DB">
              <w:rPr>
                <w:rFonts w:eastAsiaTheme="minorEastAsia"/>
                <w:sz w:val="20"/>
                <w:szCs w:val="20"/>
              </w:rPr>
              <w:t>466</w:t>
            </w:r>
          </w:p>
        </w:tc>
        <w:tc>
          <w:tcPr>
            <w:tcW w:w="1503" w:type="dxa"/>
            <w:tcBorders>
              <w:top w:val="nil"/>
              <w:left w:val="nil"/>
              <w:bottom w:val="single" w:sz="4" w:space="0" w:color="auto"/>
              <w:right w:val="single" w:sz="4" w:space="0" w:color="auto"/>
            </w:tcBorders>
            <w:shd w:val="clear" w:color="auto" w:fill="auto"/>
            <w:noWrap/>
            <w:vAlign w:val="bottom"/>
            <w:hideMark/>
          </w:tcPr>
          <w:p w14:paraId="111435B5" w14:textId="77777777" w:rsidR="00B75AF1" w:rsidRPr="00D960DB" w:rsidRDefault="00B75AF1" w:rsidP="00C0151F">
            <w:pPr>
              <w:jc w:val="center"/>
              <w:rPr>
                <w:rFonts w:eastAsiaTheme="minorEastAsia"/>
                <w:sz w:val="20"/>
                <w:szCs w:val="20"/>
              </w:rPr>
            </w:pPr>
            <w:r w:rsidRPr="00D960DB">
              <w:rPr>
                <w:rFonts w:eastAsiaTheme="minorEastAsia"/>
                <w:sz w:val="20"/>
                <w:szCs w:val="20"/>
              </w:rPr>
              <w:t>0.56%</w:t>
            </w:r>
          </w:p>
        </w:tc>
        <w:tc>
          <w:tcPr>
            <w:tcW w:w="925" w:type="dxa"/>
            <w:tcBorders>
              <w:top w:val="nil"/>
              <w:left w:val="nil"/>
              <w:bottom w:val="single" w:sz="4" w:space="0" w:color="auto"/>
              <w:right w:val="single" w:sz="4" w:space="0" w:color="auto"/>
            </w:tcBorders>
            <w:shd w:val="clear" w:color="auto" w:fill="auto"/>
            <w:noWrap/>
            <w:vAlign w:val="bottom"/>
            <w:hideMark/>
          </w:tcPr>
          <w:p w14:paraId="4F5D229E" w14:textId="77777777" w:rsidR="00B75AF1" w:rsidRPr="00D960DB" w:rsidRDefault="00B75AF1" w:rsidP="00F75FF9">
            <w:pPr>
              <w:jc w:val="center"/>
              <w:rPr>
                <w:rFonts w:eastAsiaTheme="minorEastAsia"/>
                <w:sz w:val="20"/>
                <w:szCs w:val="20"/>
              </w:rPr>
            </w:pPr>
            <w:r w:rsidRPr="00D960DB">
              <w:rPr>
                <w:rFonts w:eastAsiaTheme="minorEastAsia"/>
                <w:sz w:val="20"/>
                <w:szCs w:val="20"/>
              </w:rPr>
              <w:t>0.32%</w:t>
            </w:r>
          </w:p>
        </w:tc>
      </w:tr>
      <w:tr w:rsidR="00B75AF1" w:rsidRPr="00B75AF1" w14:paraId="7212BC7B"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1AD6934" w14:textId="77777777" w:rsidR="00B75AF1" w:rsidRPr="00D960DB" w:rsidRDefault="00B75AF1" w:rsidP="00B75AF1">
            <w:pPr>
              <w:rPr>
                <w:rFonts w:eastAsiaTheme="minorEastAsia"/>
                <w:sz w:val="20"/>
                <w:szCs w:val="20"/>
              </w:rPr>
            </w:pPr>
            <w:r w:rsidRPr="00D960DB">
              <w:rPr>
                <w:rFonts w:eastAsiaTheme="minorEastAsia"/>
                <w:sz w:val="20"/>
                <w:szCs w:val="20"/>
              </w:rPr>
              <w:t>Montgomery County</w:t>
            </w:r>
          </w:p>
        </w:tc>
        <w:tc>
          <w:tcPr>
            <w:tcW w:w="2536" w:type="dxa"/>
            <w:tcBorders>
              <w:top w:val="nil"/>
              <w:left w:val="nil"/>
              <w:bottom w:val="single" w:sz="4" w:space="0" w:color="auto"/>
              <w:right w:val="single" w:sz="4" w:space="0" w:color="auto"/>
            </w:tcBorders>
            <w:shd w:val="clear" w:color="auto" w:fill="auto"/>
            <w:noWrap/>
            <w:vAlign w:val="bottom"/>
            <w:hideMark/>
          </w:tcPr>
          <w:p w14:paraId="04A9DFB0" w14:textId="6D0804E7" w:rsidR="00B75AF1" w:rsidRPr="00D960DB" w:rsidRDefault="00B75AF1" w:rsidP="00F75FF9">
            <w:pPr>
              <w:jc w:val="center"/>
              <w:rPr>
                <w:rFonts w:eastAsiaTheme="minorEastAsia"/>
                <w:sz w:val="20"/>
                <w:szCs w:val="20"/>
              </w:rPr>
            </w:pPr>
            <w:r w:rsidRPr="00D960DB">
              <w:rPr>
                <w:rFonts w:eastAsiaTheme="minorEastAsia"/>
                <w:sz w:val="20"/>
                <w:szCs w:val="20"/>
              </w:rPr>
              <w:t>14</w:t>
            </w:r>
          </w:p>
        </w:tc>
        <w:tc>
          <w:tcPr>
            <w:tcW w:w="1890" w:type="dxa"/>
            <w:tcBorders>
              <w:top w:val="nil"/>
              <w:left w:val="nil"/>
              <w:bottom w:val="single" w:sz="4" w:space="0" w:color="auto"/>
              <w:right w:val="single" w:sz="4" w:space="0" w:color="auto"/>
            </w:tcBorders>
            <w:shd w:val="clear" w:color="auto" w:fill="auto"/>
            <w:noWrap/>
            <w:vAlign w:val="bottom"/>
            <w:hideMark/>
          </w:tcPr>
          <w:p w14:paraId="03F716B8" w14:textId="2341CF44" w:rsidR="00B75AF1" w:rsidRPr="00D960DB" w:rsidRDefault="00B75AF1" w:rsidP="00F75FF9">
            <w:pPr>
              <w:jc w:val="center"/>
              <w:rPr>
                <w:rFonts w:eastAsiaTheme="minorEastAsia"/>
                <w:sz w:val="20"/>
                <w:szCs w:val="20"/>
              </w:rPr>
            </w:pPr>
            <w:r w:rsidRPr="00D960DB">
              <w:rPr>
                <w:rFonts w:eastAsiaTheme="minorEastAsia"/>
                <w:sz w:val="20"/>
                <w:szCs w:val="20"/>
              </w:rPr>
              <w:t>464</w:t>
            </w:r>
          </w:p>
        </w:tc>
        <w:tc>
          <w:tcPr>
            <w:tcW w:w="1503" w:type="dxa"/>
            <w:tcBorders>
              <w:top w:val="nil"/>
              <w:left w:val="nil"/>
              <w:bottom w:val="single" w:sz="4" w:space="0" w:color="auto"/>
              <w:right w:val="single" w:sz="4" w:space="0" w:color="auto"/>
            </w:tcBorders>
            <w:shd w:val="clear" w:color="auto" w:fill="auto"/>
            <w:noWrap/>
            <w:vAlign w:val="bottom"/>
            <w:hideMark/>
          </w:tcPr>
          <w:p w14:paraId="392F31AA" w14:textId="77777777" w:rsidR="00B75AF1" w:rsidRPr="00D960DB" w:rsidRDefault="00B75AF1" w:rsidP="00C0151F">
            <w:pPr>
              <w:jc w:val="center"/>
              <w:rPr>
                <w:rFonts w:eastAsiaTheme="minorEastAsia"/>
                <w:sz w:val="20"/>
                <w:szCs w:val="20"/>
              </w:rPr>
            </w:pPr>
            <w:r w:rsidRPr="00D960DB">
              <w:rPr>
                <w:rFonts w:eastAsiaTheme="minorEastAsia"/>
                <w:sz w:val="20"/>
                <w:szCs w:val="20"/>
              </w:rPr>
              <w:t>0.46%</w:t>
            </w:r>
          </w:p>
        </w:tc>
        <w:tc>
          <w:tcPr>
            <w:tcW w:w="925" w:type="dxa"/>
            <w:tcBorders>
              <w:top w:val="nil"/>
              <w:left w:val="nil"/>
              <w:bottom w:val="single" w:sz="4" w:space="0" w:color="auto"/>
              <w:right w:val="single" w:sz="4" w:space="0" w:color="auto"/>
            </w:tcBorders>
            <w:shd w:val="clear" w:color="auto" w:fill="auto"/>
            <w:noWrap/>
            <w:vAlign w:val="bottom"/>
            <w:hideMark/>
          </w:tcPr>
          <w:p w14:paraId="62910FA9" w14:textId="77777777" w:rsidR="00B75AF1" w:rsidRPr="00D960DB" w:rsidRDefault="00B75AF1" w:rsidP="00F75FF9">
            <w:pPr>
              <w:jc w:val="center"/>
              <w:rPr>
                <w:rFonts w:eastAsiaTheme="minorEastAsia"/>
                <w:sz w:val="20"/>
                <w:szCs w:val="20"/>
              </w:rPr>
            </w:pPr>
            <w:r w:rsidRPr="00D960DB">
              <w:rPr>
                <w:rFonts w:eastAsiaTheme="minorEastAsia"/>
                <w:sz w:val="20"/>
                <w:szCs w:val="20"/>
              </w:rPr>
              <w:t>0.32%</w:t>
            </w:r>
          </w:p>
        </w:tc>
      </w:tr>
      <w:tr w:rsidR="00B75AF1" w:rsidRPr="00B75AF1" w14:paraId="49313FB4"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3D59EB6" w14:textId="77777777" w:rsidR="00B75AF1" w:rsidRPr="00D960DB" w:rsidRDefault="00B75AF1" w:rsidP="00B75AF1">
            <w:pPr>
              <w:rPr>
                <w:rFonts w:eastAsiaTheme="minorEastAsia"/>
                <w:sz w:val="20"/>
                <w:szCs w:val="20"/>
              </w:rPr>
            </w:pPr>
            <w:r w:rsidRPr="00D960DB">
              <w:rPr>
                <w:rFonts w:eastAsiaTheme="minorEastAsia"/>
                <w:sz w:val="20"/>
                <w:szCs w:val="20"/>
              </w:rPr>
              <w:t>Anson County</w:t>
            </w:r>
          </w:p>
        </w:tc>
        <w:tc>
          <w:tcPr>
            <w:tcW w:w="2536" w:type="dxa"/>
            <w:tcBorders>
              <w:top w:val="nil"/>
              <w:left w:val="nil"/>
              <w:bottom w:val="single" w:sz="4" w:space="0" w:color="auto"/>
              <w:right w:val="single" w:sz="4" w:space="0" w:color="auto"/>
            </w:tcBorders>
            <w:shd w:val="clear" w:color="auto" w:fill="auto"/>
            <w:noWrap/>
            <w:vAlign w:val="bottom"/>
            <w:hideMark/>
          </w:tcPr>
          <w:p w14:paraId="453698D7" w14:textId="0FB7B983" w:rsidR="00B75AF1" w:rsidRPr="00D960DB" w:rsidRDefault="00B75AF1" w:rsidP="00F75FF9">
            <w:pPr>
              <w:jc w:val="center"/>
              <w:rPr>
                <w:rFonts w:eastAsiaTheme="minorEastAsia"/>
                <w:sz w:val="20"/>
                <w:szCs w:val="20"/>
              </w:rPr>
            </w:pPr>
            <w:r w:rsidRPr="00D960DB">
              <w:rPr>
                <w:rFonts w:eastAsiaTheme="minorEastAsia"/>
                <w:sz w:val="20"/>
                <w:szCs w:val="20"/>
              </w:rPr>
              <w:t>10</w:t>
            </w:r>
          </w:p>
        </w:tc>
        <w:tc>
          <w:tcPr>
            <w:tcW w:w="1890" w:type="dxa"/>
            <w:tcBorders>
              <w:top w:val="nil"/>
              <w:left w:val="nil"/>
              <w:bottom w:val="single" w:sz="4" w:space="0" w:color="auto"/>
              <w:right w:val="single" w:sz="4" w:space="0" w:color="auto"/>
            </w:tcBorders>
            <w:shd w:val="clear" w:color="auto" w:fill="auto"/>
            <w:noWrap/>
            <w:vAlign w:val="bottom"/>
            <w:hideMark/>
          </w:tcPr>
          <w:p w14:paraId="5A923916" w14:textId="0FA69B45" w:rsidR="00B75AF1" w:rsidRPr="00D960DB" w:rsidRDefault="00B75AF1" w:rsidP="00F75FF9">
            <w:pPr>
              <w:jc w:val="center"/>
              <w:rPr>
                <w:rFonts w:eastAsiaTheme="minorEastAsia"/>
                <w:sz w:val="20"/>
                <w:szCs w:val="20"/>
              </w:rPr>
            </w:pPr>
            <w:r w:rsidRPr="00D960DB">
              <w:rPr>
                <w:rFonts w:eastAsiaTheme="minorEastAsia"/>
                <w:sz w:val="20"/>
                <w:szCs w:val="20"/>
              </w:rPr>
              <w:t>428</w:t>
            </w:r>
          </w:p>
        </w:tc>
        <w:tc>
          <w:tcPr>
            <w:tcW w:w="1503" w:type="dxa"/>
            <w:tcBorders>
              <w:top w:val="nil"/>
              <w:left w:val="nil"/>
              <w:bottom w:val="single" w:sz="4" w:space="0" w:color="auto"/>
              <w:right w:val="single" w:sz="4" w:space="0" w:color="auto"/>
            </w:tcBorders>
            <w:shd w:val="clear" w:color="auto" w:fill="auto"/>
            <w:noWrap/>
            <w:vAlign w:val="bottom"/>
            <w:hideMark/>
          </w:tcPr>
          <w:p w14:paraId="36A4D7AF" w14:textId="77777777" w:rsidR="00B75AF1" w:rsidRPr="00D960DB" w:rsidRDefault="00B75AF1" w:rsidP="00C0151F">
            <w:pPr>
              <w:jc w:val="center"/>
              <w:rPr>
                <w:rFonts w:eastAsiaTheme="minorEastAsia"/>
                <w:sz w:val="20"/>
                <w:szCs w:val="20"/>
              </w:rPr>
            </w:pPr>
            <w:r w:rsidRPr="00D960DB">
              <w:rPr>
                <w:rFonts w:eastAsiaTheme="minorEastAsia"/>
                <w:sz w:val="20"/>
                <w:szCs w:val="20"/>
              </w:rPr>
              <w:t>0.33%</w:t>
            </w:r>
          </w:p>
        </w:tc>
        <w:tc>
          <w:tcPr>
            <w:tcW w:w="925" w:type="dxa"/>
            <w:tcBorders>
              <w:top w:val="nil"/>
              <w:left w:val="nil"/>
              <w:bottom w:val="single" w:sz="4" w:space="0" w:color="auto"/>
              <w:right w:val="single" w:sz="4" w:space="0" w:color="auto"/>
            </w:tcBorders>
            <w:shd w:val="clear" w:color="auto" w:fill="auto"/>
            <w:noWrap/>
            <w:vAlign w:val="bottom"/>
            <w:hideMark/>
          </w:tcPr>
          <w:p w14:paraId="6CF3347B" w14:textId="77777777" w:rsidR="00B75AF1" w:rsidRPr="00D960DB" w:rsidRDefault="00B75AF1" w:rsidP="00F75FF9">
            <w:pPr>
              <w:jc w:val="center"/>
              <w:rPr>
                <w:rFonts w:eastAsiaTheme="minorEastAsia"/>
                <w:sz w:val="20"/>
                <w:szCs w:val="20"/>
              </w:rPr>
            </w:pPr>
            <w:r w:rsidRPr="00D960DB">
              <w:rPr>
                <w:rFonts w:eastAsiaTheme="minorEastAsia"/>
                <w:sz w:val="20"/>
                <w:szCs w:val="20"/>
              </w:rPr>
              <w:t>0.29%</w:t>
            </w:r>
          </w:p>
        </w:tc>
      </w:tr>
      <w:tr w:rsidR="00B75AF1" w:rsidRPr="00B75AF1" w14:paraId="74A6F50C"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165C153" w14:textId="77777777" w:rsidR="00B75AF1" w:rsidRPr="00D960DB" w:rsidRDefault="00B75AF1" w:rsidP="00B75AF1">
            <w:pPr>
              <w:rPr>
                <w:rFonts w:eastAsiaTheme="minorEastAsia"/>
                <w:sz w:val="20"/>
                <w:szCs w:val="20"/>
              </w:rPr>
            </w:pPr>
            <w:r w:rsidRPr="00D960DB">
              <w:rPr>
                <w:rFonts w:eastAsiaTheme="minorEastAsia"/>
                <w:sz w:val="20"/>
                <w:szCs w:val="20"/>
              </w:rPr>
              <w:t>Chowan County</w:t>
            </w:r>
          </w:p>
        </w:tc>
        <w:tc>
          <w:tcPr>
            <w:tcW w:w="2536" w:type="dxa"/>
            <w:tcBorders>
              <w:top w:val="nil"/>
              <w:left w:val="nil"/>
              <w:bottom w:val="single" w:sz="4" w:space="0" w:color="auto"/>
              <w:right w:val="single" w:sz="4" w:space="0" w:color="auto"/>
            </w:tcBorders>
            <w:shd w:val="clear" w:color="auto" w:fill="auto"/>
            <w:noWrap/>
            <w:vAlign w:val="bottom"/>
            <w:hideMark/>
          </w:tcPr>
          <w:p w14:paraId="37B633F7" w14:textId="43E863DB"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63F46804" w14:textId="50CA322C" w:rsidR="00B75AF1" w:rsidRPr="00D960DB" w:rsidRDefault="00B75AF1" w:rsidP="00F75FF9">
            <w:pPr>
              <w:jc w:val="center"/>
              <w:rPr>
                <w:rFonts w:eastAsiaTheme="minorEastAsia"/>
                <w:sz w:val="20"/>
                <w:szCs w:val="20"/>
              </w:rPr>
            </w:pPr>
            <w:r w:rsidRPr="00D960DB">
              <w:rPr>
                <w:rFonts w:eastAsiaTheme="minorEastAsia"/>
                <w:sz w:val="20"/>
                <w:szCs w:val="20"/>
              </w:rPr>
              <w:t>393</w:t>
            </w:r>
          </w:p>
        </w:tc>
        <w:tc>
          <w:tcPr>
            <w:tcW w:w="1503" w:type="dxa"/>
            <w:tcBorders>
              <w:top w:val="nil"/>
              <w:left w:val="nil"/>
              <w:bottom w:val="single" w:sz="4" w:space="0" w:color="auto"/>
              <w:right w:val="single" w:sz="4" w:space="0" w:color="auto"/>
            </w:tcBorders>
            <w:shd w:val="clear" w:color="auto" w:fill="auto"/>
            <w:noWrap/>
            <w:vAlign w:val="bottom"/>
            <w:hideMark/>
          </w:tcPr>
          <w:p w14:paraId="32474C3A"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744420B0" w14:textId="77777777" w:rsidR="00B75AF1" w:rsidRPr="00D960DB" w:rsidRDefault="00B75AF1" w:rsidP="00F75FF9">
            <w:pPr>
              <w:jc w:val="center"/>
              <w:rPr>
                <w:rFonts w:eastAsiaTheme="minorEastAsia"/>
                <w:sz w:val="20"/>
                <w:szCs w:val="20"/>
              </w:rPr>
            </w:pPr>
            <w:r w:rsidRPr="00D960DB">
              <w:rPr>
                <w:rFonts w:eastAsiaTheme="minorEastAsia"/>
                <w:sz w:val="20"/>
                <w:szCs w:val="20"/>
              </w:rPr>
              <w:t>0.27%</w:t>
            </w:r>
          </w:p>
        </w:tc>
      </w:tr>
      <w:tr w:rsidR="00B75AF1" w:rsidRPr="00B75AF1" w14:paraId="29FB4F2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413C9F7" w14:textId="77777777" w:rsidR="00B75AF1" w:rsidRPr="00D960DB" w:rsidRDefault="00B75AF1" w:rsidP="00B75AF1">
            <w:pPr>
              <w:rPr>
                <w:rFonts w:eastAsiaTheme="minorEastAsia"/>
                <w:sz w:val="20"/>
                <w:szCs w:val="20"/>
              </w:rPr>
            </w:pPr>
            <w:r w:rsidRPr="00D960DB">
              <w:rPr>
                <w:rFonts w:eastAsiaTheme="minorEastAsia"/>
                <w:sz w:val="20"/>
                <w:szCs w:val="20"/>
              </w:rPr>
              <w:t>Yadkin County</w:t>
            </w:r>
          </w:p>
        </w:tc>
        <w:tc>
          <w:tcPr>
            <w:tcW w:w="2536" w:type="dxa"/>
            <w:tcBorders>
              <w:top w:val="nil"/>
              <w:left w:val="nil"/>
              <w:bottom w:val="single" w:sz="4" w:space="0" w:color="auto"/>
              <w:right w:val="single" w:sz="4" w:space="0" w:color="auto"/>
            </w:tcBorders>
            <w:shd w:val="clear" w:color="auto" w:fill="auto"/>
            <w:noWrap/>
            <w:vAlign w:val="bottom"/>
            <w:hideMark/>
          </w:tcPr>
          <w:p w14:paraId="4637E544" w14:textId="03767FA7" w:rsidR="00B75AF1" w:rsidRPr="00D960DB" w:rsidRDefault="00B75AF1" w:rsidP="00F75FF9">
            <w:pPr>
              <w:jc w:val="center"/>
              <w:rPr>
                <w:rFonts w:eastAsiaTheme="minorEastAsia"/>
                <w:sz w:val="20"/>
                <w:szCs w:val="20"/>
              </w:rPr>
            </w:pPr>
            <w:r w:rsidRPr="00D960DB">
              <w:rPr>
                <w:rFonts w:eastAsiaTheme="minorEastAsia"/>
                <w:sz w:val="20"/>
                <w:szCs w:val="20"/>
              </w:rPr>
              <w:t>15</w:t>
            </w:r>
          </w:p>
        </w:tc>
        <w:tc>
          <w:tcPr>
            <w:tcW w:w="1890" w:type="dxa"/>
            <w:tcBorders>
              <w:top w:val="nil"/>
              <w:left w:val="nil"/>
              <w:bottom w:val="single" w:sz="4" w:space="0" w:color="auto"/>
              <w:right w:val="single" w:sz="4" w:space="0" w:color="auto"/>
            </w:tcBorders>
            <w:shd w:val="clear" w:color="auto" w:fill="auto"/>
            <w:noWrap/>
            <w:vAlign w:val="bottom"/>
            <w:hideMark/>
          </w:tcPr>
          <w:p w14:paraId="6963480E" w14:textId="574EE397" w:rsidR="00B75AF1" w:rsidRPr="00D960DB" w:rsidRDefault="00B75AF1" w:rsidP="00F75FF9">
            <w:pPr>
              <w:jc w:val="center"/>
              <w:rPr>
                <w:rFonts w:eastAsiaTheme="minorEastAsia"/>
                <w:sz w:val="20"/>
                <w:szCs w:val="20"/>
              </w:rPr>
            </w:pPr>
            <w:r w:rsidRPr="00D960DB">
              <w:rPr>
                <w:rFonts w:eastAsiaTheme="minorEastAsia"/>
                <w:sz w:val="20"/>
                <w:szCs w:val="20"/>
              </w:rPr>
              <w:t>392</w:t>
            </w:r>
          </w:p>
        </w:tc>
        <w:tc>
          <w:tcPr>
            <w:tcW w:w="1503" w:type="dxa"/>
            <w:tcBorders>
              <w:top w:val="nil"/>
              <w:left w:val="nil"/>
              <w:bottom w:val="single" w:sz="4" w:space="0" w:color="auto"/>
              <w:right w:val="single" w:sz="4" w:space="0" w:color="auto"/>
            </w:tcBorders>
            <w:shd w:val="clear" w:color="auto" w:fill="auto"/>
            <w:noWrap/>
            <w:vAlign w:val="bottom"/>
            <w:hideMark/>
          </w:tcPr>
          <w:p w14:paraId="20D01F93" w14:textId="77777777" w:rsidR="00B75AF1" w:rsidRPr="00D960DB" w:rsidRDefault="00B75AF1" w:rsidP="00C0151F">
            <w:pPr>
              <w:jc w:val="center"/>
              <w:rPr>
                <w:rFonts w:eastAsiaTheme="minorEastAsia"/>
                <w:sz w:val="20"/>
                <w:szCs w:val="20"/>
              </w:rPr>
            </w:pPr>
            <w:r w:rsidRPr="00D960DB">
              <w:rPr>
                <w:rFonts w:eastAsiaTheme="minorEastAsia"/>
                <w:sz w:val="20"/>
                <w:szCs w:val="20"/>
              </w:rPr>
              <w:t>0.50%</w:t>
            </w:r>
          </w:p>
        </w:tc>
        <w:tc>
          <w:tcPr>
            <w:tcW w:w="925" w:type="dxa"/>
            <w:tcBorders>
              <w:top w:val="nil"/>
              <w:left w:val="nil"/>
              <w:bottom w:val="single" w:sz="4" w:space="0" w:color="auto"/>
              <w:right w:val="single" w:sz="4" w:space="0" w:color="auto"/>
            </w:tcBorders>
            <w:shd w:val="clear" w:color="auto" w:fill="auto"/>
            <w:noWrap/>
            <w:vAlign w:val="bottom"/>
            <w:hideMark/>
          </w:tcPr>
          <w:p w14:paraId="6B57FFC0" w14:textId="77777777" w:rsidR="00B75AF1" w:rsidRPr="00D960DB" w:rsidRDefault="00B75AF1" w:rsidP="00F75FF9">
            <w:pPr>
              <w:jc w:val="center"/>
              <w:rPr>
                <w:rFonts w:eastAsiaTheme="minorEastAsia"/>
                <w:sz w:val="20"/>
                <w:szCs w:val="20"/>
              </w:rPr>
            </w:pPr>
            <w:r w:rsidRPr="00D960DB">
              <w:rPr>
                <w:rFonts w:eastAsiaTheme="minorEastAsia"/>
                <w:sz w:val="20"/>
                <w:szCs w:val="20"/>
              </w:rPr>
              <w:t>0.27%</w:t>
            </w:r>
          </w:p>
        </w:tc>
      </w:tr>
      <w:tr w:rsidR="00B75AF1" w:rsidRPr="00B75AF1" w14:paraId="65EEACD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91956E1" w14:textId="77777777" w:rsidR="00B75AF1" w:rsidRPr="00D960DB" w:rsidRDefault="00B75AF1" w:rsidP="00B75AF1">
            <w:pPr>
              <w:rPr>
                <w:rFonts w:eastAsiaTheme="minorEastAsia"/>
                <w:sz w:val="20"/>
                <w:szCs w:val="20"/>
              </w:rPr>
            </w:pPr>
            <w:r w:rsidRPr="00D960DB">
              <w:rPr>
                <w:rFonts w:eastAsiaTheme="minorEastAsia"/>
                <w:sz w:val="20"/>
                <w:szCs w:val="20"/>
              </w:rPr>
              <w:t>Northampton County</w:t>
            </w:r>
          </w:p>
        </w:tc>
        <w:tc>
          <w:tcPr>
            <w:tcW w:w="2536" w:type="dxa"/>
            <w:tcBorders>
              <w:top w:val="nil"/>
              <w:left w:val="nil"/>
              <w:bottom w:val="single" w:sz="4" w:space="0" w:color="auto"/>
              <w:right w:val="single" w:sz="4" w:space="0" w:color="auto"/>
            </w:tcBorders>
            <w:shd w:val="clear" w:color="auto" w:fill="auto"/>
            <w:noWrap/>
            <w:vAlign w:val="bottom"/>
            <w:hideMark/>
          </w:tcPr>
          <w:p w14:paraId="4C26ADEF" w14:textId="033028A6" w:rsidR="00B75AF1" w:rsidRPr="00D960DB" w:rsidRDefault="00B75AF1" w:rsidP="00F75FF9">
            <w:pPr>
              <w:jc w:val="center"/>
              <w:rPr>
                <w:rFonts w:eastAsiaTheme="minorEastAsia"/>
                <w:sz w:val="20"/>
                <w:szCs w:val="20"/>
              </w:rPr>
            </w:pPr>
            <w:r w:rsidRPr="00D960DB">
              <w:rPr>
                <w:rFonts w:eastAsiaTheme="minorEastAsia"/>
                <w:sz w:val="20"/>
                <w:szCs w:val="20"/>
              </w:rPr>
              <w:t>12</w:t>
            </w:r>
          </w:p>
        </w:tc>
        <w:tc>
          <w:tcPr>
            <w:tcW w:w="1890" w:type="dxa"/>
            <w:tcBorders>
              <w:top w:val="nil"/>
              <w:left w:val="nil"/>
              <w:bottom w:val="single" w:sz="4" w:space="0" w:color="auto"/>
              <w:right w:val="single" w:sz="4" w:space="0" w:color="auto"/>
            </w:tcBorders>
            <w:shd w:val="clear" w:color="auto" w:fill="auto"/>
            <w:noWrap/>
            <w:vAlign w:val="bottom"/>
            <w:hideMark/>
          </w:tcPr>
          <w:p w14:paraId="02EB8C82" w14:textId="65C1A7E6" w:rsidR="00B75AF1" w:rsidRPr="00D960DB" w:rsidRDefault="00B75AF1" w:rsidP="00F75FF9">
            <w:pPr>
              <w:jc w:val="center"/>
              <w:rPr>
                <w:rFonts w:eastAsiaTheme="minorEastAsia"/>
                <w:sz w:val="20"/>
                <w:szCs w:val="20"/>
              </w:rPr>
            </w:pPr>
            <w:r w:rsidRPr="00D960DB">
              <w:rPr>
                <w:rFonts w:eastAsiaTheme="minorEastAsia"/>
                <w:sz w:val="20"/>
                <w:szCs w:val="20"/>
              </w:rPr>
              <w:t>385</w:t>
            </w:r>
          </w:p>
        </w:tc>
        <w:tc>
          <w:tcPr>
            <w:tcW w:w="1503" w:type="dxa"/>
            <w:tcBorders>
              <w:top w:val="nil"/>
              <w:left w:val="nil"/>
              <w:bottom w:val="single" w:sz="4" w:space="0" w:color="auto"/>
              <w:right w:val="single" w:sz="4" w:space="0" w:color="auto"/>
            </w:tcBorders>
            <w:shd w:val="clear" w:color="auto" w:fill="auto"/>
            <w:noWrap/>
            <w:vAlign w:val="bottom"/>
            <w:hideMark/>
          </w:tcPr>
          <w:p w14:paraId="217A132C" w14:textId="77777777" w:rsidR="00B75AF1" w:rsidRPr="00D960DB" w:rsidRDefault="00B75AF1" w:rsidP="00C0151F">
            <w:pPr>
              <w:jc w:val="center"/>
              <w:rPr>
                <w:rFonts w:eastAsiaTheme="minorEastAsia"/>
                <w:sz w:val="20"/>
                <w:szCs w:val="20"/>
              </w:rPr>
            </w:pPr>
            <w:r w:rsidRPr="00D960DB">
              <w:rPr>
                <w:rFonts w:eastAsiaTheme="minorEastAsia"/>
                <w:sz w:val="20"/>
                <w:szCs w:val="20"/>
              </w:rPr>
              <w:t>0.40%</w:t>
            </w:r>
          </w:p>
        </w:tc>
        <w:tc>
          <w:tcPr>
            <w:tcW w:w="925" w:type="dxa"/>
            <w:tcBorders>
              <w:top w:val="nil"/>
              <w:left w:val="nil"/>
              <w:bottom w:val="single" w:sz="4" w:space="0" w:color="auto"/>
              <w:right w:val="single" w:sz="4" w:space="0" w:color="auto"/>
            </w:tcBorders>
            <w:shd w:val="clear" w:color="auto" w:fill="auto"/>
            <w:noWrap/>
            <w:vAlign w:val="bottom"/>
            <w:hideMark/>
          </w:tcPr>
          <w:p w14:paraId="633E3E73" w14:textId="77777777" w:rsidR="00B75AF1" w:rsidRPr="00D960DB" w:rsidRDefault="00B75AF1" w:rsidP="00F75FF9">
            <w:pPr>
              <w:jc w:val="center"/>
              <w:rPr>
                <w:rFonts w:eastAsiaTheme="minorEastAsia"/>
                <w:sz w:val="20"/>
                <w:szCs w:val="20"/>
              </w:rPr>
            </w:pPr>
            <w:r w:rsidRPr="00D960DB">
              <w:rPr>
                <w:rFonts w:eastAsiaTheme="minorEastAsia"/>
                <w:sz w:val="20"/>
                <w:szCs w:val="20"/>
              </w:rPr>
              <w:t>0.26%</w:t>
            </w:r>
          </w:p>
        </w:tc>
      </w:tr>
      <w:tr w:rsidR="00B75AF1" w:rsidRPr="00B75AF1" w14:paraId="544B3E3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069F054" w14:textId="77777777" w:rsidR="00B75AF1" w:rsidRPr="00D960DB" w:rsidRDefault="00B75AF1" w:rsidP="00B75AF1">
            <w:pPr>
              <w:rPr>
                <w:rFonts w:eastAsiaTheme="minorEastAsia"/>
                <w:sz w:val="20"/>
                <w:szCs w:val="20"/>
              </w:rPr>
            </w:pPr>
            <w:r w:rsidRPr="00D960DB">
              <w:rPr>
                <w:rFonts w:eastAsiaTheme="minorEastAsia"/>
                <w:sz w:val="20"/>
                <w:szCs w:val="20"/>
              </w:rPr>
              <w:t>Washington County</w:t>
            </w:r>
          </w:p>
        </w:tc>
        <w:tc>
          <w:tcPr>
            <w:tcW w:w="2536" w:type="dxa"/>
            <w:tcBorders>
              <w:top w:val="nil"/>
              <w:left w:val="nil"/>
              <w:bottom w:val="single" w:sz="4" w:space="0" w:color="auto"/>
              <w:right w:val="single" w:sz="4" w:space="0" w:color="auto"/>
            </w:tcBorders>
            <w:shd w:val="clear" w:color="auto" w:fill="auto"/>
            <w:noWrap/>
            <w:vAlign w:val="bottom"/>
            <w:hideMark/>
          </w:tcPr>
          <w:p w14:paraId="4B3584C8" w14:textId="7017AF0E"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5F33C452" w14:textId="7AD9DBA2" w:rsidR="00B75AF1" w:rsidRPr="00D960DB" w:rsidRDefault="00B75AF1" w:rsidP="00F75FF9">
            <w:pPr>
              <w:jc w:val="center"/>
              <w:rPr>
                <w:rFonts w:eastAsiaTheme="minorEastAsia"/>
                <w:sz w:val="20"/>
                <w:szCs w:val="20"/>
              </w:rPr>
            </w:pPr>
            <w:r w:rsidRPr="00D960DB">
              <w:rPr>
                <w:rFonts w:eastAsiaTheme="minorEastAsia"/>
                <w:sz w:val="20"/>
                <w:szCs w:val="20"/>
              </w:rPr>
              <w:t>371</w:t>
            </w:r>
          </w:p>
        </w:tc>
        <w:tc>
          <w:tcPr>
            <w:tcW w:w="1503" w:type="dxa"/>
            <w:tcBorders>
              <w:top w:val="nil"/>
              <w:left w:val="nil"/>
              <w:bottom w:val="single" w:sz="4" w:space="0" w:color="auto"/>
              <w:right w:val="single" w:sz="4" w:space="0" w:color="auto"/>
            </w:tcBorders>
            <w:shd w:val="clear" w:color="auto" w:fill="auto"/>
            <w:noWrap/>
            <w:vAlign w:val="bottom"/>
            <w:hideMark/>
          </w:tcPr>
          <w:p w14:paraId="5FFF6B8F"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64CE2AC2" w14:textId="77777777" w:rsidR="00B75AF1" w:rsidRPr="00D960DB" w:rsidRDefault="00B75AF1" w:rsidP="00F75FF9">
            <w:pPr>
              <w:jc w:val="center"/>
              <w:rPr>
                <w:rFonts w:eastAsiaTheme="minorEastAsia"/>
                <w:sz w:val="20"/>
                <w:szCs w:val="20"/>
              </w:rPr>
            </w:pPr>
            <w:r w:rsidRPr="00D960DB">
              <w:rPr>
                <w:rFonts w:eastAsiaTheme="minorEastAsia"/>
                <w:sz w:val="20"/>
                <w:szCs w:val="20"/>
              </w:rPr>
              <w:t>0.25%</w:t>
            </w:r>
          </w:p>
        </w:tc>
      </w:tr>
      <w:tr w:rsidR="00B75AF1" w:rsidRPr="00B75AF1" w14:paraId="06135EC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59E0FAE" w14:textId="77777777" w:rsidR="00B75AF1" w:rsidRPr="00D960DB" w:rsidRDefault="00B75AF1" w:rsidP="00B75AF1">
            <w:pPr>
              <w:rPr>
                <w:rFonts w:eastAsiaTheme="minorEastAsia"/>
                <w:sz w:val="20"/>
                <w:szCs w:val="20"/>
              </w:rPr>
            </w:pPr>
            <w:r w:rsidRPr="00D960DB">
              <w:rPr>
                <w:rFonts w:eastAsiaTheme="minorEastAsia"/>
                <w:sz w:val="20"/>
                <w:szCs w:val="20"/>
              </w:rPr>
              <w:t>McDowell County</w:t>
            </w:r>
          </w:p>
        </w:tc>
        <w:tc>
          <w:tcPr>
            <w:tcW w:w="2536" w:type="dxa"/>
            <w:tcBorders>
              <w:top w:val="nil"/>
              <w:left w:val="nil"/>
              <w:bottom w:val="single" w:sz="4" w:space="0" w:color="auto"/>
              <w:right w:val="single" w:sz="4" w:space="0" w:color="auto"/>
            </w:tcBorders>
            <w:shd w:val="clear" w:color="auto" w:fill="auto"/>
            <w:noWrap/>
            <w:vAlign w:val="bottom"/>
            <w:hideMark/>
          </w:tcPr>
          <w:p w14:paraId="7BCC684A" w14:textId="3AFBDCBD" w:rsidR="00B75AF1" w:rsidRPr="00D960DB" w:rsidRDefault="00B75AF1" w:rsidP="00F75FF9">
            <w:pPr>
              <w:jc w:val="center"/>
              <w:rPr>
                <w:rFonts w:eastAsiaTheme="minorEastAsia"/>
                <w:sz w:val="20"/>
                <w:szCs w:val="20"/>
              </w:rPr>
            </w:pPr>
            <w:r w:rsidRPr="00D960DB">
              <w:rPr>
                <w:rFonts w:eastAsiaTheme="minorEastAsia"/>
                <w:sz w:val="20"/>
                <w:szCs w:val="20"/>
              </w:rPr>
              <w:t>10</w:t>
            </w:r>
          </w:p>
        </w:tc>
        <w:tc>
          <w:tcPr>
            <w:tcW w:w="1890" w:type="dxa"/>
            <w:tcBorders>
              <w:top w:val="nil"/>
              <w:left w:val="nil"/>
              <w:bottom w:val="single" w:sz="4" w:space="0" w:color="auto"/>
              <w:right w:val="single" w:sz="4" w:space="0" w:color="auto"/>
            </w:tcBorders>
            <w:shd w:val="clear" w:color="auto" w:fill="auto"/>
            <w:noWrap/>
            <w:vAlign w:val="bottom"/>
            <w:hideMark/>
          </w:tcPr>
          <w:p w14:paraId="6BC9D62B" w14:textId="2DE30B3C" w:rsidR="00B75AF1" w:rsidRPr="00D960DB" w:rsidRDefault="00B75AF1" w:rsidP="00F75FF9">
            <w:pPr>
              <w:jc w:val="center"/>
              <w:rPr>
                <w:rFonts w:eastAsiaTheme="minorEastAsia"/>
                <w:sz w:val="20"/>
                <w:szCs w:val="20"/>
              </w:rPr>
            </w:pPr>
            <w:r w:rsidRPr="00D960DB">
              <w:rPr>
                <w:rFonts w:eastAsiaTheme="minorEastAsia"/>
                <w:sz w:val="20"/>
                <w:szCs w:val="20"/>
              </w:rPr>
              <w:t>357</w:t>
            </w:r>
          </w:p>
        </w:tc>
        <w:tc>
          <w:tcPr>
            <w:tcW w:w="1503" w:type="dxa"/>
            <w:tcBorders>
              <w:top w:val="nil"/>
              <w:left w:val="nil"/>
              <w:bottom w:val="single" w:sz="4" w:space="0" w:color="auto"/>
              <w:right w:val="single" w:sz="4" w:space="0" w:color="auto"/>
            </w:tcBorders>
            <w:shd w:val="clear" w:color="auto" w:fill="auto"/>
            <w:noWrap/>
            <w:vAlign w:val="bottom"/>
            <w:hideMark/>
          </w:tcPr>
          <w:p w14:paraId="392A100E" w14:textId="77777777" w:rsidR="00B75AF1" w:rsidRPr="00D960DB" w:rsidRDefault="00B75AF1" w:rsidP="00C0151F">
            <w:pPr>
              <w:jc w:val="center"/>
              <w:rPr>
                <w:rFonts w:eastAsiaTheme="minorEastAsia"/>
                <w:sz w:val="20"/>
                <w:szCs w:val="20"/>
              </w:rPr>
            </w:pPr>
            <w:r w:rsidRPr="00D960DB">
              <w:rPr>
                <w:rFonts w:eastAsiaTheme="minorEastAsia"/>
                <w:sz w:val="20"/>
                <w:szCs w:val="20"/>
              </w:rPr>
              <w:t>0.33%</w:t>
            </w:r>
          </w:p>
        </w:tc>
        <w:tc>
          <w:tcPr>
            <w:tcW w:w="925" w:type="dxa"/>
            <w:tcBorders>
              <w:top w:val="nil"/>
              <w:left w:val="nil"/>
              <w:bottom w:val="single" w:sz="4" w:space="0" w:color="auto"/>
              <w:right w:val="single" w:sz="4" w:space="0" w:color="auto"/>
            </w:tcBorders>
            <w:shd w:val="clear" w:color="auto" w:fill="auto"/>
            <w:noWrap/>
            <w:vAlign w:val="bottom"/>
            <w:hideMark/>
          </w:tcPr>
          <w:p w14:paraId="1DB6BA3C" w14:textId="77777777" w:rsidR="00B75AF1" w:rsidRPr="00D960DB" w:rsidRDefault="00B75AF1" w:rsidP="00F75FF9">
            <w:pPr>
              <w:jc w:val="center"/>
              <w:rPr>
                <w:rFonts w:eastAsiaTheme="minorEastAsia"/>
                <w:sz w:val="20"/>
                <w:szCs w:val="20"/>
              </w:rPr>
            </w:pPr>
            <w:r w:rsidRPr="00D960DB">
              <w:rPr>
                <w:rFonts w:eastAsiaTheme="minorEastAsia"/>
                <w:sz w:val="20"/>
                <w:szCs w:val="20"/>
              </w:rPr>
              <w:t>0.24%</w:t>
            </w:r>
          </w:p>
        </w:tc>
      </w:tr>
      <w:tr w:rsidR="00B75AF1" w:rsidRPr="00B75AF1" w14:paraId="06C43C9B"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02796A4" w14:textId="77777777" w:rsidR="00B75AF1" w:rsidRPr="00D960DB" w:rsidRDefault="00B75AF1" w:rsidP="00B75AF1">
            <w:pPr>
              <w:rPr>
                <w:rFonts w:eastAsiaTheme="minorEastAsia"/>
                <w:sz w:val="20"/>
                <w:szCs w:val="20"/>
              </w:rPr>
            </w:pPr>
            <w:r w:rsidRPr="00D960DB">
              <w:rPr>
                <w:rFonts w:eastAsiaTheme="minorEastAsia"/>
                <w:sz w:val="20"/>
                <w:szCs w:val="20"/>
              </w:rPr>
              <w:t>Madison County</w:t>
            </w:r>
          </w:p>
        </w:tc>
        <w:tc>
          <w:tcPr>
            <w:tcW w:w="2536" w:type="dxa"/>
            <w:tcBorders>
              <w:top w:val="nil"/>
              <w:left w:val="nil"/>
              <w:bottom w:val="single" w:sz="4" w:space="0" w:color="auto"/>
              <w:right w:val="single" w:sz="4" w:space="0" w:color="auto"/>
            </w:tcBorders>
            <w:shd w:val="clear" w:color="auto" w:fill="auto"/>
            <w:noWrap/>
            <w:vAlign w:val="bottom"/>
            <w:hideMark/>
          </w:tcPr>
          <w:p w14:paraId="79CADAB4" w14:textId="7B38D320"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76353661" w14:textId="09E86DD5" w:rsidR="00B75AF1" w:rsidRPr="00D960DB" w:rsidRDefault="00B75AF1" w:rsidP="00F75FF9">
            <w:pPr>
              <w:jc w:val="center"/>
              <w:rPr>
                <w:rFonts w:eastAsiaTheme="minorEastAsia"/>
                <w:sz w:val="20"/>
                <w:szCs w:val="20"/>
              </w:rPr>
            </w:pPr>
            <w:r w:rsidRPr="00D960DB">
              <w:rPr>
                <w:rFonts w:eastAsiaTheme="minorEastAsia"/>
                <w:sz w:val="20"/>
                <w:szCs w:val="20"/>
              </w:rPr>
              <w:t>339</w:t>
            </w:r>
          </w:p>
        </w:tc>
        <w:tc>
          <w:tcPr>
            <w:tcW w:w="1503" w:type="dxa"/>
            <w:tcBorders>
              <w:top w:val="nil"/>
              <w:left w:val="nil"/>
              <w:bottom w:val="single" w:sz="4" w:space="0" w:color="auto"/>
              <w:right w:val="single" w:sz="4" w:space="0" w:color="auto"/>
            </w:tcBorders>
            <w:shd w:val="clear" w:color="auto" w:fill="auto"/>
            <w:noWrap/>
            <w:vAlign w:val="bottom"/>
            <w:hideMark/>
          </w:tcPr>
          <w:p w14:paraId="72742557"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6CC96F6B" w14:textId="77777777" w:rsidR="00B75AF1" w:rsidRPr="00D960DB" w:rsidRDefault="00B75AF1" w:rsidP="00F75FF9">
            <w:pPr>
              <w:jc w:val="center"/>
              <w:rPr>
                <w:rFonts w:eastAsiaTheme="minorEastAsia"/>
                <w:sz w:val="20"/>
                <w:szCs w:val="20"/>
              </w:rPr>
            </w:pPr>
            <w:r w:rsidRPr="00D960DB">
              <w:rPr>
                <w:rFonts w:eastAsiaTheme="minorEastAsia"/>
                <w:sz w:val="20"/>
                <w:szCs w:val="20"/>
              </w:rPr>
              <w:t>0.23%</w:t>
            </w:r>
          </w:p>
        </w:tc>
      </w:tr>
      <w:tr w:rsidR="00B75AF1" w:rsidRPr="00B75AF1" w14:paraId="3409782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155CCF8" w14:textId="77777777" w:rsidR="00B75AF1" w:rsidRPr="00D960DB" w:rsidRDefault="00B75AF1" w:rsidP="00B75AF1">
            <w:pPr>
              <w:rPr>
                <w:rFonts w:eastAsiaTheme="minorEastAsia"/>
                <w:sz w:val="20"/>
                <w:szCs w:val="20"/>
              </w:rPr>
            </w:pPr>
            <w:r w:rsidRPr="00D960DB">
              <w:rPr>
                <w:rFonts w:eastAsiaTheme="minorEastAsia"/>
                <w:sz w:val="20"/>
                <w:szCs w:val="20"/>
              </w:rPr>
              <w:t>Ashe County</w:t>
            </w:r>
          </w:p>
        </w:tc>
        <w:tc>
          <w:tcPr>
            <w:tcW w:w="2536" w:type="dxa"/>
            <w:tcBorders>
              <w:top w:val="nil"/>
              <w:left w:val="nil"/>
              <w:bottom w:val="single" w:sz="4" w:space="0" w:color="auto"/>
              <w:right w:val="single" w:sz="4" w:space="0" w:color="auto"/>
            </w:tcBorders>
            <w:shd w:val="clear" w:color="auto" w:fill="auto"/>
            <w:noWrap/>
            <w:vAlign w:val="bottom"/>
            <w:hideMark/>
          </w:tcPr>
          <w:p w14:paraId="43A50496" w14:textId="3404CDF4" w:rsidR="00B75AF1" w:rsidRPr="00D960DB" w:rsidRDefault="00B75AF1" w:rsidP="00F75FF9">
            <w:pPr>
              <w:jc w:val="center"/>
              <w:rPr>
                <w:rFonts w:eastAsiaTheme="minorEastAsia"/>
                <w:sz w:val="20"/>
                <w:szCs w:val="20"/>
              </w:rPr>
            </w:pPr>
            <w:r w:rsidRPr="00D960DB">
              <w:rPr>
                <w:rFonts w:eastAsiaTheme="minorEastAsia"/>
                <w:sz w:val="20"/>
                <w:szCs w:val="20"/>
              </w:rPr>
              <w:t>12</w:t>
            </w:r>
          </w:p>
        </w:tc>
        <w:tc>
          <w:tcPr>
            <w:tcW w:w="1890" w:type="dxa"/>
            <w:tcBorders>
              <w:top w:val="nil"/>
              <w:left w:val="nil"/>
              <w:bottom w:val="single" w:sz="4" w:space="0" w:color="auto"/>
              <w:right w:val="single" w:sz="4" w:space="0" w:color="auto"/>
            </w:tcBorders>
            <w:shd w:val="clear" w:color="auto" w:fill="auto"/>
            <w:noWrap/>
            <w:vAlign w:val="bottom"/>
            <w:hideMark/>
          </w:tcPr>
          <w:p w14:paraId="2CADB4B4" w14:textId="4D299A17" w:rsidR="00B75AF1" w:rsidRPr="00D960DB" w:rsidRDefault="00B75AF1" w:rsidP="00F75FF9">
            <w:pPr>
              <w:jc w:val="center"/>
              <w:rPr>
                <w:rFonts w:eastAsiaTheme="minorEastAsia"/>
                <w:sz w:val="20"/>
                <w:szCs w:val="20"/>
              </w:rPr>
            </w:pPr>
            <w:r w:rsidRPr="00D960DB">
              <w:rPr>
                <w:rFonts w:eastAsiaTheme="minorEastAsia"/>
                <w:sz w:val="20"/>
                <w:szCs w:val="20"/>
              </w:rPr>
              <w:t>319</w:t>
            </w:r>
          </w:p>
        </w:tc>
        <w:tc>
          <w:tcPr>
            <w:tcW w:w="1503" w:type="dxa"/>
            <w:tcBorders>
              <w:top w:val="nil"/>
              <w:left w:val="nil"/>
              <w:bottom w:val="single" w:sz="4" w:space="0" w:color="auto"/>
              <w:right w:val="single" w:sz="4" w:space="0" w:color="auto"/>
            </w:tcBorders>
            <w:shd w:val="clear" w:color="auto" w:fill="auto"/>
            <w:noWrap/>
            <w:vAlign w:val="bottom"/>
            <w:hideMark/>
          </w:tcPr>
          <w:p w14:paraId="1EFA1870" w14:textId="77777777" w:rsidR="00B75AF1" w:rsidRPr="00D960DB" w:rsidRDefault="00B75AF1" w:rsidP="00C0151F">
            <w:pPr>
              <w:jc w:val="center"/>
              <w:rPr>
                <w:rFonts w:eastAsiaTheme="minorEastAsia"/>
                <w:sz w:val="20"/>
                <w:szCs w:val="20"/>
              </w:rPr>
            </w:pPr>
            <w:r w:rsidRPr="00D960DB">
              <w:rPr>
                <w:rFonts w:eastAsiaTheme="minorEastAsia"/>
                <w:sz w:val="20"/>
                <w:szCs w:val="20"/>
              </w:rPr>
              <w:t>0.40%</w:t>
            </w:r>
          </w:p>
        </w:tc>
        <w:tc>
          <w:tcPr>
            <w:tcW w:w="925" w:type="dxa"/>
            <w:tcBorders>
              <w:top w:val="nil"/>
              <w:left w:val="nil"/>
              <w:bottom w:val="single" w:sz="4" w:space="0" w:color="auto"/>
              <w:right w:val="single" w:sz="4" w:space="0" w:color="auto"/>
            </w:tcBorders>
            <w:shd w:val="clear" w:color="auto" w:fill="auto"/>
            <w:noWrap/>
            <w:vAlign w:val="bottom"/>
            <w:hideMark/>
          </w:tcPr>
          <w:p w14:paraId="7B883941" w14:textId="77777777" w:rsidR="00B75AF1" w:rsidRPr="00D960DB" w:rsidRDefault="00B75AF1" w:rsidP="00F75FF9">
            <w:pPr>
              <w:jc w:val="center"/>
              <w:rPr>
                <w:rFonts w:eastAsiaTheme="minorEastAsia"/>
                <w:sz w:val="20"/>
                <w:szCs w:val="20"/>
              </w:rPr>
            </w:pPr>
            <w:r w:rsidRPr="00D960DB">
              <w:rPr>
                <w:rFonts w:eastAsiaTheme="minorEastAsia"/>
                <w:sz w:val="20"/>
                <w:szCs w:val="20"/>
              </w:rPr>
              <w:t>0.22%</w:t>
            </w:r>
          </w:p>
        </w:tc>
      </w:tr>
      <w:tr w:rsidR="00B75AF1" w:rsidRPr="00B75AF1" w14:paraId="42752932"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A52A490" w14:textId="77777777" w:rsidR="00B75AF1" w:rsidRPr="00D960DB" w:rsidRDefault="00B75AF1" w:rsidP="00B75AF1">
            <w:pPr>
              <w:rPr>
                <w:rFonts w:eastAsiaTheme="minorEastAsia"/>
                <w:sz w:val="20"/>
                <w:szCs w:val="20"/>
              </w:rPr>
            </w:pPr>
            <w:r w:rsidRPr="00D960DB">
              <w:rPr>
                <w:rFonts w:eastAsiaTheme="minorEastAsia"/>
                <w:sz w:val="20"/>
                <w:szCs w:val="20"/>
              </w:rPr>
              <w:t>Macon County</w:t>
            </w:r>
          </w:p>
        </w:tc>
        <w:tc>
          <w:tcPr>
            <w:tcW w:w="2536" w:type="dxa"/>
            <w:tcBorders>
              <w:top w:val="nil"/>
              <w:left w:val="nil"/>
              <w:bottom w:val="single" w:sz="4" w:space="0" w:color="auto"/>
              <w:right w:val="single" w:sz="4" w:space="0" w:color="auto"/>
            </w:tcBorders>
            <w:shd w:val="clear" w:color="auto" w:fill="auto"/>
            <w:noWrap/>
            <w:vAlign w:val="bottom"/>
            <w:hideMark/>
          </w:tcPr>
          <w:p w14:paraId="7F801DF2" w14:textId="28A78EF3" w:rsidR="00B75AF1" w:rsidRPr="00D960DB" w:rsidRDefault="00B75AF1" w:rsidP="00F75FF9">
            <w:pPr>
              <w:jc w:val="center"/>
              <w:rPr>
                <w:rFonts w:eastAsiaTheme="minorEastAsia"/>
                <w:sz w:val="20"/>
                <w:szCs w:val="20"/>
              </w:rPr>
            </w:pPr>
            <w:r w:rsidRPr="00D960DB">
              <w:rPr>
                <w:rFonts w:eastAsiaTheme="minorEastAsia"/>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14:paraId="7109D3DB" w14:textId="10CE715F" w:rsidR="00B75AF1" w:rsidRPr="00D960DB" w:rsidRDefault="00B75AF1" w:rsidP="00F75FF9">
            <w:pPr>
              <w:jc w:val="center"/>
              <w:rPr>
                <w:rFonts w:eastAsiaTheme="minorEastAsia"/>
                <w:sz w:val="20"/>
                <w:szCs w:val="20"/>
              </w:rPr>
            </w:pPr>
            <w:r w:rsidRPr="00D960DB">
              <w:rPr>
                <w:rFonts w:eastAsiaTheme="minorEastAsia"/>
                <w:sz w:val="20"/>
                <w:szCs w:val="20"/>
              </w:rPr>
              <w:t>293</w:t>
            </w:r>
          </w:p>
        </w:tc>
        <w:tc>
          <w:tcPr>
            <w:tcW w:w="1503" w:type="dxa"/>
            <w:tcBorders>
              <w:top w:val="nil"/>
              <w:left w:val="nil"/>
              <w:bottom w:val="single" w:sz="4" w:space="0" w:color="auto"/>
              <w:right w:val="single" w:sz="4" w:space="0" w:color="auto"/>
            </w:tcBorders>
            <w:shd w:val="clear" w:color="auto" w:fill="auto"/>
            <w:noWrap/>
            <w:vAlign w:val="bottom"/>
            <w:hideMark/>
          </w:tcPr>
          <w:p w14:paraId="21117E02" w14:textId="77777777" w:rsidR="00B75AF1" w:rsidRPr="00D960DB" w:rsidRDefault="00B75AF1" w:rsidP="00C0151F">
            <w:pPr>
              <w:jc w:val="center"/>
              <w:rPr>
                <w:rFonts w:eastAsiaTheme="minorEastAsia"/>
                <w:sz w:val="20"/>
                <w:szCs w:val="20"/>
              </w:rPr>
            </w:pPr>
            <w:r w:rsidRPr="00D960DB">
              <w:rPr>
                <w:rFonts w:eastAsiaTheme="minorEastAsia"/>
                <w:sz w:val="20"/>
                <w:szCs w:val="20"/>
              </w:rPr>
              <w:t>0.23%</w:t>
            </w:r>
          </w:p>
        </w:tc>
        <w:tc>
          <w:tcPr>
            <w:tcW w:w="925" w:type="dxa"/>
            <w:tcBorders>
              <w:top w:val="nil"/>
              <w:left w:val="nil"/>
              <w:bottom w:val="single" w:sz="4" w:space="0" w:color="auto"/>
              <w:right w:val="single" w:sz="4" w:space="0" w:color="auto"/>
            </w:tcBorders>
            <w:shd w:val="clear" w:color="auto" w:fill="auto"/>
            <w:noWrap/>
            <w:vAlign w:val="bottom"/>
            <w:hideMark/>
          </w:tcPr>
          <w:p w14:paraId="371BD989" w14:textId="77777777" w:rsidR="00B75AF1" w:rsidRPr="00D960DB" w:rsidRDefault="00B75AF1" w:rsidP="00F75FF9">
            <w:pPr>
              <w:jc w:val="center"/>
              <w:rPr>
                <w:rFonts w:eastAsiaTheme="minorEastAsia"/>
                <w:sz w:val="20"/>
                <w:szCs w:val="20"/>
              </w:rPr>
            </w:pPr>
            <w:r w:rsidRPr="00D960DB">
              <w:rPr>
                <w:rFonts w:eastAsiaTheme="minorEastAsia"/>
                <w:sz w:val="20"/>
                <w:szCs w:val="20"/>
              </w:rPr>
              <w:t>0.20%</w:t>
            </w:r>
          </w:p>
        </w:tc>
      </w:tr>
      <w:tr w:rsidR="00B75AF1" w:rsidRPr="00B75AF1" w14:paraId="052DC1D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3BA477F" w14:textId="77777777" w:rsidR="00B75AF1" w:rsidRPr="00D960DB" w:rsidRDefault="00B75AF1" w:rsidP="00B75AF1">
            <w:pPr>
              <w:rPr>
                <w:rFonts w:eastAsiaTheme="minorEastAsia"/>
                <w:sz w:val="20"/>
                <w:szCs w:val="20"/>
              </w:rPr>
            </w:pPr>
            <w:r w:rsidRPr="00D960DB">
              <w:rPr>
                <w:rFonts w:eastAsiaTheme="minorEastAsia"/>
                <w:sz w:val="20"/>
                <w:szCs w:val="20"/>
              </w:rPr>
              <w:t>Warren County</w:t>
            </w:r>
          </w:p>
        </w:tc>
        <w:tc>
          <w:tcPr>
            <w:tcW w:w="2536" w:type="dxa"/>
            <w:tcBorders>
              <w:top w:val="nil"/>
              <w:left w:val="nil"/>
              <w:bottom w:val="single" w:sz="4" w:space="0" w:color="auto"/>
              <w:right w:val="single" w:sz="4" w:space="0" w:color="auto"/>
            </w:tcBorders>
            <w:shd w:val="clear" w:color="auto" w:fill="auto"/>
            <w:noWrap/>
            <w:vAlign w:val="bottom"/>
            <w:hideMark/>
          </w:tcPr>
          <w:p w14:paraId="3C558EEE" w14:textId="5D7C222E" w:rsidR="00B75AF1" w:rsidRPr="00D960DB" w:rsidRDefault="00B75AF1" w:rsidP="00F75FF9">
            <w:pPr>
              <w:jc w:val="center"/>
              <w:rPr>
                <w:rFonts w:eastAsiaTheme="minorEastAsia"/>
                <w:sz w:val="20"/>
                <w:szCs w:val="20"/>
              </w:rPr>
            </w:pPr>
            <w:r w:rsidRPr="00D960DB">
              <w:rPr>
                <w:rFonts w:eastAsiaTheme="minorEastAsia"/>
                <w:sz w:val="20"/>
                <w:szCs w:val="20"/>
              </w:rPr>
              <w:t>15</w:t>
            </w:r>
          </w:p>
        </w:tc>
        <w:tc>
          <w:tcPr>
            <w:tcW w:w="1890" w:type="dxa"/>
            <w:tcBorders>
              <w:top w:val="nil"/>
              <w:left w:val="nil"/>
              <w:bottom w:val="single" w:sz="4" w:space="0" w:color="auto"/>
              <w:right w:val="single" w:sz="4" w:space="0" w:color="auto"/>
            </w:tcBorders>
            <w:shd w:val="clear" w:color="auto" w:fill="auto"/>
            <w:noWrap/>
            <w:vAlign w:val="bottom"/>
            <w:hideMark/>
          </w:tcPr>
          <w:p w14:paraId="3959185A" w14:textId="5C38DBC1" w:rsidR="00B75AF1" w:rsidRPr="00D960DB" w:rsidRDefault="00B75AF1" w:rsidP="00F75FF9">
            <w:pPr>
              <w:jc w:val="center"/>
              <w:rPr>
                <w:rFonts w:eastAsiaTheme="minorEastAsia"/>
                <w:sz w:val="20"/>
                <w:szCs w:val="20"/>
              </w:rPr>
            </w:pPr>
            <w:r w:rsidRPr="00D960DB">
              <w:rPr>
                <w:rFonts w:eastAsiaTheme="minorEastAsia"/>
                <w:sz w:val="20"/>
                <w:szCs w:val="20"/>
              </w:rPr>
              <w:t>292</w:t>
            </w:r>
          </w:p>
        </w:tc>
        <w:tc>
          <w:tcPr>
            <w:tcW w:w="1503" w:type="dxa"/>
            <w:tcBorders>
              <w:top w:val="nil"/>
              <w:left w:val="nil"/>
              <w:bottom w:val="single" w:sz="4" w:space="0" w:color="auto"/>
              <w:right w:val="single" w:sz="4" w:space="0" w:color="auto"/>
            </w:tcBorders>
            <w:shd w:val="clear" w:color="auto" w:fill="auto"/>
            <w:noWrap/>
            <w:vAlign w:val="bottom"/>
            <w:hideMark/>
          </w:tcPr>
          <w:p w14:paraId="2A081102" w14:textId="77777777" w:rsidR="00B75AF1" w:rsidRPr="00D960DB" w:rsidRDefault="00B75AF1" w:rsidP="00C0151F">
            <w:pPr>
              <w:jc w:val="center"/>
              <w:rPr>
                <w:rFonts w:eastAsiaTheme="minorEastAsia"/>
                <w:sz w:val="20"/>
                <w:szCs w:val="20"/>
              </w:rPr>
            </w:pPr>
            <w:r w:rsidRPr="00D960DB">
              <w:rPr>
                <w:rFonts w:eastAsiaTheme="minorEastAsia"/>
                <w:sz w:val="20"/>
                <w:szCs w:val="20"/>
              </w:rPr>
              <w:t>0.50%</w:t>
            </w:r>
          </w:p>
        </w:tc>
        <w:tc>
          <w:tcPr>
            <w:tcW w:w="925" w:type="dxa"/>
            <w:tcBorders>
              <w:top w:val="nil"/>
              <w:left w:val="nil"/>
              <w:bottom w:val="single" w:sz="4" w:space="0" w:color="auto"/>
              <w:right w:val="single" w:sz="4" w:space="0" w:color="auto"/>
            </w:tcBorders>
            <w:shd w:val="clear" w:color="auto" w:fill="auto"/>
            <w:noWrap/>
            <w:vAlign w:val="bottom"/>
            <w:hideMark/>
          </w:tcPr>
          <w:p w14:paraId="12814B2D" w14:textId="77777777" w:rsidR="00B75AF1" w:rsidRPr="00D960DB" w:rsidRDefault="00B75AF1" w:rsidP="00F75FF9">
            <w:pPr>
              <w:jc w:val="center"/>
              <w:rPr>
                <w:rFonts w:eastAsiaTheme="minorEastAsia"/>
                <w:sz w:val="20"/>
                <w:szCs w:val="20"/>
              </w:rPr>
            </w:pPr>
            <w:r w:rsidRPr="00D960DB">
              <w:rPr>
                <w:rFonts w:eastAsiaTheme="minorEastAsia"/>
                <w:sz w:val="20"/>
                <w:szCs w:val="20"/>
              </w:rPr>
              <w:t>0.20%</w:t>
            </w:r>
          </w:p>
        </w:tc>
      </w:tr>
      <w:tr w:rsidR="00B75AF1" w:rsidRPr="00B75AF1" w14:paraId="604089C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771E2F8" w14:textId="77777777" w:rsidR="00B75AF1" w:rsidRPr="00D960DB" w:rsidRDefault="00B75AF1" w:rsidP="00B75AF1">
            <w:pPr>
              <w:rPr>
                <w:rFonts w:eastAsiaTheme="minorEastAsia"/>
                <w:sz w:val="20"/>
                <w:szCs w:val="20"/>
              </w:rPr>
            </w:pPr>
            <w:r w:rsidRPr="00D960DB">
              <w:rPr>
                <w:rFonts w:eastAsiaTheme="minorEastAsia"/>
                <w:sz w:val="20"/>
                <w:szCs w:val="20"/>
              </w:rPr>
              <w:t>Yancey County</w:t>
            </w:r>
          </w:p>
        </w:tc>
        <w:tc>
          <w:tcPr>
            <w:tcW w:w="2536" w:type="dxa"/>
            <w:tcBorders>
              <w:top w:val="nil"/>
              <w:left w:val="nil"/>
              <w:bottom w:val="single" w:sz="4" w:space="0" w:color="auto"/>
              <w:right w:val="single" w:sz="4" w:space="0" w:color="auto"/>
            </w:tcBorders>
            <w:shd w:val="clear" w:color="auto" w:fill="auto"/>
            <w:noWrap/>
            <w:vAlign w:val="bottom"/>
            <w:hideMark/>
          </w:tcPr>
          <w:p w14:paraId="771D0EB8" w14:textId="4CE6DECB"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30CAA5C0" w14:textId="7838F4E8" w:rsidR="00B75AF1" w:rsidRPr="00D960DB" w:rsidRDefault="00B75AF1" w:rsidP="00F75FF9">
            <w:pPr>
              <w:jc w:val="center"/>
              <w:rPr>
                <w:rFonts w:eastAsiaTheme="minorEastAsia"/>
                <w:sz w:val="20"/>
                <w:szCs w:val="20"/>
              </w:rPr>
            </w:pPr>
            <w:r w:rsidRPr="00D960DB">
              <w:rPr>
                <w:rFonts w:eastAsiaTheme="minorEastAsia"/>
                <w:sz w:val="20"/>
                <w:szCs w:val="20"/>
              </w:rPr>
              <w:t>292</w:t>
            </w:r>
          </w:p>
        </w:tc>
        <w:tc>
          <w:tcPr>
            <w:tcW w:w="1503" w:type="dxa"/>
            <w:tcBorders>
              <w:top w:val="nil"/>
              <w:left w:val="nil"/>
              <w:bottom w:val="single" w:sz="4" w:space="0" w:color="auto"/>
              <w:right w:val="single" w:sz="4" w:space="0" w:color="auto"/>
            </w:tcBorders>
            <w:shd w:val="clear" w:color="auto" w:fill="auto"/>
            <w:noWrap/>
            <w:vAlign w:val="bottom"/>
            <w:hideMark/>
          </w:tcPr>
          <w:p w14:paraId="694588CB"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2B9DCFFB" w14:textId="77777777" w:rsidR="00B75AF1" w:rsidRPr="00D960DB" w:rsidRDefault="00B75AF1" w:rsidP="00F75FF9">
            <w:pPr>
              <w:jc w:val="center"/>
              <w:rPr>
                <w:rFonts w:eastAsiaTheme="minorEastAsia"/>
                <w:sz w:val="20"/>
                <w:szCs w:val="20"/>
              </w:rPr>
            </w:pPr>
            <w:r w:rsidRPr="00D960DB">
              <w:rPr>
                <w:rFonts w:eastAsiaTheme="minorEastAsia"/>
                <w:sz w:val="20"/>
                <w:szCs w:val="20"/>
              </w:rPr>
              <w:t>0.20%</w:t>
            </w:r>
          </w:p>
        </w:tc>
      </w:tr>
      <w:tr w:rsidR="00B75AF1" w:rsidRPr="00B75AF1" w14:paraId="7C8BC06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6F37177" w14:textId="77777777" w:rsidR="00B75AF1" w:rsidRPr="00D960DB" w:rsidRDefault="00B75AF1" w:rsidP="00B75AF1">
            <w:pPr>
              <w:rPr>
                <w:rFonts w:eastAsiaTheme="minorEastAsia"/>
                <w:sz w:val="20"/>
                <w:szCs w:val="20"/>
              </w:rPr>
            </w:pPr>
            <w:r w:rsidRPr="00D960DB">
              <w:rPr>
                <w:rFonts w:eastAsiaTheme="minorEastAsia"/>
                <w:sz w:val="20"/>
                <w:szCs w:val="20"/>
              </w:rPr>
              <w:t>Pender County</w:t>
            </w:r>
          </w:p>
        </w:tc>
        <w:tc>
          <w:tcPr>
            <w:tcW w:w="2536" w:type="dxa"/>
            <w:tcBorders>
              <w:top w:val="nil"/>
              <w:left w:val="nil"/>
              <w:bottom w:val="single" w:sz="4" w:space="0" w:color="auto"/>
              <w:right w:val="single" w:sz="4" w:space="0" w:color="auto"/>
            </w:tcBorders>
            <w:shd w:val="clear" w:color="auto" w:fill="auto"/>
            <w:noWrap/>
            <w:vAlign w:val="bottom"/>
            <w:hideMark/>
          </w:tcPr>
          <w:p w14:paraId="64549C99" w14:textId="5D54935E" w:rsidR="00B75AF1" w:rsidRPr="00D960DB" w:rsidRDefault="00B75AF1" w:rsidP="00F75FF9">
            <w:pPr>
              <w:jc w:val="center"/>
              <w:rPr>
                <w:rFonts w:eastAsiaTheme="minorEastAsia"/>
                <w:sz w:val="20"/>
                <w:szCs w:val="20"/>
              </w:rPr>
            </w:pPr>
            <w:r w:rsidRPr="00D960DB">
              <w:rPr>
                <w:rFonts w:eastAsiaTheme="minorEastAsia"/>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14:paraId="1D088688" w14:textId="0F2831E7" w:rsidR="00B75AF1" w:rsidRPr="00D960DB" w:rsidRDefault="00B75AF1" w:rsidP="00F75FF9">
            <w:pPr>
              <w:jc w:val="center"/>
              <w:rPr>
                <w:rFonts w:eastAsiaTheme="minorEastAsia"/>
                <w:sz w:val="20"/>
                <w:szCs w:val="20"/>
              </w:rPr>
            </w:pPr>
            <w:r w:rsidRPr="00D960DB">
              <w:rPr>
                <w:rFonts w:eastAsiaTheme="minorEastAsia"/>
                <w:sz w:val="20"/>
                <w:szCs w:val="20"/>
              </w:rPr>
              <w:t>266</w:t>
            </w:r>
          </w:p>
        </w:tc>
        <w:tc>
          <w:tcPr>
            <w:tcW w:w="1503" w:type="dxa"/>
            <w:tcBorders>
              <w:top w:val="nil"/>
              <w:left w:val="nil"/>
              <w:bottom w:val="single" w:sz="4" w:space="0" w:color="auto"/>
              <w:right w:val="single" w:sz="4" w:space="0" w:color="auto"/>
            </w:tcBorders>
            <w:shd w:val="clear" w:color="auto" w:fill="auto"/>
            <w:noWrap/>
            <w:vAlign w:val="bottom"/>
            <w:hideMark/>
          </w:tcPr>
          <w:p w14:paraId="6B1DC6ED" w14:textId="77777777" w:rsidR="00B75AF1" w:rsidRPr="00D960DB" w:rsidRDefault="00B75AF1" w:rsidP="00C0151F">
            <w:pPr>
              <w:jc w:val="center"/>
              <w:rPr>
                <w:rFonts w:eastAsiaTheme="minorEastAsia"/>
                <w:sz w:val="20"/>
                <w:szCs w:val="20"/>
              </w:rPr>
            </w:pPr>
            <w:r w:rsidRPr="00D960DB">
              <w:rPr>
                <w:rFonts w:eastAsiaTheme="minorEastAsia"/>
                <w:sz w:val="20"/>
                <w:szCs w:val="20"/>
              </w:rPr>
              <w:t>0.23%</w:t>
            </w:r>
          </w:p>
        </w:tc>
        <w:tc>
          <w:tcPr>
            <w:tcW w:w="925" w:type="dxa"/>
            <w:tcBorders>
              <w:top w:val="nil"/>
              <w:left w:val="nil"/>
              <w:bottom w:val="single" w:sz="4" w:space="0" w:color="auto"/>
              <w:right w:val="single" w:sz="4" w:space="0" w:color="auto"/>
            </w:tcBorders>
            <w:shd w:val="clear" w:color="auto" w:fill="auto"/>
            <w:noWrap/>
            <w:vAlign w:val="bottom"/>
            <w:hideMark/>
          </w:tcPr>
          <w:p w14:paraId="706562CA" w14:textId="77777777" w:rsidR="00B75AF1" w:rsidRPr="00D960DB" w:rsidRDefault="00B75AF1" w:rsidP="00F75FF9">
            <w:pPr>
              <w:jc w:val="center"/>
              <w:rPr>
                <w:rFonts w:eastAsiaTheme="minorEastAsia"/>
                <w:sz w:val="20"/>
                <w:szCs w:val="20"/>
              </w:rPr>
            </w:pPr>
            <w:r w:rsidRPr="00D960DB">
              <w:rPr>
                <w:rFonts w:eastAsiaTheme="minorEastAsia"/>
                <w:sz w:val="20"/>
                <w:szCs w:val="20"/>
              </w:rPr>
              <w:t>0.18%</w:t>
            </w:r>
          </w:p>
        </w:tc>
      </w:tr>
      <w:tr w:rsidR="00B75AF1" w:rsidRPr="00B75AF1" w14:paraId="55F24B9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861850B" w14:textId="77777777" w:rsidR="00B75AF1" w:rsidRPr="00D960DB" w:rsidRDefault="00B75AF1" w:rsidP="00B75AF1">
            <w:pPr>
              <w:rPr>
                <w:rFonts w:eastAsiaTheme="minorEastAsia"/>
                <w:sz w:val="20"/>
                <w:szCs w:val="20"/>
              </w:rPr>
            </w:pPr>
            <w:r w:rsidRPr="00D960DB">
              <w:rPr>
                <w:rFonts w:eastAsiaTheme="minorEastAsia"/>
                <w:sz w:val="20"/>
                <w:szCs w:val="20"/>
              </w:rPr>
              <w:t>Watauga County</w:t>
            </w:r>
          </w:p>
        </w:tc>
        <w:tc>
          <w:tcPr>
            <w:tcW w:w="2536" w:type="dxa"/>
            <w:tcBorders>
              <w:top w:val="nil"/>
              <w:left w:val="nil"/>
              <w:bottom w:val="single" w:sz="4" w:space="0" w:color="auto"/>
              <w:right w:val="single" w:sz="4" w:space="0" w:color="auto"/>
            </w:tcBorders>
            <w:shd w:val="clear" w:color="auto" w:fill="auto"/>
            <w:noWrap/>
            <w:vAlign w:val="bottom"/>
            <w:hideMark/>
          </w:tcPr>
          <w:p w14:paraId="7039A513" w14:textId="59ABAAD6"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6E7EBEF0" w14:textId="219B0B0C" w:rsidR="00B75AF1" w:rsidRPr="00D960DB" w:rsidRDefault="00B75AF1" w:rsidP="00F75FF9">
            <w:pPr>
              <w:jc w:val="center"/>
              <w:rPr>
                <w:rFonts w:eastAsiaTheme="minorEastAsia"/>
                <w:sz w:val="20"/>
                <w:szCs w:val="20"/>
              </w:rPr>
            </w:pPr>
            <w:r w:rsidRPr="00D960DB">
              <w:rPr>
                <w:rFonts w:eastAsiaTheme="minorEastAsia"/>
                <w:sz w:val="20"/>
                <w:szCs w:val="20"/>
              </w:rPr>
              <w:t>260</w:t>
            </w:r>
          </w:p>
        </w:tc>
        <w:tc>
          <w:tcPr>
            <w:tcW w:w="1503" w:type="dxa"/>
            <w:tcBorders>
              <w:top w:val="nil"/>
              <w:left w:val="nil"/>
              <w:bottom w:val="single" w:sz="4" w:space="0" w:color="auto"/>
              <w:right w:val="single" w:sz="4" w:space="0" w:color="auto"/>
            </w:tcBorders>
            <w:shd w:val="clear" w:color="auto" w:fill="auto"/>
            <w:noWrap/>
            <w:vAlign w:val="bottom"/>
            <w:hideMark/>
          </w:tcPr>
          <w:p w14:paraId="0F6FF2E7"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54C6492E" w14:textId="77777777" w:rsidR="00B75AF1" w:rsidRPr="00D960DB" w:rsidRDefault="00B75AF1" w:rsidP="00F75FF9">
            <w:pPr>
              <w:jc w:val="center"/>
              <w:rPr>
                <w:rFonts w:eastAsiaTheme="minorEastAsia"/>
                <w:sz w:val="20"/>
                <w:szCs w:val="20"/>
              </w:rPr>
            </w:pPr>
            <w:r w:rsidRPr="00D960DB">
              <w:rPr>
                <w:rFonts w:eastAsiaTheme="minorEastAsia"/>
                <w:sz w:val="20"/>
                <w:szCs w:val="20"/>
              </w:rPr>
              <w:t>0.18%</w:t>
            </w:r>
          </w:p>
        </w:tc>
      </w:tr>
      <w:tr w:rsidR="00B75AF1" w:rsidRPr="00B75AF1" w14:paraId="3B94CB61"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B49DC0E" w14:textId="77777777" w:rsidR="00B75AF1" w:rsidRPr="00D960DB" w:rsidRDefault="00B75AF1" w:rsidP="00B75AF1">
            <w:pPr>
              <w:rPr>
                <w:rFonts w:eastAsiaTheme="minorEastAsia"/>
                <w:sz w:val="20"/>
                <w:szCs w:val="20"/>
              </w:rPr>
            </w:pPr>
            <w:r w:rsidRPr="00D960DB">
              <w:rPr>
                <w:rFonts w:eastAsiaTheme="minorEastAsia"/>
                <w:sz w:val="20"/>
                <w:szCs w:val="20"/>
              </w:rPr>
              <w:t>Cherokee County</w:t>
            </w:r>
          </w:p>
        </w:tc>
        <w:tc>
          <w:tcPr>
            <w:tcW w:w="2536" w:type="dxa"/>
            <w:tcBorders>
              <w:top w:val="nil"/>
              <w:left w:val="nil"/>
              <w:bottom w:val="single" w:sz="4" w:space="0" w:color="auto"/>
              <w:right w:val="single" w:sz="4" w:space="0" w:color="auto"/>
            </w:tcBorders>
            <w:shd w:val="clear" w:color="auto" w:fill="auto"/>
            <w:noWrap/>
            <w:vAlign w:val="bottom"/>
            <w:hideMark/>
          </w:tcPr>
          <w:p w14:paraId="6B8BF1E1" w14:textId="23E54DA9"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72CB3B0C" w14:textId="2A02516B" w:rsidR="00B75AF1" w:rsidRPr="00D960DB" w:rsidRDefault="00B75AF1" w:rsidP="00F75FF9">
            <w:pPr>
              <w:jc w:val="center"/>
              <w:rPr>
                <w:rFonts w:eastAsiaTheme="minorEastAsia"/>
                <w:sz w:val="20"/>
                <w:szCs w:val="20"/>
              </w:rPr>
            </w:pPr>
            <w:r w:rsidRPr="00D960DB">
              <w:rPr>
                <w:rFonts w:eastAsiaTheme="minorEastAsia"/>
                <w:sz w:val="20"/>
                <w:szCs w:val="20"/>
              </w:rPr>
              <w:t>256</w:t>
            </w:r>
          </w:p>
        </w:tc>
        <w:tc>
          <w:tcPr>
            <w:tcW w:w="1503" w:type="dxa"/>
            <w:tcBorders>
              <w:top w:val="nil"/>
              <w:left w:val="nil"/>
              <w:bottom w:val="single" w:sz="4" w:space="0" w:color="auto"/>
              <w:right w:val="single" w:sz="4" w:space="0" w:color="auto"/>
            </w:tcBorders>
            <w:shd w:val="clear" w:color="auto" w:fill="auto"/>
            <w:noWrap/>
            <w:vAlign w:val="bottom"/>
            <w:hideMark/>
          </w:tcPr>
          <w:p w14:paraId="79A5345E"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51D6E179" w14:textId="77777777" w:rsidR="00B75AF1" w:rsidRPr="00D960DB" w:rsidRDefault="00B75AF1" w:rsidP="00F75FF9">
            <w:pPr>
              <w:jc w:val="center"/>
              <w:rPr>
                <w:rFonts w:eastAsiaTheme="minorEastAsia"/>
                <w:sz w:val="20"/>
                <w:szCs w:val="20"/>
              </w:rPr>
            </w:pPr>
            <w:r w:rsidRPr="00D960DB">
              <w:rPr>
                <w:rFonts w:eastAsiaTheme="minorEastAsia"/>
                <w:sz w:val="20"/>
                <w:szCs w:val="20"/>
              </w:rPr>
              <w:t>0.17%</w:t>
            </w:r>
          </w:p>
        </w:tc>
      </w:tr>
      <w:tr w:rsidR="00B75AF1" w:rsidRPr="00B75AF1" w14:paraId="2194FA7A"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64B1BB5" w14:textId="77777777" w:rsidR="00B75AF1" w:rsidRPr="00D960DB" w:rsidRDefault="00B75AF1" w:rsidP="00B75AF1">
            <w:pPr>
              <w:rPr>
                <w:rFonts w:eastAsiaTheme="minorEastAsia"/>
                <w:sz w:val="20"/>
                <w:szCs w:val="20"/>
              </w:rPr>
            </w:pPr>
            <w:r w:rsidRPr="00D960DB">
              <w:rPr>
                <w:rFonts w:eastAsiaTheme="minorEastAsia"/>
                <w:sz w:val="20"/>
                <w:szCs w:val="20"/>
              </w:rPr>
              <w:lastRenderedPageBreak/>
              <w:t>Jackson County</w:t>
            </w:r>
          </w:p>
        </w:tc>
        <w:tc>
          <w:tcPr>
            <w:tcW w:w="2536" w:type="dxa"/>
            <w:tcBorders>
              <w:top w:val="nil"/>
              <w:left w:val="nil"/>
              <w:bottom w:val="single" w:sz="4" w:space="0" w:color="auto"/>
              <w:right w:val="single" w:sz="4" w:space="0" w:color="auto"/>
            </w:tcBorders>
            <w:shd w:val="clear" w:color="auto" w:fill="auto"/>
            <w:noWrap/>
            <w:vAlign w:val="bottom"/>
            <w:hideMark/>
          </w:tcPr>
          <w:p w14:paraId="1A72D5EF" w14:textId="09BC1491"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4285E9DF" w14:textId="5BCB8D94" w:rsidR="00B75AF1" w:rsidRPr="00D960DB" w:rsidRDefault="00B75AF1" w:rsidP="00F75FF9">
            <w:pPr>
              <w:jc w:val="center"/>
              <w:rPr>
                <w:rFonts w:eastAsiaTheme="minorEastAsia"/>
                <w:sz w:val="20"/>
                <w:szCs w:val="20"/>
              </w:rPr>
            </w:pPr>
            <w:r w:rsidRPr="00D960DB">
              <w:rPr>
                <w:rFonts w:eastAsiaTheme="minorEastAsia"/>
                <w:sz w:val="20"/>
                <w:szCs w:val="20"/>
              </w:rPr>
              <w:t>254</w:t>
            </w:r>
          </w:p>
        </w:tc>
        <w:tc>
          <w:tcPr>
            <w:tcW w:w="1503" w:type="dxa"/>
            <w:tcBorders>
              <w:top w:val="nil"/>
              <w:left w:val="nil"/>
              <w:bottom w:val="single" w:sz="4" w:space="0" w:color="auto"/>
              <w:right w:val="single" w:sz="4" w:space="0" w:color="auto"/>
            </w:tcBorders>
            <w:shd w:val="clear" w:color="auto" w:fill="auto"/>
            <w:noWrap/>
            <w:vAlign w:val="bottom"/>
            <w:hideMark/>
          </w:tcPr>
          <w:p w14:paraId="2669E4C2"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4779AAA9" w14:textId="77777777" w:rsidR="00B75AF1" w:rsidRPr="00D960DB" w:rsidRDefault="00B75AF1" w:rsidP="00F75FF9">
            <w:pPr>
              <w:jc w:val="center"/>
              <w:rPr>
                <w:rFonts w:eastAsiaTheme="minorEastAsia"/>
                <w:sz w:val="20"/>
                <w:szCs w:val="20"/>
              </w:rPr>
            </w:pPr>
            <w:r w:rsidRPr="00D960DB">
              <w:rPr>
                <w:rFonts w:eastAsiaTheme="minorEastAsia"/>
                <w:sz w:val="20"/>
                <w:szCs w:val="20"/>
              </w:rPr>
              <w:t>0.17%</w:t>
            </w:r>
          </w:p>
        </w:tc>
      </w:tr>
      <w:tr w:rsidR="00B75AF1" w:rsidRPr="00B75AF1" w14:paraId="1FA67685"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B59CF11" w14:textId="77777777" w:rsidR="00B75AF1" w:rsidRPr="00D960DB" w:rsidRDefault="00B75AF1" w:rsidP="00B75AF1">
            <w:pPr>
              <w:rPr>
                <w:rFonts w:eastAsiaTheme="minorEastAsia"/>
                <w:sz w:val="20"/>
                <w:szCs w:val="20"/>
              </w:rPr>
            </w:pPr>
            <w:r w:rsidRPr="00D960DB">
              <w:rPr>
                <w:rFonts w:eastAsiaTheme="minorEastAsia"/>
                <w:sz w:val="20"/>
                <w:szCs w:val="20"/>
              </w:rPr>
              <w:t>Mitchell County</w:t>
            </w:r>
          </w:p>
        </w:tc>
        <w:tc>
          <w:tcPr>
            <w:tcW w:w="2536" w:type="dxa"/>
            <w:tcBorders>
              <w:top w:val="nil"/>
              <w:left w:val="nil"/>
              <w:bottom w:val="single" w:sz="4" w:space="0" w:color="auto"/>
              <w:right w:val="single" w:sz="4" w:space="0" w:color="auto"/>
            </w:tcBorders>
            <w:shd w:val="clear" w:color="auto" w:fill="auto"/>
            <w:noWrap/>
            <w:vAlign w:val="bottom"/>
            <w:hideMark/>
          </w:tcPr>
          <w:p w14:paraId="6F69BA95" w14:textId="7CE86464"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4627C643" w14:textId="3628B39D" w:rsidR="00B75AF1" w:rsidRPr="00D960DB" w:rsidRDefault="00B75AF1" w:rsidP="00F75FF9">
            <w:pPr>
              <w:jc w:val="center"/>
              <w:rPr>
                <w:rFonts w:eastAsiaTheme="minorEastAsia"/>
                <w:sz w:val="20"/>
                <w:szCs w:val="20"/>
              </w:rPr>
            </w:pPr>
            <w:r w:rsidRPr="00D960DB">
              <w:rPr>
                <w:rFonts w:eastAsiaTheme="minorEastAsia"/>
                <w:sz w:val="20"/>
                <w:szCs w:val="20"/>
              </w:rPr>
              <w:t>239</w:t>
            </w:r>
          </w:p>
        </w:tc>
        <w:tc>
          <w:tcPr>
            <w:tcW w:w="1503" w:type="dxa"/>
            <w:tcBorders>
              <w:top w:val="nil"/>
              <w:left w:val="nil"/>
              <w:bottom w:val="single" w:sz="4" w:space="0" w:color="auto"/>
              <w:right w:val="single" w:sz="4" w:space="0" w:color="auto"/>
            </w:tcBorders>
            <w:shd w:val="clear" w:color="auto" w:fill="auto"/>
            <w:noWrap/>
            <w:vAlign w:val="bottom"/>
            <w:hideMark/>
          </w:tcPr>
          <w:p w14:paraId="7EEDD3F9"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04E9FD48" w14:textId="77777777" w:rsidR="00B75AF1" w:rsidRPr="00D960DB" w:rsidRDefault="00B75AF1" w:rsidP="00F75FF9">
            <w:pPr>
              <w:jc w:val="center"/>
              <w:rPr>
                <w:rFonts w:eastAsiaTheme="minorEastAsia"/>
                <w:sz w:val="20"/>
                <w:szCs w:val="20"/>
              </w:rPr>
            </w:pPr>
            <w:r w:rsidRPr="00D960DB">
              <w:rPr>
                <w:rFonts w:eastAsiaTheme="minorEastAsia"/>
                <w:sz w:val="20"/>
                <w:szCs w:val="20"/>
              </w:rPr>
              <w:t>0.16%</w:t>
            </w:r>
          </w:p>
        </w:tc>
      </w:tr>
      <w:tr w:rsidR="00B75AF1" w:rsidRPr="00B75AF1" w14:paraId="4DCFCECF"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01D8B1B" w14:textId="77777777" w:rsidR="00B75AF1" w:rsidRPr="00D960DB" w:rsidRDefault="00B75AF1" w:rsidP="00B75AF1">
            <w:pPr>
              <w:rPr>
                <w:rFonts w:eastAsiaTheme="minorEastAsia"/>
                <w:sz w:val="20"/>
                <w:szCs w:val="20"/>
              </w:rPr>
            </w:pPr>
            <w:r w:rsidRPr="00D960DB">
              <w:rPr>
                <w:rFonts w:eastAsiaTheme="minorEastAsia"/>
                <w:sz w:val="20"/>
                <w:szCs w:val="20"/>
              </w:rPr>
              <w:t>Caswell County</w:t>
            </w:r>
          </w:p>
        </w:tc>
        <w:tc>
          <w:tcPr>
            <w:tcW w:w="2536" w:type="dxa"/>
            <w:tcBorders>
              <w:top w:val="nil"/>
              <w:left w:val="nil"/>
              <w:bottom w:val="single" w:sz="4" w:space="0" w:color="auto"/>
              <w:right w:val="single" w:sz="4" w:space="0" w:color="auto"/>
            </w:tcBorders>
            <w:shd w:val="clear" w:color="auto" w:fill="auto"/>
            <w:noWrap/>
            <w:vAlign w:val="bottom"/>
            <w:hideMark/>
          </w:tcPr>
          <w:p w14:paraId="186E6CE4" w14:textId="5A7D147B" w:rsidR="00B75AF1" w:rsidRPr="00D960DB" w:rsidRDefault="00B75AF1" w:rsidP="00F75FF9">
            <w:pPr>
              <w:jc w:val="center"/>
              <w:rPr>
                <w:rFonts w:eastAsiaTheme="minorEastAsia"/>
                <w:sz w:val="20"/>
                <w:szCs w:val="20"/>
              </w:rPr>
            </w:pPr>
            <w:r w:rsidRPr="00D960DB">
              <w:rPr>
                <w:rFonts w:eastAsiaTheme="minorEastAsia"/>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14:paraId="5F5437C0" w14:textId="78E11AA9" w:rsidR="00B75AF1" w:rsidRPr="00D960DB" w:rsidRDefault="00B75AF1" w:rsidP="00F75FF9">
            <w:pPr>
              <w:jc w:val="center"/>
              <w:rPr>
                <w:rFonts w:eastAsiaTheme="minorEastAsia"/>
                <w:sz w:val="20"/>
                <w:szCs w:val="20"/>
              </w:rPr>
            </w:pPr>
            <w:r w:rsidRPr="00D960DB">
              <w:rPr>
                <w:rFonts w:eastAsiaTheme="minorEastAsia"/>
                <w:sz w:val="20"/>
                <w:szCs w:val="20"/>
              </w:rPr>
              <w:t>208</w:t>
            </w:r>
          </w:p>
        </w:tc>
        <w:tc>
          <w:tcPr>
            <w:tcW w:w="1503" w:type="dxa"/>
            <w:tcBorders>
              <w:top w:val="nil"/>
              <w:left w:val="nil"/>
              <w:bottom w:val="single" w:sz="4" w:space="0" w:color="auto"/>
              <w:right w:val="single" w:sz="4" w:space="0" w:color="auto"/>
            </w:tcBorders>
            <w:shd w:val="clear" w:color="auto" w:fill="auto"/>
            <w:noWrap/>
            <w:vAlign w:val="bottom"/>
            <w:hideMark/>
          </w:tcPr>
          <w:p w14:paraId="3CEBA12F" w14:textId="77777777" w:rsidR="00B75AF1" w:rsidRPr="00D960DB" w:rsidRDefault="00B75AF1" w:rsidP="00C0151F">
            <w:pPr>
              <w:jc w:val="center"/>
              <w:rPr>
                <w:rFonts w:eastAsiaTheme="minorEastAsia"/>
                <w:sz w:val="20"/>
                <w:szCs w:val="20"/>
              </w:rPr>
            </w:pPr>
            <w:r w:rsidRPr="00D960DB">
              <w:rPr>
                <w:rFonts w:eastAsiaTheme="minorEastAsia"/>
                <w:sz w:val="20"/>
                <w:szCs w:val="20"/>
              </w:rPr>
              <w:t>0.20%</w:t>
            </w:r>
          </w:p>
        </w:tc>
        <w:tc>
          <w:tcPr>
            <w:tcW w:w="925" w:type="dxa"/>
            <w:tcBorders>
              <w:top w:val="nil"/>
              <w:left w:val="nil"/>
              <w:bottom w:val="single" w:sz="4" w:space="0" w:color="auto"/>
              <w:right w:val="single" w:sz="4" w:space="0" w:color="auto"/>
            </w:tcBorders>
            <w:shd w:val="clear" w:color="auto" w:fill="auto"/>
            <w:noWrap/>
            <w:vAlign w:val="bottom"/>
            <w:hideMark/>
          </w:tcPr>
          <w:p w14:paraId="36935926" w14:textId="77777777" w:rsidR="00B75AF1" w:rsidRPr="00D960DB" w:rsidRDefault="00B75AF1" w:rsidP="00F75FF9">
            <w:pPr>
              <w:jc w:val="center"/>
              <w:rPr>
                <w:rFonts w:eastAsiaTheme="minorEastAsia"/>
                <w:sz w:val="20"/>
                <w:szCs w:val="20"/>
              </w:rPr>
            </w:pPr>
            <w:r w:rsidRPr="00D960DB">
              <w:rPr>
                <w:rFonts w:eastAsiaTheme="minorEastAsia"/>
                <w:sz w:val="20"/>
                <w:szCs w:val="20"/>
              </w:rPr>
              <w:t>0.14%</w:t>
            </w:r>
          </w:p>
        </w:tc>
      </w:tr>
      <w:tr w:rsidR="00B75AF1" w:rsidRPr="00B75AF1" w14:paraId="7014639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83DCA65" w14:textId="77777777" w:rsidR="00B75AF1" w:rsidRPr="00D960DB" w:rsidRDefault="00B75AF1" w:rsidP="00B75AF1">
            <w:pPr>
              <w:rPr>
                <w:rFonts w:eastAsiaTheme="minorEastAsia"/>
                <w:sz w:val="20"/>
                <w:szCs w:val="20"/>
              </w:rPr>
            </w:pPr>
            <w:r w:rsidRPr="00D960DB">
              <w:rPr>
                <w:rFonts w:eastAsiaTheme="minorEastAsia"/>
                <w:sz w:val="20"/>
                <w:szCs w:val="20"/>
              </w:rPr>
              <w:t>Bertie County</w:t>
            </w:r>
          </w:p>
        </w:tc>
        <w:tc>
          <w:tcPr>
            <w:tcW w:w="2536" w:type="dxa"/>
            <w:tcBorders>
              <w:top w:val="nil"/>
              <w:left w:val="nil"/>
              <w:bottom w:val="single" w:sz="4" w:space="0" w:color="auto"/>
              <w:right w:val="single" w:sz="4" w:space="0" w:color="auto"/>
            </w:tcBorders>
            <w:shd w:val="clear" w:color="auto" w:fill="auto"/>
            <w:noWrap/>
            <w:vAlign w:val="bottom"/>
            <w:hideMark/>
          </w:tcPr>
          <w:p w14:paraId="358A4D73" w14:textId="6D685CD8" w:rsidR="00B75AF1" w:rsidRPr="00D960DB" w:rsidRDefault="00B75AF1" w:rsidP="00F75FF9">
            <w:pPr>
              <w:jc w:val="center"/>
              <w:rPr>
                <w:rFonts w:eastAsiaTheme="minorEastAsia"/>
                <w:sz w:val="20"/>
                <w:szCs w:val="20"/>
              </w:rPr>
            </w:pPr>
            <w:r w:rsidRPr="00D960DB">
              <w:rPr>
                <w:rFonts w:eastAsiaTheme="minorEastAsia"/>
                <w:sz w:val="20"/>
                <w:szCs w:val="20"/>
              </w:rPr>
              <w:t>8</w:t>
            </w:r>
          </w:p>
        </w:tc>
        <w:tc>
          <w:tcPr>
            <w:tcW w:w="1890" w:type="dxa"/>
            <w:tcBorders>
              <w:top w:val="nil"/>
              <w:left w:val="nil"/>
              <w:bottom w:val="single" w:sz="4" w:space="0" w:color="auto"/>
              <w:right w:val="single" w:sz="4" w:space="0" w:color="auto"/>
            </w:tcBorders>
            <w:shd w:val="clear" w:color="auto" w:fill="auto"/>
            <w:noWrap/>
            <w:vAlign w:val="bottom"/>
            <w:hideMark/>
          </w:tcPr>
          <w:p w14:paraId="15C9F691" w14:textId="27992D06" w:rsidR="00B75AF1" w:rsidRPr="00D960DB" w:rsidRDefault="00B75AF1" w:rsidP="00F75FF9">
            <w:pPr>
              <w:jc w:val="center"/>
              <w:rPr>
                <w:rFonts w:eastAsiaTheme="minorEastAsia"/>
                <w:sz w:val="20"/>
                <w:szCs w:val="20"/>
              </w:rPr>
            </w:pPr>
            <w:r w:rsidRPr="00D960DB">
              <w:rPr>
                <w:rFonts w:eastAsiaTheme="minorEastAsia"/>
                <w:sz w:val="20"/>
                <w:szCs w:val="20"/>
              </w:rPr>
              <w:t>182</w:t>
            </w:r>
          </w:p>
        </w:tc>
        <w:tc>
          <w:tcPr>
            <w:tcW w:w="1503" w:type="dxa"/>
            <w:tcBorders>
              <w:top w:val="nil"/>
              <w:left w:val="nil"/>
              <w:bottom w:val="single" w:sz="4" w:space="0" w:color="auto"/>
              <w:right w:val="single" w:sz="4" w:space="0" w:color="auto"/>
            </w:tcBorders>
            <w:shd w:val="clear" w:color="auto" w:fill="auto"/>
            <w:noWrap/>
            <w:vAlign w:val="bottom"/>
            <w:hideMark/>
          </w:tcPr>
          <w:p w14:paraId="0004DE97" w14:textId="77777777" w:rsidR="00B75AF1" w:rsidRPr="00D960DB" w:rsidRDefault="00B75AF1" w:rsidP="00C0151F">
            <w:pPr>
              <w:jc w:val="center"/>
              <w:rPr>
                <w:rFonts w:eastAsiaTheme="minorEastAsia"/>
                <w:sz w:val="20"/>
                <w:szCs w:val="20"/>
              </w:rPr>
            </w:pPr>
            <w:r w:rsidRPr="00D960DB">
              <w:rPr>
                <w:rFonts w:eastAsiaTheme="minorEastAsia"/>
                <w:sz w:val="20"/>
                <w:szCs w:val="20"/>
              </w:rPr>
              <w:t>0.26%</w:t>
            </w:r>
          </w:p>
        </w:tc>
        <w:tc>
          <w:tcPr>
            <w:tcW w:w="925" w:type="dxa"/>
            <w:tcBorders>
              <w:top w:val="nil"/>
              <w:left w:val="nil"/>
              <w:bottom w:val="single" w:sz="4" w:space="0" w:color="auto"/>
              <w:right w:val="single" w:sz="4" w:space="0" w:color="auto"/>
            </w:tcBorders>
            <w:shd w:val="clear" w:color="auto" w:fill="auto"/>
            <w:noWrap/>
            <w:vAlign w:val="bottom"/>
            <w:hideMark/>
          </w:tcPr>
          <w:p w14:paraId="55DBE606" w14:textId="77777777" w:rsidR="00B75AF1" w:rsidRPr="00D960DB" w:rsidRDefault="00B75AF1" w:rsidP="00F75FF9">
            <w:pPr>
              <w:jc w:val="center"/>
              <w:rPr>
                <w:rFonts w:eastAsiaTheme="minorEastAsia"/>
                <w:sz w:val="20"/>
                <w:szCs w:val="20"/>
              </w:rPr>
            </w:pPr>
            <w:r w:rsidRPr="00D960DB">
              <w:rPr>
                <w:rFonts w:eastAsiaTheme="minorEastAsia"/>
                <w:sz w:val="20"/>
                <w:szCs w:val="20"/>
              </w:rPr>
              <w:t>0.12%</w:t>
            </w:r>
          </w:p>
        </w:tc>
      </w:tr>
      <w:tr w:rsidR="00B75AF1" w:rsidRPr="00B75AF1" w14:paraId="71AB1446"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93DD01A" w14:textId="77777777" w:rsidR="00B75AF1" w:rsidRPr="00D960DB" w:rsidRDefault="00B75AF1" w:rsidP="00B75AF1">
            <w:pPr>
              <w:rPr>
                <w:rFonts w:eastAsiaTheme="minorEastAsia"/>
                <w:sz w:val="20"/>
                <w:szCs w:val="20"/>
              </w:rPr>
            </w:pPr>
            <w:r w:rsidRPr="00D960DB">
              <w:rPr>
                <w:rFonts w:eastAsiaTheme="minorEastAsia"/>
                <w:sz w:val="20"/>
                <w:szCs w:val="20"/>
              </w:rPr>
              <w:t>Greene County</w:t>
            </w:r>
          </w:p>
        </w:tc>
        <w:tc>
          <w:tcPr>
            <w:tcW w:w="2536" w:type="dxa"/>
            <w:tcBorders>
              <w:top w:val="nil"/>
              <w:left w:val="nil"/>
              <w:bottom w:val="single" w:sz="4" w:space="0" w:color="auto"/>
              <w:right w:val="single" w:sz="4" w:space="0" w:color="auto"/>
            </w:tcBorders>
            <w:shd w:val="clear" w:color="auto" w:fill="auto"/>
            <w:noWrap/>
            <w:vAlign w:val="bottom"/>
            <w:hideMark/>
          </w:tcPr>
          <w:p w14:paraId="33656876" w14:textId="4C808518" w:rsidR="00B75AF1" w:rsidRPr="00D960DB" w:rsidRDefault="00B75AF1" w:rsidP="00F75FF9">
            <w:pPr>
              <w:jc w:val="center"/>
              <w:rPr>
                <w:rFonts w:eastAsiaTheme="minorEastAsia"/>
                <w:sz w:val="20"/>
                <w:szCs w:val="20"/>
              </w:rPr>
            </w:pPr>
            <w:r w:rsidRPr="00D960DB">
              <w:rPr>
                <w:rFonts w:eastAsiaTheme="minorEastAsia"/>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14:paraId="546549BD" w14:textId="360A5487" w:rsidR="00B75AF1" w:rsidRPr="00D960DB" w:rsidRDefault="00B75AF1" w:rsidP="00F75FF9">
            <w:pPr>
              <w:jc w:val="center"/>
              <w:rPr>
                <w:rFonts w:eastAsiaTheme="minorEastAsia"/>
                <w:sz w:val="20"/>
                <w:szCs w:val="20"/>
              </w:rPr>
            </w:pPr>
            <w:r w:rsidRPr="00D960DB">
              <w:rPr>
                <w:rFonts w:eastAsiaTheme="minorEastAsia"/>
                <w:sz w:val="20"/>
                <w:szCs w:val="20"/>
              </w:rPr>
              <w:t>176</w:t>
            </w:r>
          </w:p>
        </w:tc>
        <w:tc>
          <w:tcPr>
            <w:tcW w:w="1503" w:type="dxa"/>
            <w:tcBorders>
              <w:top w:val="nil"/>
              <w:left w:val="nil"/>
              <w:bottom w:val="single" w:sz="4" w:space="0" w:color="auto"/>
              <w:right w:val="single" w:sz="4" w:space="0" w:color="auto"/>
            </w:tcBorders>
            <w:shd w:val="clear" w:color="auto" w:fill="auto"/>
            <w:noWrap/>
            <w:vAlign w:val="bottom"/>
            <w:hideMark/>
          </w:tcPr>
          <w:p w14:paraId="4CCAAD74" w14:textId="77777777" w:rsidR="00B75AF1" w:rsidRPr="00D960DB" w:rsidRDefault="00B75AF1" w:rsidP="00C0151F">
            <w:pPr>
              <w:jc w:val="center"/>
              <w:rPr>
                <w:rFonts w:eastAsiaTheme="minorEastAsia"/>
                <w:sz w:val="20"/>
                <w:szCs w:val="20"/>
              </w:rPr>
            </w:pPr>
            <w:r w:rsidRPr="00D960DB">
              <w:rPr>
                <w:rFonts w:eastAsiaTheme="minorEastAsia"/>
                <w:sz w:val="20"/>
                <w:szCs w:val="20"/>
              </w:rPr>
              <w:t>0.20%</w:t>
            </w:r>
          </w:p>
        </w:tc>
        <w:tc>
          <w:tcPr>
            <w:tcW w:w="925" w:type="dxa"/>
            <w:tcBorders>
              <w:top w:val="nil"/>
              <w:left w:val="nil"/>
              <w:bottom w:val="single" w:sz="4" w:space="0" w:color="auto"/>
              <w:right w:val="single" w:sz="4" w:space="0" w:color="auto"/>
            </w:tcBorders>
            <w:shd w:val="clear" w:color="auto" w:fill="auto"/>
            <w:noWrap/>
            <w:vAlign w:val="bottom"/>
            <w:hideMark/>
          </w:tcPr>
          <w:p w14:paraId="166D1429" w14:textId="77777777" w:rsidR="00B75AF1" w:rsidRPr="00D960DB" w:rsidRDefault="00B75AF1" w:rsidP="00F75FF9">
            <w:pPr>
              <w:jc w:val="center"/>
              <w:rPr>
                <w:rFonts w:eastAsiaTheme="minorEastAsia"/>
                <w:sz w:val="20"/>
                <w:szCs w:val="20"/>
              </w:rPr>
            </w:pPr>
            <w:r w:rsidRPr="00D960DB">
              <w:rPr>
                <w:rFonts w:eastAsiaTheme="minorEastAsia"/>
                <w:sz w:val="20"/>
                <w:szCs w:val="20"/>
              </w:rPr>
              <w:t>0.12%</w:t>
            </w:r>
          </w:p>
        </w:tc>
      </w:tr>
      <w:tr w:rsidR="00B75AF1" w:rsidRPr="00B75AF1" w14:paraId="5E719B94"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B35C827" w14:textId="77777777" w:rsidR="00B75AF1" w:rsidRPr="00D960DB" w:rsidRDefault="00B75AF1" w:rsidP="00B75AF1">
            <w:pPr>
              <w:rPr>
                <w:rFonts w:eastAsiaTheme="minorEastAsia"/>
                <w:sz w:val="20"/>
                <w:szCs w:val="20"/>
              </w:rPr>
            </w:pPr>
            <w:r w:rsidRPr="00D960DB">
              <w:rPr>
                <w:rFonts w:eastAsiaTheme="minorEastAsia"/>
                <w:sz w:val="20"/>
                <w:szCs w:val="20"/>
              </w:rPr>
              <w:t>Alexander County</w:t>
            </w:r>
          </w:p>
        </w:tc>
        <w:tc>
          <w:tcPr>
            <w:tcW w:w="2536" w:type="dxa"/>
            <w:tcBorders>
              <w:top w:val="nil"/>
              <w:left w:val="nil"/>
              <w:bottom w:val="single" w:sz="4" w:space="0" w:color="auto"/>
              <w:right w:val="single" w:sz="4" w:space="0" w:color="auto"/>
            </w:tcBorders>
            <w:shd w:val="clear" w:color="auto" w:fill="auto"/>
            <w:noWrap/>
            <w:vAlign w:val="bottom"/>
            <w:hideMark/>
          </w:tcPr>
          <w:p w14:paraId="694C4A6B" w14:textId="103DA9D2" w:rsidR="00B75AF1" w:rsidRPr="00D960DB" w:rsidRDefault="00B75AF1" w:rsidP="00F75FF9">
            <w:pPr>
              <w:jc w:val="center"/>
              <w:rPr>
                <w:rFonts w:eastAsiaTheme="minorEastAsia"/>
                <w:sz w:val="20"/>
                <w:szCs w:val="20"/>
              </w:rPr>
            </w:pPr>
            <w:r w:rsidRPr="00D960DB">
              <w:rPr>
                <w:rFonts w:eastAsiaTheme="minorEastAsia"/>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14:paraId="2ECFEB4D" w14:textId="1A9E1884" w:rsidR="00B75AF1" w:rsidRPr="00D960DB" w:rsidRDefault="00B75AF1" w:rsidP="00F75FF9">
            <w:pPr>
              <w:jc w:val="center"/>
              <w:rPr>
                <w:rFonts w:eastAsiaTheme="minorEastAsia"/>
                <w:sz w:val="20"/>
                <w:szCs w:val="20"/>
              </w:rPr>
            </w:pPr>
            <w:r w:rsidRPr="00D960DB">
              <w:rPr>
                <w:rFonts w:eastAsiaTheme="minorEastAsia"/>
                <w:sz w:val="20"/>
                <w:szCs w:val="20"/>
              </w:rPr>
              <w:t>174</w:t>
            </w:r>
          </w:p>
        </w:tc>
        <w:tc>
          <w:tcPr>
            <w:tcW w:w="1503" w:type="dxa"/>
            <w:tcBorders>
              <w:top w:val="nil"/>
              <w:left w:val="nil"/>
              <w:bottom w:val="single" w:sz="4" w:space="0" w:color="auto"/>
              <w:right w:val="single" w:sz="4" w:space="0" w:color="auto"/>
            </w:tcBorders>
            <w:shd w:val="clear" w:color="auto" w:fill="auto"/>
            <w:noWrap/>
            <w:vAlign w:val="bottom"/>
            <w:hideMark/>
          </w:tcPr>
          <w:p w14:paraId="7982A92F" w14:textId="77777777" w:rsidR="00B75AF1" w:rsidRPr="00D960DB" w:rsidRDefault="00B75AF1" w:rsidP="00C0151F">
            <w:pPr>
              <w:jc w:val="center"/>
              <w:rPr>
                <w:rFonts w:eastAsiaTheme="minorEastAsia"/>
                <w:sz w:val="20"/>
                <w:szCs w:val="20"/>
              </w:rPr>
            </w:pPr>
            <w:r w:rsidRPr="00D960DB">
              <w:rPr>
                <w:rFonts w:eastAsiaTheme="minorEastAsia"/>
                <w:sz w:val="20"/>
                <w:szCs w:val="20"/>
              </w:rPr>
              <w:t>0.20%</w:t>
            </w:r>
          </w:p>
        </w:tc>
        <w:tc>
          <w:tcPr>
            <w:tcW w:w="925" w:type="dxa"/>
            <w:tcBorders>
              <w:top w:val="nil"/>
              <w:left w:val="nil"/>
              <w:bottom w:val="single" w:sz="4" w:space="0" w:color="auto"/>
              <w:right w:val="single" w:sz="4" w:space="0" w:color="auto"/>
            </w:tcBorders>
            <w:shd w:val="clear" w:color="auto" w:fill="auto"/>
            <w:noWrap/>
            <w:vAlign w:val="bottom"/>
            <w:hideMark/>
          </w:tcPr>
          <w:p w14:paraId="24A16377" w14:textId="77777777" w:rsidR="00B75AF1" w:rsidRPr="00D960DB" w:rsidRDefault="00B75AF1" w:rsidP="00F75FF9">
            <w:pPr>
              <w:jc w:val="center"/>
              <w:rPr>
                <w:rFonts w:eastAsiaTheme="minorEastAsia"/>
                <w:sz w:val="20"/>
                <w:szCs w:val="20"/>
              </w:rPr>
            </w:pPr>
            <w:r w:rsidRPr="00D960DB">
              <w:rPr>
                <w:rFonts w:eastAsiaTheme="minorEastAsia"/>
                <w:sz w:val="20"/>
                <w:szCs w:val="20"/>
              </w:rPr>
              <w:t>0.12%</w:t>
            </w:r>
          </w:p>
        </w:tc>
      </w:tr>
      <w:tr w:rsidR="00B75AF1" w:rsidRPr="00B75AF1" w14:paraId="0BDBCA62"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76A6451" w14:textId="77777777" w:rsidR="00B75AF1" w:rsidRPr="00D960DB" w:rsidRDefault="00B75AF1" w:rsidP="00B75AF1">
            <w:pPr>
              <w:rPr>
                <w:rFonts w:eastAsiaTheme="minorEastAsia"/>
                <w:sz w:val="20"/>
                <w:szCs w:val="20"/>
              </w:rPr>
            </w:pPr>
            <w:r w:rsidRPr="00D960DB">
              <w:rPr>
                <w:rFonts w:eastAsiaTheme="minorEastAsia"/>
                <w:sz w:val="20"/>
                <w:szCs w:val="20"/>
              </w:rPr>
              <w:t>Perquimans County</w:t>
            </w:r>
          </w:p>
        </w:tc>
        <w:tc>
          <w:tcPr>
            <w:tcW w:w="2536" w:type="dxa"/>
            <w:tcBorders>
              <w:top w:val="nil"/>
              <w:left w:val="nil"/>
              <w:bottom w:val="single" w:sz="4" w:space="0" w:color="auto"/>
              <w:right w:val="single" w:sz="4" w:space="0" w:color="auto"/>
            </w:tcBorders>
            <w:shd w:val="clear" w:color="auto" w:fill="auto"/>
            <w:noWrap/>
            <w:vAlign w:val="bottom"/>
            <w:hideMark/>
          </w:tcPr>
          <w:p w14:paraId="57975250" w14:textId="67D1A956" w:rsidR="00B75AF1" w:rsidRPr="00D960DB" w:rsidRDefault="00B75AF1" w:rsidP="00F75FF9">
            <w:pPr>
              <w:jc w:val="center"/>
              <w:rPr>
                <w:rFonts w:eastAsiaTheme="minorEastAsia"/>
                <w:sz w:val="20"/>
                <w:szCs w:val="20"/>
              </w:rPr>
            </w:pPr>
            <w:r w:rsidRPr="00D960DB">
              <w:rPr>
                <w:rFonts w:eastAsiaTheme="minorEastAsia"/>
                <w:sz w:val="20"/>
                <w:szCs w:val="20"/>
              </w:rPr>
              <w:t>6</w:t>
            </w:r>
          </w:p>
        </w:tc>
        <w:tc>
          <w:tcPr>
            <w:tcW w:w="1890" w:type="dxa"/>
            <w:tcBorders>
              <w:top w:val="nil"/>
              <w:left w:val="nil"/>
              <w:bottom w:val="single" w:sz="4" w:space="0" w:color="auto"/>
              <w:right w:val="single" w:sz="4" w:space="0" w:color="auto"/>
            </w:tcBorders>
            <w:shd w:val="clear" w:color="auto" w:fill="auto"/>
            <w:noWrap/>
            <w:vAlign w:val="bottom"/>
            <w:hideMark/>
          </w:tcPr>
          <w:p w14:paraId="633DAD90" w14:textId="4FD0BFF1" w:rsidR="00B75AF1" w:rsidRPr="00D960DB" w:rsidRDefault="00B75AF1" w:rsidP="00F75FF9">
            <w:pPr>
              <w:jc w:val="center"/>
              <w:rPr>
                <w:rFonts w:eastAsiaTheme="minorEastAsia"/>
                <w:sz w:val="20"/>
                <w:szCs w:val="20"/>
              </w:rPr>
            </w:pPr>
            <w:r w:rsidRPr="00D960DB">
              <w:rPr>
                <w:rFonts w:eastAsiaTheme="minorEastAsia"/>
                <w:sz w:val="20"/>
                <w:szCs w:val="20"/>
              </w:rPr>
              <w:t>174</w:t>
            </w:r>
          </w:p>
        </w:tc>
        <w:tc>
          <w:tcPr>
            <w:tcW w:w="1503" w:type="dxa"/>
            <w:tcBorders>
              <w:top w:val="nil"/>
              <w:left w:val="nil"/>
              <w:bottom w:val="single" w:sz="4" w:space="0" w:color="auto"/>
              <w:right w:val="single" w:sz="4" w:space="0" w:color="auto"/>
            </w:tcBorders>
            <w:shd w:val="clear" w:color="auto" w:fill="auto"/>
            <w:noWrap/>
            <w:vAlign w:val="bottom"/>
            <w:hideMark/>
          </w:tcPr>
          <w:p w14:paraId="503859BC" w14:textId="77777777" w:rsidR="00B75AF1" w:rsidRPr="00D960DB" w:rsidRDefault="00B75AF1" w:rsidP="00C0151F">
            <w:pPr>
              <w:jc w:val="center"/>
              <w:rPr>
                <w:rFonts w:eastAsiaTheme="minorEastAsia"/>
                <w:sz w:val="20"/>
                <w:szCs w:val="20"/>
              </w:rPr>
            </w:pPr>
            <w:r w:rsidRPr="00D960DB">
              <w:rPr>
                <w:rFonts w:eastAsiaTheme="minorEastAsia"/>
                <w:sz w:val="20"/>
                <w:szCs w:val="20"/>
              </w:rPr>
              <w:t>0.20%</w:t>
            </w:r>
          </w:p>
        </w:tc>
        <w:tc>
          <w:tcPr>
            <w:tcW w:w="925" w:type="dxa"/>
            <w:tcBorders>
              <w:top w:val="nil"/>
              <w:left w:val="nil"/>
              <w:bottom w:val="single" w:sz="4" w:space="0" w:color="auto"/>
              <w:right w:val="single" w:sz="4" w:space="0" w:color="auto"/>
            </w:tcBorders>
            <w:shd w:val="clear" w:color="auto" w:fill="auto"/>
            <w:noWrap/>
            <w:vAlign w:val="bottom"/>
            <w:hideMark/>
          </w:tcPr>
          <w:p w14:paraId="1CD754C5" w14:textId="77777777" w:rsidR="00B75AF1" w:rsidRPr="00D960DB" w:rsidRDefault="00B75AF1" w:rsidP="00F75FF9">
            <w:pPr>
              <w:jc w:val="center"/>
              <w:rPr>
                <w:rFonts w:eastAsiaTheme="minorEastAsia"/>
                <w:sz w:val="20"/>
                <w:szCs w:val="20"/>
              </w:rPr>
            </w:pPr>
            <w:r w:rsidRPr="00D960DB">
              <w:rPr>
                <w:rFonts w:eastAsiaTheme="minorEastAsia"/>
                <w:sz w:val="20"/>
                <w:szCs w:val="20"/>
              </w:rPr>
              <w:t>0.12%</w:t>
            </w:r>
          </w:p>
        </w:tc>
      </w:tr>
      <w:tr w:rsidR="00B75AF1" w:rsidRPr="00B75AF1" w14:paraId="6D0609D0"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9EFC9A7" w14:textId="77777777" w:rsidR="00B75AF1" w:rsidRPr="00D960DB" w:rsidRDefault="00B75AF1" w:rsidP="00B75AF1">
            <w:pPr>
              <w:rPr>
                <w:rFonts w:eastAsiaTheme="minorEastAsia"/>
                <w:sz w:val="20"/>
                <w:szCs w:val="20"/>
              </w:rPr>
            </w:pPr>
            <w:r w:rsidRPr="00D960DB">
              <w:rPr>
                <w:rFonts w:eastAsiaTheme="minorEastAsia"/>
                <w:sz w:val="20"/>
                <w:szCs w:val="20"/>
              </w:rPr>
              <w:t>Polk County</w:t>
            </w:r>
          </w:p>
        </w:tc>
        <w:tc>
          <w:tcPr>
            <w:tcW w:w="2536" w:type="dxa"/>
            <w:tcBorders>
              <w:top w:val="nil"/>
              <w:left w:val="nil"/>
              <w:bottom w:val="single" w:sz="4" w:space="0" w:color="auto"/>
              <w:right w:val="single" w:sz="4" w:space="0" w:color="auto"/>
            </w:tcBorders>
            <w:shd w:val="clear" w:color="auto" w:fill="auto"/>
            <w:noWrap/>
            <w:vAlign w:val="bottom"/>
            <w:hideMark/>
          </w:tcPr>
          <w:p w14:paraId="4F17BA0C" w14:textId="2C5E3455" w:rsidR="00B75AF1" w:rsidRPr="00D960DB" w:rsidRDefault="00B75AF1" w:rsidP="00F75FF9">
            <w:pPr>
              <w:jc w:val="center"/>
              <w:rPr>
                <w:rFonts w:eastAsiaTheme="minorEastAsia"/>
                <w:sz w:val="20"/>
                <w:szCs w:val="20"/>
              </w:rPr>
            </w:pPr>
            <w:r w:rsidRPr="00D960DB">
              <w:rPr>
                <w:rFonts w:eastAsiaTheme="minorEastAsia"/>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14:paraId="5C4948E8" w14:textId="08534D32" w:rsidR="00B75AF1" w:rsidRPr="00D960DB" w:rsidRDefault="00B75AF1" w:rsidP="00F75FF9">
            <w:pPr>
              <w:jc w:val="center"/>
              <w:rPr>
                <w:rFonts w:eastAsiaTheme="minorEastAsia"/>
                <w:sz w:val="20"/>
                <w:szCs w:val="20"/>
              </w:rPr>
            </w:pPr>
            <w:r w:rsidRPr="00D960DB">
              <w:rPr>
                <w:rFonts w:eastAsiaTheme="minorEastAsia"/>
                <w:sz w:val="20"/>
                <w:szCs w:val="20"/>
              </w:rPr>
              <w:t>172</w:t>
            </w:r>
          </w:p>
        </w:tc>
        <w:tc>
          <w:tcPr>
            <w:tcW w:w="1503" w:type="dxa"/>
            <w:tcBorders>
              <w:top w:val="nil"/>
              <w:left w:val="nil"/>
              <w:bottom w:val="single" w:sz="4" w:space="0" w:color="auto"/>
              <w:right w:val="single" w:sz="4" w:space="0" w:color="auto"/>
            </w:tcBorders>
            <w:shd w:val="clear" w:color="auto" w:fill="auto"/>
            <w:noWrap/>
            <w:vAlign w:val="bottom"/>
            <w:hideMark/>
          </w:tcPr>
          <w:p w14:paraId="027ED15D" w14:textId="77777777" w:rsidR="00B75AF1" w:rsidRPr="00D960DB" w:rsidRDefault="00B75AF1" w:rsidP="00C0151F">
            <w:pPr>
              <w:jc w:val="center"/>
              <w:rPr>
                <w:rFonts w:eastAsiaTheme="minorEastAsia"/>
                <w:sz w:val="20"/>
                <w:szCs w:val="20"/>
              </w:rPr>
            </w:pPr>
            <w:r w:rsidRPr="00D960DB">
              <w:rPr>
                <w:rFonts w:eastAsiaTheme="minorEastAsia"/>
                <w:sz w:val="20"/>
                <w:szCs w:val="20"/>
              </w:rPr>
              <w:t>0.23%</w:t>
            </w:r>
          </w:p>
        </w:tc>
        <w:tc>
          <w:tcPr>
            <w:tcW w:w="925" w:type="dxa"/>
            <w:tcBorders>
              <w:top w:val="nil"/>
              <w:left w:val="nil"/>
              <w:bottom w:val="single" w:sz="4" w:space="0" w:color="auto"/>
              <w:right w:val="single" w:sz="4" w:space="0" w:color="auto"/>
            </w:tcBorders>
            <w:shd w:val="clear" w:color="auto" w:fill="auto"/>
            <w:noWrap/>
            <w:vAlign w:val="bottom"/>
            <w:hideMark/>
          </w:tcPr>
          <w:p w14:paraId="56329189" w14:textId="77777777" w:rsidR="00B75AF1" w:rsidRPr="00D960DB" w:rsidRDefault="00B75AF1" w:rsidP="00F75FF9">
            <w:pPr>
              <w:jc w:val="center"/>
              <w:rPr>
                <w:rFonts w:eastAsiaTheme="minorEastAsia"/>
                <w:sz w:val="20"/>
                <w:szCs w:val="20"/>
              </w:rPr>
            </w:pPr>
            <w:r w:rsidRPr="00D960DB">
              <w:rPr>
                <w:rFonts w:eastAsiaTheme="minorEastAsia"/>
                <w:sz w:val="20"/>
                <w:szCs w:val="20"/>
              </w:rPr>
              <w:t>0.12%</w:t>
            </w:r>
          </w:p>
        </w:tc>
      </w:tr>
      <w:tr w:rsidR="00B75AF1" w:rsidRPr="00B75AF1" w14:paraId="386B1F1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BB367A0" w14:textId="77777777" w:rsidR="00B75AF1" w:rsidRPr="00D960DB" w:rsidRDefault="00B75AF1" w:rsidP="00B75AF1">
            <w:pPr>
              <w:rPr>
                <w:rFonts w:eastAsiaTheme="minorEastAsia"/>
                <w:sz w:val="20"/>
                <w:szCs w:val="20"/>
              </w:rPr>
            </w:pPr>
            <w:r w:rsidRPr="00D960DB">
              <w:rPr>
                <w:rFonts w:eastAsiaTheme="minorEastAsia"/>
                <w:sz w:val="20"/>
                <w:szCs w:val="20"/>
              </w:rPr>
              <w:t>Avery County</w:t>
            </w:r>
          </w:p>
        </w:tc>
        <w:tc>
          <w:tcPr>
            <w:tcW w:w="2536" w:type="dxa"/>
            <w:tcBorders>
              <w:top w:val="nil"/>
              <w:left w:val="nil"/>
              <w:bottom w:val="single" w:sz="4" w:space="0" w:color="auto"/>
              <w:right w:val="single" w:sz="4" w:space="0" w:color="auto"/>
            </w:tcBorders>
            <w:shd w:val="clear" w:color="auto" w:fill="auto"/>
            <w:noWrap/>
            <w:vAlign w:val="bottom"/>
            <w:hideMark/>
          </w:tcPr>
          <w:p w14:paraId="4C9B30BA" w14:textId="6DAB3B2B" w:rsidR="00B75AF1" w:rsidRPr="00D960DB" w:rsidRDefault="00B75AF1" w:rsidP="00F75FF9">
            <w:pPr>
              <w:jc w:val="center"/>
              <w:rPr>
                <w:rFonts w:eastAsiaTheme="minorEastAsia"/>
                <w:sz w:val="20"/>
                <w:szCs w:val="20"/>
              </w:rPr>
            </w:pPr>
            <w:r w:rsidRPr="00D960DB">
              <w:rPr>
                <w:rFonts w:eastAsiaTheme="minorEastAsia"/>
                <w:sz w:val="20"/>
                <w:szCs w:val="20"/>
              </w:rPr>
              <w:t>7</w:t>
            </w:r>
          </w:p>
        </w:tc>
        <w:tc>
          <w:tcPr>
            <w:tcW w:w="1890" w:type="dxa"/>
            <w:tcBorders>
              <w:top w:val="nil"/>
              <w:left w:val="nil"/>
              <w:bottom w:val="single" w:sz="4" w:space="0" w:color="auto"/>
              <w:right w:val="single" w:sz="4" w:space="0" w:color="auto"/>
            </w:tcBorders>
            <w:shd w:val="clear" w:color="auto" w:fill="auto"/>
            <w:noWrap/>
            <w:vAlign w:val="bottom"/>
            <w:hideMark/>
          </w:tcPr>
          <w:p w14:paraId="78A933F9" w14:textId="6CB12ADE" w:rsidR="00B75AF1" w:rsidRPr="00D960DB" w:rsidRDefault="00B75AF1" w:rsidP="00F75FF9">
            <w:pPr>
              <w:jc w:val="center"/>
              <w:rPr>
                <w:rFonts w:eastAsiaTheme="minorEastAsia"/>
                <w:sz w:val="20"/>
                <w:szCs w:val="20"/>
              </w:rPr>
            </w:pPr>
            <w:r w:rsidRPr="00D960DB">
              <w:rPr>
                <w:rFonts w:eastAsiaTheme="minorEastAsia"/>
                <w:sz w:val="20"/>
                <w:szCs w:val="20"/>
              </w:rPr>
              <w:t>151</w:t>
            </w:r>
          </w:p>
        </w:tc>
        <w:tc>
          <w:tcPr>
            <w:tcW w:w="1503" w:type="dxa"/>
            <w:tcBorders>
              <w:top w:val="nil"/>
              <w:left w:val="nil"/>
              <w:bottom w:val="single" w:sz="4" w:space="0" w:color="auto"/>
              <w:right w:val="single" w:sz="4" w:space="0" w:color="auto"/>
            </w:tcBorders>
            <w:shd w:val="clear" w:color="auto" w:fill="auto"/>
            <w:noWrap/>
            <w:vAlign w:val="bottom"/>
            <w:hideMark/>
          </w:tcPr>
          <w:p w14:paraId="0E3BC096" w14:textId="77777777" w:rsidR="00B75AF1" w:rsidRPr="00D960DB" w:rsidRDefault="00B75AF1" w:rsidP="00C0151F">
            <w:pPr>
              <w:jc w:val="center"/>
              <w:rPr>
                <w:rFonts w:eastAsiaTheme="minorEastAsia"/>
                <w:sz w:val="20"/>
                <w:szCs w:val="20"/>
              </w:rPr>
            </w:pPr>
            <w:r w:rsidRPr="00D960DB">
              <w:rPr>
                <w:rFonts w:eastAsiaTheme="minorEastAsia"/>
                <w:sz w:val="20"/>
                <w:szCs w:val="20"/>
              </w:rPr>
              <w:t>0.23%</w:t>
            </w:r>
          </w:p>
        </w:tc>
        <w:tc>
          <w:tcPr>
            <w:tcW w:w="925" w:type="dxa"/>
            <w:tcBorders>
              <w:top w:val="nil"/>
              <w:left w:val="nil"/>
              <w:bottom w:val="single" w:sz="4" w:space="0" w:color="auto"/>
              <w:right w:val="single" w:sz="4" w:space="0" w:color="auto"/>
            </w:tcBorders>
            <w:shd w:val="clear" w:color="auto" w:fill="auto"/>
            <w:noWrap/>
            <w:vAlign w:val="bottom"/>
            <w:hideMark/>
          </w:tcPr>
          <w:p w14:paraId="2557E7FA" w14:textId="77777777" w:rsidR="00B75AF1" w:rsidRPr="00D960DB" w:rsidRDefault="00B75AF1" w:rsidP="00F75FF9">
            <w:pPr>
              <w:jc w:val="center"/>
              <w:rPr>
                <w:rFonts w:eastAsiaTheme="minorEastAsia"/>
                <w:sz w:val="20"/>
                <w:szCs w:val="20"/>
              </w:rPr>
            </w:pPr>
            <w:r w:rsidRPr="00D960DB">
              <w:rPr>
                <w:rFonts w:eastAsiaTheme="minorEastAsia"/>
                <w:sz w:val="20"/>
                <w:szCs w:val="20"/>
              </w:rPr>
              <w:t>0.10%</w:t>
            </w:r>
          </w:p>
        </w:tc>
      </w:tr>
      <w:tr w:rsidR="00B75AF1" w:rsidRPr="00B75AF1" w14:paraId="10524DF5"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0956558" w14:textId="77777777" w:rsidR="00B75AF1" w:rsidRPr="00D960DB" w:rsidRDefault="00B75AF1" w:rsidP="00B75AF1">
            <w:pPr>
              <w:rPr>
                <w:rFonts w:eastAsiaTheme="minorEastAsia"/>
                <w:sz w:val="20"/>
                <w:szCs w:val="20"/>
              </w:rPr>
            </w:pPr>
            <w:r w:rsidRPr="00D960DB">
              <w:rPr>
                <w:rFonts w:eastAsiaTheme="minorEastAsia"/>
                <w:sz w:val="20"/>
                <w:szCs w:val="20"/>
              </w:rPr>
              <w:t>Alleghany County</w:t>
            </w:r>
          </w:p>
        </w:tc>
        <w:tc>
          <w:tcPr>
            <w:tcW w:w="2536" w:type="dxa"/>
            <w:tcBorders>
              <w:top w:val="nil"/>
              <w:left w:val="nil"/>
              <w:bottom w:val="single" w:sz="4" w:space="0" w:color="auto"/>
              <w:right w:val="single" w:sz="4" w:space="0" w:color="auto"/>
            </w:tcBorders>
            <w:shd w:val="clear" w:color="auto" w:fill="auto"/>
            <w:noWrap/>
            <w:vAlign w:val="bottom"/>
            <w:hideMark/>
          </w:tcPr>
          <w:p w14:paraId="7E5D9138" w14:textId="5E2E19F8" w:rsidR="00B75AF1" w:rsidRPr="00D960DB" w:rsidRDefault="00B75AF1" w:rsidP="00F75FF9">
            <w:pPr>
              <w:jc w:val="center"/>
              <w:rPr>
                <w:rFonts w:eastAsiaTheme="minorEastAsia"/>
                <w:sz w:val="20"/>
                <w:szCs w:val="20"/>
              </w:rPr>
            </w:pPr>
            <w:r w:rsidRPr="00D960DB">
              <w:rPr>
                <w:rFonts w:eastAsiaTheme="minorEastAsia"/>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14:paraId="669910A5" w14:textId="52302AF1" w:rsidR="00B75AF1" w:rsidRPr="00D960DB" w:rsidRDefault="00B75AF1" w:rsidP="00F75FF9">
            <w:pPr>
              <w:jc w:val="center"/>
              <w:rPr>
                <w:rFonts w:eastAsiaTheme="minorEastAsia"/>
                <w:sz w:val="20"/>
                <w:szCs w:val="20"/>
              </w:rPr>
            </w:pPr>
            <w:r w:rsidRPr="00D960DB">
              <w:rPr>
                <w:rFonts w:eastAsiaTheme="minorEastAsia"/>
                <w:sz w:val="20"/>
                <w:szCs w:val="20"/>
              </w:rPr>
              <w:t>134</w:t>
            </w:r>
          </w:p>
        </w:tc>
        <w:tc>
          <w:tcPr>
            <w:tcW w:w="1503" w:type="dxa"/>
            <w:tcBorders>
              <w:top w:val="nil"/>
              <w:left w:val="nil"/>
              <w:bottom w:val="single" w:sz="4" w:space="0" w:color="auto"/>
              <w:right w:val="single" w:sz="4" w:space="0" w:color="auto"/>
            </w:tcBorders>
            <w:shd w:val="clear" w:color="auto" w:fill="auto"/>
            <w:noWrap/>
            <w:vAlign w:val="bottom"/>
            <w:hideMark/>
          </w:tcPr>
          <w:p w14:paraId="192086B3" w14:textId="77777777" w:rsidR="00B75AF1" w:rsidRPr="00D960DB" w:rsidRDefault="00B75AF1" w:rsidP="00C0151F">
            <w:pPr>
              <w:jc w:val="center"/>
              <w:rPr>
                <w:rFonts w:eastAsiaTheme="minorEastAsia"/>
                <w:sz w:val="20"/>
                <w:szCs w:val="20"/>
              </w:rPr>
            </w:pPr>
            <w:r w:rsidRPr="00D960DB">
              <w:rPr>
                <w:rFonts w:eastAsiaTheme="minorEastAsia"/>
                <w:sz w:val="20"/>
                <w:szCs w:val="20"/>
              </w:rPr>
              <w:t>0.17%</w:t>
            </w:r>
          </w:p>
        </w:tc>
        <w:tc>
          <w:tcPr>
            <w:tcW w:w="925" w:type="dxa"/>
            <w:tcBorders>
              <w:top w:val="nil"/>
              <w:left w:val="nil"/>
              <w:bottom w:val="single" w:sz="4" w:space="0" w:color="auto"/>
              <w:right w:val="single" w:sz="4" w:space="0" w:color="auto"/>
            </w:tcBorders>
            <w:shd w:val="clear" w:color="auto" w:fill="auto"/>
            <w:noWrap/>
            <w:vAlign w:val="bottom"/>
            <w:hideMark/>
          </w:tcPr>
          <w:p w14:paraId="0FDC4511" w14:textId="77777777" w:rsidR="00B75AF1" w:rsidRPr="00D960DB" w:rsidRDefault="00B75AF1" w:rsidP="00F75FF9">
            <w:pPr>
              <w:jc w:val="center"/>
              <w:rPr>
                <w:rFonts w:eastAsiaTheme="minorEastAsia"/>
                <w:sz w:val="20"/>
                <w:szCs w:val="20"/>
              </w:rPr>
            </w:pPr>
            <w:r w:rsidRPr="00D960DB">
              <w:rPr>
                <w:rFonts w:eastAsiaTheme="minorEastAsia"/>
                <w:sz w:val="20"/>
                <w:szCs w:val="20"/>
              </w:rPr>
              <w:t>0.09%</w:t>
            </w:r>
          </w:p>
        </w:tc>
      </w:tr>
      <w:tr w:rsidR="00B75AF1" w:rsidRPr="00B75AF1" w14:paraId="513C92F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0856CFF" w14:textId="77777777" w:rsidR="00B75AF1" w:rsidRPr="00D960DB" w:rsidRDefault="00B75AF1" w:rsidP="00B75AF1">
            <w:pPr>
              <w:rPr>
                <w:rFonts w:eastAsiaTheme="minorEastAsia"/>
                <w:sz w:val="20"/>
                <w:szCs w:val="20"/>
              </w:rPr>
            </w:pPr>
            <w:r w:rsidRPr="00D960DB">
              <w:rPr>
                <w:rFonts w:eastAsiaTheme="minorEastAsia"/>
                <w:sz w:val="20"/>
                <w:szCs w:val="20"/>
              </w:rPr>
              <w:t>Dare County</w:t>
            </w:r>
          </w:p>
        </w:tc>
        <w:tc>
          <w:tcPr>
            <w:tcW w:w="2536" w:type="dxa"/>
            <w:tcBorders>
              <w:top w:val="nil"/>
              <w:left w:val="nil"/>
              <w:bottom w:val="single" w:sz="4" w:space="0" w:color="auto"/>
              <w:right w:val="single" w:sz="4" w:space="0" w:color="auto"/>
            </w:tcBorders>
            <w:shd w:val="clear" w:color="auto" w:fill="auto"/>
            <w:noWrap/>
            <w:vAlign w:val="bottom"/>
            <w:hideMark/>
          </w:tcPr>
          <w:p w14:paraId="59B346EE" w14:textId="0B23B29C" w:rsidR="00B75AF1" w:rsidRPr="00D960DB" w:rsidRDefault="00B75AF1" w:rsidP="00F75FF9">
            <w:pPr>
              <w:jc w:val="center"/>
              <w:rPr>
                <w:rFonts w:eastAsiaTheme="minorEastAsia"/>
                <w:sz w:val="20"/>
                <w:szCs w:val="20"/>
              </w:rPr>
            </w:pPr>
            <w:r w:rsidRPr="00D960DB">
              <w:rPr>
                <w:rFonts w:eastAsiaTheme="minorEastAsia"/>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14:paraId="4DB4FF90" w14:textId="2E5C97C0" w:rsidR="00B75AF1" w:rsidRPr="00D960DB" w:rsidRDefault="00B75AF1" w:rsidP="00F75FF9">
            <w:pPr>
              <w:jc w:val="center"/>
              <w:rPr>
                <w:rFonts w:eastAsiaTheme="minorEastAsia"/>
                <w:sz w:val="20"/>
                <w:szCs w:val="20"/>
              </w:rPr>
            </w:pPr>
            <w:r w:rsidRPr="00D960DB">
              <w:rPr>
                <w:rFonts w:eastAsiaTheme="minorEastAsia"/>
                <w:sz w:val="20"/>
                <w:szCs w:val="20"/>
              </w:rPr>
              <w:t>97</w:t>
            </w:r>
          </w:p>
        </w:tc>
        <w:tc>
          <w:tcPr>
            <w:tcW w:w="1503" w:type="dxa"/>
            <w:tcBorders>
              <w:top w:val="nil"/>
              <w:left w:val="nil"/>
              <w:bottom w:val="single" w:sz="4" w:space="0" w:color="auto"/>
              <w:right w:val="single" w:sz="4" w:space="0" w:color="auto"/>
            </w:tcBorders>
            <w:shd w:val="clear" w:color="auto" w:fill="auto"/>
            <w:noWrap/>
            <w:vAlign w:val="bottom"/>
            <w:hideMark/>
          </w:tcPr>
          <w:p w14:paraId="33BD0EC1" w14:textId="77777777" w:rsidR="00B75AF1" w:rsidRPr="00D960DB" w:rsidRDefault="00B75AF1" w:rsidP="00C0151F">
            <w:pPr>
              <w:jc w:val="center"/>
              <w:rPr>
                <w:rFonts w:eastAsiaTheme="minorEastAsia"/>
                <w:sz w:val="20"/>
                <w:szCs w:val="20"/>
              </w:rPr>
            </w:pPr>
            <w:r w:rsidRPr="00D960DB">
              <w:rPr>
                <w:rFonts w:eastAsiaTheme="minorEastAsia"/>
                <w:sz w:val="20"/>
                <w:szCs w:val="20"/>
              </w:rPr>
              <w:t>0.10%</w:t>
            </w:r>
          </w:p>
        </w:tc>
        <w:tc>
          <w:tcPr>
            <w:tcW w:w="925" w:type="dxa"/>
            <w:tcBorders>
              <w:top w:val="nil"/>
              <w:left w:val="nil"/>
              <w:bottom w:val="single" w:sz="4" w:space="0" w:color="auto"/>
              <w:right w:val="single" w:sz="4" w:space="0" w:color="auto"/>
            </w:tcBorders>
            <w:shd w:val="clear" w:color="auto" w:fill="auto"/>
            <w:noWrap/>
            <w:vAlign w:val="bottom"/>
            <w:hideMark/>
          </w:tcPr>
          <w:p w14:paraId="76EBDAFA" w14:textId="77777777" w:rsidR="00B75AF1" w:rsidRPr="00D960DB" w:rsidRDefault="00B75AF1" w:rsidP="00F75FF9">
            <w:pPr>
              <w:jc w:val="center"/>
              <w:rPr>
                <w:rFonts w:eastAsiaTheme="minorEastAsia"/>
                <w:sz w:val="20"/>
                <w:szCs w:val="20"/>
              </w:rPr>
            </w:pPr>
            <w:r w:rsidRPr="00D960DB">
              <w:rPr>
                <w:rFonts w:eastAsiaTheme="minorEastAsia"/>
                <w:sz w:val="20"/>
                <w:szCs w:val="20"/>
              </w:rPr>
              <w:t>0.07%</w:t>
            </w:r>
          </w:p>
        </w:tc>
      </w:tr>
      <w:tr w:rsidR="00B75AF1" w:rsidRPr="00B75AF1" w14:paraId="590A695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BE002F3" w14:textId="77777777" w:rsidR="00B75AF1" w:rsidRPr="00D960DB" w:rsidRDefault="00B75AF1" w:rsidP="00B75AF1">
            <w:pPr>
              <w:rPr>
                <w:rFonts w:eastAsiaTheme="minorEastAsia"/>
                <w:sz w:val="20"/>
                <w:szCs w:val="20"/>
              </w:rPr>
            </w:pPr>
            <w:r w:rsidRPr="00D960DB">
              <w:rPr>
                <w:rFonts w:eastAsiaTheme="minorEastAsia"/>
                <w:sz w:val="20"/>
                <w:szCs w:val="20"/>
              </w:rPr>
              <w:t>Jones County</w:t>
            </w:r>
          </w:p>
        </w:tc>
        <w:tc>
          <w:tcPr>
            <w:tcW w:w="2536" w:type="dxa"/>
            <w:tcBorders>
              <w:top w:val="nil"/>
              <w:left w:val="nil"/>
              <w:bottom w:val="single" w:sz="4" w:space="0" w:color="auto"/>
              <w:right w:val="single" w:sz="4" w:space="0" w:color="auto"/>
            </w:tcBorders>
            <w:shd w:val="clear" w:color="auto" w:fill="auto"/>
            <w:noWrap/>
            <w:vAlign w:val="bottom"/>
            <w:hideMark/>
          </w:tcPr>
          <w:p w14:paraId="7BDDF499" w14:textId="3C178CA3" w:rsidR="00B75AF1" w:rsidRPr="00D960DB" w:rsidRDefault="00B75AF1" w:rsidP="00F75FF9">
            <w:pPr>
              <w:jc w:val="center"/>
              <w:rPr>
                <w:rFonts w:eastAsiaTheme="minorEastAsia"/>
                <w:sz w:val="20"/>
                <w:szCs w:val="20"/>
              </w:rPr>
            </w:pPr>
            <w:r w:rsidRPr="00D960DB">
              <w:rPr>
                <w:rFonts w:eastAsiaTheme="minorEastAsia"/>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14:paraId="0CFD8700" w14:textId="0FFBBC32" w:rsidR="00B75AF1" w:rsidRPr="00D960DB" w:rsidRDefault="00B75AF1" w:rsidP="00F75FF9">
            <w:pPr>
              <w:jc w:val="center"/>
              <w:rPr>
                <w:rFonts w:eastAsiaTheme="minorEastAsia"/>
                <w:sz w:val="20"/>
                <w:szCs w:val="20"/>
              </w:rPr>
            </w:pPr>
            <w:r w:rsidRPr="00D960DB">
              <w:rPr>
                <w:rFonts w:eastAsiaTheme="minorEastAsia"/>
                <w:sz w:val="20"/>
                <w:szCs w:val="20"/>
              </w:rPr>
              <w:t>96</w:t>
            </w:r>
          </w:p>
        </w:tc>
        <w:tc>
          <w:tcPr>
            <w:tcW w:w="1503" w:type="dxa"/>
            <w:tcBorders>
              <w:top w:val="nil"/>
              <w:left w:val="nil"/>
              <w:bottom w:val="single" w:sz="4" w:space="0" w:color="auto"/>
              <w:right w:val="single" w:sz="4" w:space="0" w:color="auto"/>
            </w:tcBorders>
            <w:shd w:val="clear" w:color="auto" w:fill="auto"/>
            <w:noWrap/>
            <w:vAlign w:val="bottom"/>
            <w:hideMark/>
          </w:tcPr>
          <w:p w14:paraId="7530B063" w14:textId="77777777" w:rsidR="00B75AF1" w:rsidRPr="00D960DB" w:rsidRDefault="00B75AF1" w:rsidP="00C0151F">
            <w:pPr>
              <w:jc w:val="center"/>
              <w:rPr>
                <w:rFonts w:eastAsiaTheme="minorEastAsia"/>
                <w:sz w:val="20"/>
                <w:szCs w:val="20"/>
              </w:rPr>
            </w:pPr>
            <w:r w:rsidRPr="00D960DB">
              <w:rPr>
                <w:rFonts w:eastAsiaTheme="minorEastAsia"/>
                <w:sz w:val="20"/>
                <w:szCs w:val="20"/>
              </w:rPr>
              <w:t>0.17%</w:t>
            </w:r>
          </w:p>
        </w:tc>
        <w:tc>
          <w:tcPr>
            <w:tcW w:w="925" w:type="dxa"/>
            <w:tcBorders>
              <w:top w:val="nil"/>
              <w:left w:val="nil"/>
              <w:bottom w:val="single" w:sz="4" w:space="0" w:color="auto"/>
              <w:right w:val="single" w:sz="4" w:space="0" w:color="auto"/>
            </w:tcBorders>
            <w:shd w:val="clear" w:color="auto" w:fill="auto"/>
            <w:noWrap/>
            <w:vAlign w:val="bottom"/>
            <w:hideMark/>
          </w:tcPr>
          <w:p w14:paraId="67EBB84E" w14:textId="77777777" w:rsidR="00B75AF1" w:rsidRPr="00D960DB" w:rsidRDefault="00B75AF1" w:rsidP="00F75FF9">
            <w:pPr>
              <w:jc w:val="center"/>
              <w:rPr>
                <w:rFonts w:eastAsiaTheme="minorEastAsia"/>
                <w:sz w:val="20"/>
                <w:szCs w:val="20"/>
              </w:rPr>
            </w:pPr>
            <w:r w:rsidRPr="00D960DB">
              <w:rPr>
                <w:rFonts w:eastAsiaTheme="minorEastAsia"/>
                <w:sz w:val="20"/>
                <w:szCs w:val="20"/>
              </w:rPr>
              <w:t>0.07%</w:t>
            </w:r>
          </w:p>
        </w:tc>
      </w:tr>
      <w:tr w:rsidR="00B75AF1" w:rsidRPr="00B75AF1" w14:paraId="56108DAB"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7F791D9A" w14:textId="77777777" w:rsidR="00B75AF1" w:rsidRPr="00D960DB" w:rsidRDefault="00B75AF1" w:rsidP="00B75AF1">
            <w:pPr>
              <w:rPr>
                <w:rFonts w:eastAsiaTheme="minorEastAsia"/>
                <w:sz w:val="20"/>
                <w:szCs w:val="20"/>
              </w:rPr>
            </w:pPr>
            <w:r w:rsidRPr="00D960DB">
              <w:rPr>
                <w:rFonts w:eastAsiaTheme="minorEastAsia"/>
                <w:sz w:val="20"/>
                <w:szCs w:val="20"/>
              </w:rPr>
              <w:t>Pamlico County</w:t>
            </w:r>
          </w:p>
        </w:tc>
        <w:tc>
          <w:tcPr>
            <w:tcW w:w="2536" w:type="dxa"/>
            <w:tcBorders>
              <w:top w:val="nil"/>
              <w:left w:val="nil"/>
              <w:bottom w:val="single" w:sz="4" w:space="0" w:color="auto"/>
              <w:right w:val="single" w:sz="4" w:space="0" w:color="auto"/>
            </w:tcBorders>
            <w:shd w:val="clear" w:color="auto" w:fill="auto"/>
            <w:noWrap/>
            <w:vAlign w:val="bottom"/>
            <w:hideMark/>
          </w:tcPr>
          <w:p w14:paraId="647190B5" w14:textId="05305F6F" w:rsidR="00B75AF1" w:rsidRPr="00D960DB" w:rsidRDefault="00B75AF1" w:rsidP="00F75FF9">
            <w:pPr>
              <w:jc w:val="center"/>
              <w:rPr>
                <w:rFonts w:eastAsiaTheme="minorEastAsia"/>
                <w:sz w:val="20"/>
                <w:szCs w:val="20"/>
              </w:rPr>
            </w:pPr>
            <w:r w:rsidRPr="00D960DB">
              <w:rPr>
                <w:rFonts w:eastAsiaTheme="minorEastAsia"/>
                <w:sz w:val="20"/>
                <w:szCs w:val="20"/>
              </w:rPr>
              <w:t>5</w:t>
            </w:r>
          </w:p>
        </w:tc>
        <w:tc>
          <w:tcPr>
            <w:tcW w:w="1890" w:type="dxa"/>
            <w:tcBorders>
              <w:top w:val="nil"/>
              <w:left w:val="nil"/>
              <w:bottom w:val="single" w:sz="4" w:space="0" w:color="auto"/>
              <w:right w:val="single" w:sz="4" w:space="0" w:color="auto"/>
            </w:tcBorders>
            <w:shd w:val="clear" w:color="auto" w:fill="auto"/>
            <w:noWrap/>
            <w:vAlign w:val="bottom"/>
            <w:hideMark/>
          </w:tcPr>
          <w:p w14:paraId="73C96204" w14:textId="1EEB4372" w:rsidR="00B75AF1" w:rsidRPr="00D960DB" w:rsidRDefault="00B75AF1" w:rsidP="00F75FF9">
            <w:pPr>
              <w:jc w:val="center"/>
              <w:rPr>
                <w:rFonts w:eastAsiaTheme="minorEastAsia"/>
                <w:sz w:val="20"/>
                <w:szCs w:val="20"/>
              </w:rPr>
            </w:pPr>
            <w:r w:rsidRPr="00D960DB">
              <w:rPr>
                <w:rFonts w:eastAsiaTheme="minorEastAsia"/>
                <w:sz w:val="20"/>
                <w:szCs w:val="20"/>
              </w:rPr>
              <w:t>94</w:t>
            </w:r>
          </w:p>
        </w:tc>
        <w:tc>
          <w:tcPr>
            <w:tcW w:w="1503" w:type="dxa"/>
            <w:tcBorders>
              <w:top w:val="nil"/>
              <w:left w:val="nil"/>
              <w:bottom w:val="single" w:sz="4" w:space="0" w:color="auto"/>
              <w:right w:val="single" w:sz="4" w:space="0" w:color="auto"/>
            </w:tcBorders>
            <w:shd w:val="clear" w:color="auto" w:fill="auto"/>
            <w:noWrap/>
            <w:vAlign w:val="bottom"/>
            <w:hideMark/>
          </w:tcPr>
          <w:p w14:paraId="0FC233BC" w14:textId="77777777" w:rsidR="00B75AF1" w:rsidRPr="00D960DB" w:rsidRDefault="00B75AF1" w:rsidP="00C0151F">
            <w:pPr>
              <w:jc w:val="center"/>
              <w:rPr>
                <w:rFonts w:eastAsiaTheme="minorEastAsia"/>
                <w:sz w:val="20"/>
                <w:szCs w:val="20"/>
              </w:rPr>
            </w:pPr>
            <w:r w:rsidRPr="00D960DB">
              <w:rPr>
                <w:rFonts w:eastAsiaTheme="minorEastAsia"/>
                <w:sz w:val="20"/>
                <w:szCs w:val="20"/>
              </w:rPr>
              <w:t>0.17%</w:t>
            </w:r>
          </w:p>
        </w:tc>
        <w:tc>
          <w:tcPr>
            <w:tcW w:w="925" w:type="dxa"/>
            <w:tcBorders>
              <w:top w:val="nil"/>
              <w:left w:val="nil"/>
              <w:bottom w:val="single" w:sz="4" w:space="0" w:color="auto"/>
              <w:right w:val="single" w:sz="4" w:space="0" w:color="auto"/>
            </w:tcBorders>
            <w:shd w:val="clear" w:color="auto" w:fill="auto"/>
            <w:noWrap/>
            <w:vAlign w:val="bottom"/>
            <w:hideMark/>
          </w:tcPr>
          <w:p w14:paraId="28476593" w14:textId="77777777" w:rsidR="00B75AF1" w:rsidRPr="00D960DB" w:rsidRDefault="00B75AF1" w:rsidP="00F75FF9">
            <w:pPr>
              <w:jc w:val="center"/>
              <w:rPr>
                <w:rFonts w:eastAsiaTheme="minorEastAsia"/>
                <w:sz w:val="20"/>
                <w:szCs w:val="20"/>
              </w:rPr>
            </w:pPr>
            <w:r w:rsidRPr="00D960DB">
              <w:rPr>
                <w:rFonts w:eastAsiaTheme="minorEastAsia"/>
                <w:sz w:val="20"/>
                <w:szCs w:val="20"/>
              </w:rPr>
              <w:t>0.06%</w:t>
            </w:r>
          </w:p>
        </w:tc>
      </w:tr>
      <w:tr w:rsidR="00B75AF1" w:rsidRPr="00B75AF1" w14:paraId="1887E6E2"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417CE15" w14:textId="77777777" w:rsidR="00B75AF1" w:rsidRPr="00D960DB" w:rsidRDefault="00B75AF1" w:rsidP="00B75AF1">
            <w:pPr>
              <w:rPr>
                <w:rFonts w:eastAsiaTheme="minorEastAsia"/>
                <w:sz w:val="20"/>
                <w:szCs w:val="20"/>
              </w:rPr>
            </w:pPr>
            <w:r w:rsidRPr="00D960DB">
              <w:rPr>
                <w:rFonts w:eastAsiaTheme="minorEastAsia"/>
                <w:sz w:val="20"/>
                <w:szCs w:val="20"/>
              </w:rPr>
              <w:t>Graham County</w:t>
            </w:r>
          </w:p>
        </w:tc>
        <w:tc>
          <w:tcPr>
            <w:tcW w:w="2536" w:type="dxa"/>
            <w:tcBorders>
              <w:top w:val="nil"/>
              <w:left w:val="nil"/>
              <w:bottom w:val="single" w:sz="4" w:space="0" w:color="auto"/>
              <w:right w:val="single" w:sz="4" w:space="0" w:color="auto"/>
            </w:tcBorders>
            <w:shd w:val="clear" w:color="auto" w:fill="auto"/>
            <w:noWrap/>
            <w:vAlign w:val="bottom"/>
            <w:hideMark/>
          </w:tcPr>
          <w:p w14:paraId="3049EA39" w14:textId="79DF7E85" w:rsidR="00B75AF1" w:rsidRPr="00D960DB" w:rsidRDefault="00B75AF1" w:rsidP="00F75FF9">
            <w:pPr>
              <w:jc w:val="center"/>
              <w:rPr>
                <w:rFonts w:eastAsiaTheme="minorEastAsia"/>
                <w:sz w:val="20"/>
                <w:szCs w:val="20"/>
              </w:rPr>
            </w:pPr>
            <w:r w:rsidRPr="00D960DB">
              <w:rPr>
                <w:rFonts w:eastAsiaTheme="minorEastAsia"/>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14:paraId="1EAB6A72" w14:textId="575A82EB" w:rsidR="00B75AF1" w:rsidRPr="00D960DB" w:rsidRDefault="00B75AF1" w:rsidP="00F75FF9">
            <w:pPr>
              <w:jc w:val="center"/>
              <w:rPr>
                <w:rFonts w:eastAsiaTheme="minorEastAsia"/>
                <w:sz w:val="20"/>
                <w:szCs w:val="20"/>
              </w:rPr>
            </w:pPr>
            <w:r w:rsidRPr="00D960DB">
              <w:rPr>
                <w:rFonts w:eastAsiaTheme="minorEastAsia"/>
                <w:sz w:val="20"/>
                <w:szCs w:val="20"/>
              </w:rPr>
              <w:t>84</w:t>
            </w:r>
          </w:p>
        </w:tc>
        <w:tc>
          <w:tcPr>
            <w:tcW w:w="1503" w:type="dxa"/>
            <w:tcBorders>
              <w:top w:val="nil"/>
              <w:left w:val="nil"/>
              <w:bottom w:val="single" w:sz="4" w:space="0" w:color="auto"/>
              <w:right w:val="single" w:sz="4" w:space="0" w:color="auto"/>
            </w:tcBorders>
            <w:shd w:val="clear" w:color="auto" w:fill="auto"/>
            <w:noWrap/>
            <w:vAlign w:val="bottom"/>
            <w:hideMark/>
          </w:tcPr>
          <w:p w14:paraId="311F53CF" w14:textId="77777777" w:rsidR="00B75AF1" w:rsidRPr="00D960DB" w:rsidRDefault="00B75AF1" w:rsidP="00C0151F">
            <w:pPr>
              <w:jc w:val="center"/>
              <w:rPr>
                <w:rFonts w:eastAsiaTheme="minorEastAsia"/>
                <w:sz w:val="20"/>
                <w:szCs w:val="20"/>
              </w:rPr>
            </w:pPr>
            <w:r w:rsidRPr="00D960DB">
              <w:rPr>
                <w:rFonts w:eastAsiaTheme="minorEastAsia"/>
                <w:sz w:val="20"/>
                <w:szCs w:val="20"/>
              </w:rPr>
              <w:t>0.10%</w:t>
            </w:r>
          </w:p>
        </w:tc>
        <w:tc>
          <w:tcPr>
            <w:tcW w:w="925" w:type="dxa"/>
            <w:tcBorders>
              <w:top w:val="nil"/>
              <w:left w:val="nil"/>
              <w:bottom w:val="single" w:sz="4" w:space="0" w:color="auto"/>
              <w:right w:val="single" w:sz="4" w:space="0" w:color="auto"/>
            </w:tcBorders>
            <w:shd w:val="clear" w:color="auto" w:fill="auto"/>
            <w:noWrap/>
            <w:vAlign w:val="bottom"/>
            <w:hideMark/>
          </w:tcPr>
          <w:p w14:paraId="19DEEF1D" w14:textId="77777777" w:rsidR="00B75AF1" w:rsidRPr="00D960DB" w:rsidRDefault="00B75AF1" w:rsidP="00F75FF9">
            <w:pPr>
              <w:jc w:val="center"/>
              <w:rPr>
                <w:rFonts w:eastAsiaTheme="minorEastAsia"/>
                <w:sz w:val="20"/>
                <w:szCs w:val="20"/>
              </w:rPr>
            </w:pPr>
            <w:r w:rsidRPr="00D960DB">
              <w:rPr>
                <w:rFonts w:eastAsiaTheme="minorEastAsia"/>
                <w:sz w:val="20"/>
                <w:szCs w:val="20"/>
              </w:rPr>
              <w:t>0.06%</w:t>
            </w:r>
          </w:p>
        </w:tc>
      </w:tr>
      <w:tr w:rsidR="00B75AF1" w:rsidRPr="00B75AF1" w14:paraId="325C0FC2"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0B11A2F" w14:textId="77777777" w:rsidR="00B75AF1" w:rsidRPr="00D960DB" w:rsidRDefault="00B75AF1" w:rsidP="00B75AF1">
            <w:pPr>
              <w:rPr>
                <w:rFonts w:eastAsiaTheme="minorEastAsia"/>
                <w:sz w:val="20"/>
                <w:szCs w:val="20"/>
              </w:rPr>
            </w:pPr>
            <w:r w:rsidRPr="00D960DB">
              <w:rPr>
                <w:rFonts w:eastAsiaTheme="minorEastAsia"/>
                <w:sz w:val="20"/>
                <w:szCs w:val="20"/>
              </w:rPr>
              <w:t>Swain County</w:t>
            </w:r>
          </w:p>
        </w:tc>
        <w:tc>
          <w:tcPr>
            <w:tcW w:w="2536" w:type="dxa"/>
            <w:tcBorders>
              <w:top w:val="nil"/>
              <w:left w:val="nil"/>
              <w:bottom w:val="single" w:sz="4" w:space="0" w:color="auto"/>
              <w:right w:val="single" w:sz="4" w:space="0" w:color="auto"/>
            </w:tcBorders>
            <w:shd w:val="clear" w:color="auto" w:fill="auto"/>
            <w:noWrap/>
            <w:vAlign w:val="bottom"/>
            <w:hideMark/>
          </w:tcPr>
          <w:p w14:paraId="15464BC0" w14:textId="0BCE655C" w:rsidR="00B75AF1" w:rsidRPr="00D960DB" w:rsidRDefault="00B75AF1" w:rsidP="00F75FF9">
            <w:pPr>
              <w:jc w:val="center"/>
              <w:rPr>
                <w:rFonts w:eastAsiaTheme="minorEastAsia"/>
                <w:sz w:val="20"/>
                <w:szCs w:val="20"/>
              </w:rPr>
            </w:pPr>
            <w:r w:rsidRPr="00D960DB">
              <w:rPr>
                <w:rFonts w:eastAsiaTheme="minorEastAsia"/>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14:paraId="44D4D3F3" w14:textId="058837DE" w:rsidR="00B75AF1" w:rsidRPr="00D960DB" w:rsidRDefault="00B75AF1" w:rsidP="00F75FF9">
            <w:pPr>
              <w:jc w:val="center"/>
              <w:rPr>
                <w:rFonts w:eastAsiaTheme="minorEastAsia"/>
                <w:sz w:val="20"/>
                <w:szCs w:val="20"/>
              </w:rPr>
            </w:pPr>
            <w:r w:rsidRPr="00D960DB">
              <w:rPr>
                <w:rFonts w:eastAsiaTheme="minorEastAsia"/>
                <w:sz w:val="20"/>
                <w:szCs w:val="20"/>
              </w:rPr>
              <w:t>84</w:t>
            </w:r>
          </w:p>
        </w:tc>
        <w:tc>
          <w:tcPr>
            <w:tcW w:w="1503" w:type="dxa"/>
            <w:tcBorders>
              <w:top w:val="nil"/>
              <w:left w:val="nil"/>
              <w:bottom w:val="single" w:sz="4" w:space="0" w:color="auto"/>
              <w:right w:val="single" w:sz="4" w:space="0" w:color="auto"/>
            </w:tcBorders>
            <w:shd w:val="clear" w:color="auto" w:fill="auto"/>
            <w:noWrap/>
            <w:vAlign w:val="bottom"/>
            <w:hideMark/>
          </w:tcPr>
          <w:p w14:paraId="33D3EAE5" w14:textId="77777777" w:rsidR="00B75AF1" w:rsidRPr="00D960DB" w:rsidRDefault="00B75AF1" w:rsidP="00C0151F">
            <w:pPr>
              <w:jc w:val="center"/>
              <w:rPr>
                <w:rFonts w:eastAsiaTheme="minorEastAsia"/>
                <w:sz w:val="20"/>
                <w:szCs w:val="20"/>
              </w:rPr>
            </w:pPr>
            <w:r w:rsidRPr="00D960DB">
              <w:rPr>
                <w:rFonts w:eastAsiaTheme="minorEastAsia"/>
                <w:sz w:val="20"/>
                <w:szCs w:val="20"/>
              </w:rPr>
              <w:t>0.10%</w:t>
            </w:r>
          </w:p>
        </w:tc>
        <w:tc>
          <w:tcPr>
            <w:tcW w:w="925" w:type="dxa"/>
            <w:tcBorders>
              <w:top w:val="nil"/>
              <w:left w:val="nil"/>
              <w:bottom w:val="single" w:sz="4" w:space="0" w:color="auto"/>
              <w:right w:val="single" w:sz="4" w:space="0" w:color="auto"/>
            </w:tcBorders>
            <w:shd w:val="clear" w:color="auto" w:fill="auto"/>
            <w:noWrap/>
            <w:vAlign w:val="bottom"/>
            <w:hideMark/>
          </w:tcPr>
          <w:p w14:paraId="63E70FF5" w14:textId="77777777" w:rsidR="00B75AF1" w:rsidRPr="00D960DB" w:rsidRDefault="00B75AF1" w:rsidP="00F75FF9">
            <w:pPr>
              <w:jc w:val="center"/>
              <w:rPr>
                <w:rFonts w:eastAsiaTheme="minorEastAsia"/>
                <w:sz w:val="20"/>
                <w:szCs w:val="20"/>
              </w:rPr>
            </w:pPr>
            <w:r w:rsidRPr="00D960DB">
              <w:rPr>
                <w:rFonts w:eastAsiaTheme="minorEastAsia"/>
                <w:sz w:val="20"/>
                <w:szCs w:val="20"/>
              </w:rPr>
              <w:t>0.06%</w:t>
            </w:r>
          </w:p>
        </w:tc>
      </w:tr>
      <w:tr w:rsidR="00B75AF1" w:rsidRPr="00B75AF1" w14:paraId="6B0A40E5"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0D55295" w14:textId="77777777" w:rsidR="00B75AF1" w:rsidRPr="00D960DB" w:rsidRDefault="00B75AF1" w:rsidP="00B75AF1">
            <w:pPr>
              <w:rPr>
                <w:rFonts w:eastAsiaTheme="minorEastAsia"/>
                <w:sz w:val="20"/>
                <w:szCs w:val="20"/>
              </w:rPr>
            </w:pPr>
            <w:r w:rsidRPr="00D960DB">
              <w:rPr>
                <w:rFonts w:eastAsiaTheme="minorEastAsia"/>
                <w:sz w:val="20"/>
                <w:szCs w:val="20"/>
              </w:rPr>
              <w:t>Clay County</w:t>
            </w:r>
          </w:p>
        </w:tc>
        <w:tc>
          <w:tcPr>
            <w:tcW w:w="2536" w:type="dxa"/>
            <w:tcBorders>
              <w:top w:val="nil"/>
              <w:left w:val="nil"/>
              <w:bottom w:val="single" w:sz="4" w:space="0" w:color="auto"/>
              <w:right w:val="single" w:sz="4" w:space="0" w:color="auto"/>
            </w:tcBorders>
            <w:shd w:val="clear" w:color="auto" w:fill="auto"/>
            <w:noWrap/>
            <w:vAlign w:val="bottom"/>
            <w:hideMark/>
          </w:tcPr>
          <w:p w14:paraId="62CDCE15" w14:textId="643BF20F" w:rsidR="00B75AF1" w:rsidRPr="00D960DB" w:rsidRDefault="00B75AF1" w:rsidP="00F75FF9">
            <w:pPr>
              <w:jc w:val="center"/>
              <w:rPr>
                <w:rFonts w:eastAsiaTheme="minorEastAsia"/>
                <w:sz w:val="20"/>
                <w:szCs w:val="20"/>
              </w:rPr>
            </w:pPr>
            <w:r w:rsidRPr="00D960DB">
              <w:rPr>
                <w:rFonts w:eastAsiaTheme="minorEastAsia"/>
                <w:sz w:val="20"/>
                <w:szCs w:val="20"/>
              </w:rPr>
              <w:t>4</w:t>
            </w:r>
          </w:p>
        </w:tc>
        <w:tc>
          <w:tcPr>
            <w:tcW w:w="1890" w:type="dxa"/>
            <w:tcBorders>
              <w:top w:val="nil"/>
              <w:left w:val="nil"/>
              <w:bottom w:val="single" w:sz="4" w:space="0" w:color="auto"/>
              <w:right w:val="single" w:sz="4" w:space="0" w:color="auto"/>
            </w:tcBorders>
            <w:shd w:val="clear" w:color="auto" w:fill="auto"/>
            <w:noWrap/>
            <w:vAlign w:val="bottom"/>
            <w:hideMark/>
          </w:tcPr>
          <w:p w14:paraId="0C67DF10" w14:textId="411FAD68" w:rsidR="00B75AF1" w:rsidRPr="00D960DB" w:rsidRDefault="00B75AF1" w:rsidP="00F75FF9">
            <w:pPr>
              <w:jc w:val="center"/>
              <w:rPr>
                <w:rFonts w:eastAsiaTheme="minorEastAsia"/>
                <w:sz w:val="20"/>
                <w:szCs w:val="20"/>
              </w:rPr>
            </w:pPr>
            <w:r w:rsidRPr="00D960DB">
              <w:rPr>
                <w:rFonts w:eastAsiaTheme="minorEastAsia"/>
                <w:sz w:val="20"/>
                <w:szCs w:val="20"/>
              </w:rPr>
              <w:t>72</w:t>
            </w:r>
          </w:p>
        </w:tc>
        <w:tc>
          <w:tcPr>
            <w:tcW w:w="1503" w:type="dxa"/>
            <w:tcBorders>
              <w:top w:val="nil"/>
              <w:left w:val="nil"/>
              <w:bottom w:val="single" w:sz="4" w:space="0" w:color="auto"/>
              <w:right w:val="single" w:sz="4" w:space="0" w:color="auto"/>
            </w:tcBorders>
            <w:shd w:val="clear" w:color="auto" w:fill="auto"/>
            <w:noWrap/>
            <w:vAlign w:val="bottom"/>
            <w:hideMark/>
          </w:tcPr>
          <w:p w14:paraId="07E51DB7" w14:textId="77777777" w:rsidR="00B75AF1" w:rsidRPr="00D960DB" w:rsidRDefault="00B75AF1" w:rsidP="00C0151F">
            <w:pPr>
              <w:jc w:val="center"/>
              <w:rPr>
                <w:rFonts w:eastAsiaTheme="minorEastAsia"/>
                <w:sz w:val="20"/>
                <w:szCs w:val="20"/>
              </w:rPr>
            </w:pPr>
            <w:r w:rsidRPr="00D960DB">
              <w:rPr>
                <w:rFonts w:eastAsiaTheme="minorEastAsia"/>
                <w:sz w:val="20"/>
                <w:szCs w:val="20"/>
              </w:rPr>
              <w:t>0.13%</w:t>
            </w:r>
          </w:p>
        </w:tc>
        <w:tc>
          <w:tcPr>
            <w:tcW w:w="925" w:type="dxa"/>
            <w:tcBorders>
              <w:top w:val="nil"/>
              <w:left w:val="nil"/>
              <w:bottom w:val="single" w:sz="4" w:space="0" w:color="auto"/>
              <w:right w:val="single" w:sz="4" w:space="0" w:color="auto"/>
            </w:tcBorders>
            <w:shd w:val="clear" w:color="auto" w:fill="auto"/>
            <w:noWrap/>
            <w:vAlign w:val="bottom"/>
            <w:hideMark/>
          </w:tcPr>
          <w:p w14:paraId="7BB1B218" w14:textId="77777777" w:rsidR="00B75AF1" w:rsidRPr="00D960DB" w:rsidRDefault="00B75AF1" w:rsidP="00F75FF9">
            <w:pPr>
              <w:jc w:val="center"/>
              <w:rPr>
                <w:rFonts w:eastAsiaTheme="minorEastAsia"/>
                <w:sz w:val="20"/>
                <w:szCs w:val="20"/>
              </w:rPr>
            </w:pPr>
            <w:r w:rsidRPr="00D960DB">
              <w:rPr>
                <w:rFonts w:eastAsiaTheme="minorEastAsia"/>
                <w:sz w:val="20"/>
                <w:szCs w:val="20"/>
              </w:rPr>
              <w:t>0.05%</w:t>
            </w:r>
          </w:p>
        </w:tc>
      </w:tr>
      <w:tr w:rsidR="00B75AF1" w:rsidRPr="00B75AF1" w14:paraId="563FE47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3688CE7" w14:textId="77777777" w:rsidR="00B75AF1" w:rsidRPr="00D960DB" w:rsidRDefault="00B75AF1" w:rsidP="00B75AF1">
            <w:pPr>
              <w:rPr>
                <w:rFonts w:eastAsiaTheme="minorEastAsia"/>
                <w:sz w:val="20"/>
                <w:szCs w:val="20"/>
              </w:rPr>
            </w:pPr>
            <w:r w:rsidRPr="00D960DB">
              <w:rPr>
                <w:rFonts w:eastAsiaTheme="minorEastAsia"/>
                <w:sz w:val="20"/>
                <w:szCs w:val="20"/>
              </w:rPr>
              <w:t>Currituck County</w:t>
            </w:r>
          </w:p>
        </w:tc>
        <w:tc>
          <w:tcPr>
            <w:tcW w:w="2536" w:type="dxa"/>
            <w:tcBorders>
              <w:top w:val="nil"/>
              <w:left w:val="nil"/>
              <w:bottom w:val="single" w:sz="4" w:space="0" w:color="auto"/>
              <w:right w:val="single" w:sz="4" w:space="0" w:color="auto"/>
            </w:tcBorders>
            <w:shd w:val="clear" w:color="auto" w:fill="auto"/>
            <w:noWrap/>
            <w:vAlign w:val="bottom"/>
            <w:hideMark/>
          </w:tcPr>
          <w:p w14:paraId="5CF22932" w14:textId="333DFA70" w:rsidR="00B75AF1" w:rsidRPr="00D960DB" w:rsidRDefault="00B75AF1" w:rsidP="00F75FF9">
            <w:pPr>
              <w:jc w:val="center"/>
              <w:rPr>
                <w:rFonts w:eastAsiaTheme="minorEastAsia"/>
                <w:sz w:val="20"/>
                <w:szCs w:val="20"/>
              </w:rPr>
            </w:pPr>
            <w:r w:rsidRPr="00D960DB">
              <w:rPr>
                <w:rFonts w:eastAsiaTheme="minorEastAsia"/>
                <w:sz w:val="20"/>
                <w:szCs w:val="20"/>
              </w:rPr>
              <w:t>2</w:t>
            </w:r>
          </w:p>
        </w:tc>
        <w:tc>
          <w:tcPr>
            <w:tcW w:w="1890" w:type="dxa"/>
            <w:tcBorders>
              <w:top w:val="nil"/>
              <w:left w:val="nil"/>
              <w:bottom w:val="single" w:sz="4" w:space="0" w:color="auto"/>
              <w:right w:val="single" w:sz="4" w:space="0" w:color="auto"/>
            </w:tcBorders>
            <w:shd w:val="clear" w:color="auto" w:fill="auto"/>
            <w:noWrap/>
            <w:vAlign w:val="bottom"/>
            <w:hideMark/>
          </w:tcPr>
          <w:p w14:paraId="5123549B" w14:textId="44656F1D" w:rsidR="00B75AF1" w:rsidRPr="00D960DB" w:rsidRDefault="00B75AF1" w:rsidP="00F75FF9">
            <w:pPr>
              <w:jc w:val="center"/>
              <w:rPr>
                <w:rFonts w:eastAsiaTheme="minorEastAsia"/>
                <w:sz w:val="20"/>
                <w:szCs w:val="20"/>
              </w:rPr>
            </w:pPr>
            <w:r w:rsidRPr="00D960DB">
              <w:rPr>
                <w:rFonts w:eastAsiaTheme="minorEastAsia"/>
                <w:sz w:val="20"/>
                <w:szCs w:val="20"/>
              </w:rPr>
              <w:t>51</w:t>
            </w:r>
          </w:p>
        </w:tc>
        <w:tc>
          <w:tcPr>
            <w:tcW w:w="1503" w:type="dxa"/>
            <w:tcBorders>
              <w:top w:val="nil"/>
              <w:left w:val="nil"/>
              <w:bottom w:val="single" w:sz="4" w:space="0" w:color="auto"/>
              <w:right w:val="single" w:sz="4" w:space="0" w:color="auto"/>
            </w:tcBorders>
            <w:shd w:val="clear" w:color="auto" w:fill="auto"/>
            <w:noWrap/>
            <w:vAlign w:val="bottom"/>
            <w:hideMark/>
          </w:tcPr>
          <w:p w14:paraId="5371984C" w14:textId="77777777" w:rsidR="00B75AF1" w:rsidRPr="00D960DB" w:rsidRDefault="00B75AF1" w:rsidP="00C0151F">
            <w:pPr>
              <w:jc w:val="center"/>
              <w:rPr>
                <w:rFonts w:eastAsiaTheme="minorEastAsia"/>
                <w:sz w:val="20"/>
                <w:szCs w:val="20"/>
              </w:rPr>
            </w:pPr>
            <w:r w:rsidRPr="00D960DB">
              <w:rPr>
                <w:rFonts w:eastAsiaTheme="minorEastAsia"/>
                <w:sz w:val="20"/>
                <w:szCs w:val="20"/>
              </w:rPr>
              <w:t>0.07%</w:t>
            </w:r>
          </w:p>
        </w:tc>
        <w:tc>
          <w:tcPr>
            <w:tcW w:w="925" w:type="dxa"/>
            <w:tcBorders>
              <w:top w:val="nil"/>
              <w:left w:val="nil"/>
              <w:bottom w:val="single" w:sz="4" w:space="0" w:color="auto"/>
              <w:right w:val="single" w:sz="4" w:space="0" w:color="auto"/>
            </w:tcBorders>
            <w:shd w:val="clear" w:color="auto" w:fill="auto"/>
            <w:noWrap/>
            <w:vAlign w:val="bottom"/>
            <w:hideMark/>
          </w:tcPr>
          <w:p w14:paraId="47EC7B38" w14:textId="77777777" w:rsidR="00B75AF1" w:rsidRPr="00D960DB" w:rsidRDefault="00B75AF1" w:rsidP="00F75FF9">
            <w:pPr>
              <w:jc w:val="center"/>
              <w:rPr>
                <w:rFonts w:eastAsiaTheme="minorEastAsia"/>
                <w:sz w:val="20"/>
                <w:szCs w:val="20"/>
              </w:rPr>
            </w:pPr>
            <w:r w:rsidRPr="00D960DB">
              <w:rPr>
                <w:rFonts w:eastAsiaTheme="minorEastAsia"/>
                <w:sz w:val="20"/>
                <w:szCs w:val="20"/>
              </w:rPr>
              <w:t>0.03%</w:t>
            </w:r>
          </w:p>
        </w:tc>
      </w:tr>
      <w:tr w:rsidR="00B75AF1" w:rsidRPr="00B75AF1" w14:paraId="7417A01E"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C2D84BF" w14:textId="77777777" w:rsidR="00B75AF1" w:rsidRPr="00D960DB" w:rsidRDefault="00B75AF1" w:rsidP="00B75AF1">
            <w:pPr>
              <w:rPr>
                <w:rFonts w:eastAsiaTheme="minorEastAsia"/>
                <w:sz w:val="20"/>
                <w:szCs w:val="20"/>
              </w:rPr>
            </w:pPr>
            <w:r w:rsidRPr="00D960DB">
              <w:rPr>
                <w:rFonts w:eastAsiaTheme="minorEastAsia"/>
                <w:sz w:val="20"/>
                <w:szCs w:val="20"/>
              </w:rPr>
              <w:t>Hyde County</w:t>
            </w:r>
          </w:p>
        </w:tc>
        <w:tc>
          <w:tcPr>
            <w:tcW w:w="2536" w:type="dxa"/>
            <w:tcBorders>
              <w:top w:val="nil"/>
              <w:left w:val="nil"/>
              <w:bottom w:val="single" w:sz="4" w:space="0" w:color="auto"/>
              <w:right w:val="single" w:sz="4" w:space="0" w:color="auto"/>
            </w:tcBorders>
            <w:shd w:val="clear" w:color="auto" w:fill="auto"/>
            <w:noWrap/>
            <w:vAlign w:val="bottom"/>
            <w:hideMark/>
          </w:tcPr>
          <w:p w14:paraId="294A7E76" w14:textId="5F15063D" w:rsidR="00B75AF1" w:rsidRPr="00D960DB" w:rsidRDefault="00B75AF1" w:rsidP="00F75FF9">
            <w:pPr>
              <w:jc w:val="center"/>
              <w:rPr>
                <w:rFonts w:eastAsiaTheme="minorEastAsia"/>
                <w:sz w:val="20"/>
                <w:szCs w:val="20"/>
              </w:rPr>
            </w:pPr>
            <w:r w:rsidRPr="00D960DB">
              <w:rPr>
                <w:rFonts w:eastAsiaTheme="minorEastAsia"/>
                <w:sz w:val="20"/>
                <w:szCs w:val="20"/>
              </w:rPr>
              <w:t>3</w:t>
            </w:r>
          </w:p>
        </w:tc>
        <w:tc>
          <w:tcPr>
            <w:tcW w:w="1890" w:type="dxa"/>
            <w:tcBorders>
              <w:top w:val="nil"/>
              <w:left w:val="nil"/>
              <w:bottom w:val="single" w:sz="4" w:space="0" w:color="auto"/>
              <w:right w:val="single" w:sz="4" w:space="0" w:color="auto"/>
            </w:tcBorders>
            <w:shd w:val="clear" w:color="auto" w:fill="auto"/>
            <w:noWrap/>
            <w:vAlign w:val="bottom"/>
            <w:hideMark/>
          </w:tcPr>
          <w:p w14:paraId="29E23E13" w14:textId="6796ABF0" w:rsidR="00B75AF1" w:rsidRPr="00D960DB" w:rsidRDefault="00B75AF1" w:rsidP="00F75FF9">
            <w:pPr>
              <w:jc w:val="center"/>
              <w:rPr>
                <w:rFonts w:eastAsiaTheme="minorEastAsia"/>
                <w:sz w:val="20"/>
                <w:szCs w:val="20"/>
              </w:rPr>
            </w:pPr>
            <w:r w:rsidRPr="00D960DB">
              <w:rPr>
                <w:rFonts w:eastAsiaTheme="minorEastAsia"/>
                <w:sz w:val="20"/>
                <w:szCs w:val="20"/>
              </w:rPr>
              <w:t>47</w:t>
            </w:r>
          </w:p>
        </w:tc>
        <w:tc>
          <w:tcPr>
            <w:tcW w:w="1503" w:type="dxa"/>
            <w:tcBorders>
              <w:top w:val="nil"/>
              <w:left w:val="nil"/>
              <w:bottom w:val="single" w:sz="4" w:space="0" w:color="auto"/>
              <w:right w:val="single" w:sz="4" w:space="0" w:color="auto"/>
            </w:tcBorders>
            <w:shd w:val="clear" w:color="auto" w:fill="auto"/>
            <w:noWrap/>
            <w:vAlign w:val="bottom"/>
            <w:hideMark/>
          </w:tcPr>
          <w:p w14:paraId="67742422" w14:textId="77777777" w:rsidR="00B75AF1" w:rsidRPr="00D960DB" w:rsidRDefault="00B75AF1" w:rsidP="00C0151F">
            <w:pPr>
              <w:jc w:val="center"/>
              <w:rPr>
                <w:rFonts w:eastAsiaTheme="minorEastAsia"/>
                <w:sz w:val="20"/>
                <w:szCs w:val="20"/>
              </w:rPr>
            </w:pPr>
            <w:r w:rsidRPr="00D960DB">
              <w:rPr>
                <w:rFonts w:eastAsiaTheme="minorEastAsia"/>
                <w:sz w:val="20"/>
                <w:szCs w:val="20"/>
              </w:rPr>
              <w:t>0.10%</w:t>
            </w:r>
          </w:p>
        </w:tc>
        <w:tc>
          <w:tcPr>
            <w:tcW w:w="925" w:type="dxa"/>
            <w:tcBorders>
              <w:top w:val="nil"/>
              <w:left w:val="nil"/>
              <w:bottom w:val="single" w:sz="4" w:space="0" w:color="auto"/>
              <w:right w:val="single" w:sz="4" w:space="0" w:color="auto"/>
            </w:tcBorders>
            <w:shd w:val="clear" w:color="auto" w:fill="auto"/>
            <w:noWrap/>
            <w:vAlign w:val="bottom"/>
            <w:hideMark/>
          </w:tcPr>
          <w:p w14:paraId="6D9B2642" w14:textId="77777777" w:rsidR="00B75AF1" w:rsidRPr="00D960DB" w:rsidRDefault="00B75AF1" w:rsidP="00F75FF9">
            <w:pPr>
              <w:jc w:val="center"/>
              <w:rPr>
                <w:rFonts w:eastAsiaTheme="minorEastAsia"/>
                <w:sz w:val="20"/>
                <w:szCs w:val="20"/>
              </w:rPr>
            </w:pPr>
            <w:r w:rsidRPr="00D960DB">
              <w:rPr>
                <w:rFonts w:eastAsiaTheme="minorEastAsia"/>
                <w:sz w:val="20"/>
                <w:szCs w:val="20"/>
              </w:rPr>
              <w:t>0.03%</w:t>
            </w:r>
          </w:p>
        </w:tc>
      </w:tr>
      <w:tr w:rsidR="00B75AF1" w:rsidRPr="00B75AF1" w14:paraId="376B12E9"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9669FB3" w14:textId="77777777" w:rsidR="00B75AF1" w:rsidRPr="00D960DB" w:rsidRDefault="00B75AF1" w:rsidP="00B75AF1">
            <w:pPr>
              <w:rPr>
                <w:rFonts w:eastAsiaTheme="minorEastAsia"/>
                <w:sz w:val="20"/>
                <w:szCs w:val="20"/>
              </w:rPr>
            </w:pPr>
            <w:r w:rsidRPr="00D960DB">
              <w:rPr>
                <w:rFonts w:eastAsiaTheme="minorEastAsia"/>
                <w:sz w:val="20"/>
                <w:szCs w:val="20"/>
              </w:rPr>
              <w:t>Tyrrell County</w:t>
            </w:r>
          </w:p>
        </w:tc>
        <w:tc>
          <w:tcPr>
            <w:tcW w:w="2536" w:type="dxa"/>
            <w:tcBorders>
              <w:top w:val="nil"/>
              <w:left w:val="nil"/>
              <w:bottom w:val="single" w:sz="4" w:space="0" w:color="auto"/>
              <w:right w:val="single" w:sz="4" w:space="0" w:color="auto"/>
            </w:tcBorders>
            <w:shd w:val="clear" w:color="auto" w:fill="auto"/>
            <w:noWrap/>
            <w:vAlign w:val="bottom"/>
            <w:hideMark/>
          </w:tcPr>
          <w:p w14:paraId="01097929" w14:textId="5E573A88" w:rsidR="00B75AF1" w:rsidRPr="00D960DB" w:rsidRDefault="00B75AF1" w:rsidP="00F75FF9">
            <w:pPr>
              <w:jc w:val="center"/>
              <w:rPr>
                <w:rFonts w:eastAsiaTheme="minorEastAsia"/>
                <w:sz w:val="20"/>
                <w:szCs w:val="20"/>
              </w:rPr>
            </w:pPr>
            <w:r w:rsidRPr="00D960DB">
              <w:rPr>
                <w:rFonts w:eastAsiaTheme="minorEastAsia"/>
                <w:sz w:val="20"/>
                <w:szCs w:val="20"/>
              </w:rPr>
              <w:t>2</w:t>
            </w:r>
          </w:p>
        </w:tc>
        <w:tc>
          <w:tcPr>
            <w:tcW w:w="1890" w:type="dxa"/>
            <w:tcBorders>
              <w:top w:val="nil"/>
              <w:left w:val="nil"/>
              <w:bottom w:val="single" w:sz="4" w:space="0" w:color="auto"/>
              <w:right w:val="single" w:sz="4" w:space="0" w:color="auto"/>
            </w:tcBorders>
            <w:shd w:val="clear" w:color="auto" w:fill="auto"/>
            <w:noWrap/>
            <w:vAlign w:val="bottom"/>
            <w:hideMark/>
          </w:tcPr>
          <w:p w14:paraId="6379D948" w14:textId="657CF5A0" w:rsidR="00B75AF1" w:rsidRPr="00D960DB" w:rsidRDefault="00B75AF1" w:rsidP="00F75FF9">
            <w:pPr>
              <w:jc w:val="center"/>
              <w:rPr>
                <w:rFonts w:eastAsiaTheme="minorEastAsia"/>
                <w:sz w:val="20"/>
                <w:szCs w:val="20"/>
              </w:rPr>
            </w:pPr>
            <w:r w:rsidRPr="00D960DB">
              <w:rPr>
                <w:rFonts w:eastAsiaTheme="minorEastAsia"/>
                <w:sz w:val="20"/>
                <w:szCs w:val="20"/>
              </w:rPr>
              <w:t>41</w:t>
            </w:r>
          </w:p>
        </w:tc>
        <w:tc>
          <w:tcPr>
            <w:tcW w:w="1503" w:type="dxa"/>
            <w:tcBorders>
              <w:top w:val="nil"/>
              <w:left w:val="nil"/>
              <w:bottom w:val="single" w:sz="4" w:space="0" w:color="auto"/>
              <w:right w:val="single" w:sz="4" w:space="0" w:color="auto"/>
            </w:tcBorders>
            <w:shd w:val="clear" w:color="auto" w:fill="auto"/>
            <w:noWrap/>
            <w:vAlign w:val="bottom"/>
            <w:hideMark/>
          </w:tcPr>
          <w:p w14:paraId="5491929F" w14:textId="77777777" w:rsidR="00B75AF1" w:rsidRPr="00D960DB" w:rsidRDefault="00B75AF1" w:rsidP="00C0151F">
            <w:pPr>
              <w:jc w:val="center"/>
              <w:rPr>
                <w:rFonts w:eastAsiaTheme="minorEastAsia"/>
                <w:sz w:val="20"/>
                <w:szCs w:val="20"/>
              </w:rPr>
            </w:pPr>
            <w:r w:rsidRPr="00D960DB">
              <w:rPr>
                <w:rFonts w:eastAsiaTheme="minorEastAsia"/>
                <w:sz w:val="20"/>
                <w:szCs w:val="20"/>
              </w:rPr>
              <w:t>0.07%</w:t>
            </w:r>
          </w:p>
        </w:tc>
        <w:tc>
          <w:tcPr>
            <w:tcW w:w="925" w:type="dxa"/>
            <w:tcBorders>
              <w:top w:val="nil"/>
              <w:left w:val="nil"/>
              <w:bottom w:val="single" w:sz="4" w:space="0" w:color="auto"/>
              <w:right w:val="single" w:sz="4" w:space="0" w:color="auto"/>
            </w:tcBorders>
            <w:shd w:val="clear" w:color="auto" w:fill="auto"/>
            <w:noWrap/>
            <w:vAlign w:val="bottom"/>
            <w:hideMark/>
          </w:tcPr>
          <w:p w14:paraId="6FB2BF8A" w14:textId="77777777" w:rsidR="00B75AF1" w:rsidRPr="00D960DB" w:rsidRDefault="00B75AF1" w:rsidP="00F75FF9">
            <w:pPr>
              <w:jc w:val="center"/>
              <w:rPr>
                <w:rFonts w:eastAsiaTheme="minorEastAsia"/>
                <w:sz w:val="20"/>
                <w:szCs w:val="20"/>
              </w:rPr>
            </w:pPr>
            <w:r w:rsidRPr="00D960DB">
              <w:rPr>
                <w:rFonts w:eastAsiaTheme="minorEastAsia"/>
                <w:sz w:val="20"/>
                <w:szCs w:val="20"/>
              </w:rPr>
              <w:t>0.03%</w:t>
            </w:r>
          </w:p>
        </w:tc>
      </w:tr>
      <w:tr w:rsidR="00B75AF1" w:rsidRPr="00B75AF1" w14:paraId="35BF5CE3"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21C13F33" w14:textId="77777777" w:rsidR="00B75AF1" w:rsidRPr="00D960DB" w:rsidRDefault="00B75AF1" w:rsidP="00B75AF1">
            <w:pPr>
              <w:rPr>
                <w:rFonts w:eastAsiaTheme="minorEastAsia"/>
                <w:sz w:val="20"/>
                <w:szCs w:val="20"/>
              </w:rPr>
            </w:pPr>
            <w:r w:rsidRPr="00D960DB">
              <w:rPr>
                <w:rFonts w:eastAsiaTheme="minorEastAsia"/>
                <w:sz w:val="20"/>
                <w:szCs w:val="20"/>
              </w:rPr>
              <w:t>Camden County</w:t>
            </w:r>
          </w:p>
        </w:tc>
        <w:tc>
          <w:tcPr>
            <w:tcW w:w="2536" w:type="dxa"/>
            <w:tcBorders>
              <w:top w:val="nil"/>
              <w:left w:val="nil"/>
              <w:bottom w:val="single" w:sz="4" w:space="0" w:color="auto"/>
              <w:right w:val="single" w:sz="4" w:space="0" w:color="auto"/>
            </w:tcBorders>
            <w:shd w:val="clear" w:color="auto" w:fill="auto"/>
            <w:noWrap/>
            <w:vAlign w:val="bottom"/>
            <w:hideMark/>
          </w:tcPr>
          <w:p w14:paraId="0DA2571B" w14:textId="23BD759D" w:rsidR="00B75AF1" w:rsidRPr="00D960DB" w:rsidRDefault="00B75AF1" w:rsidP="00F75FF9">
            <w:pPr>
              <w:jc w:val="center"/>
              <w:rPr>
                <w:rFonts w:eastAsiaTheme="minorEastAsia"/>
                <w:sz w:val="20"/>
                <w:szCs w:val="20"/>
              </w:rPr>
            </w:pPr>
            <w:r w:rsidRPr="00D960DB">
              <w:rPr>
                <w:rFonts w:eastAsiaTheme="minorEastAsia"/>
                <w:sz w:val="20"/>
                <w:szCs w:val="20"/>
              </w:rPr>
              <w:t>1</w:t>
            </w:r>
          </w:p>
        </w:tc>
        <w:tc>
          <w:tcPr>
            <w:tcW w:w="1890" w:type="dxa"/>
            <w:tcBorders>
              <w:top w:val="nil"/>
              <w:left w:val="nil"/>
              <w:bottom w:val="single" w:sz="4" w:space="0" w:color="auto"/>
              <w:right w:val="single" w:sz="4" w:space="0" w:color="auto"/>
            </w:tcBorders>
            <w:shd w:val="clear" w:color="auto" w:fill="auto"/>
            <w:noWrap/>
            <w:vAlign w:val="bottom"/>
            <w:hideMark/>
          </w:tcPr>
          <w:p w14:paraId="27F4568A" w14:textId="2B26AACA" w:rsidR="00B75AF1" w:rsidRPr="00D960DB" w:rsidRDefault="00B75AF1" w:rsidP="00F75FF9">
            <w:pPr>
              <w:jc w:val="center"/>
              <w:rPr>
                <w:rFonts w:eastAsiaTheme="minorEastAsia"/>
                <w:sz w:val="20"/>
                <w:szCs w:val="20"/>
              </w:rPr>
            </w:pPr>
            <w:r w:rsidRPr="00D960DB">
              <w:rPr>
                <w:rFonts w:eastAsiaTheme="minorEastAsia"/>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14:paraId="63A8BAA8" w14:textId="77777777" w:rsidR="00B75AF1" w:rsidRPr="00D960DB" w:rsidRDefault="00B75AF1" w:rsidP="00C0151F">
            <w:pPr>
              <w:jc w:val="center"/>
              <w:rPr>
                <w:rFonts w:eastAsiaTheme="minorEastAsia"/>
                <w:sz w:val="20"/>
                <w:szCs w:val="20"/>
              </w:rPr>
            </w:pPr>
            <w:r w:rsidRPr="00D960DB">
              <w:rPr>
                <w:rFonts w:eastAsiaTheme="minorEastAsia"/>
                <w:sz w:val="20"/>
                <w:szCs w:val="20"/>
              </w:rPr>
              <w:t>0.03%</w:t>
            </w:r>
          </w:p>
        </w:tc>
        <w:tc>
          <w:tcPr>
            <w:tcW w:w="925" w:type="dxa"/>
            <w:tcBorders>
              <w:top w:val="nil"/>
              <w:left w:val="nil"/>
              <w:bottom w:val="single" w:sz="4" w:space="0" w:color="auto"/>
              <w:right w:val="single" w:sz="4" w:space="0" w:color="auto"/>
            </w:tcBorders>
            <w:shd w:val="clear" w:color="auto" w:fill="auto"/>
            <w:noWrap/>
            <w:vAlign w:val="bottom"/>
            <w:hideMark/>
          </w:tcPr>
          <w:p w14:paraId="5B0DA6A8" w14:textId="77777777" w:rsidR="00B75AF1" w:rsidRPr="00D960DB" w:rsidRDefault="00B75AF1" w:rsidP="00F75FF9">
            <w:pPr>
              <w:jc w:val="center"/>
              <w:rPr>
                <w:rFonts w:eastAsiaTheme="minorEastAsia"/>
                <w:sz w:val="20"/>
                <w:szCs w:val="20"/>
              </w:rPr>
            </w:pPr>
            <w:r w:rsidRPr="00D960DB">
              <w:rPr>
                <w:rFonts w:eastAsiaTheme="minorEastAsia"/>
                <w:sz w:val="20"/>
                <w:szCs w:val="20"/>
              </w:rPr>
              <w:t>0.00%</w:t>
            </w:r>
          </w:p>
        </w:tc>
      </w:tr>
      <w:tr w:rsidR="00B75AF1" w:rsidRPr="00B75AF1" w14:paraId="1DFED28D" w14:textId="77777777" w:rsidTr="00841CDA">
        <w:trPr>
          <w:trHeight w:val="248"/>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95B52D9" w14:textId="77777777" w:rsidR="00B75AF1" w:rsidRPr="00D960DB" w:rsidRDefault="00B75AF1" w:rsidP="00B75AF1">
            <w:pPr>
              <w:rPr>
                <w:rFonts w:eastAsiaTheme="minorEastAsia"/>
                <w:sz w:val="20"/>
                <w:szCs w:val="20"/>
              </w:rPr>
            </w:pPr>
            <w:r w:rsidRPr="00D960DB">
              <w:rPr>
                <w:rFonts w:eastAsiaTheme="minorEastAsia"/>
                <w:sz w:val="20"/>
                <w:szCs w:val="20"/>
              </w:rPr>
              <w:t>Gates County</w:t>
            </w:r>
          </w:p>
        </w:tc>
        <w:tc>
          <w:tcPr>
            <w:tcW w:w="2536" w:type="dxa"/>
            <w:tcBorders>
              <w:top w:val="nil"/>
              <w:left w:val="nil"/>
              <w:bottom w:val="single" w:sz="4" w:space="0" w:color="auto"/>
              <w:right w:val="single" w:sz="4" w:space="0" w:color="auto"/>
            </w:tcBorders>
            <w:shd w:val="clear" w:color="auto" w:fill="auto"/>
            <w:noWrap/>
            <w:vAlign w:val="bottom"/>
            <w:hideMark/>
          </w:tcPr>
          <w:p w14:paraId="0F861545" w14:textId="124C5F29" w:rsidR="00B75AF1" w:rsidRPr="00D960DB" w:rsidRDefault="00B75AF1" w:rsidP="00F75FF9">
            <w:pPr>
              <w:jc w:val="center"/>
              <w:rPr>
                <w:rFonts w:eastAsiaTheme="minorEastAsia"/>
                <w:sz w:val="20"/>
                <w:szCs w:val="20"/>
              </w:rPr>
            </w:pPr>
            <w:r w:rsidRPr="00D960DB">
              <w:rPr>
                <w:rFonts w:eastAsiaTheme="minorEastAsia"/>
                <w:sz w:val="20"/>
                <w:szCs w:val="20"/>
              </w:rPr>
              <w:t>1</w:t>
            </w:r>
          </w:p>
        </w:tc>
        <w:tc>
          <w:tcPr>
            <w:tcW w:w="1890" w:type="dxa"/>
            <w:tcBorders>
              <w:top w:val="nil"/>
              <w:left w:val="nil"/>
              <w:bottom w:val="single" w:sz="4" w:space="0" w:color="auto"/>
              <w:right w:val="single" w:sz="4" w:space="0" w:color="auto"/>
            </w:tcBorders>
            <w:shd w:val="clear" w:color="auto" w:fill="auto"/>
            <w:noWrap/>
            <w:vAlign w:val="bottom"/>
            <w:hideMark/>
          </w:tcPr>
          <w:p w14:paraId="25EAA1A7" w14:textId="2259C357" w:rsidR="00B75AF1" w:rsidRPr="00D960DB" w:rsidRDefault="00B75AF1" w:rsidP="00F75FF9">
            <w:pPr>
              <w:jc w:val="center"/>
              <w:rPr>
                <w:rFonts w:eastAsiaTheme="minorEastAsia"/>
                <w:sz w:val="20"/>
                <w:szCs w:val="20"/>
              </w:rPr>
            </w:pPr>
            <w:r w:rsidRPr="00D960DB">
              <w:rPr>
                <w:rFonts w:eastAsiaTheme="minorEastAsia"/>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14:paraId="3548563D" w14:textId="77777777" w:rsidR="00B75AF1" w:rsidRPr="00D960DB" w:rsidRDefault="00B75AF1" w:rsidP="00C0151F">
            <w:pPr>
              <w:jc w:val="center"/>
              <w:rPr>
                <w:rFonts w:eastAsiaTheme="minorEastAsia"/>
                <w:sz w:val="20"/>
                <w:szCs w:val="20"/>
              </w:rPr>
            </w:pPr>
            <w:r w:rsidRPr="00D960DB">
              <w:rPr>
                <w:rFonts w:eastAsiaTheme="minorEastAsia"/>
                <w:sz w:val="20"/>
                <w:szCs w:val="20"/>
              </w:rPr>
              <w:t>0.03%</w:t>
            </w:r>
          </w:p>
        </w:tc>
        <w:tc>
          <w:tcPr>
            <w:tcW w:w="925" w:type="dxa"/>
            <w:tcBorders>
              <w:top w:val="nil"/>
              <w:left w:val="nil"/>
              <w:bottom w:val="single" w:sz="4" w:space="0" w:color="auto"/>
              <w:right w:val="single" w:sz="4" w:space="0" w:color="auto"/>
            </w:tcBorders>
            <w:shd w:val="clear" w:color="auto" w:fill="auto"/>
            <w:noWrap/>
            <w:vAlign w:val="bottom"/>
            <w:hideMark/>
          </w:tcPr>
          <w:p w14:paraId="33214272" w14:textId="77777777" w:rsidR="00B75AF1" w:rsidRPr="00D960DB" w:rsidRDefault="00B75AF1" w:rsidP="00F75FF9">
            <w:pPr>
              <w:jc w:val="center"/>
              <w:rPr>
                <w:rFonts w:eastAsiaTheme="minorEastAsia"/>
                <w:sz w:val="20"/>
                <w:szCs w:val="20"/>
              </w:rPr>
            </w:pPr>
            <w:r w:rsidRPr="00D960DB">
              <w:rPr>
                <w:rFonts w:eastAsiaTheme="minorEastAsia"/>
                <w:sz w:val="20"/>
                <w:szCs w:val="20"/>
              </w:rPr>
              <w:t>0.00%</w:t>
            </w:r>
          </w:p>
        </w:tc>
      </w:tr>
    </w:tbl>
    <w:p w14:paraId="53E03B78" w14:textId="77777777" w:rsidR="00B75AF1" w:rsidRPr="00375BBC" w:rsidRDefault="00B75AF1" w:rsidP="00B75AF1">
      <w:pPr>
        <w:rPr>
          <w:rFonts w:eastAsiaTheme="minorEastAsia"/>
          <w:sz w:val="16"/>
          <w:szCs w:val="16"/>
        </w:rPr>
      </w:pPr>
      <w:r w:rsidRPr="00375BBC">
        <w:rPr>
          <w:rFonts w:eastAsiaTheme="minorEastAsia"/>
          <w:sz w:val="16"/>
          <w:szCs w:val="16"/>
        </w:rPr>
        <w:t>Source: National Housing Preservation Database (NHPD), October 2020</w:t>
      </w:r>
    </w:p>
    <w:p w14:paraId="5C565909" w14:textId="77777777" w:rsidR="00B75AF1" w:rsidRPr="00B75AF1" w:rsidRDefault="00B75AF1" w:rsidP="00B75AF1">
      <w:pPr>
        <w:rPr>
          <w:rFonts w:eastAsiaTheme="minorEastAsia"/>
          <w:i/>
          <w:iCs/>
        </w:rPr>
      </w:pPr>
    </w:p>
    <w:p w14:paraId="3A3CF3C3" w14:textId="32C53F48" w:rsidR="00B75AF1" w:rsidRDefault="00B75AF1" w:rsidP="00B75AF1">
      <w:pPr>
        <w:rPr>
          <w:rFonts w:eastAsiaTheme="minorEastAsia"/>
        </w:rPr>
      </w:pPr>
      <w:r w:rsidRPr="00B75AF1">
        <w:rPr>
          <w:rFonts w:eastAsiaTheme="minorEastAsia"/>
        </w:rPr>
        <w:t>The following map</w:t>
      </w:r>
      <w:r w:rsidR="00C27114">
        <w:rPr>
          <w:rFonts w:eastAsiaTheme="minorEastAsia"/>
        </w:rPr>
        <w:t xml:space="preserve"> and table </w:t>
      </w:r>
      <w:r w:rsidR="00C27114" w:rsidRPr="00B75AF1">
        <w:rPr>
          <w:rFonts w:eastAsiaTheme="minorEastAsia"/>
        </w:rPr>
        <w:t>reflect</w:t>
      </w:r>
      <w:r w:rsidRPr="00B75AF1">
        <w:rPr>
          <w:rFonts w:eastAsiaTheme="minorEastAsia"/>
        </w:rPr>
        <w:t xml:space="preserve"> the distribution of assisted units </w:t>
      </w:r>
      <w:r w:rsidR="00C27114">
        <w:rPr>
          <w:rFonts w:eastAsiaTheme="minorEastAsia"/>
        </w:rPr>
        <w:t>expected to have their period of affordability expire</w:t>
      </w:r>
      <w:r w:rsidRPr="00B75AF1">
        <w:rPr>
          <w:rFonts w:eastAsiaTheme="minorEastAsia"/>
        </w:rPr>
        <w:t xml:space="preserve"> </w:t>
      </w:r>
      <w:r w:rsidR="00C27114">
        <w:rPr>
          <w:rFonts w:eastAsiaTheme="minorEastAsia"/>
        </w:rPr>
        <w:t>before 2030</w:t>
      </w:r>
      <w:r w:rsidRPr="00B75AF1">
        <w:rPr>
          <w:rFonts w:eastAsiaTheme="minorEastAsia"/>
        </w:rPr>
        <w:t>.</w:t>
      </w:r>
      <w:r w:rsidR="00C27114" w:rsidRPr="00C27114">
        <w:t xml:space="preserve"> </w:t>
      </w:r>
      <w:r w:rsidR="00C27114" w:rsidRPr="00C27114">
        <w:rPr>
          <w:rFonts w:eastAsiaTheme="minorEastAsia"/>
        </w:rPr>
        <w:t xml:space="preserve">The units are subject to income restrictions that keep them affordable for a finite </w:t>
      </w:r>
      <w:proofErr w:type="gramStart"/>
      <w:r w:rsidR="00C27114" w:rsidRPr="00C27114">
        <w:rPr>
          <w:rFonts w:eastAsiaTheme="minorEastAsia"/>
        </w:rPr>
        <w:t>period of time</w:t>
      </w:r>
      <w:proofErr w:type="gramEnd"/>
      <w:r w:rsidR="00C27114" w:rsidRPr="00C27114">
        <w:rPr>
          <w:rFonts w:eastAsiaTheme="minorEastAsia"/>
        </w:rPr>
        <w:t xml:space="preserve">. Preservation of affordable units is more cost effective than the construction of new affordable units, so focusing on the renewal of these affordability restrictions will preserve a significant contribution to the total supply of affordable housing over the next decade. The table also provides the number of expiring units that are owned by for-profit entities because these are most likely at greatest for conversion to market-rate units, particularly in higher opportunity markets. </w:t>
      </w:r>
      <w:r w:rsidRPr="00B75AF1">
        <w:rPr>
          <w:rFonts w:eastAsiaTheme="minorEastAsia"/>
        </w:rPr>
        <w:t>A total of 1,196 assisted properties consisting of 38,482 units are expected to have their periods of affordability expire within ten years. Of these expiring units, 773 units are expected to expire within in five years. Distribution of expiring units is consiste</w:t>
      </w:r>
      <w:r w:rsidR="00C27114">
        <w:rPr>
          <w:rFonts w:eastAsiaTheme="minorEastAsia"/>
        </w:rPr>
        <w:t>nt</w:t>
      </w:r>
      <w:r w:rsidRPr="00B75AF1">
        <w:rPr>
          <w:rFonts w:eastAsiaTheme="minorEastAsia"/>
        </w:rPr>
        <w:t xml:space="preserve"> with population size</w:t>
      </w:r>
      <w:r w:rsidR="00682675">
        <w:rPr>
          <w:rFonts w:eastAsiaTheme="minorEastAsia"/>
        </w:rPr>
        <w:t xml:space="preserve"> and density</w:t>
      </w:r>
      <w:r w:rsidR="00C27114">
        <w:rPr>
          <w:rFonts w:eastAsiaTheme="minorEastAsia"/>
        </w:rPr>
        <w:t xml:space="preserve"> with Wake, </w:t>
      </w:r>
      <w:proofErr w:type="gramStart"/>
      <w:r w:rsidR="00C27114">
        <w:rPr>
          <w:rFonts w:eastAsiaTheme="minorEastAsia"/>
        </w:rPr>
        <w:t>Mecklenburg</w:t>
      </w:r>
      <w:proofErr w:type="gramEnd"/>
      <w:r w:rsidR="00C27114">
        <w:rPr>
          <w:rFonts w:eastAsiaTheme="minorEastAsia"/>
        </w:rPr>
        <w:t xml:space="preserve"> and Guildford Counties each having almost 1,000 units expected to expire before 2025.</w:t>
      </w:r>
    </w:p>
    <w:p w14:paraId="0062E559" w14:textId="6D05321D" w:rsidR="00482169" w:rsidRDefault="00482169" w:rsidP="00B75AF1">
      <w:pPr>
        <w:rPr>
          <w:rFonts w:eastAsiaTheme="minorEastAsia"/>
        </w:rPr>
      </w:pPr>
    </w:p>
    <w:p w14:paraId="662BE4BC" w14:textId="34EA6583" w:rsidR="00682675" w:rsidRDefault="00482169" w:rsidP="00482169">
      <w:pPr>
        <w:pStyle w:val="Caption"/>
      </w:pPr>
      <w:r>
        <w:t xml:space="preserve">Table </w:t>
      </w:r>
      <w:fldSimple w:instr=" SEQ Table \* ARABIC ">
        <w:r w:rsidR="0055251A">
          <w:rPr>
            <w:noProof/>
          </w:rPr>
          <w:t>21</w:t>
        </w:r>
      </w:fldSimple>
      <w:r>
        <w:t xml:space="preserve"> Subsidized Housing Units expected to expire before </w:t>
      </w:r>
      <w:proofErr w:type="gramStart"/>
      <w:r>
        <w:t>2030</w:t>
      </w:r>
      <w:proofErr w:type="gramEnd"/>
    </w:p>
    <w:tbl>
      <w:tblPr>
        <w:tblW w:w="9300" w:type="dxa"/>
        <w:tblLook w:val="04A0" w:firstRow="1" w:lastRow="0" w:firstColumn="1" w:lastColumn="0" w:noHBand="0" w:noVBand="1"/>
      </w:tblPr>
      <w:tblGrid>
        <w:gridCol w:w="1613"/>
        <w:gridCol w:w="1730"/>
        <w:gridCol w:w="1786"/>
        <w:gridCol w:w="2008"/>
        <w:gridCol w:w="2163"/>
      </w:tblGrid>
      <w:tr w:rsidR="00482169" w:rsidRPr="000E652F" w14:paraId="07490C49" w14:textId="77777777" w:rsidTr="00482169">
        <w:trPr>
          <w:trHeight w:val="279"/>
          <w:tblHeader/>
        </w:trPr>
        <w:tc>
          <w:tcPr>
            <w:tcW w:w="1613" w:type="dxa"/>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506E76B6" w14:textId="77777777" w:rsidR="00482169" w:rsidRPr="000E652F" w:rsidRDefault="00482169" w:rsidP="006D5C05">
            <w:pP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 </w:t>
            </w:r>
          </w:p>
        </w:tc>
        <w:tc>
          <w:tcPr>
            <w:tcW w:w="3516" w:type="dxa"/>
            <w:gridSpan w:val="2"/>
            <w:tcBorders>
              <w:top w:val="single" w:sz="4" w:space="0" w:color="auto"/>
              <w:left w:val="nil"/>
              <w:bottom w:val="single" w:sz="4" w:space="0" w:color="auto"/>
              <w:right w:val="single" w:sz="4" w:space="0" w:color="auto"/>
            </w:tcBorders>
            <w:shd w:val="clear" w:color="auto" w:fill="4472C4"/>
            <w:noWrap/>
            <w:vAlign w:val="center"/>
            <w:hideMark/>
          </w:tcPr>
          <w:p w14:paraId="38CCF664" w14:textId="77777777" w:rsidR="00482169" w:rsidRPr="000E652F" w:rsidRDefault="00482169" w:rsidP="00880DE6">
            <w:pPr>
              <w:jc w:val="cente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All Units</w:t>
            </w:r>
          </w:p>
        </w:tc>
        <w:tc>
          <w:tcPr>
            <w:tcW w:w="4171" w:type="dxa"/>
            <w:gridSpan w:val="2"/>
            <w:tcBorders>
              <w:top w:val="single" w:sz="4" w:space="0" w:color="auto"/>
              <w:left w:val="nil"/>
              <w:bottom w:val="single" w:sz="4" w:space="0" w:color="auto"/>
              <w:right w:val="single" w:sz="4" w:space="0" w:color="auto"/>
            </w:tcBorders>
            <w:shd w:val="clear" w:color="auto" w:fill="4472C4"/>
            <w:noWrap/>
            <w:vAlign w:val="center"/>
            <w:hideMark/>
          </w:tcPr>
          <w:p w14:paraId="2A151EBD" w14:textId="77777777" w:rsidR="00482169" w:rsidRPr="000E652F" w:rsidRDefault="00482169" w:rsidP="00880DE6">
            <w:pPr>
              <w:jc w:val="cente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For Profit Units</w:t>
            </w:r>
          </w:p>
        </w:tc>
      </w:tr>
      <w:tr w:rsidR="00482169" w:rsidRPr="000E652F" w14:paraId="75C389EC" w14:textId="77777777" w:rsidTr="00482169">
        <w:trPr>
          <w:trHeight w:val="837"/>
          <w:tblHeader/>
        </w:trPr>
        <w:tc>
          <w:tcPr>
            <w:tcW w:w="1613" w:type="dxa"/>
            <w:tcBorders>
              <w:top w:val="nil"/>
              <w:left w:val="single" w:sz="4" w:space="0" w:color="auto"/>
              <w:bottom w:val="single" w:sz="4" w:space="0" w:color="auto"/>
              <w:right w:val="single" w:sz="4" w:space="0" w:color="auto"/>
            </w:tcBorders>
            <w:shd w:val="clear" w:color="auto" w:fill="4472C4"/>
            <w:noWrap/>
            <w:vAlign w:val="center"/>
            <w:hideMark/>
          </w:tcPr>
          <w:p w14:paraId="1868F4E9" w14:textId="77777777" w:rsidR="00482169" w:rsidRPr="000E652F" w:rsidRDefault="00482169" w:rsidP="006D5C05">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County</w:t>
            </w:r>
          </w:p>
        </w:tc>
        <w:tc>
          <w:tcPr>
            <w:tcW w:w="1730" w:type="dxa"/>
            <w:tcBorders>
              <w:top w:val="nil"/>
              <w:left w:val="nil"/>
              <w:bottom w:val="single" w:sz="4" w:space="0" w:color="auto"/>
              <w:right w:val="single" w:sz="4" w:space="0" w:color="auto"/>
            </w:tcBorders>
            <w:shd w:val="clear" w:color="auto" w:fill="4472C4"/>
            <w:vAlign w:val="center"/>
            <w:hideMark/>
          </w:tcPr>
          <w:p w14:paraId="0D883E74" w14:textId="77777777" w:rsidR="00482169" w:rsidRPr="000E652F" w:rsidRDefault="00482169" w:rsidP="00880DE6">
            <w:pPr>
              <w:jc w:val="cente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Units Expiring Before 2025</w:t>
            </w:r>
          </w:p>
        </w:tc>
        <w:tc>
          <w:tcPr>
            <w:tcW w:w="1786" w:type="dxa"/>
            <w:tcBorders>
              <w:top w:val="nil"/>
              <w:left w:val="nil"/>
              <w:bottom w:val="single" w:sz="4" w:space="0" w:color="auto"/>
              <w:right w:val="single" w:sz="4" w:space="0" w:color="auto"/>
            </w:tcBorders>
            <w:shd w:val="clear" w:color="auto" w:fill="4472C4"/>
            <w:vAlign w:val="center"/>
            <w:hideMark/>
          </w:tcPr>
          <w:p w14:paraId="3ED09745" w14:textId="77777777" w:rsidR="00482169" w:rsidRPr="000E652F" w:rsidRDefault="00482169" w:rsidP="00880DE6">
            <w:pPr>
              <w:jc w:val="cente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Units Expiring Between 2026-2030</w:t>
            </w:r>
          </w:p>
        </w:tc>
        <w:tc>
          <w:tcPr>
            <w:tcW w:w="2008" w:type="dxa"/>
            <w:tcBorders>
              <w:top w:val="nil"/>
              <w:left w:val="nil"/>
              <w:bottom w:val="single" w:sz="4" w:space="0" w:color="auto"/>
              <w:right w:val="single" w:sz="4" w:space="0" w:color="auto"/>
            </w:tcBorders>
            <w:shd w:val="clear" w:color="auto" w:fill="4472C4"/>
            <w:vAlign w:val="center"/>
            <w:hideMark/>
          </w:tcPr>
          <w:p w14:paraId="63481592" w14:textId="77777777" w:rsidR="00482169" w:rsidRPr="000E652F" w:rsidRDefault="00482169" w:rsidP="00880DE6">
            <w:pPr>
              <w:jc w:val="cente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Units Expiring Before 2025</w:t>
            </w:r>
          </w:p>
        </w:tc>
        <w:tc>
          <w:tcPr>
            <w:tcW w:w="2163" w:type="dxa"/>
            <w:tcBorders>
              <w:top w:val="nil"/>
              <w:left w:val="nil"/>
              <w:bottom w:val="single" w:sz="4" w:space="0" w:color="auto"/>
              <w:right w:val="single" w:sz="4" w:space="0" w:color="auto"/>
            </w:tcBorders>
            <w:shd w:val="clear" w:color="auto" w:fill="4472C4"/>
            <w:vAlign w:val="center"/>
            <w:hideMark/>
          </w:tcPr>
          <w:p w14:paraId="5F706445" w14:textId="77777777" w:rsidR="00482169" w:rsidRPr="000E652F" w:rsidRDefault="00482169" w:rsidP="00880DE6">
            <w:pPr>
              <w:jc w:val="center"/>
              <w:rPr>
                <w:rFonts w:ascii="Calibri" w:hAnsi="Calibri" w:cs="Calibri"/>
                <w:b/>
                <w:bCs/>
                <w:color w:val="FFFFFF" w:themeColor="background1"/>
                <w:sz w:val="22"/>
                <w:szCs w:val="22"/>
              </w:rPr>
            </w:pPr>
            <w:r w:rsidRPr="000E652F">
              <w:rPr>
                <w:rFonts w:ascii="Calibri" w:hAnsi="Calibri" w:cs="Calibri"/>
                <w:b/>
                <w:bCs/>
                <w:color w:val="FFFFFF" w:themeColor="background1"/>
                <w:sz w:val="22"/>
                <w:szCs w:val="22"/>
              </w:rPr>
              <w:t>Units Expiring Between 2026-2030</w:t>
            </w:r>
          </w:p>
        </w:tc>
      </w:tr>
      <w:tr w:rsidR="00482169" w:rsidRPr="000E652F" w14:paraId="317EA4C5"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98F214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Alamance</w:t>
            </w:r>
          </w:p>
        </w:tc>
        <w:tc>
          <w:tcPr>
            <w:tcW w:w="1730" w:type="dxa"/>
            <w:tcBorders>
              <w:top w:val="nil"/>
              <w:left w:val="nil"/>
              <w:bottom w:val="single" w:sz="4" w:space="0" w:color="auto"/>
              <w:right w:val="single" w:sz="4" w:space="0" w:color="auto"/>
            </w:tcBorders>
            <w:shd w:val="clear" w:color="auto" w:fill="auto"/>
            <w:noWrap/>
            <w:vAlign w:val="bottom"/>
            <w:hideMark/>
          </w:tcPr>
          <w:p w14:paraId="32FCE5C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212</w:t>
            </w:r>
          </w:p>
        </w:tc>
        <w:tc>
          <w:tcPr>
            <w:tcW w:w="1786" w:type="dxa"/>
            <w:tcBorders>
              <w:top w:val="nil"/>
              <w:left w:val="nil"/>
              <w:bottom w:val="single" w:sz="4" w:space="0" w:color="auto"/>
              <w:right w:val="single" w:sz="4" w:space="0" w:color="auto"/>
            </w:tcBorders>
            <w:shd w:val="clear" w:color="auto" w:fill="auto"/>
            <w:noWrap/>
            <w:vAlign w:val="bottom"/>
            <w:hideMark/>
          </w:tcPr>
          <w:p w14:paraId="2B07F19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494</w:t>
            </w:r>
          </w:p>
        </w:tc>
        <w:tc>
          <w:tcPr>
            <w:tcW w:w="2008" w:type="dxa"/>
            <w:tcBorders>
              <w:top w:val="nil"/>
              <w:left w:val="nil"/>
              <w:bottom w:val="single" w:sz="4" w:space="0" w:color="auto"/>
              <w:right w:val="single" w:sz="4" w:space="0" w:color="auto"/>
            </w:tcBorders>
            <w:shd w:val="clear" w:color="auto" w:fill="auto"/>
            <w:noWrap/>
            <w:vAlign w:val="bottom"/>
            <w:hideMark/>
          </w:tcPr>
          <w:p w14:paraId="6ACBEFB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50</w:t>
            </w:r>
          </w:p>
        </w:tc>
        <w:tc>
          <w:tcPr>
            <w:tcW w:w="2163" w:type="dxa"/>
            <w:tcBorders>
              <w:top w:val="nil"/>
              <w:left w:val="nil"/>
              <w:bottom w:val="single" w:sz="4" w:space="0" w:color="auto"/>
              <w:right w:val="single" w:sz="4" w:space="0" w:color="auto"/>
            </w:tcBorders>
            <w:shd w:val="clear" w:color="auto" w:fill="auto"/>
            <w:noWrap/>
            <w:vAlign w:val="bottom"/>
            <w:hideMark/>
          </w:tcPr>
          <w:p w14:paraId="2CB832B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BC60C85"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283F0E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Alexander</w:t>
            </w:r>
          </w:p>
        </w:tc>
        <w:tc>
          <w:tcPr>
            <w:tcW w:w="1730" w:type="dxa"/>
            <w:tcBorders>
              <w:top w:val="nil"/>
              <w:left w:val="nil"/>
              <w:bottom w:val="single" w:sz="4" w:space="0" w:color="auto"/>
              <w:right w:val="single" w:sz="4" w:space="0" w:color="auto"/>
            </w:tcBorders>
            <w:shd w:val="clear" w:color="auto" w:fill="auto"/>
            <w:noWrap/>
            <w:vAlign w:val="bottom"/>
            <w:hideMark/>
          </w:tcPr>
          <w:p w14:paraId="7ABED2B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w:t>
            </w:r>
          </w:p>
        </w:tc>
        <w:tc>
          <w:tcPr>
            <w:tcW w:w="1786" w:type="dxa"/>
            <w:tcBorders>
              <w:top w:val="nil"/>
              <w:left w:val="nil"/>
              <w:bottom w:val="single" w:sz="4" w:space="0" w:color="auto"/>
              <w:right w:val="single" w:sz="4" w:space="0" w:color="auto"/>
            </w:tcBorders>
            <w:shd w:val="clear" w:color="auto" w:fill="auto"/>
            <w:noWrap/>
            <w:vAlign w:val="bottom"/>
            <w:hideMark/>
          </w:tcPr>
          <w:p w14:paraId="05A6CB2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c>
          <w:tcPr>
            <w:tcW w:w="2008" w:type="dxa"/>
            <w:tcBorders>
              <w:top w:val="nil"/>
              <w:left w:val="nil"/>
              <w:bottom w:val="single" w:sz="4" w:space="0" w:color="auto"/>
              <w:right w:val="single" w:sz="4" w:space="0" w:color="auto"/>
            </w:tcBorders>
            <w:shd w:val="clear" w:color="auto" w:fill="auto"/>
            <w:noWrap/>
            <w:vAlign w:val="bottom"/>
            <w:hideMark/>
          </w:tcPr>
          <w:p w14:paraId="6ACBE5F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B411B6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4DEFD2A"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7DB480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Alleghany</w:t>
            </w:r>
          </w:p>
        </w:tc>
        <w:tc>
          <w:tcPr>
            <w:tcW w:w="1730" w:type="dxa"/>
            <w:tcBorders>
              <w:top w:val="nil"/>
              <w:left w:val="nil"/>
              <w:bottom w:val="single" w:sz="4" w:space="0" w:color="auto"/>
              <w:right w:val="single" w:sz="4" w:space="0" w:color="auto"/>
            </w:tcBorders>
            <w:shd w:val="clear" w:color="auto" w:fill="auto"/>
            <w:noWrap/>
            <w:vAlign w:val="bottom"/>
            <w:hideMark/>
          </w:tcPr>
          <w:p w14:paraId="3267C66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c>
          <w:tcPr>
            <w:tcW w:w="1786" w:type="dxa"/>
            <w:tcBorders>
              <w:top w:val="nil"/>
              <w:left w:val="nil"/>
              <w:bottom w:val="single" w:sz="4" w:space="0" w:color="auto"/>
              <w:right w:val="single" w:sz="4" w:space="0" w:color="auto"/>
            </w:tcBorders>
            <w:shd w:val="clear" w:color="auto" w:fill="auto"/>
            <w:noWrap/>
            <w:vAlign w:val="bottom"/>
            <w:hideMark/>
          </w:tcPr>
          <w:p w14:paraId="523359B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32</w:t>
            </w:r>
          </w:p>
        </w:tc>
        <w:tc>
          <w:tcPr>
            <w:tcW w:w="2008" w:type="dxa"/>
            <w:tcBorders>
              <w:top w:val="nil"/>
              <w:left w:val="nil"/>
              <w:bottom w:val="single" w:sz="4" w:space="0" w:color="auto"/>
              <w:right w:val="single" w:sz="4" w:space="0" w:color="auto"/>
            </w:tcBorders>
            <w:shd w:val="clear" w:color="auto" w:fill="auto"/>
            <w:noWrap/>
            <w:vAlign w:val="bottom"/>
            <w:hideMark/>
          </w:tcPr>
          <w:p w14:paraId="1705F52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A9AEF6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117F50A"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9A2F75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Anson</w:t>
            </w:r>
          </w:p>
        </w:tc>
        <w:tc>
          <w:tcPr>
            <w:tcW w:w="1730" w:type="dxa"/>
            <w:tcBorders>
              <w:top w:val="nil"/>
              <w:left w:val="nil"/>
              <w:bottom w:val="single" w:sz="4" w:space="0" w:color="auto"/>
              <w:right w:val="single" w:sz="4" w:space="0" w:color="auto"/>
            </w:tcBorders>
            <w:shd w:val="clear" w:color="auto" w:fill="auto"/>
            <w:noWrap/>
            <w:vAlign w:val="bottom"/>
            <w:hideMark/>
          </w:tcPr>
          <w:p w14:paraId="7BF6CE1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w:t>
            </w:r>
          </w:p>
        </w:tc>
        <w:tc>
          <w:tcPr>
            <w:tcW w:w="1786" w:type="dxa"/>
            <w:tcBorders>
              <w:top w:val="nil"/>
              <w:left w:val="nil"/>
              <w:bottom w:val="single" w:sz="4" w:space="0" w:color="auto"/>
              <w:right w:val="single" w:sz="4" w:space="0" w:color="auto"/>
            </w:tcBorders>
            <w:shd w:val="clear" w:color="auto" w:fill="auto"/>
            <w:noWrap/>
            <w:vAlign w:val="bottom"/>
            <w:hideMark/>
          </w:tcPr>
          <w:p w14:paraId="464C54E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79618C4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E4ED39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FB9969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F20486A"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Ashe</w:t>
            </w:r>
          </w:p>
        </w:tc>
        <w:tc>
          <w:tcPr>
            <w:tcW w:w="1730" w:type="dxa"/>
            <w:tcBorders>
              <w:top w:val="nil"/>
              <w:left w:val="nil"/>
              <w:bottom w:val="single" w:sz="4" w:space="0" w:color="auto"/>
              <w:right w:val="single" w:sz="4" w:space="0" w:color="auto"/>
            </w:tcBorders>
            <w:shd w:val="clear" w:color="auto" w:fill="auto"/>
            <w:noWrap/>
            <w:vAlign w:val="bottom"/>
            <w:hideMark/>
          </w:tcPr>
          <w:p w14:paraId="0486E4C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67</w:t>
            </w:r>
          </w:p>
        </w:tc>
        <w:tc>
          <w:tcPr>
            <w:tcW w:w="1786" w:type="dxa"/>
            <w:tcBorders>
              <w:top w:val="nil"/>
              <w:left w:val="nil"/>
              <w:bottom w:val="single" w:sz="4" w:space="0" w:color="auto"/>
              <w:right w:val="single" w:sz="4" w:space="0" w:color="auto"/>
            </w:tcBorders>
            <w:shd w:val="clear" w:color="auto" w:fill="auto"/>
            <w:noWrap/>
            <w:vAlign w:val="bottom"/>
            <w:hideMark/>
          </w:tcPr>
          <w:p w14:paraId="46043B3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30</w:t>
            </w:r>
          </w:p>
        </w:tc>
        <w:tc>
          <w:tcPr>
            <w:tcW w:w="2008" w:type="dxa"/>
            <w:tcBorders>
              <w:top w:val="nil"/>
              <w:left w:val="nil"/>
              <w:bottom w:val="single" w:sz="4" w:space="0" w:color="auto"/>
              <w:right w:val="single" w:sz="4" w:space="0" w:color="auto"/>
            </w:tcBorders>
            <w:shd w:val="clear" w:color="auto" w:fill="auto"/>
            <w:noWrap/>
            <w:vAlign w:val="bottom"/>
            <w:hideMark/>
          </w:tcPr>
          <w:p w14:paraId="2B61071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45A1A8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1C38460"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DD248D7"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Avery</w:t>
            </w:r>
          </w:p>
        </w:tc>
        <w:tc>
          <w:tcPr>
            <w:tcW w:w="1730" w:type="dxa"/>
            <w:tcBorders>
              <w:top w:val="nil"/>
              <w:left w:val="nil"/>
              <w:bottom w:val="single" w:sz="4" w:space="0" w:color="auto"/>
              <w:right w:val="single" w:sz="4" w:space="0" w:color="auto"/>
            </w:tcBorders>
            <w:shd w:val="clear" w:color="auto" w:fill="auto"/>
            <w:noWrap/>
            <w:vAlign w:val="bottom"/>
            <w:hideMark/>
          </w:tcPr>
          <w:p w14:paraId="274125D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w:t>
            </w:r>
          </w:p>
        </w:tc>
        <w:tc>
          <w:tcPr>
            <w:tcW w:w="1786" w:type="dxa"/>
            <w:tcBorders>
              <w:top w:val="nil"/>
              <w:left w:val="nil"/>
              <w:bottom w:val="single" w:sz="4" w:space="0" w:color="auto"/>
              <w:right w:val="single" w:sz="4" w:space="0" w:color="auto"/>
            </w:tcBorders>
            <w:shd w:val="clear" w:color="auto" w:fill="auto"/>
            <w:noWrap/>
            <w:vAlign w:val="bottom"/>
            <w:hideMark/>
          </w:tcPr>
          <w:p w14:paraId="09566D4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53A9DB2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364A76F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3C53977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4BA471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lastRenderedPageBreak/>
              <w:t>Beaufort</w:t>
            </w:r>
          </w:p>
        </w:tc>
        <w:tc>
          <w:tcPr>
            <w:tcW w:w="1730" w:type="dxa"/>
            <w:tcBorders>
              <w:top w:val="nil"/>
              <w:left w:val="nil"/>
              <w:bottom w:val="single" w:sz="4" w:space="0" w:color="auto"/>
              <w:right w:val="single" w:sz="4" w:space="0" w:color="auto"/>
            </w:tcBorders>
            <w:shd w:val="clear" w:color="auto" w:fill="auto"/>
            <w:noWrap/>
            <w:vAlign w:val="bottom"/>
            <w:hideMark/>
          </w:tcPr>
          <w:p w14:paraId="1947277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170</w:t>
            </w:r>
          </w:p>
        </w:tc>
        <w:tc>
          <w:tcPr>
            <w:tcW w:w="1786" w:type="dxa"/>
            <w:tcBorders>
              <w:top w:val="nil"/>
              <w:left w:val="nil"/>
              <w:bottom w:val="single" w:sz="4" w:space="0" w:color="auto"/>
              <w:right w:val="single" w:sz="4" w:space="0" w:color="auto"/>
            </w:tcBorders>
            <w:shd w:val="clear" w:color="auto" w:fill="auto"/>
            <w:noWrap/>
            <w:vAlign w:val="bottom"/>
            <w:hideMark/>
          </w:tcPr>
          <w:p w14:paraId="59C294D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52</w:t>
            </w:r>
          </w:p>
        </w:tc>
        <w:tc>
          <w:tcPr>
            <w:tcW w:w="2008" w:type="dxa"/>
            <w:tcBorders>
              <w:top w:val="nil"/>
              <w:left w:val="nil"/>
              <w:bottom w:val="single" w:sz="4" w:space="0" w:color="auto"/>
              <w:right w:val="single" w:sz="4" w:space="0" w:color="auto"/>
            </w:tcBorders>
            <w:shd w:val="clear" w:color="auto" w:fill="auto"/>
            <w:noWrap/>
            <w:vAlign w:val="bottom"/>
            <w:hideMark/>
          </w:tcPr>
          <w:p w14:paraId="18D5D3C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54</w:t>
            </w:r>
          </w:p>
        </w:tc>
        <w:tc>
          <w:tcPr>
            <w:tcW w:w="2163" w:type="dxa"/>
            <w:tcBorders>
              <w:top w:val="nil"/>
              <w:left w:val="nil"/>
              <w:bottom w:val="single" w:sz="4" w:space="0" w:color="auto"/>
              <w:right w:val="single" w:sz="4" w:space="0" w:color="auto"/>
            </w:tcBorders>
            <w:shd w:val="clear" w:color="auto" w:fill="auto"/>
            <w:noWrap/>
            <w:vAlign w:val="bottom"/>
            <w:hideMark/>
          </w:tcPr>
          <w:p w14:paraId="5E2B406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0490CF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DE5E84C"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Bertie</w:t>
            </w:r>
          </w:p>
        </w:tc>
        <w:tc>
          <w:tcPr>
            <w:tcW w:w="1730" w:type="dxa"/>
            <w:tcBorders>
              <w:top w:val="nil"/>
              <w:left w:val="nil"/>
              <w:bottom w:val="single" w:sz="4" w:space="0" w:color="auto"/>
              <w:right w:val="single" w:sz="4" w:space="0" w:color="auto"/>
            </w:tcBorders>
            <w:shd w:val="clear" w:color="auto" w:fill="auto"/>
            <w:noWrap/>
            <w:vAlign w:val="bottom"/>
            <w:hideMark/>
          </w:tcPr>
          <w:p w14:paraId="280D9D6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107</w:t>
            </w:r>
          </w:p>
        </w:tc>
        <w:tc>
          <w:tcPr>
            <w:tcW w:w="1786" w:type="dxa"/>
            <w:tcBorders>
              <w:top w:val="nil"/>
              <w:left w:val="nil"/>
              <w:bottom w:val="single" w:sz="4" w:space="0" w:color="auto"/>
              <w:right w:val="single" w:sz="4" w:space="0" w:color="auto"/>
            </w:tcBorders>
            <w:shd w:val="clear" w:color="auto" w:fill="auto"/>
            <w:noWrap/>
            <w:vAlign w:val="bottom"/>
            <w:hideMark/>
          </w:tcPr>
          <w:p w14:paraId="2D5D352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6BCC780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163" w:type="dxa"/>
            <w:tcBorders>
              <w:top w:val="nil"/>
              <w:left w:val="nil"/>
              <w:bottom w:val="single" w:sz="4" w:space="0" w:color="auto"/>
              <w:right w:val="single" w:sz="4" w:space="0" w:color="auto"/>
            </w:tcBorders>
            <w:shd w:val="clear" w:color="auto" w:fill="auto"/>
            <w:noWrap/>
            <w:vAlign w:val="bottom"/>
            <w:hideMark/>
          </w:tcPr>
          <w:p w14:paraId="1E2659A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3042FE9A"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D824DC5"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Bladen</w:t>
            </w:r>
          </w:p>
        </w:tc>
        <w:tc>
          <w:tcPr>
            <w:tcW w:w="1730" w:type="dxa"/>
            <w:tcBorders>
              <w:top w:val="nil"/>
              <w:left w:val="nil"/>
              <w:bottom w:val="single" w:sz="4" w:space="0" w:color="auto"/>
              <w:right w:val="single" w:sz="4" w:space="0" w:color="auto"/>
            </w:tcBorders>
            <w:shd w:val="clear" w:color="auto" w:fill="auto"/>
            <w:noWrap/>
            <w:vAlign w:val="bottom"/>
            <w:hideMark/>
          </w:tcPr>
          <w:p w14:paraId="1AEE5EB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192</w:t>
            </w:r>
          </w:p>
        </w:tc>
        <w:tc>
          <w:tcPr>
            <w:tcW w:w="1786" w:type="dxa"/>
            <w:tcBorders>
              <w:top w:val="nil"/>
              <w:left w:val="nil"/>
              <w:bottom w:val="single" w:sz="4" w:space="0" w:color="auto"/>
              <w:right w:val="single" w:sz="4" w:space="0" w:color="auto"/>
            </w:tcBorders>
            <w:shd w:val="clear" w:color="auto" w:fill="auto"/>
            <w:noWrap/>
            <w:vAlign w:val="bottom"/>
            <w:hideMark/>
          </w:tcPr>
          <w:p w14:paraId="45B3D49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56</w:t>
            </w:r>
          </w:p>
        </w:tc>
        <w:tc>
          <w:tcPr>
            <w:tcW w:w="2008" w:type="dxa"/>
            <w:tcBorders>
              <w:top w:val="nil"/>
              <w:left w:val="nil"/>
              <w:bottom w:val="single" w:sz="4" w:space="0" w:color="auto"/>
              <w:right w:val="single" w:sz="4" w:space="0" w:color="auto"/>
            </w:tcBorders>
            <w:shd w:val="clear" w:color="auto" w:fill="auto"/>
            <w:noWrap/>
            <w:vAlign w:val="bottom"/>
            <w:hideMark/>
          </w:tcPr>
          <w:p w14:paraId="1EEF7D5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64A886A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8E97A0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52E216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Brunswick</w:t>
            </w:r>
          </w:p>
        </w:tc>
        <w:tc>
          <w:tcPr>
            <w:tcW w:w="1730" w:type="dxa"/>
            <w:tcBorders>
              <w:top w:val="nil"/>
              <w:left w:val="nil"/>
              <w:bottom w:val="single" w:sz="4" w:space="0" w:color="auto"/>
              <w:right w:val="single" w:sz="4" w:space="0" w:color="auto"/>
            </w:tcBorders>
            <w:shd w:val="clear" w:color="auto" w:fill="auto"/>
            <w:noWrap/>
            <w:vAlign w:val="bottom"/>
            <w:hideMark/>
          </w:tcPr>
          <w:p w14:paraId="25C5376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31</w:t>
            </w:r>
          </w:p>
        </w:tc>
        <w:tc>
          <w:tcPr>
            <w:tcW w:w="1786" w:type="dxa"/>
            <w:tcBorders>
              <w:top w:val="nil"/>
              <w:left w:val="nil"/>
              <w:bottom w:val="single" w:sz="4" w:space="0" w:color="auto"/>
              <w:right w:val="single" w:sz="4" w:space="0" w:color="auto"/>
            </w:tcBorders>
            <w:shd w:val="clear" w:color="auto" w:fill="auto"/>
            <w:noWrap/>
            <w:vAlign w:val="bottom"/>
            <w:hideMark/>
          </w:tcPr>
          <w:p w14:paraId="19EA437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80</w:t>
            </w:r>
          </w:p>
        </w:tc>
        <w:tc>
          <w:tcPr>
            <w:tcW w:w="2008" w:type="dxa"/>
            <w:tcBorders>
              <w:top w:val="nil"/>
              <w:left w:val="nil"/>
              <w:bottom w:val="single" w:sz="4" w:space="0" w:color="auto"/>
              <w:right w:val="single" w:sz="4" w:space="0" w:color="auto"/>
            </w:tcBorders>
            <w:shd w:val="clear" w:color="auto" w:fill="auto"/>
            <w:noWrap/>
            <w:vAlign w:val="bottom"/>
            <w:hideMark/>
          </w:tcPr>
          <w:p w14:paraId="4B2B84D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F94576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17997AC"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FFA810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Buncombe</w:t>
            </w:r>
          </w:p>
        </w:tc>
        <w:tc>
          <w:tcPr>
            <w:tcW w:w="1730" w:type="dxa"/>
            <w:tcBorders>
              <w:top w:val="nil"/>
              <w:left w:val="nil"/>
              <w:bottom w:val="single" w:sz="4" w:space="0" w:color="auto"/>
              <w:right w:val="single" w:sz="4" w:space="0" w:color="auto"/>
            </w:tcBorders>
            <w:shd w:val="clear" w:color="auto" w:fill="auto"/>
            <w:noWrap/>
            <w:vAlign w:val="bottom"/>
            <w:hideMark/>
          </w:tcPr>
          <w:p w14:paraId="1834F5B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860</w:t>
            </w:r>
          </w:p>
        </w:tc>
        <w:tc>
          <w:tcPr>
            <w:tcW w:w="1786" w:type="dxa"/>
            <w:tcBorders>
              <w:top w:val="nil"/>
              <w:left w:val="nil"/>
              <w:bottom w:val="single" w:sz="4" w:space="0" w:color="auto"/>
              <w:right w:val="single" w:sz="4" w:space="0" w:color="auto"/>
            </w:tcBorders>
            <w:shd w:val="clear" w:color="auto" w:fill="auto"/>
            <w:noWrap/>
            <w:vAlign w:val="bottom"/>
            <w:hideMark/>
          </w:tcPr>
          <w:p w14:paraId="42C4015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975</w:t>
            </w:r>
          </w:p>
        </w:tc>
        <w:tc>
          <w:tcPr>
            <w:tcW w:w="2008" w:type="dxa"/>
            <w:tcBorders>
              <w:top w:val="nil"/>
              <w:left w:val="nil"/>
              <w:bottom w:val="single" w:sz="4" w:space="0" w:color="auto"/>
              <w:right w:val="single" w:sz="4" w:space="0" w:color="auto"/>
            </w:tcBorders>
            <w:shd w:val="clear" w:color="auto" w:fill="auto"/>
            <w:noWrap/>
            <w:vAlign w:val="bottom"/>
            <w:hideMark/>
          </w:tcPr>
          <w:p w14:paraId="7475455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255</w:t>
            </w:r>
          </w:p>
        </w:tc>
        <w:tc>
          <w:tcPr>
            <w:tcW w:w="2163" w:type="dxa"/>
            <w:tcBorders>
              <w:top w:val="nil"/>
              <w:left w:val="nil"/>
              <w:bottom w:val="single" w:sz="4" w:space="0" w:color="auto"/>
              <w:right w:val="single" w:sz="4" w:space="0" w:color="auto"/>
            </w:tcBorders>
            <w:shd w:val="clear" w:color="auto" w:fill="auto"/>
            <w:noWrap/>
            <w:vAlign w:val="bottom"/>
            <w:hideMark/>
          </w:tcPr>
          <w:p w14:paraId="51F224C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499</w:t>
            </w:r>
          </w:p>
        </w:tc>
      </w:tr>
      <w:tr w:rsidR="00482169" w:rsidRPr="000E652F" w14:paraId="56B7184F"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0BC6FDC"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Burke</w:t>
            </w:r>
          </w:p>
        </w:tc>
        <w:tc>
          <w:tcPr>
            <w:tcW w:w="1730" w:type="dxa"/>
            <w:tcBorders>
              <w:top w:val="nil"/>
              <w:left w:val="nil"/>
              <w:bottom w:val="single" w:sz="4" w:space="0" w:color="auto"/>
              <w:right w:val="single" w:sz="4" w:space="0" w:color="auto"/>
            </w:tcBorders>
            <w:shd w:val="clear" w:color="auto" w:fill="auto"/>
            <w:noWrap/>
            <w:vAlign w:val="bottom"/>
            <w:hideMark/>
          </w:tcPr>
          <w:p w14:paraId="181C249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195</w:t>
            </w:r>
          </w:p>
        </w:tc>
        <w:tc>
          <w:tcPr>
            <w:tcW w:w="1786" w:type="dxa"/>
            <w:tcBorders>
              <w:top w:val="nil"/>
              <w:left w:val="nil"/>
              <w:bottom w:val="single" w:sz="4" w:space="0" w:color="auto"/>
              <w:right w:val="single" w:sz="4" w:space="0" w:color="auto"/>
            </w:tcBorders>
            <w:shd w:val="clear" w:color="auto" w:fill="auto"/>
            <w:noWrap/>
            <w:vAlign w:val="bottom"/>
            <w:hideMark/>
          </w:tcPr>
          <w:p w14:paraId="0AB55EC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120</w:t>
            </w:r>
          </w:p>
        </w:tc>
        <w:tc>
          <w:tcPr>
            <w:tcW w:w="2008" w:type="dxa"/>
            <w:tcBorders>
              <w:top w:val="nil"/>
              <w:left w:val="nil"/>
              <w:bottom w:val="single" w:sz="4" w:space="0" w:color="auto"/>
              <w:right w:val="single" w:sz="4" w:space="0" w:color="auto"/>
            </w:tcBorders>
            <w:shd w:val="clear" w:color="auto" w:fill="auto"/>
            <w:noWrap/>
            <w:vAlign w:val="bottom"/>
            <w:hideMark/>
          </w:tcPr>
          <w:p w14:paraId="6B018D3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38</w:t>
            </w:r>
          </w:p>
        </w:tc>
        <w:tc>
          <w:tcPr>
            <w:tcW w:w="2163" w:type="dxa"/>
            <w:tcBorders>
              <w:top w:val="nil"/>
              <w:left w:val="nil"/>
              <w:bottom w:val="single" w:sz="4" w:space="0" w:color="auto"/>
              <w:right w:val="single" w:sz="4" w:space="0" w:color="auto"/>
            </w:tcBorders>
            <w:shd w:val="clear" w:color="auto" w:fill="auto"/>
            <w:noWrap/>
            <w:vAlign w:val="bottom"/>
            <w:hideMark/>
          </w:tcPr>
          <w:p w14:paraId="3592AB0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r>
      <w:tr w:rsidR="00482169" w:rsidRPr="000E652F" w14:paraId="579E461D"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92C6B76"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Cabarrus</w:t>
            </w:r>
          </w:p>
        </w:tc>
        <w:tc>
          <w:tcPr>
            <w:tcW w:w="1730" w:type="dxa"/>
            <w:tcBorders>
              <w:top w:val="nil"/>
              <w:left w:val="nil"/>
              <w:bottom w:val="single" w:sz="4" w:space="0" w:color="auto"/>
              <w:right w:val="single" w:sz="4" w:space="0" w:color="auto"/>
            </w:tcBorders>
            <w:shd w:val="clear" w:color="auto" w:fill="auto"/>
            <w:noWrap/>
            <w:vAlign w:val="bottom"/>
            <w:hideMark/>
          </w:tcPr>
          <w:p w14:paraId="482362C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c>
          <w:tcPr>
            <w:tcW w:w="1786" w:type="dxa"/>
            <w:tcBorders>
              <w:top w:val="nil"/>
              <w:left w:val="nil"/>
              <w:bottom w:val="single" w:sz="4" w:space="0" w:color="auto"/>
              <w:right w:val="single" w:sz="4" w:space="0" w:color="auto"/>
            </w:tcBorders>
            <w:shd w:val="clear" w:color="auto" w:fill="auto"/>
            <w:noWrap/>
            <w:vAlign w:val="bottom"/>
            <w:hideMark/>
          </w:tcPr>
          <w:p w14:paraId="1090A4F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620</w:t>
            </w:r>
          </w:p>
        </w:tc>
        <w:tc>
          <w:tcPr>
            <w:tcW w:w="2008" w:type="dxa"/>
            <w:tcBorders>
              <w:top w:val="nil"/>
              <w:left w:val="nil"/>
              <w:bottom w:val="single" w:sz="4" w:space="0" w:color="auto"/>
              <w:right w:val="single" w:sz="4" w:space="0" w:color="auto"/>
            </w:tcBorders>
            <w:shd w:val="clear" w:color="auto" w:fill="auto"/>
            <w:noWrap/>
            <w:vAlign w:val="bottom"/>
            <w:hideMark/>
          </w:tcPr>
          <w:p w14:paraId="18154E3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465FCC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D2100DF"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DF4A3B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Caldwell</w:t>
            </w:r>
          </w:p>
        </w:tc>
        <w:tc>
          <w:tcPr>
            <w:tcW w:w="1730" w:type="dxa"/>
            <w:tcBorders>
              <w:top w:val="nil"/>
              <w:left w:val="nil"/>
              <w:bottom w:val="single" w:sz="4" w:space="0" w:color="auto"/>
              <w:right w:val="single" w:sz="4" w:space="0" w:color="auto"/>
            </w:tcBorders>
            <w:shd w:val="clear" w:color="auto" w:fill="auto"/>
            <w:noWrap/>
            <w:vAlign w:val="bottom"/>
            <w:hideMark/>
          </w:tcPr>
          <w:p w14:paraId="5D3AAEB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224</w:t>
            </w:r>
          </w:p>
        </w:tc>
        <w:tc>
          <w:tcPr>
            <w:tcW w:w="1786" w:type="dxa"/>
            <w:tcBorders>
              <w:top w:val="nil"/>
              <w:left w:val="nil"/>
              <w:bottom w:val="single" w:sz="4" w:space="0" w:color="auto"/>
              <w:right w:val="single" w:sz="4" w:space="0" w:color="auto"/>
            </w:tcBorders>
            <w:shd w:val="clear" w:color="auto" w:fill="auto"/>
            <w:noWrap/>
            <w:vAlign w:val="bottom"/>
            <w:hideMark/>
          </w:tcPr>
          <w:p w14:paraId="2F4DF56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162</w:t>
            </w:r>
          </w:p>
        </w:tc>
        <w:tc>
          <w:tcPr>
            <w:tcW w:w="2008" w:type="dxa"/>
            <w:tcBorders>
              <w:top w:val="nil"/>
              <w:left w:val="nil"/>
              <w:bottom w:val="single" w:sz="4" w:space="0" w:color="auto"/>
              <w:right w:val="single" w:sz="4" w:space="0" w:color="auto"/>
            </w:tcBorders>
            <w:shd w:val="clear" w:color="auto" w:fill="auto"/>
            <w:noWrap/>
            <w:vAlign w:val="bottom"/>
            <w:hideMark/>
          </w:tcPr>
          <w:p w14:paraId="5CCC567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42</w:t>
            </w:r>
          </w:p>
        </w:tc>
        <w:tc>
          <w:tcPr>
            <w:tcW w:w="2163" w:type="dxa"/>
            <w:tcBorders>
              <w:top w:val="nil"/>
              <w:left w:val="nil"/>
              <w:bottom w:val="single" w:sz="4" w:space="0" w:color="auto"/>
              <w:right w:val="single" w:sz="4" w:space="0" w:color="auto"/>
            </w:tcBorders>
            <w:shd w:val="clear" w:color="auto" w:fill="auto"/>
            <w:noWrap/>
            <w:vAlign w:val="bottom"/>
            <w:hideMark/>
          </w:tcPr>
          <w:p w14:paraId="261E229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1E6505A"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62B4FF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Camden</w:t>
            </w:r>
          </w:p>
        </w:tc>
        <w:tc>
          <w:tcPr>
            <w:tcW w:w="1730" w:type="dxa"/>
            <w:tcBorders>
              <w:top w:val="nil"/>
              <w:left w:val="nil"/>
              <w:bottom w:val="single" w:sz="4" w:space="0" w:color="auto"/>
              <w:right w:val="single" w:sz="4" w:space="0" w:color="auto"/>
            </w:tcBorders>
            <w:shd w:val="clear" w:color="auto" w:fill="auto"/>
            <w:noWrap/>
            <w:vAlign w:val="bottom"/>
            <w:hideMark/>
          </w:tcPr>
          <w:p w14:paraId="66A69DC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1786" w:type="dxa"/>
            <w:tcBorders>
              <w:top w:val="nil"/>
              <w:left w:val="nil"/>
              <w:bottom w:val="single" w:sz="4" w:space="0" w:color="auto"/>
              <w:right w:val="single" w:sz="4" w:space="0" w:color="auto"/>
            </w:tcBorders>
            <w:shd w:val="clear" w:color="auto" w:fill="auto"/>
            <w:noWrap/>
            <w:vAlign w:val="bottom"/>
            <w:hideMark/>
          </w:tcPr>
          <w:p w14:paraId="2100A5B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50</w:t>
            </w:r>
          </w:p>
        </w:tc>
        <w:tc>
          <w:tcPr>
            <w:tcW w:w="2008" w:type="dxa"/>
            <w:tcBorders>
              <w:top w:val="nil"/>
              <w:left w:val="nil"/>
              <w:bottom w:val="single" w:sz="4" w:space="0" w:color="auto"/>
              <w:right w:val="single" w:sz="4" w:space="0" w:color="auto"/>
            </w:tcBorders>
            <w:shd w:val="clear" w:color="auto" w:fill="auto"/>
            <w:noWrap/>
            <w:vAlign w:val="bottom"/>
            <w:hideMark/>
          </w:tcPr>
          <w:p w14:paraId="30E2ABC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2E40D7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8DC3B0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BA53B4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Carteret</w:t>
            </w:r>
          </w:p>
        </w:tc>
        <w:tc>
          <w:tcPr>
            <w:tcW w:w="1730" w:type="dxa"/>
            <w:tcBorders>
              <w:top w:val="nil"/>
              <w:left w:val="nil"/>
              <w:bottom w:val="single" w:sz="4" w:space="0" w:color="auto"/>
              <w:right w:val="single" w:sz="4" w:space="0" w:color="auto"/>
            </w:tcBorders>
            <w:shd w:val="clear" w:color="auto" w:fill="auto"/>
            <w:noWrap/>
            <w:vAlign w:val="bottom"/>
            <w:hideMark/>
          </w:tcPr>
          <w:p w14:paraId="0CE0E91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149</w:t>
            </w:r>
          </w:p>
        </w:tc>
        <w:tc>
          <w:tcPr>
            <w:tcW w:w="1786" w:type="dxa"/>
            <w:tcBorders>
              <w:top w:val="nil"/>
              <w:left w:val="nil"/>
              <w:bottom w:val="single" w:sz="4" w:space="0" w:color="auto"/>
              <w:right w:val="single" w:sz="4" w:space="0" w:color="auto"/>
            </w:tcBorders>
            <w:shd w:val="clear" w:color="auto" w:fill="auto"/>
            <w:noWrap/>
            <w:vAlign w:val="bottom"/>
            <w:hideMark/>
          </w:tcPr>
          <w:p w14:paraId="2B59D2F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162</w:t>
            </w:r>
          </w:p>
        </w:tc>
        <w:tc>
          <w:tcPr>
            <w:tcW w:w="2008" w:type="dxa"/>
            <w:tcBorders>
              <w:top w:val="nil"/>
              <w:left w:val="nil"/>
              <w:bottom w:val="single" w:sz="4" w:space="0" w:color="auto"/>
              <w:right w:val="single" w:sz="4" w:space="0" w:color="auto"/>
            </w:tcBorders>
            <w:shd w:val="clear" w:color="auto" w:fill="auto"/>
            <w:noWrap/>
            <w:vAlign w:val="bottom"/>
            <w:hideMark/>
          </w:tcPr>
          <w:p w14:paraId="2FFF4AD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44</w:t>
            </w:r>
          </w:p>
        </w:tc>
        <w:tc>
          <w:tcPr>
            <w:tcW w:w="2163" w:type="dxa"/>
            <w:tcBorders>
              <w:top w:val="nil"/>
              <w:left w:val="nil"/>
              <w:bottom w:val="single" w:sz="4" w:space="0" w:color="auto"/>
              <w:right w:val="single" w:sz="4" w:space="0" w:color="auto"/>
            </w:tcBorders>
            <w:shd w:val="clear" w:color="auto" w:fill="auto"/>
            <w:noWrap/>
            <w:vAlign w:val="bottom"/>
            <w:hideMark/>
          </w:tcPr>
          <w:p w14:paraId="6FE7C0C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r>
      <w:tr w:rsidR="00482169" w:rsidRPr="000E652F" w14:paraId="2992A20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3D0A0F5"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Caswell</w:t>
            </w:r>
          </w:p>
        </w:tc>
        <w:tc>
          <w:tcPr>
            <w:tcW w:w="1730" w:type="dxa"/>
            <w:tcBorders>
              <w:top w:val="nil"/>
              <w:left w:val="nil"/>
              <w:bottom w:val="single" w:sz="4" w:space="0" w:color="auto"/>
              <w:right w:val="single" w:sz="4" w:space="0" w:color="auto"/>
            </w:tcBorders>
            <w:shd w:val="clear" w:color="auto" w:fill="auto"/>
            <w:noWrap/>
            <w:vAlign w:val="bottom"/>
            <w:hideMark/>
          </w:tcPr>
          <w:p w14:paraId="15BB99B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w:t>
            </w:r>
          </w:p>
        </w:tc>
        <w:tc>
          <w:tcPr>
            <w:tcW w:w="1786" w:type="dxa"/>
            <w:tcBorders>
              <w:top w:val="nil"/>
              <w:left w:val="nil"/>
              <w:bottom w:val="single" w:sz="4" w:space="0" w:color="auto"/>
              <w:right w:val="single" w:sz="4" w:space="0" w:color="auto"/>
            </w:tcBorders>
            <w:shd w:val="clear" w:color="auto" w:fill="auto"/>
            <w:noWrap/>
            <w:vAlign w:val="bottom"/>
            <w:hideMark/>
          </w:tcPr>
          <w:p w14:paraId="5903E81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05EC0E4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BEBA12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6C72C4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95E8AE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Catawba</w:t>
            </w:r>
          </w:p>
        </w:tc>
        <w:tc>
          <w:tcPr>
            <w:tcW w:w="1730" w:type="dxa"/>
            <w:tcBorders>
              <w:top w:val="nil"/>
              <w:left w:val="nil"/>
              <w:bottom w:val="single" w:sz="4" w:space="0" w:color="auto"/>
              <w:right w:val="single" w:sz="4" w:space="0" w:color="auto"/>
            </w:tcBorders>
            <w:shd w:val="clear" w:color="auto" w:fill="auto"/>
            <w:noWrap/>
            <w:vAlign w:val="bottom"/>
            <w:hideMark/>
          </w:tcPr>
          <w:p w14:paraId="3B02DD9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329</w:t>
            </w:r>
          </w:p>
        </w:tc>
        <w:tc>
          <w:tcPr>
            <w:tcW w:w="1786" w:type="dxa"/>
            <w:tcBorders>
              <w:top w:val="nil"/>
              <w:left w:val="nil"/>
              <w:bottom w:val="single" w:sz="4" w:space="0" w:color="auto"/>
              <w:right w:val="single" w:sz="4" w:space="0" w:color="auto"/>
            </w:tcBorders>
            <w:shd w:val="clear" w:color="auto" w:fill="auto"/>
            <w:noWrap/>
            <w:vAlign w:val="bottom"/>
            <w:hideMark/>
          </w:tcPr>
          <w:p w14:paraId="77FC9DE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168</w:t>
            </w:r>
          </w:p>
        </w:tc>
        <w:tc>
          <w:tcPr>
            <w:tcW w:w="2008" w:type="dxa"/>
            <w:tcBorders>
              <w:top w:val="nil"/>
              <w:left w:val="nil"/>
              <w:bottom w:val="single" w:sz="4" w:space="0" w:color="auto"/>
              <w:right w:val="single" w:sz="4" w:space="0" w:color="auto"/>
            </w:tcBorders>
            <w:shd w:val="clear" w:color="auto" w:fill="auto"/>
            <w:noWrap/>
            <w:vAlign w:val="bottom"/>
            <w:hideMark/>
          </w:tcPr>
          <w:p w14:paraId="3141DCB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c>
          <w:tcPr>
            <w:tcW w:w="2163" w:type="dxa"/>
            <w:tcBorders>
              <w:top w:val="nil"/>
              <w:left w:val="nil"/>
              <w:bottom w:val="single" w:sz="4" w:space="0" w:color="auto"/>
              <w:right w:val="single" w:sz="4" w:space="0" w:color="auto"/>
            </w:tcBorders>
            <w:shd w:val="clear" w:color="auto" w:fill="auto"/>
            <w:noWrap/>
            <w:vAlign w:val="bottom"/>
            <w:hideMark/>
          </w:tcPr>
          <w:p w14:paraId="46BE1F6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112</w:t>
            </w:r>
          </w:p>
        </w:tc>
      </w:tr>
      <w:tr w:rsidR="00482169" w:rsidRPr="000E652F" w14:paraId="0AB9D4D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1FA575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Chatham</w:t>
            </w:r>
          </w:p>
        </w:tc>
        <w:tc>
          <w:tcPr>
            <w:tcW w:w="1730" w:type="dxa"/>
            <w:tcBorders>
              <w:top w:val="nil"/>
              <w:left w:val="nil"/>
              <w:bottom w:val="single" w:sz="4" w:space="0" w:color="auto"/>
              <w:right w:val="single" w:sz="4" w:space="0" w:color="auto"/>
            </w:tcBorders>
            <w:shd w:val="clear" w:color="auto" w:fill="auto"/>
            <w:noWrap/>
            <w:vAlign w:val="bottom"/>
            <w:hideMark/>
          </w:tcPr>
          <w:p w14:paraId="1BF488C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49</w:t>
            </w:r>
          </w:p>
        </w:tc>
        <w:tc>
          <w:tcPr>
            <w:tcW w:w="1786" w:type="dxa"/>
            <w:tcBorders>
              <w:top w:val="nil"/>
              <w:left w:val="nil"/>
              <w:bottom w:val="single" w:sz="4" w:space="0" w:color="auto"/>
              <w:right w:val="single" w:sz="4" w:space="0" w:color="auto"/>
            </w:tcBorders>
            <w:shd w:val="clear" w:color="auto" w:fill="auto"/>
            <w:noWrap/>
            <w:vAlign w:val="bottom"/>
            <w:hideMark/>
          </w:tcPr>
          <w:p w14:paraId="0F2F352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144</w:t>
            </w:r>
          </w:p>
        </w:tc>
        <w:tc>
          <w:tcPr>
            <w:tcW w:w="2008" w:type="dxa"/>
            <w:tcBorders>
              <w:top w:val="nil"/>
              <w:left w:val="nil"/>
              <w:bottom w:val="single" w:sz="4" w:space="0" w:color="auto"/>
              <w:right w:val="single" w:sz="4" w:space="0" w:color="auto"/>
            </w:tcBorders>
            <w:shd w:val="clear" w:color="auto" w:fill="auto"/>
            <w:noWrap/>
            <w:vAlign w:val="bottom"/>
            <w:hideMark/>
          </w:tcPr>
          <w:p w14:paraId="2116AEE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E407AF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96</w:t>
            </w:r>
          </w:p>
        </w:tc>
      </w:tr>
      <w:tr w:rsidR="00482169" w:rsidRPr="000E652F" w14:paraId="52595274"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626C254"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Cherokee</w:t>
            </w:r>
          </w:p>
        </w:tc>
        <w:tc>
          <w:tcPr>
            <w:tcW w:w="1730" w:type="dxa"/>
            <w:tcBorders>
              <w:top w:val="nil"/>
              <w:left w:val="nil"/>
              <w:bottom w:val="single" w:sz="4" w:space="0" w:color="auto"/>
              <w:right w:val="single" w:sz="4" w:space="0" w:color="auto"/>
            </w:tcBorders>
            <w:shd w:val="clear" w:color="auto" w:fill="auto"/>
            <w:noWrap/>
            <w:vAlign w:val="bottom"/>
            <w:hideMark/>
          </w:tcPr>
          <w:p w14:paraId="67F9C6E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1786" w:type="dxa"/>
            <w:tcBorders>
              <w:top w:val="nil"/>
              <w:left w:val="nil"/>
              <w:bottom w:val="single" w:sz="4" w:space="0" w:color="auto"/>
              <w:right w:val="single" w:sz="4" w:space="0" w:color="auto"/>
            </w:tcBorders>
            <w:shd w:val="clear" w:color="auto" w:fill="auto"/>
            <w:noWrap/>
            <w:vAlign w:val="bottom"/>
            <w:hideMark/>
          </w:tcPr>
          <w:p w14:paraId="7450D3E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008" w:type="dxa"/>
            <w:tcBorders>
              <w:top w:val="nil"/>
              <w:left w:val="nil"/>
              <w:bottom w:val="single" w:sz="4" w:space="0" w:color="auto"/>
              <w:right w:val="single" w:sz="4" w:space="0" w:color="auto"/>
            </w:tcBorders>
            <w:shd w:val="clear" w:color="auto" w:fill="auto"/>
            <w:noWrap/>
            <w:vAlign w:val="bottom"/>
            <w:hideMark/>
          </w:tcPr>
          <w:p w14:paraId="5BDE170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226B77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118DDD1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7BD20A7"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Chowan</w:t>
            </w:r>
          </w:p>
        </w:tc>
        <w:tc>
          <w:tcPr>
            <w:tcW w:w="1730" w:type="dxa"/>
            <w:tcBorders>
              <w:top w:val="nil"/>
              <w:left w:val="nil"/>
              <w:bottom w:val="single" w:sz="4" w:space="0" w:color="auto"/>
              <w:right w:val="single" w:sz="4" w:space="0" w:color="auto"/>
            </w:tcBorders>
            <w:shd w:val="clear" w:color="auto" w:fill="auto"/>
            <w:noWrap/>
            <w:vAlign w:val="bottom"/>
            <w:hideMark/>
          </w:tcPr>
          <w:p w14:paraId="3D9A91D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66</w:t>
            </w:r>
          </w:p>
        </w:tc>
        <w:tc>
          <w:tcPr>
            <w:tcW w:w="1786" w:type="dxa"/>
            <w:tcBorders>
              <w:top w:val="nil"/>
              <w:left w:val="nil"/>
              <w:bottom w:val="single" w:sz="4" w:space="0" w:color="auto"/>
              <w:right w:val="single" w:sz="4" w:space="0" w:color="auto"/>
            </w:tcBorders>
            <w:shd w:val="clear" w:color="auto" w:fill="auto"/>
            <w:noWrap/>
            <w:vAlign w:val="bottom"/>
            <w:hideMark/>
          </w:tcPr>
          <w:p w14:paraId="6DD8CF0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50</w:t>
            </w:r>
          </w:p>
        </w:tc>
        <w:tc>
          <w:tcPr>
            <w:tcW w:w="2008" w:type="dxa"/>
            <w:tcBorders>
              <w:top w:val="nil"/>
              <w:left w:val="nil"/>
              <w:bottom w:val="single" w:sz="4" w:space="0" w:color="auto"/>
              <w:right w:val="single" w:sz="4" w:space="0" w:color="auto"/>
            </w:tcBorders>
            <w:shd w:val="clear" w:color="auto" w:fill="auto"/>
            <w:noWrap/>
            <w:vAlign w:val="bottom"/>
            <w:hideMark/>
          </w:tcPr>
          <w:p w14:paraId="318AF9B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3B99ACF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382B6A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A66C4B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Clay</w:t>
            </w:r>
          </w:p>
        </w:tc>
        <w:tc>
          <w:tcPr>
            <w:tcW w:w="1730" w:type="dxa"/>
            <w:tcBorders>
              <w:top w:val="nil"/>
              <w:left w:val="nil"/>
              <w:bottom w:val="single" w:sz="4" w:space="0" w:color="auto"/>
              <w:right w:val="single" w:sz="4" w:space="0" w:color="auto"/>
            </w:tcBorders>
            <w:shd w:val="clear" w:color="auto" w:fill="auto"/>
            <w:noWrap/>
            <w:vAlign w:val="bottom"/>
            <w:hideMark/>
          </w:tcPr>
          <w:p w14:paraId="2396989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w:t>
            </w:r>
          </w:p>
        </w:tc>
        <w:tc>
          <w:tcPr>
            <w:tcW w:w="1786" w:type="dxa"/>
            <w:tcBorders>
              <w:top w:val="nil"/>
              <w:left w:val="nil"/>
              <w:bottom w:val="single" w:sz="4" w:space="0" w:color="auto"/>
              <w:right w:val="single" w:sz="4" w:space="0" w:color="auto"/>
            </w:tcBorders>
            <w:shd w:val="clear" w:color="auto" w:fill="auto"/>
            <w:noWrap/>
            <w:vAlign w:val="bottom"/>
            <w:hideMark/>
          </w:tcPr>
          <w:p w14:paraId="6369DF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6FA8A17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3347C5F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D62144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8A5EC4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Cleveland</w:t>
            </w:r>
          </w:p>
        </w:tc>
        <w:tc>
          <w:tcPr>
            <w:tcW w:w="1730" w:type="dxa"/>
            <w:tcBorders>
              <w:top w:val="nil"/>
              <w:left w:val="nil"/>
              <w:bottom w:val="single" w:sz="4" w:space="0" w:color="auto"/>
              <w:right w:val="single" w:sz="4" w:space="0" w:color="auto"/>
            </w:tcBorders>
            <w:shd w:val="clear" w:color="auto" w:fill="auto"/>
            <w:noWrap/>
            <w:vAlign w:val="bottom"/>
            <w:hideMark/>
          </w:tcPr>
          <w:p w14:paraId="0067125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185</w:t>
            </w:r>
          </w:p>
        </w:tc>
        <w:tc>
          <w:tcPr>
            <w:tcW w:w="1786" w:type="dxa"/>
            <w:tcBorders>
              <w:top w:val="nil"/>
              <w:left w:val="nil"/>
              <w:bottom w:val="single" w:sz="4" w:space="0" w:color="auto"/>
              <w:right w:val="single" w:sz="4" w:space="0" w:color="auto"/>
            </w:tcBorders>
            <w:shd w:val="clear" w:color="auto" w:fill="auto"/>
            <w:noWrap/>
            <w:vAlign w:val="bottom"/>
            <w:hideMark/>
          </w:tcPr>
          <w:p w14:paraId="0D36D78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0BF6A2D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76</w:t>
            </w:r>
          </w:p>
        </w:tc>
        <w:tc>
          <w:tcPr>
            <w:tcW w:w="2163" w:type="dxa"/>
            <w:tcBorders>
              <w:top w:val="nil"/>
              <w:left w:val="nil"/>
              <w:bottom w:val="single" w:sz="4" w:space="0" w:color="auto"/>
              <w:right w:val="single" w:sz="4" w:space="0" w:color="auto"/>
            </w:tcBorders>
            <w:shd w:val="clear" w:color="auto" w:fill="auto"/>
            <w:noWrap/>
            <w:vAlign w:val="bottom"/>
            <w:hideMark/>
          </w:tcPr>
          <w:p w14:paraId="0FD3048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8F3B60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6B0BB3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Columbus</w:t>
            </w:r>
          </w:p>
        </w:tc>
        <w:tc>
          <w:tcPr>
            <w:tcW w:w="1730" w:type="dxa"/>
            <w:tcBorders>
              <w:top w:val="nil"/>
              <w:left w:val="nil"/>
              <w:bottom w:val="single" w:sz="4" w:space="0" w:color="auto"/>
              <w:right w:val="single" w:sz="4" w:space="0" w:color="auto"/>
            </w:tcBorders>
            <w:shd w:val="clear" w:color="auto" w:fill="auto"/>
            <w:noWrap/>
            <w:vAlign w:val="bottom"/>
            <w:hideMark/>
          </w:tcPr>
          <w:p w14:paraId="650A00A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203</w:t>
            </w:r>
          </w:p>
        </w:tc>
        <w:tc>
          <w:tcPr>
            <w:tcW w:w="1786" w:type="dxa"/>
            <w:tcBorders>
              <w:top w:val="nil"/>
              <w:left w:val="nil"/>
              <w:bottom w:val="single" w:sz="4" w:space="0" w:color="auto"/>
              <w:right w:val="single" w:sz="4" w:space="0" w:color="auto"/>
            </w:tcBorders>
            <w:shd w:val="clear" w:color="auto" w:fill="auto"/>
            <w:noWrap/>
            <w:vAlign w:val="bottom"/>
            <w:hideMark/>
          </w:tcPr>
          <w:p w14:paraId="4BC79C7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68</w:t>
            </w:r>
          </w:p>
        </w:tc>
        <w:tc>
          <w:tcPr>
            <w:tcW w:w="2008" w:type="dxa"/>
            <w:tcBorders>
              <w:top w:val="nil"/>
              <w:left w:val="nil"/>
              <w:bottom w:val="single" w:sz="4" w:space="0" w:color="auto"/>
              <w:right w:val="single" w:sz="4" w:space="0" w:color="auto"/>
            </w:tcBorders>
            <w:shd w:val="clear" w:color="auto" w:fill="auto"/>
            <w:noWrap/>
            <w:vAlign w:val="bottom"/>
            <w:hideMark/>
          </w:tcPr>
          <w:p w14:paraId="43CAA25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FC2383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580E47B"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89B03C8"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Craven</w:t>
            </w:r>
          </w:p>
        </w:tc>
        <w:tc>
          <w:tcPr>
            <w:tcW w:w="1730" w:type="dxa"/>
            <w:tcBorders>
              <w:top w:val="nil"/>
              <w:left w:val="nil"/>
              <w:bottom w:val="single" w:sz="4" w:space="0" w:color="auto"/>
              <w:right w:val="single" w:sz="4" w:space="0" w:color="auto"/>
            </w:tcBorders>
            <w:shd w:val="clear" w:color="auto" w:fill="auto"/>
            <w:noWrap/>
            <w:vAlign w:val="bottom"/>
            <w:hideMark/>
          </w:tcPr>
          <w:p w14:paraId="1DECF64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135</w:t>
            </w:r>
          </w:p>
        </w:tc>
        <w:tc>
          <w:tcPr>
            <w:tcW w:w="1786" w:type="dxa"/>
            <w:tcBorders>
              <w:top w:val="nil"/>
              <w:left w:val="nil"/>
              <w:bottom w:val="single" w:sz="4" w:space="0" w:color="auto"/>
              <w:right w:val="single" w:sz="4" w:space="0" w:color="auto"/>
            </w:tcBorders>
            <w:shd w:val="clear" w:color="auto" w:fill="auto"/>
            <w:noWrap/>
            <w:vAlign w:val="bottom"/>
            <w:hideMark/>
          </w:tcPr>
          <w:p w14:paraId="26B208B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226</w:t>
            </w:r>
          </w:p>
        </w:tc>
        <w:tc>
          <w:tcPr>
            <w:tcW w:w="2008" w:type="dxa"/>
            <w:tcBorders>
              <w:top w:val="nil"/>
              <w:left w:val="nil"/>
              <w:bottom w:val="single" w:sz="4" w:space="0" w:color="auto"/>
              <w:right w:val="single" w:sz="4" w:space="0" w:color="auto"/>
            </w:tcBorders>
            <w:shd w:val="clear" w:color="auto" w:fill="auto"/>
            <w:noWrap/>
            <w:vAlign w:val="bottom"/>
            <w:hideMark/>
          </w:tcPr>
          <w:p w14:paraId="17045FE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w:t>
            </w:r>
          </w:p>
        </w:tc>
        <w:tc>
          <w:tcPr>
            <w:tcW w:w="2163" w:type="dxa"/>
            <w:tcBorders>
              <w:top w:val="nil"/>
              <w:left w:val="nil"/>
              <w:bottom w:val="single" w:sz="4" w:space="0" w:color="auto"/>
              <w:right w:val="single" w:sz="4" w:space="0" w:color="auto"/>
            </w:tcBorders>
            <w:shd w:val="clear" w:color="auto" w:fill="auto"/>
            <w:noWrap/>
            <w:vAlign w:val="bottom"/>
            <w:hideMark/>
          </w:tcPr>
          <w:p w14:paraId="1DDF95C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34</w:t>
            </w:r>
          </w:p>
        </w:tc>
      </w:tr>
      <w:tr w:rsidR="00482169" w:rsidRPr="000E652F" w14:paraId="2027110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CCA1494"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Cumberland</w:t>
            </w:r>
          </w:p>
        </w:tc>
        <w:tc>
          <w:tcPr>
            <w:tcW w:w="1730" w:type="dxa"/>
            <w:tcBorders>
              <w:top w:val="nil"/>
              <w:left w:val="nil"/>
              <w:bottom w:val="single" w:sz="4" w:space="0" w:color="auto"/>
              <w:right w:val="single" w:sz="4" w:space="0" w:color="auto"/>
            </w:tcBorders>
            <w:shd w:val="clear" w:color="auto" w:fill="auto"/>
            <w:noWrap/>
            <w:vAlign w:val="bottom"/>
            <w:hideMark/>
          </w:tcPr>
          <w:p w14:paraId="4F84600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900</w:t>
            </w:r>
          </w:p>
        </w:tc>
        <w:tc>
          <w:tcPr>
            <w:tcW w:w="1786" w:type="dxa"/>
            <w:tcBorders>
              <w:top w:val="nil"/>
              <w:left w:val="nil"/>
              <w:bottom w:val="single" w:sz="4" w:space="0" w:color="auto"/>
              <w:right w:val="single" w:sz="4" w:space="0" w:color="auto"/>
            </w:tcBorders>
            <w:shd w:val="clear" w:color="auto" w:fill="auto"/>
            <w:noWrap/>
            <w:vAlign w:val="bottom"/>
            <w:hideMark/>
          </w:tcPr>
          <w:p w14:paraId="246607A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602</w:t>
            </w:r>
          </w:p>
        </w:tc>
        <w:tc>
          <w:tcPr>
            <w:tcW w:w="2008" w:type="dxa"/>
            <w:tcBorders>
              <w:top w:val="nil"/>
              <w:left w:val="nil"/>
              <w:bottom w:val="single" w:sz="4" w:space="0" w:color="auto"/>
              <w:right w:val="single" w:sz="4" w:space="0" w:color="auto"/>
            </w:tcBorders>
            <w:shd w:val="clear" w:color="auto" w:fill="auto"/>
            <w:noWrap/>
            <w:vAlign w:val="bottom"/>
            <w:hideMark/>
          </w:tcPr>
          <w:p w14:paraId="794144B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308</w:t>
            </w:r>
          </w:p>
        </w:tc>
        <w:tc>
          <w:tcPr>
            <w:tcW w:w="2163" w:type="dxa"/>
            <w:tcBorders>
              <w:top w:val="nil"/>
              <w:left w:val="nil"/>
              <w:bottom w:val="single" w:sz="4" w:space="0" w:color="auto"/>
              <w:right w:val="single" w:sz="4" w:space="0" w:color="auto"/>
            </w:tcBorders>
            <w:shd w:val="clear" w:color="auto" w:fill="auto"/>
            <w:noWrap/>
            <w:vAlign w:val="bottom"/>
            <w:hideMark/>
          </w:tcPr>
          <w:p w14:paraId="57F654F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256</w:t>
            </w:r>
          </w:p>
        </w:tc>
      </w:tr>
      <w:tr w:rsidR="00482169" w:rsidRPr="000E652F" w14:paraId="0789193F"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5C600D5"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Currituck</w:t>
            </w:r>
          </w:p>
        </w:tc>
        <w:tc>
          <w:tcPr>
            <w:tcW w:w="1730" w:type="dxa"/>
            <w:tcBorders>
              <w:top w:val="nil"/>
              <w:left w:val="nil"/>
              <w:bottom w:val="single" w:sz="4" w:space="0" w:color="auto"/>
              <w:right w:val="single" w:sz="4" w:space="0" w:color="auto"/>
            </w:tcBorders>
            <w:shd w:val="clear" w:color="auto" w:fill="auto"/>
            <w:noWrap/>
            <w:vAlign w:val="bottom"/>
            <w:hideMark/>
          </w:tcPr>
          <w:p w14:paraId="681AAE7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1786" w:type="dxa"/>
            <w:tcBorders>
              <w:top w:val="nil"/>
              <w:left w:val="nil"/>
              <w:bottom w:val="single" w:sz="4" w:space="0" w:color="auto"/>
              <w:right w:val="single" w:sz="4" w:space="0" w:color="auto"/>
            </w:tcBorders>
            <w:shd w:val="clear" w:color="auto" w:fill="auto"/>
            <w:noWrap/>
            <w:vAlign w:val="bottom"/>
            <w:hideMark/>
          </w:tcPr>
          <w:p w14:paraId="62A2EE5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44</w:t>
            </w:r>
          </w:p>
        </w:tc>
        <w:tc>
          <w:tcPr>
            <w:tcW w:w="2008" w:type="dxa"/>
            <w:tcBorders>
              <w:top w:val="nil"/>
              <w:left w:val="nil"/>
              <w:bottom w:val="single" w:sz="4" w:space="0" w:color="auto"/>
              <w:right w:val="single" w:sz="4" w:space="0" w:color="auto"/>
            </w:tcBorders>
            <w:shd w:val="clear" w:color="auto" w:fill="auto"/>
            <w:noWrap/>
            <w:vAlign w:val="bottom"/>
            <w:hideMark/>
          </w:tcPr>
          <w:p w14:paraId="1F9DFF1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B4F980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D18A4F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19A364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Dare</w:t>
            </w:r>
          </w:p>
        </w:tc>
        <w:tc>
          <w:tcPr>
            <w:tcW w:w="1730" w:type="dxa"/>
            <w:tcBorders>
              <w:top w:val="nil"/>
              <w:left w:val="nil"/>
              <w:bottom w:val="single" w:sz="4" w:space="0" w:color="auto"/>
              <w:right w:val="single" w:sz="4" w:space="0" w:color="auto"/>
            </w:tcBorders>
            <w:shd w:val="clear" w:color="auto" w:fill="auto"/>
            <w:noWrap/>
            <w:vAlign w:val="bottom"/>
            <w:hideMark/>
          </w:tcPr>
          <w:p w14:paraId="04219BC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1786" w:type="dxa"/>
            <w:tcBorders>
              <w:top w:val="nil"/>
              <w:left w:val="nil"/>
              <w:bottom w:val="single" w:sz="4" w:space="0" w:color="auto"/>
              <w:right w:val="single" w:sz="4" w:space="0" w:color="auto"/>
            </w:tcBorders>
            <w:shd w:val="clear" w:color="auto" w:fill="auto"/>
            <w:noWrap/>
            <w:vAlign w:val="bottom"/>
            <w:hideMark/>
          </w:tcPr>
          <w:p w14:paraId="18614A6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44</w:t>
            </w:r>
          </w:p>
        </w:tc>
        <w:tc>
          <w:tcPr>
            <w:tcW w:w="2008" w:type="dxa"/>
            <w:tcBorders>
              <w:top w:val="nil"/>
              <w:left w:val="nil"/>
              <w:bottom w:val="single" w:sz="4" w:space="0" w:color="auto"/>
              <w:right w:val="single" w:sz="4" w:space="0" w:color="auto"/>
            </w:tcBorders>
            <w:shd w:val="clear" w:color="auto" w:fill="auto"/>
            <w:noWrap/>
            <w:vAlign w:val="bottom"/>
            <w:hideMark/>
          </w:tcPr>
          <w:p w14:paraId="676F2A1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EAF107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A9EEECA"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57C6C00"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Davidson</w:t>
            </w:r>
          </w:p>
        </w:tc>
        <w:tc>
          <w:tcPr>
            <w:tcW w:w="1730" w:type="dxa"/>
            <w:tcBorders>
              <w:top w:val="nil"/>
              <w:left w:val="nil"/>
              <w:bottom w:val="single" w:sz="4" w:space="0" w:color="auto"/>
              <w:right w:val="single" w:sz="4" w:space="0" w:color="auto"/>
            </w:tcBorders>
            <w:shd w:val="clear" w:color="auto" w:fill="auto"/>
            <w:noWrap/>
            <w:vAlign w:val="bottom"/>
            <w:hideMark/>
          </w:tcPr>
          <w:p w14:paraId="1147E33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67</w:t>
            </w:r>
          </w:p>
        </w:tc>
        <w:tc>
          <w:tcPr>
            <w:tcW w:w="1786" w:type="dxa"/>
            <w:tcBorders>
              <w:top w:val="nil"/>
              <w:left w:val="nil"/>
              <w:bottom w:val="single" w:sz="4" w:space="0" w:color="auto"/>
              <w:right w:val="single" w:sz="4" w:space="0" w:color="auto"/>
            </w:tcBorders>
            <w:shd w:val="clear" w:color="auto" w:fill="auto"/>
            <w:noWrap/>
            <w:vAlign w:val="bottom"/>
            <w:hideMark/>
          </w:tcPr>
          <w:p w14:paraId="0DE3823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6C06CF9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w:t>
            </w:r>
          </w:p>
        </w:tc>
        <w:tc>
          <w:tcPr>
            <w:tcW w:w="2163" w:type="dxa"/>
            <w:tcBorders>
              <w:top w:val="nil"/>
              <w:left w:val="nil"/>
              <w:bottom w:val="single" w:sz="4" w:space="0" w:color="auto"/>
              <w:right w:val="single" w:sz="4" w:space="0" w:color="auto"/>
            </w:tcBorders>
            <w:shd w:val="clear" w:color="auto" w:fill="auto"/>
            <w:noWrap/>
            <w:vAlign w:val="bottom"/>
            <w:hideMark/>
          </w:tcPr>
          <w:p w14:paraId="5C56D7B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5004CDF"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E3B644C"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Davie</w:t>
            </w:r>
          </w:p>
        </w:tc>
        <w:tc>
          <w:tcPr>
            <w:tcW w:w="1730" w:type="dxa"/>
            <w:tcBorders>
              <w:top w:val="nil"/>
              <w:left w:val="nil"/>
              <w:bottom w:val="single" w:sz="4" w:space="0" w:color="auto"/>
              <w:right w:val="single" w:sz="4" w:space="0" w:color="auto"/>
            </w:tcBorders>
            <w:shd w:val="clear" w:color="auto" w:fill="auto"/>
            <w:noWrap/>
            <w:vAlign w:val="bottom"/>
            <w:hideMark/>
          </w:tcPr>
          <w:p w14:paraId="178371D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39</w:t>
            </w:r>
          </w:p>
        </w:tc>
        <w:tc>
          <w:tcPr>
            <w:tcW w:w="1786" w:type="dxa"/>
            <w:tcBorders>
              <w:top w:val="nil"/>
              <w:left w:val="nil"/>
              <w:bottom w:val="single" w:sz="4" w:space="0" w:color="auto"/>
              <w:right w:val="single" w:sz="4" w:space="0" w:color="auto"/>
            </w:tcBorders>
            <w:shd w:val="clear" w:color="auto" w:fill="auto"/>
            <w:noWrap/>
            <w:vAlign w:val="bottom"/>
            <w:hideMark/>
          </w:tcPr>
          <w:p w14:paraId="28B2B10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6A3E19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6B5DB54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1FB3A65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791C606"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Duplin</w:t>
            </w:r>
          </w:p>
        </w:tc>
        <w:tc>
          <w:tcPr>
            <w:tcW w:w="1730" w:type="dxa"/>
            <w:tcBorders>
              <w:top w:val="nil"/>
              <w:left w:val="nil"/>
              <w:bottom w:val="single" w:sz="4" w:space="0" w:color="auto"/>
              <w:right w:val="single" w:sz="4" w:space="0" w:color="auto"/>
            </w:tcBorders>
            <w:shd w:val="clear" w:color="auto" w:fill="auto"/>
            <w:noWrap/>
            <w:vAlign w:val="bottom"/>
            <w:hideMark/>
          </w:tcPr>
          <w:p w14:paraId="2E66CB2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257</w:t>
            </w:r>
          </w:p>
        </w:tc>
        <w:tc>
          <w:tcPr>
            <w:tcW w:w="1786" w:type="dxa"/>
            <w:tcBorders>
              <w:top w:val="nil"/>
              <w:left w:val="nil"/>
              <w:bottom w:val="single" w:sz="4" w:space="0" w:color="auto"/>
              <w:right w:val="single" w:sz="4" w:space="0" w:color="auto"/>
            </w:tcBorders>
            <w:shd w:val="clear" w:color="auto" w:fill="auto"/>
            <w:noWrap/>
            <w:vAlign w:val="bottom"/>
            <w:hideMark/>
          </w:tcPr>
          <w:p w14:paraId="388CF52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86</w:t>
            </w:r>
          </w:p>
        </w:tc>
        <w:tc>
          <w:tcPr>
            <w:tcW w:w="2008" w:type="dxa"/>
            <w:tcBorders>
              <w:top w:val="nil"/>
              <w:left w:val="nil"/>
              <w:bottom w:val="single" w:sz="4" w:space="0" w:color="auto"/>
              <w:right w:val="single" w:sz="4" w:space="0" w:color="auto"/>
            </w:tcBorders>
            <w:shd w:val="clear" w:color="auto" w:fill="auto"/>
            <w:noWrap/>
            <w:vAlign w:val="bottom"/>
            <w:hideMark/>
          </w:tcPr>
          <w:p w14:paraId="12A6C74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337689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2EDA94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A00663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Durham</w:t>
            </w:r>
          </w:p>
        </w:tc>
        <w:tc>
          <w:tcPr>
            <w:tcW w:w="1730" w:type="dxa"/>
            <w:tcBorders>
              <w:top w:val="nil"/>
              <w:left w:val="nil"/>
              <w:bottom w:val="single" w:sz="4" w:space="0" w:color="auto"/>
              <w:right w:val="single" w:sz="4" w:space="0" w:color="auto"/>
            </w:tcBorders>
            <w:shd w:val="clear" w:color="auto" w:fill="auto"/>
            <w:noWrap/>
            <w:vAlign w:val="bottom"/>
            <w:hideMark/>
          </w:tcPr>
          <w:p w14:paraId="0C5F12D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1,052</w:t>
            </w:r>
          </w:p>
        </w:tc>
        <w:tc>
          <w:tcPr>
            <w:tcW w:w="1786" w:type="dxa"/>
            <w:tcBorders>
              <w:top w:val="nil"/>
              <w:left w:val="nil"/>
              <w:bottom w:val="single" w:sz="4" w:space="0" w:color="auto"/>
              <w:right w:val="single" w:sz="4" w:space="0" w:color="auto"/>
            </w:tcBorders>
            <w:shd w:val="clear" w:color="auto" w:fill="auto"/>
            <w:noWrap/>
            <w:vAlign w:val="bottom"/>
            <w:hideMark/>
          </w:tcPr>
          <w:p w14:paraId="3661C1E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1,232</w:t>
            </w:r>
          </w:p>
        </w:tc>
        <w:tc>
          <w:tcPr>
            <w:tcW w:w="2008" w:type="dxa"/>
            <w:tcBorders>
              <w:top w:val="nil"/>
              <w:left w:val="nil"/>
              <w:bottom w:val="single" w:sz="4" w:space="0" w:color="auto"/>
              <w:right w:val="single" w:sz="4" w:space="0" w:color="auto"/>
            </w:tcBorders>
            <w:shd w:val="clear" w:color="auto" w:fill="auto"/>
            <w:noWrap/>
            <w:vAlign w:val="bottom"/>
            <w:hideMark/>
          </w:tcPr>
          <w:p w14:paraId="5F589CE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238</w:t>
            </w:r>
          </w:p>
        </w:tc>
        <w:tc>
          <w:tcPr>
            <w:tcW w:w="2163" w:type="dxa"/>
            <w:tcBorders>
              <w:top w:val="nil"/>
              <w:left w:val="nil"/>
              <w:bottom w:val="single" w:sz="4" w:space="0" w:color="auto"/>
              <w:right w:val="single" w:sz="4" w:space="0" w:color="auto"/>
            </w:tcBorders>
            <w:shd w:val="clear" w:color="auto" w:fill="auto"/>
            <w:noWrap/>
            <w:vAlign w:val="bottom"/>
            <w:hideMark/>
          </w:tcPr>
          <w:p w14:paraId="6588FA0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181</w:t>
            </w:r>
          </w:p>
        </w:tc>
      </w:tr>
      <w:tr w:rsidR="00482169" w:rsidRPr="000E652F" w14:paraId="75B4D6D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283D97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Edgecombe</w:t>
            </w:r>
          </w:p>
        </w:tc>
        <w:tc>
          <w:tcPr>
            <w:tcW w:w="1730" w:type="dxa"/>
            <w:tcBorders>
              <w:top w:val="nil"/>
              <w:left w:val="nil"/>
              <w:bottom w:val="single" w:sz="4" w:space="0" w:color="auto"/>
              <w:right w:val="single" w:sz="4" w:space="0" w:color="auto"/>
            </w:tcBorders>
            <w:shd w:val="clear" w:color="auto" w:fill="auto"/>
            <w:noWrap/>
            <w:vAlign w:val="bottom"/>
            <w:hideMark/>
          </w:tcPr>
          <w:p w14:paraId="173B82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193</w:t>
            </w:r>
          </w:p>
        </w:tc>
        <w:tc>
          <w:tcPr>
            <w:tcW w:w="1786" w:type="dxa"/>
            <w:tcBorders>
              <w:top w:val="nil"/>
              <w:left w:val="nil"/>
              <w:bottom w:val="single" w:sz="4" w:space="0" w:color="auto"/>
              <w:right w:val="single" w:sz="4" w:space="0" w:color="auto"/>
            </w:tcBorders>
            <w:shd w:val="clear" w:color="auto" w:fill="auto"/>
            <w:noWrap/>
            <w:vAlign w:val="bottom"/>
            <w:hideMark/>
          </w:tcPr>
          <w:p w14:paraId="6102A16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149</w:t>
            </w:r>
          </w:p>
        </w:tc>
        <w:tc>
          <w:tcPr>
            <w:tcW w:w="2008" w:type="dxa"/>
            <w:tcBorders>
              <w:top w:val="nil"/>
              <w:left w:val="nil"/>
              <w:bottom w:val="single" w:sz="4" w:space="0" w:color="auto"/>
              <w:right w:val="single" w:sz="4" w:space="0" w:color="auto"/>
            </w:tcBorders>
            <w:shd w:val="clear" w:color="auto" w:fill="auto"/>
            <w:noWrap/>
            <w:vAlign w:val="bottom"/>
            <w:hideMark/>
          </w:tcPr>
          <w:p w14:paraId="3CF7170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64</w:t>
            </w:r>
          </w:p>
        </w:tc>
        <w:tc>
          <w:tcPr>
            <w:tcW w:w="2163" w:type="dxa"/>
            <w:tcBorders>
              <w:top w:val="nil"/>
              <w:left w:val="nil"/>
              <w:bottom w:val="single" w:sz="4" w:space="0" w:color="auto"/>
              <w:right w:val="single" w:sz="4" w:space="0" w:color="auto"/>
            </w:tcBorders>
            <w:shd w:val="clear" w:color="auto" w:fill="auto"/>
            <w:noWrap/>
            <w:vAlign w:val="bottom"/>
            <w:hideMark/>
          </w:tcPr>
          <w:p w14:paraId="6E3B583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DADE844"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5A2658C"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Forsyth</w:t>
            </w:r>
          </w:p>
        </w:tc>
        <w:tc>
          <w:tcPr>
            <w:tcW w:w="1730" w:type="dxa"/>
            <w:tcBorders>
              <w:top w:val="nil"/>
              <w:left w:val="nil"/>
              <w:bottom w:val="single" w:sz="4" w:space="0" w:color="auto"/>
              <w:right w:val="single" w:sz="4" w:space="0" w:color="auto"/>
            </w:tcBorders>
            <w:shd w:val="clear" w:color="auto" w:fill="auto"/>
            <w:noWrap/>
            <w:vAlign w:val="bottom"/>
            <w:hideMark/>
          </w:tcPr>
          <w:p w14:paraId="321E80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705</w:t>
            </w:r>
          </w:p>
        </w:tc>
        <w:tc>
          <w:tcPr>
            <w:tcW w:w="1786" w:type="dxa"/>
            <w:tcBorders>
              <w:top w:val="nil"/>
              <w:left w:val="nil"/>
              <w:bottom w:val="single" w:sz="4" w:space="0" w:color="auto"/>
              <w:right w:val="single" w:sz="4" w:space="0" w:color="auto"/>
            </w:tcBorders>
            <w:shd w:val="clear" w:color="auto" w:fill="auto"/>
            <w:noWrap/>
            <w:vAlign w:val="bottom"/>
            <w:hideMark/>
          </w:tcPr>
          <w:p w14:paraId="572CFF0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1,077</w:t>
            </w:r>
          </w:p>
        </w:tc>
        <w:tc>
          <w:tcPr>
            <w:tcW w:w="2008" w:type="dxa"/>
            <w:tcBorders>
              <w:top w:val="nil"/>
              <w:left w:val="nil"/>
              <w:bottom w:val="single" w:sz="4" w:space="0" w:color="auto"/>
              <w:right w:val="single" w:sz="4" w:space="0" w:color="auto"/>
            </w:tcBorders>
            <w:shd w:val="clear" w:color="auto" w:fill="auto"/>
            <w:noWrap/>
            <w:vAlign w:val="bottom"/>
            <w:hideMark/>
          </w:tcPr>
          <w:p w14:paraId="743FE54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90</w:t>
            </w:r>
          </w:p>
        </w:tc>
        <w:tc>
          <w:tcPr>
            <w:tcW w:w="2163" w:type="dxa"/>
            <w:tcBorders>
              <w:top w:val="nil"/>
              <w:left w:val="nil"/>
              <w:bottom w:val="single" w:sz="4" w:space="0" w:color="auto"/>
              <w:right w:val="single" w:sz="4" w:space="0" w:color="auto"/>
            </w:tcBorders>
            <w:shd w:val="clear" w:color="auto" w:fill="auto"/>
            <w:noWrap/>
            <w:vAlign w:val="bottom"/>
            <w:hideMark/>
          </w:tcPr>
          <w:p w14:paraId="524C217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837</w:t>
            </w:r>
          </w:p>
        </w:tc>
      </w:tr>
      <w:tr w:rsidR="00482169" w:rsidRPr="000E652F" w14:paraId="34E801D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3B45E75"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Franklin</w:t>
            </w:r>
          </w:p>
        </w:tc>
        <w:tc>
          <w:tcPr>
            <w:tcW w:w="1730" w:type="dxa"/>
            <w:tcBorders>
              <w:top w:val="nil"/>
              <w:left w:val="nil"/>
              <w:bottom w:val="single" w:sz="4" w:space="0" w:color="auto"/>
              <w:right w:val="single" w:sz="4" w:space="0" w:color="auto"/>
            </w:tcBorders>
            <w:shd w:val="clear" w:color="auto" w:fill="auto"/>
            <w:noWrap/>
            <w:vAlign w:val="bottom"/>
            <w:hideMark/>
          </w:tcPr>
          <w:p w14:paraId="59987B9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80</w:t>
            </w:r>
          </w:p>
        </w:tc>
        <w:tc>
          <w:tcPr>
            <w:tcW w:w="1786" w:type="dxa"/>
            <w:tcBorders>
              <w:top w:val="nil"/>
              <w:left w:val="nil"/>
              <w:bottom w:val="single" w:sz="4" w:space="0" w:color="auto"/>
              <w:right w:val="single" w:sz="4" w:space="0" w:color="auto"/>
            </w:tcBorders>
            <w:shd w:val="clear" w:color="auto" w:fill="auto"/>
            <w:noWrap/>
            <w:vAlign w:val="bottom"/>
            <w:hideMark/>
          </w:tcPr>
          <w:p w14:paraId="49CABFA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w:t>
            </w:r>
          </w:p>
        </w:tc>
        <w:tc>
          <w:tcPr>
            <w:tcW w:w="2008" w:type="dxa"/>
            <w:tcBorders>
              <w:top w:val="nil"/>
              <w:left w:val="nil"/>
              <w:bottom w:val="single" w:sz="4" w:space="0" w:color="auto"/>
              <w:right w:val="single" w:sz="4" w:space="0" w:color="auto"/>
            </w:tcBorders>
            <w:shd w:val="clear" w:color="auto" w:fill="auto"/>
            <w:noWrap/>
            <w:vAlign w:val="bottom"/>
            <w:hideMark/>
          </w:tcPr>
          <w:p w14:paraId="0226408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w:t>
            </w:r>
          </w:p>
        </w:tc>
        <w:tc>
          <w:tcPr>
            <w:tcW w:w="2163" w:type="dxa"/>
            <w:tcBorders>
              <w:top w:val="nil"/>
              <w:left w:val="nil"/>
              <w:bottom w:val="single" w:sz="4" w:space="0" w:color="auto"/>
              <w:right w:val="single" w:sz="4" w:space="0" w:color="auto"/>
            </w:tcBorders>
            <w:shd w:val="clear" w:color="auto" w:fill="auto"/>
            <w:noWrap/>
            <w:vAlign w:val="bottom"/>
            <w:hideMark/>
          </w:tcPr>
          <w:p w14:paraId="108762D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w:t>
            </w:r>
          </w:p>
        </w:tc>
      </w:tr>
      <w:tr w:rsidR="00482169" w:rsidRPr="000E652F" w14:paraId="0C67E02B"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39A7762"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Gaston</w:t>
            </w:r>
          </w:p>
        </w:tc>
        <w:tc>
          <w:tcPr>
            <w:tcW w:w="1730" w:type="dxa"/>
            <w:tcBorders>
              <w:top w:val="nil"/>
              <w:left w:val="nil"/>
              <w:bottom w:val="single" w:sz="4" w:space="0" w:color="auto"/>
              <w:right w:val="single" w:sz="4" w:space="0" w:color="auto"/>
            </w:tcBorders>
            <w:shd w:val="clear" w:color="auto" w:fill="auto"/>
            <w:noWrap/>
            <w:vAlign w:val="bottom"/>
            <w:hideMark/>
          </w:tcPr>
          <w:p w14:paraId="17E2B6E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707</w:t>
            </w:r>
          </w:p>
        </w:tc>
        <w:tc>
          <w:tcPr>
            <w:tcW w:w="1786" w:type="dxa"/>
            <w:tcBorders>
              <w:top w:val="nil"/>
              <w:left w:val="nil"/>
              <w:bottom w:val="single" w:sz="4" w:space="0" w:color="auto"/>
              <w:right w:val="single" w:sz="4" w:space="0" w:color="auto"/>
            </w:tcBorders>
            <w:shd w:val="clear" w:color="auto" w:fill="auto"/>
            <w:noWrap/>
            <w:vAlign w:val="bottom"/>
            <w:hideMark/>
          </w:tcPr>
          <w:p w14:paraId="6F8EAC2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155</w:t>
            </w:r>
          </w:p>
        </w:tc>
        <w:tc>
          <w:tcPr>
            <w:tcW w:w="2008" w:type="dxa"/>
            <w:tcBorders>
              <w:top w:val="nil"/>
              <w:left w:val="nil"/>
              <w:bottom w:val="single" w:sz="4" w:space="0" w:color="auto"/>
              <w:right w:val="single" w:sz="4" w:space="0" w:color="auto"/>
            </w:tcBorders>
            <w:shd w:val="clear" w:color="auto" w:fill="auto"/>
            <w:noWrap/>
            <w:vAlign w:val="bottom"/>
            <w:hideMark/>
          </w:tcPr>
          <w:p w14:paraId="4F6E586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132</w:t>
            </w:r>
          </w:p>
        </w:tc>
        <w:tc>
          <w:tcPr>
            <w:tcW w:w="2163" w:type="dxa"/>
            <w:tcBorders>
              <w:top w:val="nil"/>
              <w:left w:val="nil"/>
              <w:bottom w:val="single" w:sz="4" w:space="0" w:color="auto"/>
              <w:right w:val="single" w:sz="4" w:space="0" w:color="auto"/>
            </w:tcBorders>
            <w:shd w:val="clear" w:color="auto" w:fill="auto"/>
            <w:noWrap/>
            <w:vAlign w:val="bottom"/>
            <w:hideMark/>
          </w:tcPr>
          <w:p w14:paraId="5741A51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148</w:t>
            </w:r>
          </w:p>
        </w:tc>
      </w:tr>
      <w:tr w:rsidR="00482169" w:rsidRPr="000E652F" w14:paraId="1BE7321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80F7F8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Gates</w:t>
            </w:r>
          </w:p>
        </w:tc>
        <w:tc>
          <w:tcPr>
            <w:tcW w:w="1730" w:type="dxa"/>
            <w:tcBorders>
              <w:top w:val="nil"/>
              <w:left w:val="nil"/>
              <w:bottom w:val="single" w:sz="4" w:space="0" w:color="auto"/>
              <w:right w:val="single" w:sz="4" w:space="0" w:color="auto"/>
            </w:tcBorders>
            <w:shd w:val="clear" w:color="auto" w:fill="auto"/>
            <w:noWrap/>
            <w:vAlign w:val="bottom"/>
            <w:hideMark/>
          </w:tcPr>
          <w:p w14:paraId="559D2B5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1786" w:type="dxa"/>
            <w:tcBorders>
              <w:top w:val="nil"/>
              <w:left w:val="nil"/>
              <w:bottom w:val="single" w:sz="4" w:space="0" w:color="auto"/>
              <w:right w:val="single" w:sz="4" w:space="0" w:color="auto"/>
            </w:tcBorders>
            <w:shd w:val="clear" w:color="auto" w:fill="auto"/>
            <w:noWrap/>
            <w:vAlign w:val="bottom"/>
            <w:hideMark/>
          </w:tcPr>
          <w:p w14:paraId="0993E69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0A022E1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0AEC5C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19E597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F78CC43"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Graham</w:t>
            </w:r>
          </w:p>
        </w:tc>
        <w:tc>
          <w:tcPr>
            <w:tcW w:w="1730" w:type="dxa"/>
            <w:tcBorders>
              <w:top w:val="nil"/>
              <w:left w:val="nil"/>
              <w:bottom w:val="single" w:sz="4" w:space="0" w:color="auto"/>
              <w:right w:val="single" w:sz="4" w:space="0" w:color="auto"/>
            </w:tcBorders>
            <w:shd w:val="clear" w:color="auto" w:fill="auto"/>
            <w:noWrap/>
            <w:vAlign w:val="bottom"/>
            <w:hideMark/>
          </w:tcPr>
          <w:p w14:paraId="2840D32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c>
          <w:tcPr>
            <w:tcW w:w="1786" w:type="dxa"/>
            <w:tcBorders>
              <w:top w:val="nil"/>
              <w:left w:val="nil"/>
              <w:bottom w:val="single" w:sz="4" w:space="0" w:color="auto"/>
              <w:right w:val="single" w:sz="4" w:space="0" w:color="auto"/>
            </w:tcBorders>
            <w:shd w:val="clear" w:color="auto" w:fill="auto"/>
            <w:noWrap/>
            <w:vAlign w:val="bottom"/>
            <w:hideMark/>
          </w:tcPr>
          <w:p w14:paraId="59F1241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13030EB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757E2A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A6DE4E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2DBD4F8"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Granville</w:t>
            </w:r>
          </w:p>
        </w:tc>
        <w:tc>
          <w:tcPr>
            <w:tcW w:w="1730" w:type="dxa"/>
            <w:tcBorders>
              <w:top w:val="nil"/>
              <w:left w:val="nil"/>
              <w:bottom w:val="single" w:sz="4" w:space="0" w:color="auto"/>
              <w:right w:val="single" w:sz="4" w:space="0" w:color="auto"/>
            </w:tcBorders>
            <w:shd w:val="clear" w:color="auto" w:fill="auto"/>
            <w:noWrap/>
            <w:vAlign w:val="bottom"/>
            <w:hideMark/>
          </w:tcPr>
          <w:p w14:paraId="36860FA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59</w:t>
            </w:r>
          </w:p>
        </w:tc>
        <w:tc>
          <w:tcPr>
            <w:tcW w:w="1786" w:type="dxa"/>
            <w:tcBorders>
              <w:top w:val="nil"/>
              <w:left w:val="nil"/>
              <w:bottom w:val="single" w:sz="4" w:space="0" w:color="auto"/>
              <w:right w:val="single" w:sz="4" w:space="0" w:color="auto"/>
            </w:tcBorders>
            <w:shd w:val="clear" w:color="auto" w:fill="auto"/>
            <w:noWrap/>
            <w:vAlign w:val="bottom"/>
            <w:hideMark/>
          </w:tcPr>
          <w:p w14:paraId="50134BA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w:t>
            </w:r>
          </w:p>
        </w:tc>
        <w:tc>
          <w:tcPr>
            <w:tcW w:w="2008" w:type="dxa"/>
            <w:tcBorders>
              <w:top w:val="nil"/>
              <w:left w:val="nil"/>
              <w:bottom w:val="single" w:sz="4" w:space="0" w:color="auto"/>
              <w:right w:val="single" w:sz="4" w:space="0" w:color="auto"/>
            </w:tcBorders>
            <w:shd w:val="clear" w:color="auto" w:fill="auto"/>
            <w:noWrap/>
            <w:vAlign w:val="bottom"/>
            <w:hideMark/>
          </w:tcPr>
          <w:p w14:paraId="0F4B117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w:t>
            </w:r>
          </w:p>
        </w:tc>
        <w:tc>
          <w:tcPr>
            <w:tcW w:w="2163" w:type="dxa"/>
            <w:tcBorders>
              <w:top w:val="nil"/>
              <w:left w:val="nil"/>
              <w:bottom w:val="single" w:sz="4" w:space="0" w:color="auto"/>
              <w:right w:val="single" w:sz="4" w:space="0" w:color="auto"/>
            </w:tcBorders>
            <w:shd w:val="clear" w:color="auto" w:fill="auto"/>
            <w:noWrap/>
            <w:vAlign w:val="bottom"/>
            <w:hideMark/>
          </w:tcPr>
          <w:p w14:paraId="4DE94E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w:t>
            </w:r>
          </w:p>
        </w:tc>
      </w:tr>
      <w:tr w:rsidR="00482169" w:rsidRPr="000E652F" w14:paraId="142EC660"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4F307D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Greene</w:t>
            </w:r>
          </w:p>
        </w:tc>
        <w:tc>
          <w:tcPr>
            <w:tcW w:w="1730" w:type="dxa"/>
            <w:tcBorders>
              <w:top w:val="nil"/>
              <w:left w:val="nil"/>
              <w:bottom w:val="single" w:sz="4" w:space="0" w:color="auto"/>
              <w:right w:val="single" w:sz="4" w:space="0" w:color="auto"/>
            </w:tcBorders>
            <w:shd w:val="clear" w:color="auto" w:fill="auto"/>
            <w:noWrap/>
            <w:vAlign w:val="bottom"/>
            <w:hideMark/>
          </w:tcPr>
          <w:p w14:paraId="6A81D85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56</w:t>
            </w:r>
          </w:p>
        </w:tc>
        <w:tc>
          <w:tcPr>
            <w:tcW w:w="1786" w:type="dxa"/>
            <w:tcBorders>
              <w:top w:val="nil"/>
              <w:left w:val="nil"/>
              <w:bottom w:val="single" w:sz="4" w:space="0" w:color="auto"/>
              <w:right w:val="single" w:sz="4" w:space="0" w:color="auto"/>
            </w:tcBorders>
            <w:shd w:val="clear" w:color="auto" w:fill="auto"/>
            <w:noWrap/>
            <w:vAlign w:val="bottom"/>
            <w:hideMark/>
          </w:tcPr>
          <w:p w14:paraId="1254814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c>
          <w:tcPr>
            <w:tcW w:w="2008" w:type="dxa"/>
            <w:tcBorders>
              <w:top w:val="nil"/>
              <w:left w:val="nil"/>
              <w:bottom w:val="single" w:sz="4" w:space="0" w:color="auto"/>
              <w:right w:val="single" w:sz="4" w:space="0" w:color="auto"/>
            </w:tcBorders>
            <w:shd w:val="clear" w:color="auto" w:fill="auto"/>
            <w:noWrap/>
            <w:vAlign w:val="bottom"/>
            <w:hideMark/>
          </w:tcPr>
          <w:p w14:paraId="4EEF6EA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w:t>
            </w:r>
          </w:p>
        </w:tc>
        <w:tc>
          <w:tcPr>
            <w:tcW w:w="2163" w:type="dxa"/>
            <w:tcBorders>
              <w:top w:val="nil"/>
              <w:left w:val="nil"/>
              <w:bottom w:val="single" w:sz="4" w:space="0" w:color="auto"/>
              <w:right w:val="single" w:sz="4" w:space="0" w:color="auto"/>
            </w:tcBorders>
            <w:shd w:val="clear" w:color="auto" w:fill="auto"/>
            <w:noWrap/>
            <w:vAlign w:val="bottom"/>
            <w:hideMark/>
          </w:tcPr>
          <w:p w14:paraId="527601C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147C2F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17D0240"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Guilford</w:t>
            </w:r>
          </w:p>
        </w:tc>
        <w:tc>
          <w:tcPr>
            <w:tcW w:w="1730" w:type="dxa"/>
            <w:tcBorders>
              <w:top w:val="nil"/>
              <w:left w:val="nil"/>
              <w:bottom w:val="single" w:sz="4" w:space="0" w:color="auto"/>
              <w:right w:val="single" w:sz="4" w:space="0" w:color="auto"/>
            </w:tcBorders>
            <w:shd w:val="clear" w:color="auto" w:fill="auto"/>
            <w:noWrap/>
            <w:vAlign w:val="bottom"/>
            <w:hideMark/>
          </w:tcPr>
          <w:p w14:paraId="13CC45F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983</w:t>
            </w:r>
          </w:p>
        </w:tc>
        <w:tc>
          <w:tcPr>
            <w:tcW w:w="1786" w:type="dxa"/>
            <w:tcBorders>
              <w:top w:val="nil"/>
              <w:left w:val="nil"/>
              <w:bottom w:val="single" w:sz="4" w:space="0" w:color="auto"/>
              <w:right w:val="single" w:sz="4" w:space="0" w:color="auto"/>
            </w:tcBorders>
            <w:shd w:val="clear" w:color="auto" w:fill="auto"/>
            <w:noWrap/>
            <w:vAlign w:val="bottom"/>
            <w:hideMark/>
          </w:tcPr>
          <w:p w14:paraId="1EA5D49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1,515</w:t>
            </w:r>
          </w:p>
        </w:tc>
        <w:tc>
          <w:tcPr>
            <w:tcW w:w="2008" w:type="dxa"/>
            <w:tcBorders>
              <w:top w:val="nil"/>
              <w:left w:val="nil"/>
              <w:bottom w:val="single" w:sz="4" w:space="0" w:color="auto"/>
              <w:right w:val="single" w:sz="4" w:space="0" w:color="auto"/>
            </w:tcBorders>
            <w:shd w:val="clear" w:color="auto" w:fill="auto"/>
            <w:noWrap/>
            <w:vAlign w:val="bottom"/>
            <w:hideMark/>
          </w:tcPr>
          <w:p w14:paraId="5AD9DBA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538</w:t>
            </w:r>
          </w:p>
        </w:tc>
        <w:tc>
          <w:tcPr>
            <w:tcW w:w="2163" w:type="dxa"/>
            <w:tcBorders>
              <w:top w:val="nil"/>
              <w:left w:val="nil"/>
              <w:bottom w:val="single" w:sz="4" w:space="0" w:color="auto"/>
              <w:right w:val="single" w:sz="4" w:space="0" w:color="auto"/>
            </w:tcBorders>
            <w:shd w:val="clear" w:color="auto" w:fill="auto"/>
            <w:noWrap/>
            <w:vAlign w:val="bottom"/>
            <w:hideMark/>
          </w:tcPr>
          <w:p w14:paraId="72CD83D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187</w:t>
            </w:r>
          </w:p>
        </w:tc>
      </w:tr>
      <w:tr w:rsidR="00482169" w:rsidRPr="000E652F" w14:paraId="58BE2349"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90E90DC"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Halifax</w:t>
            </w:r>
          </w:p>
        </w:tc>
        <w:tc>
          <w:tcPr>
            <w:tcW w:w="1730" w:type="dxa"/>
            <w:tcBorders>
              <w:top w:val="nil"/>
              <w:left w:val="nil"/>
              <w:bottom w:val="single" w:sz="4" w:space="0" w:color="auto"/>
              <w:right w:val="single" w:sz="4" w:space="0" w:color="auto"/>
            </w:tcBorders>
            <w:shd w:val="clear" w:color="auto" w:fill="auto"/>
            <w:noWrap/>
            <w:vAlign w:val="bottom"/>
            <w:hideMark/>
          </w:tcPr>
          <w:p w14:paraId="4ED824A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360</w:t>
            </w:r>
          </w:p>
        </w:tc>
        <w:tc>
          <w:tcPr>
            <w:tcW w:w="1786" w:type="dxa"/>
            <w:tcBorders>
              <w:top w:val="nil"/>
              <w:left w:val="nil"/>
              <w:bottom w:val="single" w:sz="4" w:space="0" w:color="auto"/>
              <w:right w:val="single" w:sz="4" w:space="0" w:color="auto"/>
            </w:tcBorders>
            <w:shd w:val="clear" w:color="auto" w:fill="auto"/>
            <w:noWrap/>
            <w:vAlign w:val="bottom"/>
            <w:hideMark/>
          </w:tcPr>
          <w:p w14:paraId="5504227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56</w:t>
            </w:r>
          </w:p>
        </w:tc>
        <w:tc>
          <w:tcPr>
            <w:tcW w:w="2008" w:type="dxa"/>
            <w:tcBorders>
              <w:top w:val="nil"/>
              <w:left w:val="nil"/>
              <w:bottom w:val="single" w:sz="4" w:space="0" w:color="auto"/>
              <w:right w:val="single" w:sz="4" w:space="0" w:color="auto"/>
            </w:tcBorders>
            <w:shd w:val="clear" w:color="auto" w:fill="auto"/>
            <w:noWrap/>
            <w:vAlign w:val="bottom"/>
            <w:hideMark/>
          </w:tcPr>
          <w:p w14:paraId="1AAB27B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331F745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r>
      <w:tr w:rsidR="00482169" w:rsidRPr="000E652F" w14:paraId="44EFCC2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15C9BE3"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Harnett</w:t>
            </w:r>
          </w:p>
        </w:tc>
        <w:tc>
          <w:tcPr>
            <w:tcW w:w="1730" w:type="dxa"/>
            <w:tcBorders>
              <w:top w:val="nil"/>
              <w:left w:val="nil"/>
              <w:bottom w:val="single" w:sz="4" w:space="0" w:color="auto"/>
              <w:right w:val="single" w:sz="4" w:space="0" w:color="auto"/>
            </w:tcBorders>
            <w:shd w:val="clear" w:color="auto" w:fill="auto"/>
            <w:noWrap/>
            <w:vAlign w:val="bottom"/>
            <w:hideMark/>
          </w:tcPr>
          <w:p w14:paraId="28D50A5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350</w:t>
            </w:r>
          </w:p>
        </w:tc>
        <w:tc>
          <w:tcPr>
            <w:tcW w:w="1786" w:type="dxa"/>
            <w:tcBorders>
              <w:top w:val="nil"/>
              <w:left w:val="nil"/>
              <w:bottom w:val="single" w:sz="4" w:space="0" w:color="auto"/>
              <w:right w:val="single" w:sz="4" w:space="0" w:color="auto"/>
            </w:tcBorders>
            <w:shd w:val="clear" w:color="auto" w:fill="auto"/>
            <w:noWrap/>
            <w:vAlign w:val="bottom"/>
            <w:hideMark/>
          </w:tcPr>
          <w:p w14:paraId="0FF9776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c>
          <w:tcPr>
            <w:tcW w:w="2008" w:type="dxa"/>
            <w:tcBorders>
              <w:top w:val="nil"/>
              <w:left w:val="nil"/>
              <w:bottom w:val="single" w:sz="4" w:space="0" w:color="auto"/>
              <w:right w:val="single" w:sz="4" w:space="0" w:color="auto"/>
            </w:tcBorders>
            <w:shd w:val="clear" w:color="auto" w:fill="auto"/>
            <w:noWrap/>
            <w:vAlign w:val="bottom"/>
            <w:hideMark/>
          </w:tcPr>
          <w:p w14:paraId="70668A2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w:t>
            </w:r>
          </w:p>
        </w:tc>
        <w:tc>
          <w:tcPr>
            <w:tcW w:w="2163" w:type="dxa"/>
            <w:tcBorders>
              <w:top w:val="nil"/>
              <w:left w:val="nil"/>
              <w:bottom w:val="single" w:sz="4" w:space="0" w:color="auto"/>
              <w:right w:val="single" w:sz="4" w:space="0" w:color="auto"/>
            </w:tcBorders>
            <w:shd w:val="clear" w:color="auto" w:fill="auto"/>
            <w:noWrap/>
            <w:vAlign w:val="bottom"/>
            <w:hideMark/>
          </w:tcPr>
          <w:p w14:paraId="28CFBF6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35A1FE5"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E7700C7"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Haywood</w:t>
            </w:r>
          </w:p>
        </w:tc>
        <w:tc>
          <w:tcPr>
            <w:tcW w:w="1730" w:type="dxa"/>
            <w:tcBorders>
              <w:top w:val="nil"/>
              <w:left w:val="nil"/>
              <w:bottom w:val="single" w:sz="4" w:space="0" w:color="auto"/>
              <w:right w:val="single" w:sz="4" w:space="0" w:color="auto"/>
            </w:tcBorders>
            <w:shd w:val="clear" w:color="auto" w:fill="auto"/>
            <w:noWrap/>
            <w:vAlign w:val="bottom"/>
            <w:hideMark/>
          </w:tcPr>
          <w:p w14:paraId="7665B69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69</w:t>
            </w:r>
          </w:p>
        </w:tc>
        <w:tc>
          <w:tcPr>
            <w:tcW w:w="1786" w:type="dxa"/>
            <w:tcBorders>
              <w:top w:val="nil"/>
              <w:left w:val="nil"/>
              <w:bottom w:val="single" w:sz="4" w:space="0" w:color="auto"/>
              <w:right w:val="single" w:sz="4" w:space="0" w:color="auto"/>
            </w:tcBorders>
            <w:shd w:val="clear" w:color="auto" w:fill="auto"/>
            <w:noWrap/>
            <w:vAlign w:val="bottom"/>
            <w:hideMark/>
          </w:tcPr>
          <w:p w14:paraId="371BD3E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134</w:t>
            </w:r>
          </w:p>
        </w:tc>
        <w:tc>
          <w:tcPr>
            <w:tcW w:w="2008" w:type="dxa"/>
            <w:tcBorders>
              <w:top w:val="nil"/>
              <w:left w:val="nil"/>
              <w:bottom w:val="single" w:sz="4" w:space="0" w:color="auto"/>
              <w:right w:val="single" w:sz="4" w:space="0" w:color="auto"/>
            </w:tcBorders>
            <w:shd w:val="clear" w:color="auto" w:fill="auto"/>
            <w:noWrap/>
            <w:vAlign w:val="bottom"/>
            <w:hideMark/>
          </w:tcPr>
          <w:p w14:paraId="419DB66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A6BC46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11B9A33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3867FC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Henderson</w:t>
            </w:r>
          </w:p>
        </w:tc>
        <w:tc>
          <w:tcPr>
            <w:tcW w:w="1730" w:type="dxa"/>
            <w:tcBorders>
              <w:top w:val="nil"/>
              <w:left w:val="nil"/>
              <w:bottom w:val="single" w:sz="4" w:space="0" w:color="auto"/>
              <w:right w:val="single" w:sz="4" w:space="0" w:color="auto"/>
            </w:tcBorders>
            <w:shd w:val="clear" w:color="auto" w:fill="auto"/>
            <w:noWrap/>
            <w:vAlign w:val="bottom"/>
            <w:hideMark/>
          </w:tcPr>
          <w:p w14:paraId="39E13BE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136</w:t>
            </w:r>
          </w:p>
        </w:tc>
        <w:tc>
          <w:tcPr>
            <w:tcW w:w="1786" w:type="dxa"/>
            <w:tcBorders>
              <w:top w:val="nil"/>
              <w:left w:val="nil"/>
              <w:bottom w:val="single" w:sz="4" w:space="0" w:color="auto"/>
              <w:right w:val="single" w:sz="4" w:space="0" w:color="auto"/>
            </w:tcBorders>
            <w:shd w:val="clear" w:color="auto" w:fill="auto"/>
            <w:noWrap/>
            <w:vAlign w:val="bottom"/>
            <w:hideMark/>
          </w:tcPr>
          <w:p w14:paraId="10C4E13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144</w:t>
            </w:r>
          </w:p>
        </w:tc>
        <w:tc>
          <w:tcPr>
            <w:tcW w:w="2008" w:type="dxa"/>
            <w:tcBorders>
              <w:top w:val="nil"/>
              <w:left w:val="nil"/>
              <w:bottom w:val="single" w:sz="4" w:space="0" w:color="auto"/>
              <w:right w:val="single" w:sz="4" w:space="0" w:color="auto"/>
            </w:tcBorders>
            <w:shd w:val="clear" w:color="auto" w:fill="auto"/>
            <w:noWrap/>
            <w:vAlign w:val="bottom"/>
            <w:hideMark/>
          </w:tcPr>
          <w:p w14:paraId="6C01E1C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64</w:t>
            </w:r>
          </w:p>
        </w:tc>
        <w:tc>
          <w:tcPr>
            <w:tcW w:w="2163" w:type="dxa"/>
            <w:tcBorders>
              <w:top w:val="nil"/>
              <w:left w:val="nil"/>
              <w:bottom w:val="single" w:sz="4" w:space="0" w:color="auto"/>
              <w:right w:val="single" w:sz="4" w:space="0" w:color="auto"/>
            </w:tcBorders>
            <w:shd w:val="clear" w:color="auto" w:fill="auto"/>
            <w:noWrap/>
            <w:vAlign w:val="bottom"/>
            <w:hideMark/>
          </w:tcPr>
          <w:p w14:paraId="1F40BDA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1FE25AB4"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9B82BA3"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Hertford</w:t>
            </w:r>
          </w:p>
        </w:tc>
        <w:tc>
          <w:tcPr>
            <w:tcW w:w="1730" w:type="dxa"/>
            <w:tcBorders>
              <w:top w:val="nil"/>
              <w:left w:val="nil"/>
              <w:bottom w:val="single" w:sz="4" w:space="0" w:color="auto"/>
              <w:right w:val="single" w:sz="4" w:space="0" w:color="auto"/>
            </w:tcBorders>
            <w:shd w:val="clear" w:color="auto" w:fill="auto"/>
            <w:noWrap/>
            <w:vAlign w:val="bottom"/>
            <w:hideMark/>
          </w:tcPr>
          <w:p w14:paraId="496EC2D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96</w:t>
            </w:r>
          </w:p>
        </w:tc>
        <w:tc>
          <w:tcPr>
            <w:tcW w:w="1786" w:type="dxa"/>
            <w:tcBorders>
              <w:top w:val="nil"/>
              <w:left w:val="nil"/>
              <w:bottom w:val="single" w:sz="4" w:space="0" w:color="auto"/>
              <w:right w:val="single" w:sz="4" w:space="0" w:color="auto"/>
            </w:tcBorders>
            <w:shd w:val="clear" w:color="auto" w:fill="auto"/>
            <w:noWrap/>
            <w:vAlign w:val="bottom"/>
            <w:hideMark/>
          </w:tcPr>
          <w:p w14:paraId="3935758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008" w:type="dxa"/>
            <w:tcBorders>
              <w:top w:val="nil"/>
              <w:left w:val="nil"/>
              <w:bottom w:val="single" w:sz="4" w:space="0" w:color="auto"/>
              <w:right w:val="single" w:sz="4" w:space="0" w:color="auto"/>
            </w:tcBorders>
            <w:shd w:val="clear" w:color="auto" w:fill="auto"/>
            <w:noWrap/>
            <w:vAlign w:val="bottom"/>
            <w:hideMark/>
          </w:tcPr>
          <w:p w14:paraId="52EB1B4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0816A9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18987B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9BE61F0"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lastRenderedPageBreak/>
              <w:t>Hoke</w:t>
            </w:r>
          </w:p>
        </w:tc>
        <w:tc>
          <w:tcPr>
            <w:tcW w:w="1730" w:type="dxa"/>
            <w:tcBorders>
              <w:top w:val="nil"/>
              <w:left w:val="nil"/>
              <w:bottom w:val="single" w:sz="4" w:space="0" w:color="auto"/>
              <w:right w:val="single" w:sz="4" w:space="0" w:color="auto"/>
            </w:tcBorders>
            <w:shd w:val="clear" w:color="auto" w:fill="auto"/>
            <w:noWrap/>
            <w:vAlign w:val="bottom"/>
            <w:hideMark/>
          </w:tcPr>
          <w:p w14:paraId="27C0170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44</w:t>
            </w:r>
          </w:p>
        </w:tc>
        <w:tc>
          <w:tcPr>
            <w:tcW w:w="1786" w:type="dxa"/>
            <w:tcBorders>
              <w:top w:val="nil"/>
              <w:left w:val="nil"/>
              <w:bottom w:val="single" w:sz="4" w:space="0" w:color="auto"/>
              <w:right w:val="single" w:sz="4" w:space="0" w:color="auto"/>
            </w:tcBorders>
            <w:shd w:val="clear" w:color="auto" w:fill="auto"/>
            <w:noWrap/>
            <w:vAlign w:val="bottom"/>
            <w:hideMark/>
          </w:tcPr>
          <w:p w14:paraId="0F3FE4B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27</w:t>
            </w:r>
          </w:p>
        </w:tc>
        <w:tc>
          <w:tcPr>
            <w:tcW w:w="2008" w:type="dxa"/>
            <w:tcBorders>
              <w:top w:val="nil"/>
              <w:left w:val="nil"/>
              <w:bottom w:val="single" w:sz="4" w:space="0" w:color="auto"/>
              <w:right w:val="single" w:sz="4" w:space="0" w:color="auto"/>
            </w:tcBorders>
            <w:shd w:val="clear" w:color="auto" w:fill="auto"/>
            <w:noWrap/>
            <w:vAlign w:val="bottom"/>
            <w:hideMark/>
          </w:tcPr>
          <w:p w14:paraId="21355E4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76D921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303FB9A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427724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Hyde</w:t>
            </w:r>
          </w:p>
        </w:tc>
        <w:tc>
          <w:tcPr>
            <w:tcW w:w="1730" w:type="dxa"/>
            <w:tcBorders>
              <w:top w:val="nil"/>
              <w:left w:val="nil"/>
              <w:bottom w:val="single" w:sz="4" w:space="0" w:color="auto"/>
              <w:right w:val="single" w:sz="4" w:space="0" w:color="auto"/>
            </w:tcBorders>
            <w:shd w:val="clear" w:color="auto" w:fill="auto"/>
            <w:noWrap/>
            <w:vAlign w:val="bottom"/>
            <w:hideMark/>
          </w:tcPr>
          <w:p w14:paraId="2857297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31</w:t>
            </w:r>
          </w:p>
        </w:tc>
        <w:tc>
          <w:tcPr>
            <w:tcW w:w="1786" w:type="dxa"/>
            <w:tcBorders>
              <w:top w:val="nil"/>
              <w:left w:val="nil"/>
              <w:bottom w:val="single" w:sz="4" w:space="0" w:color="auto"/>
              <w:right w:val="single" w:sz="4" w:space="0" w:color="auto"/>
            </w:tcBorders>
            <w:shd w:val="clear" w:color="auto" w:fill="auto"/>
            <w:noWrap/>
            <w:vAlign w:val="bottom"/>
            <w:hideMark/>
          </w:tcPr>
          <w:p w14:paraId="32DE8BD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w:t>
            </w:r>
          </w:p>
        </w:tc>
        <w:tc>
          <w:tcPr>
            <w:tcW w:w="2008" w:type="dxa"/>
            <w:tcBorders>
              <w:top w:val="nil"/>
              <w:left w:val="nil"/>
              <w:bottom w:val="single" w:sz="4" w:space="0" w:color="auto"/>
              <w:right w:val="single" w:sz="4" w:space="0" w:color="auto"/>
            </w:tcBorders>
            <w:shd w:val="clear" w:color="auto" w:fill="auto"/>
            <w:noWrap/>
            <w:vAlign w:val="bottom"/>
            <w:hideMark/>
          </w:tcPr>
          <w:p w14:paraId="1EA7167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163" w:type="dxa"/>
            <w:tcBorders>
              <w:top w:val="nil"/>
              <w:left w:val="nil"/>
              <w:bottom w:val="single" w:sz="4" w:space="0" w:color="auto"/>
              <w:right w:val="single" w:sz="4" w:space="0" w:color="auto"/>
            </w:tcBorders>
            <w:shd w:val="clear" w:color="auto" w:fill="auto"/>
            <w:noWrap/>
            <w:vAlign w:val="bottom"/>
            <w:hideMark/>
          </w:tcPr>
          <w:p w14:paraId="0B14990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308B752C"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7C1E4C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Iredell</w:t>
            </w:r>
          </w:p>
        </w:tc>
        <w:tc>
          <w:tcPr>
            <w:tcW w:w="1730" w:type="dxa"/>
            <w:tcBorders>
              <w:top w:val="nil"/>
              <w:left w:val="nil"/>
              <w:bottom w:val="single" w:sz="4" w:space="0" w:color="auto"/>
              <w:right w:val="single" w:sz="4" w:space="0" w:color="auto"/>
            </w:tcBorders>
            <w:shd w:val="clear" w:color="auto" w:fill="auto"/>
            <w:noWrap/>
            <w:vAlign w:val="bottom"/>
            <w:hideMark/>
          </w:tcPr>
          <w:p w14:paraId="047381F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242</w:t>
            </w:r>
          </w:p>
        </w:tc>
        <w:tc>
          <w:tcPr>
            <w:tcW w:w="1786" w:type="dxa"/>
            <w:tcBorders>
              <w:top w:val="nil"/>
              <w:left w:val="nil"/>
              <w:bottom w:val="single" w:sz="4" w:space="0" w:color="auto"/>
              <w:right w:val="single" w:sz="4" w:space="0" w:color="auto"/>
            </w:tcBorders>
            <w:shd w:val="clear" w:color="auto" w:fill="auto"/>
            <w:noWrap/>
            <w:vAlign w:val="bottom"/>
            <w:hideMark/>
          </w:tcPr>
          <w:p w14:paraId="5E4D8D0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470</w:t>
            </w:r>
          </w:p>
        </w:tc>
        <w:tc>
          <w:tcPr>
            <w:tcW w:w="2008" w:type="dxa"/>
            <w:tcBorders>
              <w:top w:val="nil"/>
              <w:left w:val="nil"/>
              <w:bottom w:val="single" w:sz="4" w:space="0" w:color="auto"/>
              <w:right w:val="single" w:sz="4" w:space="0" w:color="auto"/>
            </w:tcBorders>
            <w:shd w:val="clear" w:color="auto" w:fill="auto"/>
            <w:noWrap/>
            <w:vAlign w:val="bottom"/>
            <w:hideMark/>
          </w:tcPr>
          <w:p w14:paraId="6027935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79</w:t>
            </w:r>
          </w:p>
        </w:tc>
        <w:tc>
          <w:tcPr>
            <w:tcW w:w="2163" w:type="dxa"/>
            <w:tcBorders>
              <w:top w:val="nil"/>
              <w:left w:val="nil"/>
              <w:bottom w:val="single" w:sz="4" w:space="0" w:color="auto"/>
              <w:right w:val="single" w:sz="4" w:space="0" w:color="auto"/>
            </w:tcBorders>
            <w:shd w:val="clear" w:color="auto" w:fill="auto"/>
            <w:noWrap/>
            <w:vAlign w:val="bottom"/>
            <w:hideMark/>
          </w:tcPr>
          <w:p w14:paraId="694C55F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140</w:t>
            </w:r>
          </w:p>
        </w:tc>
      </w:tr>
      <w:tr w:rsidR="00482169" w:rsidRPr="000E652F" w14:paraId="3137DD2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11ADD8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Jackson</w:t>
            </w:r>
          </w:p>
        </w:tc>
        <w:tc>
          <w:tcPr>
            <w:tcW w:w="1730" w:type="dxa"/>
            <w:tcBorders>
              <w:top w:val="nil"/>
              <w:left w:val="nil"/>
              <w:bottom w:val="single" w:sz="4" w:space="0" w:color="auto"/>
              <w:right w:val="single" w:sz="4" w:space="0" w:color="auto"/>
            </w:tcBorders>
            <w:shd w:val="clear" w:color="auto" w:fill="auto"/>
            <w:noWrap/>
            <w:vAlign w:val="bottom"/>
            <w:hideMark/>
          </w:tcPr>
          <w:p w14:paraId="2EB1FF0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34</w:t>
            </w:r>
          </w:p>
        </w:tc>
        <w:tc>
          <w:tcPr>
            <w:tcW w:w="1786" w:type="dxa"/>
            <w:tcBorders>
              <w:top w:val="nil"/>
              <w:left w:val="nil"/>
              <w:bottom w:val="single" w:sz="4" w:space="0" w:color="auto"/>
              <w:right w:val="single" w:sz="4" w:space="0" w:color="auto"/>
            </w:tcBorders>
            <w:shd w:val="clear" w:color="auto" w:fill="auto"/>
            <w:noWrap/>
            <w:vAlign w:val="bottom"/>
            <w:hideMark/>
          </w:tcPr>
          <w:p w14:paraId="7D9282B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160</w:t>
            </w:r>
          </w:p>
        </w:tc>
        <w:tc>
          <w:tcPr>
            <w:tcW w:w="2008" w:type="dxa"/>
            <w:tcBorders>
              <w:top w:val="nil"/>
              <w:left w:val="nil"/>
              <w:bottom w:val="single" w:sz="4" w:space="0" w:color="auto"/>
              <w:right w:val="single" w:sz="4" w:space="0" w:color="auto"/>
            </w:tcBorders>
            <w:shd w:val="clear" w:color="auto" w:fill="auto"/>
            <w:noWrap/>
            <w:vAlign w:val="bottom"/>
            <w:hideMark/>
          </w:tcPr>
          <w:p w14:paraId="78AE97E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D05591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50CE1B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72B6560"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Johnston</w:t>
            </w:r>
          </w:p>
        </w:tc>
        <w:tc>
          <w:tcPr>
            <w:tcW w:w="1730" w:type="dxa"/>
            <w:tcBorders>
              <w:top w:val="nil"/>
              <w:left w:val="nil"/>
              <w:bottom w:val="single" w:sz="4" w:space="0" w:color="auto"/>
              <w:right w:val="single" w:sz="4" w:space="0" w:color="auto"/>
            </w:tcBorders>
            <w:shd w:val="clear" w:color="auto" w:fill="auto"/>
            <w:noWrap/>
            <w:vAlign w:val="bottom"/>
            <w:hideMark/>
          </w:tcPr>
          <w:p w14:paraId="66DCEFA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588</w:t>
            </w:r>
          </w:p>
        </w:tc>
        <w:tc>
          <w:tcPr>
            <w:tcW w:w="1786" w:type="dxa"/>
            <w:tcBorders>
              <w:top w:val="nil"/>
              <w:left w:val="nil"/>
              <w:bottom w:val="single" w:sz="4" w:space="0" w:color="auto"/>
              <w:right w:val="single" w:sz="4" w:space="0" w:color="auto"/>
            </w:tcBorders>
            <w:shd w:val="clear" w:color="auto" w:fill="auto"/>
            <w:noWrap/>
            <w:vAlign w:val="bottom"/>
            <w:hideMark/>
          </w:tcPr>
          <w:p w14:paraId="44E313C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w:t>
            </w:r>
          </w:p>
        </w:tc>
        <w:tc>
          <w:tcPr>
            <w:tcW w:w="2008" w:type="dxa"/>
            <w:tcBorders>
              <w:top w:val="nil"/>
              <w:left w:val="nil"/>
              <w:bottom w:val="single" w:sz="4" w:space="0" w:color="auto"/>
              <w:right w:val="single" w:sz="4" w:space="0" w:color="auto"/>
            </w:tcBorders>
            <w:shd w:val="clear" w:color="auto" w:fill="auto"/>
            <w:noWrap/>
            <w:vAlign w:val="bottom"/>
            <w:hideMark/>
          </w:tcPr>
          <w:p w14:paraId="567B0DB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9C9FD7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33C48A0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A3B36F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Jones</w:t>
            </w:r>
          </w:p>
        </w:tc>
        <w:tc>
          <w:tcPr>
            <w:tcW w:w="1730" w:type="dxa"/>
            <w:tcBorders>
              <w:top w:val="nil"/>
              <w:left w:val="nil"/>
              <w:bottom w:val="single" w:sz="4" w:space="0" w:color="auto"/>
              <w:right w:val="single" w:sz="4" w:space="0" w:color="auto"/>
            </w:tcBorders>
            <w:shd w:val="clear" w:color="auto" w:fill="auto"/>
            <w:noWrap/>
            <w:vAlign w:val="bottom"/>
            <w:hideMark/>
          </w:tcPr>
          <w:p w14:paraId="0CB9732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32</w:t>
            </w:r>
          </w:p>
        </w:tc>
        <w:tc>
          <w:tcPr>
            <w:tcW w:w="1786" w:type="dxa"/>
            <w:tcBorders>
              <w:top w:val="nil"/>
              <w:left w:val="nil"/>
              <w:bottom w:val="single" w:sz="4" w:space="0" w:color="auto"/>
              <w:right w:val="single" w:sz="4" w:space="0" w:color="auto"/>
            </w:tcBorders>
            <w:shd w:val="clear" w:color="auto" w:fill="auto"/>
            <w:noWrap/>
            <w:vAlign w:val="bottom"/>
            <w:hideMark/>
          </w:tcPr>
          <w:p w14:paraId="4182B66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4E9D034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892D36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5648EEB"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5F11620"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Lee</w:t>
            </w:r>
          </w:p>
        </w:tc>
        <w:tc>
          <w:tcPr>
            <w:tcW w:w="1730" w:type="dxa"/>
            <w:tcBorders>
              <w:top w:val="nil"/>
              <w:left w:val="nil"/>
              <w:bottom w:val="single" w:sz="4" w:space="0" w:color="auto"/>
              <w:right w:val="single" w:sz="4" w:space="0" w:color="auto"/>
            </w:tcBorders>
            <w:shd w:val="clear" w:color="auto" w:fill="auto"/>
            <w:noWrap/>
            <w:vAlign w:val="bottom"/>
            <w:hideMark/>
          </w:tcPr>
          <w:p w14:paraId="5CEA97B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343</w:t>
            </w:r>
          </w:p>
        </w:tc>
        <w:tc>
          <w:tcPr>
            <w:tcW w:w="1786" w:type="dxa"/>
            <w:tcBorders>
              <w:top w:val="nil"/>
              <w:left w:val="nil"/>
              <w:bottom w:val="single" w:sz="4" w:space="0" w:color="auto"/>
              <w:right w:val="single" w:sz="4" w:space="0" w:color="auto"/>
            </w:tcBorders>
            <w:shd w:val="clear" w:color="auto" w:fill="auto"/>
            <w:noWrap/>
            <w:vAlign w:val="bottom"/>
            <w:hideMark/>
          </w:tcPr>
          <w:p w14:paraId="2ECA923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131</w:t>
            </w:r>
          </w:p>
        </w:tc>
        <w:tc>
          <w:tcPr>
            <w:tcW w:w="2008" w:type="dxa"/>
            <w:tcBorders>
              <w:top w:val="nil"/>
              <w:left w:val="nil"/>
              <w:bottom w:val="single" w:sz="4" w:space="0" w:color="auto"/>
              <w:right w:val="single" w:sz="4" w:space="0" w:color="auto"/>
            </w:tcBorders>
            <w:shd w:val="clear" w:color="auto" w:fill="auto"/>
            <w:noWrap/>
            <w:vAlign w:val="bottom"/>
            <w:hideMark/>
          </w:tcPr>
          <w:p w14:paraId="2C57CF7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c>
          <w:tcPr>
            <w:tcW w:w="2163" w:type="dxa"/>
            <w:tcBorders>
              <w:top w:val="nil"/>
              <w:left w:val="nil"/>
              <w:bottom w:val="single" w:sz="4" w:space="0" w:color="auto"/>
              <w:right w:val="single" w:sz="4" w:space="0" w:color="auto"/>
            </w:tcBorders>
            <w:shd w:val="clear" w:color="auto" w:fill="auto"/>
            <w:noWrap/>
            <w:vAlign w:val="bottom"/>
            <w:hideMark/>
          </w:tcPr>
          <w:p w14:paraId="3FBF351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734B5A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DCBA5D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Lenoir</w:t>
            </w:r>
          </w:p>
        </w:tc>
        <w:tc>
          <w:tcPr>
            <w:tcW w:w="1730" w:type="dxa"/>
            <w:tcBorders>
              <w:top w:val="nil"/>
              <w:left w:val="nil"/>
              <w:bottom w:val="single" w:sz="4" w:space="0" w:color="auto"/>
              <w:right w:val="single" w:sz="4" w:space="0" w:color="auto"/>
            </w:tcBorders>
            <w:shd w:val="clear" w:color="auto" w:fill="auto"/>
            <w:noWrap/>
            <w:vAlign w:val="bottom"/>
            <w:hideMark/>
          </w:tcPr>
          <w:p w14:paraId="28A6D69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281</w:t>
            </w:r>
          </w:p>
        </w:tc>
        <w:tc>
          <w:tcPr>
            <w:tcW w:w="1786" w:type="dxa"/>
            <w:tcBorders>
              <w:top w:val="nil"/>
              <w:left w:val="nil"/>
              <w:bottom w:val="single" w:sz="4" w:space="0" w:color="auto"/>
              <w:right w:val="single" w:sz="4" w:space="0" w:color="auto"/>
            </w:tcBorders>
            <w:shd w:val="clear" w:color="auto" w:fill="auto"/>
            <w:noWrap/>
            <w:vAlign w:val="bottom"/>
            <w:hideMark/>
          </w:tcPr>
          <w:p w14:paraId="2384423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257</w:t>
            </w:r>
          </w:p>
        </w:tc>
        <w:tc>
          <w:tcPr>
            <w:tcW w:w="2008" w:type="dxa"/>
            <w:tcBorders>
              <w:top w:val="nil"/>
              <w:left w:val="nil"/>
              <w:bottom w:val="single" w:sz="4" w:space="0" w:color="auto"/>
              <w:right w:val="single" w:sz="4" w:space="0" w:color="auto"/>
            </w:tcBorders>
            <w:shd w:val="clear" w:color="auto" w:fill="auto"/>
            <w:noWrap/>
            <w:vAlign w:val="bottom"/>
            <w:hideMark/>
          </w:tcPr>
          <w:p w14:paraId="23EE0C0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163" w:type="dxa"/>
            <w:tcBorders>
              <w:top w:val="nil"/>
              <w:left w:val="nil"/>
              <w:bottom w:val="single" w:sz="4" w:space="0" w:color="auto"/>
              <w:right w:val="single" w:sz="4" w:space="0" w:color="auto"/>
            </w:tcBorders>
            <w:shd w:val="clear" w:color="auto" w:fill="auto"/>
            <w:noWrap/>
            <w:vAlign w:val="bottom"/>
            <w:hideMark/>
          </w:tcPr>
          <w:p w14:paraId="7E4F672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107</w:t>
            </w:r>
          </w:p>
        </w:tc>
      </w:tr>
      <w:tr w:rsidR="00482169" w:rsidRPr="000E652F" w14:paraId="70D7687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C2AB9B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Lincoln</w:t>
            </w:r>
          </w:p>
        </w:tc>
        <w:tc>
          <w:tcPr>
            <w:tcW w:w="1730" w:type="dxa"/>
            <w:tcBorders>
              <w:top w:val="nil"/>
              <w:left w:val="nil"/>
              <w:bottom w:val="single" w:sz="4" w:space="0" w:color="auto"/>
              <w:right w:val="single" w:sz="4" w:space="0" w:color="auto"/>
            </w:tcBorders>
            <w:shd w:val="clear" w:color="auto" w:fill="auto"/>
            <w:noWrap/>
            <w:vAlign w:val="bottom"/>
            <w:hideMark/>
          </w:tcPr>
          <w:p w14:paraId="1E24663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99</w:t>
            </w:r>
          </w:p>
        </w:tc>
        <w:tc>
          <w:tcPr>
            <w:tcW w:w="1786" w:type="dxa"/>
            <w:tcBorders>
              <w:top w:val="nil"/>
              <w:left w:val="nil"/>
              <w:bottom w:val="single" w:sz="4" w:space="0" w:color="auto"/>
              <w:right w:val="single" w:sz="4" w:space="0" w:color="auto"/>
            </w:tcBorders>
            <w:shd w:val="clear" w:color="auto" w:fill="auto"/>
            <w:noWrap/>
            <w:vAlign w:val="bottom"/>
            <w:hideMark/>
          </w:tcPr>
          <w:p w14:paraId="7572550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c>
          <w:tcPr>
            <w:tcW w:w="2008" w:type="dxa"/>
            <w:tcBorders>
              <w:top w:val="nil"/>
              <w:left w:val="nil"/>
              <w:bottom w:val="single" w:sz="4" w:space="0" w:color="auto"/>
              <w:right w:val="single" w:sz="4" w:space="0" w:color="auto"/>
            </w:tcBorders>
            <w:shd w:val="clear" w:color="auto" w:fill="auto"/>
            <w:noWrap/>
            <w:vAlign w:val="bottom"/>
            <w:hideMark/>
          </w:tcPr>
          <w:p w14:paraId="3E34A97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556DFE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25F871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2CEAF9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Macon</w:t>
            </w:r>
          </w:p>
        </w:tc>
        <w:tc>
          <w:tcPr>
            <w:tcW w:w="1730" w:type="dxa"/>
            <w:tcBorders>
              <w:top w:val="nil"/>
              <w:left w:val="nil"/>
              <w:bottom w:val="single" w:sz="4" w:space="0" w:color="auto"/>
              <w:right w:val="single" w:sz="4" w:space="0" w:color="auto"/>
            </w:tcBorders>
            <w:shd w:val="clear" w:color="auto" w:fill="auto"/>
            <w:noWrap/>
            <w:vAlign w:val="bottom"/>
            <w:hideMark/>
          </w:tcPr>
          <w:p w14:paraId="1E33D78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103</w:t>
            </w:r>
          </w:p>
        </w:tc>
        <w:tc>
          <w:tcPr>
            <w:tcW w:w="1786" w:type="dxa"/>
            <w:tcBorders>
              <w:top w:val="nil"/>
              <w:left w:val="nil"/>
              <w:bottom w:val="single" w:sz="4" w:space="0" w:color="auto"/>
              <w:right w:val="single" w:sz="4" w:space="0" w:color="auto"/>
            </w:tcBorders>
            <w:shd w:val="clear" w:color="auto" w:fill="auto"/>
            <w:noWrap/>
            <w:vAlign w:val="bottom"/>
            <w:hideMark/>
          </w:tcPr>
          <w:p w14:paraId="45E11AE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67D30D1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96</w:t>
            </w:r>
          </w:p>
        </w:tc>
        <w:tc>
          <w:tcPr>
            <w:tcW w:w="2163" w:type="dxa"/>
            <w:tcBorders>
              <w:top w:val="nil"/>
              <w:left w:val="nil"/>
              <w:bottom w:val="single" w:sz="4" w:space="0" w:color="auto"/>
              <w:right w:val="single" w:sz="4" w:space="0" w:color="auto"/>
            </w:tcBorders>
            <w:shd w:val="clear" w:color="auto" w:fill="auto"/>
            <w:noWrap/>
            <w:vAlign w:val="bottom"/>
            <w:hideMark/>
          </w:tcPr>
          <w:p w14:paraId="26A9925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1B9E8564"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5CE70B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Madison</w:t>
            </w:r>
          </w:p>
        </w:tc>
        <w:tc>
          <w:tcPr>
            <w:tcW w:w="1730" w:type="dxa"/>
            <w:tcBorders>
              <w:top w:val="nil"/>
              <w:left w:val="nil"/>
              <w:bottom w:val="single" w:sz="4" w:space="0" w:color="auto"/>
              <w:right w:val="single" w:sz="4" w:space="0" w:color="auto"/>
            </w:tcBorders>
            <w:shd w:val="clear" w:color="auto" w:fill="auto"/>
            <w:noWrap/>
            <w:vAlign w:val="bottom"/>
            <w:hideMark/>
          </w:tcPr>
          <w:p w14:paraId="4BC81EB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w:t>
            </w:r>
          </w:p>
        </w:tc>
        <w:tc>
          <w:tcPr>
            <w:tcW w:w="1786" w:type="dxa"/>
            <w:tcBorders>
              <w:top w:val="nil"/>
              <w:left w:val="nil"/>
              <w:bottom w:val="single" w:sz="4" w:space="0" w:color="auto"/>
              <w:right w:val="single" w:sz="4" w:space="0" w:color="auto"/>
            </w:tcBorders>
            <w:shd w:val="clear" w:color="auto" w:fill="auto"/>
            <w:noWrap/>
            <w:vAlign w:val="bottom"/>
            <w:hideMark/>
          </w:tcPr>
          <w:p w14:paraId="574FF9D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3230D4B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65D7D5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13994C4"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B7020C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Martin</w:t>
            </w:r>
          </w:p>
        </w:tc>
        <w:tc>
          <w:tcPr>
            <w:tcW w:w="1730" w:type="dxa"/>
            <w:tcBorders>
              <w:top w:val="nil"/>
              <w:left w:val="nil"/>
              <w:bottom w:val="single" w:sz="4" w:space="0" w:color="auto"/>
              <w:right w:val="single" w:sz="4" w:space="0" w:color="auto"/>
            </w:tcBorders>
            <w:shd w:val="clear" w:color="auto" w:fill="auto"/>
            <w:noWrap/>
            <w:vAlign w:val="bottom"/>
            <w:hideMark/>
          </w:tcPr>
          <w:p w14:paraId="07A7194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69</w:t>
            </w:r>
          </w:p>
        </w:tc>
        <w:tc>
          <w:tcPr>
            <w:tcW w:w="1786" w:type="dxa"/>
            <w:tcBorders>
              <w:top w:val="nil"/>
              <w:left w:val="nil"/>
              <w:bottom w:val="single" w:sz="4" w:space="0" w:color="auto"/>
              <w:right w:val="single" w:sz="4" w:space="0" w:color="auto"/>
            </w:tcBorders>
            <w:shd w:val="clear" w:color="auto" w:fill="auto"/>
            <w:noWrap/>
            <w:vAlign w:val="bottom"/>
            <w:hideMark/>
          </w:tcPr>
          <w:p w14:paraId="3081E3E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008" w:type="dxa"/>
            <w:tcBorders>
              <w:top w:val="nil"/>
              <w:left w:val="nil"/>
              <w:bottom w:val="single" w:sz="4" w:space="0" w:color="auto"/>
              <w:right w:val="single" w:sz="4" w:space="0" w:color="auto"/>
            </w:tcBorders>
            <w:shd w:val="clear" w:color="auto" w:fill="auto"/>
            <w:noWrap/>
            <w:vAlign w:val="bottom"/>
            <w:hideMark/>
          </w:tcPr>
          <w:p w14:paraId="0211F63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61F137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D34B81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90D154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McDowell</w:t>
            </w:r>
          </w:p>
        </w:tc>
        <w:tc>
          <w:tcPr>
            <w:tcW w:w="1730" w:type="dxa"/>
            <w:tcBorders>
              <w:top w:val="nil"/>
              <w:left w:val="nil"/>
              <w:bottom w:val="single" w:sz="4" w:space="0" w:color="auto"/>
              <w:right w:val="single" w:sz="4" w:space="0" w:color="auto"/>
            </w:tcBorders>
            <w:shd w:val="clear" w:color="auto" w:fill="auto"/>
            <w:noWrap/>
            <w:vAlign w:val="bottom"/>
            <w:hideMark/>
          </w:tcPr>
          <w:p w14:paraId="15F75AD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89</w:t>
            </w:r>
          </w:p>
        </w:tc>
        <w:tc>
          <w:tcPr>
            <w:tcW w:w="1786" w:type="dxa"/>
            <w:tcBorders>
              <w:top w:val="nil"/>
              <w:left w:val="nil"/>
              <w:bottom w:val="single" w:sz="4" w:space="0" w:color="auto"/>
              <w:right w:val="single" w:sz="4" w:space="0" w:color="auto"/>
            </w:tcBorders>
            <w:shd w:val="clear" w:color="auto" w:fill="auto"/>
            <w:noWrap/>
            <w:vAlign w:val="bottom"/>
            <w:hideMark/>
          </w:tcPr>
          <w:p w14:paraId="4D645CC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c>
          <w:tcPr>
            <w:tcW w:w="2008" w:type="dxa"/>
            <w:tcBorders>
              <w:top w:val="nil"/>
              <w:left w:val="nil"/>
              <w:bottom w:val="single" w:sz="4" w:space="0" w:color="auto"/>
              <w:right w:val="single" w:sz="4" w:space="0" w:color="auto"/>
            </w:tcBorders>
            <w:shd w:val="clear" w:color="auto" w:fill="auto"/>
            <w:noWrap/>
            <w:vAlign w:val="bottom"/>
            <w:hideMark/>
          </w:tcPr>
          <w:p w14:paraId="1E47BEA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44</w:t>
            </w:r>
          </w:p>
        </w:tc>
        <w:tc>
          <w:tcPr>
            <w:tcW w:w="2163" w:type="dxa"/>
            <w:tcBorders>
              <w:top w:val="nil"/>
              <w:left w:val="nil"/>
              <w:bottom w:val="single" w:sz="4" w:space="0" w:color="auto"/>
              <w:right w:val="single" w:sz="4" w:space="0" w:color="auto"/>
            </w:tcBorders>
            <w:shd w:val="clear" w:color="auto" w:fill="auto"/>
            <w:noWrap/>
            <w:vAlign w:val="bottom"/>
            <w:hideMark/>
          </w:tcPr>
          <w:p w14:paraId="416A7C7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E48D73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A88322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Mecklenburg</w:t>
            </w:r>
          </w:p>
        </w:tc>
        <w:tc>
          <w:tcPr>
            <w:tcW w:w="1730" w:type="dxa"/>
            <w:tcBorders>
              <w:top w:val="nil"/>
              <w:left w:val="nil"/>
              <w:bottom w:val="single" w:sz="4" w:space="0" w:color="auto"/>
              <w:right w:val="single" w:sz="4" w:space="0" w:color="auto"/>
            </w:tcBorders>
            <w:shd w:val="clear" w:color="auto" w:fill="auto"/>
            <w:noWrap/>
            <w:vAlign w:val="bottom"/>
            <w:hideMark/>
          </w:tcPr>
          <w:p w14:paraId="35F931E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994</w:t>
            </w:r>
          </w:p>
        </w:tc>
        <w:tc>
          <w:tcPr>
            <w:tcW w:w="1786" w:type="dxa"/>
            <w:tcBorders>
              <w:top w:val="nil"/>
              <w:left w:val="nil"/>
              <w:bottom w:val="single" w:sz="4" w:space="0" w:color="auto"/>
              <w:right w:val="single" w:sz="4" w:space="0" w:color="auto"/>
            </w:tcBorders>
            <w:shd w:val="clear" w:color="auto" w:fill="auto"/>
            <w:noWrap/>
            <w:vAlign w:val="bottom"/>
            <w:hideMark/>
          </w:tcPr>
          <w:p w14:paraId="33FB363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2,289</w:t>
            </w:r>
          </w:p>
        </w:tc>
        <w:tc>
          <w:tcPr>
            <w:tcW w:w="2008" w:type="dxa"/>
            <w:tcBorders>
              <w:top w:val="nil"/>
              <w:left w:val="nil"/>
              <w:bottom w:val="single" w:sz="4" w:space="0" w:color="auto"/>
              <w:right w:val="single" w:sz="4" w:space="0" w:color="auto"/>
            </w:tcBorders>
            <w:shd w:val="clear" w:color="auto" w:fill="auto"/>
            <w:noWrap/>
            <w:vAlign w:val="bottom"/>
            <w:hideMark/>
          </w:tcPr>
          <w:p w14:paraId="475ACB2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207</w:t>
            </w:r>
          </w:p>
        </w:tc>
        <w:tc>
          <w:tcPr>
            <w:tcW w:w="2163" w:type="dxa"/>
            <w:tcBorders>
              <w:top w:val="nil"/>
              <w:left w:val="nil"/>
              <w:bottom w:val="single" w:sz="4" w:space="0" w:color="auto"/>
              <w:right w:val="single" w:sz="4" w:space="0" w:color="auto"/>
            </w:tcBorders>
            <w:shd w:val="clear" w:color="auto" w:fill="auto"/>
            <w:noWrap/>
            <w:vAlign w:val="bottom"/>
            <w:hideMark/>
          </w:tcPr>
          <w:p w14:paraId="0130200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984</w:t>
            </w:r>
          </w:p>
        </w:tc>
      </w:tr>
      <w:tr w:rsidR="00482169" w:rsidRPr="000E652F" w14:paraId="7EB209C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B749DA4"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Mitchell</w:t>
            </w:r>
          </w:p>
        </w:tc>
        <w:tc>
          <w:tcPr>
            <w:tcW w:w="1730" w:type="dxa"/>
            <w:tcBorders>
              <w:top w:val="nil"/>
              <w:left w:val="nil"/>
              <w:bottom w:val="single" w:sz="4" w:space="0" w:color="auto"/>
              <w:right w:val="single" w:sz="4" w:space="0" w:color="auto"/>
            </w:tcBorders>
            <w:shd w:val="clear" w:color="auto" w:fill="auto"/>
            <w:noWrap/>
            <w:vAlign w:val="bottom"/>
            <w:hideMark/>
          </w:tcPr>
          <w:p w14:paraId="03D060F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1786" w:type="dxa"/>
            <w:tcBorders>
              <w:top w:val="nil"/>
              <w:left w:val="nil"/>
              <w:bottom w:val="single" w:sz="4" w:space="0" w:color="auto"/>
              <w:right w:val="single" w:sz="4" w:space="0" w:color="auto"/>
            </w:tcBorders>
            <w:shd w:val="clear" w:color="auto" w:fill="auto"/>
            <w:noWrap/>
            <w:vAlign w:val="bottom"/>
            <w:hideMark/>
          </w:tcPr>
          <w:p w14:paraId="6C242DA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38</w:t>
            </w:r>
          </w:p>
        </w:tc>
        <w:tc>
          <w:tcPr>
            <w:tcW w:w="2008" w:type="dxa"/>
            <w:tcBorders>
              <w:top w:val="nil"/>
              <w:left w:val="nil"/>
              <w:bottom w:val="single" w:sz="4" w:space="0" w:color="auto"/>
              <w:right w:val="single" w:sz="4" w:space="0" w:color="auto"/>
            </w:tcBorders>
            <w:shd w:val="clear" w:color="auto" w:fill="auto"/>
            <w:noWrap/>
            <w:vAlign w:val="bottom"/>
            <w:hideMark/>
          </w:tcPr>
          <w:p w14:paraId="42F7742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A2F969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EBABBF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F2F1EF2"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Montgomery</w:t>
            </w:r>
          </w:p>
        </w:tc>
        <w:tc>
          <w:tcPr>
            <w:tcW w:w="1730" w:type="dxa"/>
            <w:tcBorders>
              <w:top w:val="nil"/>
              <w:left w:val="nil"/>
              <w:bottom w:val="single" w:sz="4" w:space="0" w:color="auto"/>
              <w:right w:val="single" w:sz="4" w:space="0" w:color="auto"/>
            </w:tcBorders>
            <w:shd w:val="clear" w:color="auto" w:fill="auto"/>
            <w:noWrap/>
            <w:vAlign w:val="bottom"/>
            <w:hideMark/>
          </w:tcPr>
          <w:p w14:paraId="1DC2EE2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91</w:t>
            </w:r>
          </w:p>
        </w:tc>
        <w:tc>
          <w:tcPr>
            <w:tcW w:w="1786" w:type="dxa"/>
            <w:tcBorders>
              <w:top w:val="nil"/>
              <w:left w:val="nil"/>
              <w:bottom w:val="single" w:sz="4" w:space="0" w:color="auto"/>
              <w:right w:val="single" w:sz="4" w:space="0" w:color="auto"/>
            </w:tcBorders>
            <w:shd w:val="clear" w:color="auto" w:fill="auto"/>
            <w:noWrap/>
            <w:vAlign w:val="bottom"/>
            <w:hideMark/>
          </w:tcPr>
          <w:p w14:paraId="5A37FA0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307FDBE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3423DBF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603E66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CCAE5A0"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Moore</w:t>
            </w:r>
          </w:p>
        </w:tc>
        <w:tc>
          <w:tcPr>
            <w:tcW w:w="1730" w:type="dxa"/>
            <w:tcBorders>
              <w:top w:val="nil"/>
              <w:left w:val="nil"/>
              <w:bottom w:val="single" w:sz="4" w:space="0" w:color="auto"/>
              <w:right w:val="single" w:sz="4" w:space="0" w:color="auto"/>
            </w:tcBorders>
            <w:shd w:val="clear" w:color="auto" w:fill="auto"/>
            <w:noWrap/>
            <w:vAlign w:val="bottom"/>
            <w:hideMark/>
          </w:tcPr>
          <w:p w14:paraId="4ED8099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139</w:t>
            </w:r>
          </w:p>
        </w:tc>
        <w:tc>
          <w:tcPr>
            <w:tcW w:w="1786" w:type="dxa"/>
            <w:tcBorders>
              <w:top w:val="nil"/>
              <w:left w:val="nil"/>
              <w:bottom w:val="single" w:sz="4" w:space="0" w:color="auto"/>
              <w:right w:val="single" w:sz="4" w:space="0" w:color="auto"/>
            </w:tcBorders>
            <w:shd w:val="clear" w:color="auto" w:fill="auto"/>
            <w:noWrap/>
            <w:vAlign w:val="bottom"/>
            <w:hideMark/>
          </w:tcPr>
          <w:p w14:paraId="50F5816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c>
          <w:tcPr>
            <w:tcW w:w="2008" w:type="dxa"/>
            <w:tcBorders>
              <w:top w:val="nil"/>
              <w:left w:val="nil"/>
              <w:bottom w:val="single" w:sz="4" w:space="0" w:color="auto"/>
              <w:right w:val="single" w:sz="4" w:space="0" w:color="auto"/>
            </w:tcBorders>
            <w:shd w:val="clear" w:color="auto" w:fill="auto"/>
            <w:noWrap/>
            <w:vAlign w:val="bottom"/>
            <w:hideMark/>
          </w:tcPr>
          <w:p w14:paraId="7571730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c>
          <w:tcPr>
            <w:tcW w:w="2163" w:type="dxa"/>
            <w:tcBorders>
              <w:top w:val="nil"/>
              <w:left w:val="nil"/>
              <w:bottom w:val="single" w:sz="4" w:space="0" w:color="auto"/>
              <w:right w:val="single" w:sz="4" w:space="0" w:color="auto"/>
            </w:tcBorders>
            <w:shd w:val="clear" w:color="auto" w:fill="auto"/>
            <w:noWrap/>
            <w:vAlign w:val="bottom"/>
            <w:hideMark/>
          </w:tcPr>
          <w:p w14:paraId="1C56B90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w:t>
            </w:r>
          </w:p>
        </w:tc>
      </w:tr>
      <w:tr w:rsidR="00482169" w:rsidRPr="000E652F" w14:paraId="3834D7D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EA9E59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Nash</w:t>
            </w:r>
          </w:p>
        </w:tc>
        <w:tc>
          <w:tcPr>
            <w:tcW w:w="1730" w:type="dxa"/>
            <w:tcBorders>
              <w:top w:val="nil"/>
              <w:left w:val="nil"/>
              <w:bottom w:val="single" w:sz="4" w:space="0" w:color="auto"/>
              <w:right w:val="single" w:sz="4" w:space="0" w:color="auto"/>
            </w:tcBorders>
            <w:shd w:val="clear" w:color="auto" w:fill="auto"/>
            <w:noWrap/>
            <w:vAlign w:val="bottom"/>
            <w:hideMark/>
          </w:tcPr>
          <w:p w14:paraId="76DA91B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100</w:t>
            </w:r>
          </w:p>
        </w:tc>
        <w:tc>
          <w:tcPr>
            <w:tcW w:w="1786" w:type="dxa"/>
            <w:tcBorders>
              <w:top w:val="nil"/>
              <w:left w:val="nil"/>
              <w:bottom w:val="single" w:sz="4" w:space="0" w:color="auto"/>
              <w:right w:val="single" w:sz="4" w:space="0" w:color="auto"/>
            </w:tcBorders>
            <w:shd w:val="clear" w:color="auto" w:fill="auto"/>
            <w:noWrap/>
            <w:vAlign w:val="bottom"/>
            <w:hideMark/>
          </w:tcPr>
          <w:p w14:paraId="3A1550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80</w:t>
            </w:r>
          </w:p>
        </w:tc>
        <w:tc>
          <w:tcPr>
            <w:tcW w:w="2008" w:type="dxa"/>
            <w:tcBorders>
              <w:top w:val="nil"/>
              <w:left w:val="nil"/>
              <w:bottom w:val="single" w:sz="4" w:space="0" w:color="auto"/>
              <w:right w:val="single" w:sz="4" w:space="0" w:color="auto"/>
            </w:tcBorders>
            <w:shd w:val="clear" w:color="auto" w:fill="auto"/>
            <w:noWrap/>
            <w:vAlign w:val="bottom"/>
            <w:hideMark/>
          </w:tcPr>
          <w:p w14:paraId="5EB6A1F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F70749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35A0DB4"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E48FB9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New Hanover</w:t>
            </w:r>
          </w:p>
        </w:tc>
        <w:tc>
          <w:tcPr>
            <w:tcW w:w="1730" w:type="dxa"/>
            <w:tcBorders>
              <w:top w:val="nil"/>
              <w:left w:val="nil"/>
              <w:bottom w:val="single" w:sz="4" w:space="0" w:color="auto"/>
              <w:right w:val="single" w:sz="4" w:space="0" w:color="auto"/>
            </w:tcBorders>
            <w:shd w:val="clear" w:color="auto" w:fill="auto"/>
            <w:noWrap/>
            <w:vAlign w:val="bottom"/>
            <w:hideMark/>
          </w:tcPr>
          <w:p w14:paraId="30E7C6D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269</w:t>
            </w:r>
          </w:p>
        </w:tc>
        <w:tc>
          <w:tcPr>
            <w:tcW w:w="1786" w:type="dxa"/>
            <w:tcBorders>
              <w:top w:val="nil"/>
              <w:left w:val="nil"/>
              <w:bottom w:val="single" w:sz="4" w:space="0" w:color="auto"/>
              <w:right w:val="single" w:sz="4" w:space="0" w:color="auto"/>
            </w:tcBorders>
            <w:shd w:val="clear" w:color="auto" w:fill="auto"/>
            <w:noWrap/>
            <w:vAlign w:val="bottom"/>
            <w:hideMark/>
          </w:tcPr>
          <w:p w14:paraId="46C2EAE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785</w:t>
            </w:r>
          </w:p>
        </w:tc>
        <w:tc>
          <w:tcPr>
            <w:tcW w:w="2008" w:type="dxa"/>
            <w:tcBorders>
              <w:top w:val="nil"/>
              <w:left w:val="nil"/>
              <w:bottom w:val="single" w:sz="4" w:space="0" w:color="auto"/>
              <w:right w:val="single" w:sz="4" w:space="0" w:color="auto"/>
            </w:tcBorders>
            <w:shd w:val="clear" w:color="auto" w:fill="auto"/>
            <w:noWrap/>
            <w:vAlign w:val="bottom"/>
            <w:hideMark/>
          </w:tcPr>
          <w:p w14:paraId="3EBBB6B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103</w:t>
            </w:r>
          </w:p>
        </w:tc>
        <w:tc>
          <w:tcPr>
            <w:tcW w:w="2163" w:type="dxa"/>
            <w:tcBorders>
              <w:top w:val="nil"/>
              <w:left w:val="nil"/>
              <w:bottom w:val="single" w:sz="4" w:space="0" w:color="auto"/>
              <w:right w:val="single" w:sz="4" w:space="0" w:color="auto"/>
            </w:tcBorders>
            <w:shd w:val="clear" w:color="auto" w:fill="auto"/>
            <w:noWrap/>
            <w:vAlign w:val="bottom"/>
            <w:hideMark/>
          </w:tcPr>
          <w:p w14:paraId="425CF61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103</w:t>
            </w:r>
          </w:p>
        </w:tc>
      </w:tr>
      <w:tr w:rsidR="00482169" w:rsidRPr="000E652F" w14:paraId="197C1440"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0CC6618"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Northampton</w:t>
            </w:r>
          </w:p>
        </w:tc>
        <w:tc>
          <w:tcPr>
            <w:tcW w:w="1730" w:type="dxa"/>
            <w:tcBorders>
              <w:top w:val="nil"/>
              <w:left w:val="nil"/>
              <w:bottom w:val="single" w:sz="4" w:space="0" w:color="auto"/>
              <w:right w:val="single" w:sz="4" w:space="0" w:color="auto"/>
            </w:tcBorders>
            <w:shd w:val="clear" w:color="auto" w:fill="auto"/>
            <w:noWrap/>
            <w:vAlign w:val="bottom"/>
            <w:hideMark/>
          </w:tcPr>
          <w:p w14:paraId="2C7566E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63</w:t>
            </w:r>
          </w:p>
        </w:tc>
        <w:tc>
          <w:tcPr>
            <w:tcW w:w="1786" w:type="dxa"/>
            <w:tcBorders>
              <w:top w:val="nil"/>
              <w:left w:val="nil"/>
              <w:bottom w:val="single" w:sz="4" w:space="0" w:color="auto"/>
              <w:right w:val="single" w:sz="4" w:space="0" w:color="auto"/>
            </w:tcBorders>
            <w:shd w:val="clear" w:color="auto" w:fill="auto"/>
            <w:noWrap/>
            <w:vAlign w:val="bottom"/>
            <w:hideMark/>
          </w:tcPr>
          <w:p w14:paraId="2EFAABD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30</w:t>
            </w:r>
          </w:p>
        </w:tc>
        <w:tc>
          <w:tcPr>
            <w:tcW w:w="2008" w:type="dxa"/>
            <w:tcBorders>
              <w:top w:val="nil"/>
              <w:left w:val="nil"/>
              <w:bottom w:val="single" w:sz="4" w:space="0" w:color="auto"/>
              <w:right w:val="single" w:sz="4" w:space="0" w:color="auto"/>
            </w:tcBorders>
            <w:shd w:val="clear" w:color="auto" w:fill="auto"/>
            <w:noWrap/>
            <w:vAlign w:val="bottom"/>
            <w:hideMark/>
          </w:tcPr>
          <w:p w14:paraId="619F998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2D2510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30</w:t>
            </w:r>
          </w:p>
        </w:tc>
      </w:tr>
      <w:tr w:rsidR="00482169" w:rsidRPr="000E652F" w14:paraId="512BDA6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8219B63"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Onslow</w:t>
            </w:r>
          </w:p>
        </w:tc>
        <w:tc>
          <w:tcPr>
            <w:tcW w:w="1730" w:type="dxa"/>
            <w:tcBorders>
              <w:top w:val="nil"/>
              <w:left w:val="nil"/>
              <w:bottom w:val="single" w:sz="4" w:space="0" w:color="auto"/>
              <w:right w:val="single" w:sz="4" w:space="0" w:color="auto"/>
            </w:tcBorders>
            <w:shd w:val="clear" w:color="auto" w:fill="auto"/>
            <w:noWrap/>
            <w:vAlign w:val="bottom"/>
            <w:hideMark/>
          </w:tcPr>
          <w:p w14:paraId="4C53116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172</w:t>
            </w:r>
          </w:p>
        </w:tc>
        <w:tc>
          <w:tcPr>
            <w:tcW w:w="1786" w:type="dxa"/>
            <w:tcBorders>
              <w:top w:val="nil"/>
              <w:left w:val="nil"/>
              <w:bottom w:val="single" w:sz="4" w:space="0" w:color="auto"/>
              <w:right w:val="single" w:sz="4" w:space="0" w:color="auto"/>
            </w:tcBorders>
            <w:shd w:val="clear" w:color="auto" w:fill="auto"/>
            <w:noWrap/>
            <w:vAlign w:val="bottom"/>
            <w:hideMark/>
          </w:tcPr>
          <w:p w14:paraId="29CED67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526</w:t>
            </w:r>
          </w:p>
        </w:tc>
        <w:tc>
          <w:tcPr>
            <w:tcW w:w="2008" w:type="dxa"/>
            <w:tcBorders>
              <w:top w:val="nil"/>
              <w:left w:val="nil"/>
              <w:bottom w:val="single" w:sz="4" w:space="0" w:color="auto"/>
              <w:right w:val="single" w:sz="4" w:space="0" w:color="auto"/>
            </w:tcBorders>
            <w:shd w:val="clear" w:color="auto" w:fill="auto"/>
            <w:noWrap/>
            <w:vAlign w:val="bottom"/>
            <w:hideMark/>
          </w:tcPr>
          <w:p w14:paraId="7F05477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894D7E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89990D9"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A65F284"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Orange</w:t>
            </w:r>
          </w:p>
        </w:tc>
        <w:tc>
          <w:tcPr>
            <w:tcW w:w="1730" w:type="dxa"/>
            <w:tcBorders>
              <w:top w:val="nil"/>
              <w:left w:val="nil"/>
              <w:bottom w:val="single" w:sz="4" w:space="0" w:color="auto"/>
              <w:right w:val="single" w:sz="4" w:space="0" w:color="auto"/>
            </w:tcBorders>
            <w:shd w:val="clear" w:color="auto" w:fill="auto"/>
            <w:noWrap/>
            <w:vAlign w:val="bottom"/>
            <w:hideMark/>
          </w:tcPr>
          <w:p w14:paraId="541570A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274</w:t>
            </w:r>
          </w:p>
        </w:tc>
        <w:tc>
          <w:tcPr>
            <w:tcW w:w="1786" w:type="dxa"/>
            <w:tcBorders>
              <w:top w:val="nil"/>
              <w:left w:val="nil"/>
              <w:bottom w:val="single" w:sz="4" w:space="0" w:color="auto"/>
              <w:right w:val="single" w:sz="4" w:space="0" w:color="auto"/>
            </w:tcBorders>
            <w:shd w:val="clear" w:color="auto" w:fill="auto"/>
            <w:noWrap/>
            <w:vAlign w:val="bottom"/>
            <w:hideMark/>
          </w:tcPr>
          <w:p w14:paraId="55902B3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168</w:t>
            </w:r>
          </w:p>
        </w:tc>
        <w:tc>
          <w:tcPr>
            <w:tcW w:w="2008" w:type="dxa"/>
            <w:tcBorders>
              <w:top w:val="nil"/>
              <w:left w:val="nil"/>
              <w:bottom w:val="single" w:sz="4" w:space="0" w:color="auto"/>
              <w:right w:val="single" w:sz="4" w:space="0" w:color="auto"/>
            </w:tcBorders>
            <w:shd w:val="clear" w:color="auto" w:fill="auto"/>
            <w:noWrap/>
            <w:vAlign w:val="bottom"/>
            <w:hideMark/>
          </w:tcPr>
          <w:p w14:paraId="16D771D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91</w:t>
            </w:r>
          </w:p>
        </w:tc>
        <w:tc>
          <w:tcPr>
            <w:tcW w:w="2163" w:type="dxa"/>
            <w:tcBorders>
              <w:top w:val="nil"/>
              <w:left w:val="nil"/>
              <w:bottom w:val="single" w:sz="4" w:space="0" w:color="auto"/>
              <w:right w:val="single" w:sz="4" w:space="0" w:color="auto"/>
            </w:tcBorders>
            <w:shd w:val="clear" w:color="auto" w:fill="auto"/>
            <w:noWrap/>
            <w:vAlign w:val="bottom"/>
            <w:hideMark/>
          </w:tcPr>
          <w:p w14:paraId="6237252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124</w:t>
            </w:r>
          </w:p>
        </w:tc>
      </w:tr>
      <w:tr w:rsidR="00482169" w:rsidRPr="000E652F" w14:paraId="7C1775DF"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656D7C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Pamlico</w:t>
            </w:r>
          </w:p>
        </w:tc>
        <w:tc>
          <w:tcPr>
            <w:tcW w:w="1730" w:type="dxa"/>
            <w:tcBorders>
              <w:top w:val="nil"/>
              <w:left w:val="nil"/>
              <w:bottom w:val="single" w:sz="4" w:space="0" w:color="auto"/>
              <w:right w:val="single" w:sz="4" w:space="0" w:color="auto"/>
            </w:tcBorders>
            <w:shd w:val="clear" w:color="auto" w:fill="auto"/>
            <w:noWrap/>
            <w:vAlign w:val="bottom"/>
            <w:hideMark/>
          </w:tcPr>
          <w:p w14:paraId="3CA1E72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50</w:t>
            </w:r>
          </w:p>
        </w:tc>
        <w:tc>
          <w:tcPr>
            <w:tcW w:w="1786" w:type="dxa"/>
            <w:tcBorders>
              <w:top w:val="nil"/>
              <w:left w:val="nil"/>
              <w:bottom w:val="single" w:sz="4" w:space="0" w:color="auto"/>
              <w:right w:val="single" w:sz="4" w:space="0" w:color="auto"/>
            </w:tcBorders>
            <w:shd w:val="clear" w:color="auto" w:fill="auto"/>
            <w:noWrap/>
            <w:vAlign w:val="bottom"/>
            <w:hideMark/>
          </w:tcPr>
          <w:p w14:paraId="2A2DC3E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c>
          <w:tcPr>
            <w:tcW w:w="2008" w:type="dxa"/>
            <w:tcBorders>
              <w:top w:val="nil"/>
              <w:left w:val="nil"/>
              <w:bottom w:val="single" w:sz="4" w:space="0" w:color="auto"/>
              <w:right w:val="single" w:sz="4" w:space="0" w:color="auto"/>
            </w:tcBorders>
            <w:shd w:val="clear" w:color="auto" w:fill="auto"/>
            <w:noWrap/>
            <w:vAlign w:val="bottom"/>
            <w:hideMark/>
          </w:tcPr>
          <w:p w14:paraId="38C1044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163" w:type="dxa"/>
            <w:tcBorders>
              <w:top w:val="nil"/>
              <w:left w:val="nil"/>
              <w:bottom w:val="single" w:sz="4" w:space="0" w:color="auto"/>
              <w:right w:val="single" w:sz="4" w:space="0" w:color="auto"/>
            </w:tcBorders>
            <w:shd w:val="clear" w:color="auto" w:fill="auto"/>
            <w:noWrap/>
            <w:vAlign w:val="bottom"/>
            <w:hideMark/>
          </w:tcPr>
          <w:p w14:paraId="5FCDFAB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E10682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B11EBD7"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Pasquotank</w:t>
            </w:r>
          </w:p>
        </w:tc>
        <w:tc>
          <w:tcPr>
            <w:tcW w:w="1730" w:type="dxa"/>
            <w:tcBorders>
              <w:top w:val="nil"/>
              <w:left w:val="nil"/>
              <w:bottom w:val="single" w:sz="4" w:space="0" w:color="auto"/>
              <w:right w:val="single" w:sz="4" w:space="0" w:color="auto"/>
            </w:tcBorders>
            <w:shd w:val="clear" w:color="auto" w:fill="auto"/>
            <w:noWrap/>
            <w:vAlign w:val="bottom"/>
            <w:hideMark/>
          </w:tcPr>
          <w:p w14:paraId="69916C7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175</w:t>
            </w:r>
          </w:p>
        </w:tc>
        <w:tc>
          <w:tcPr>
            <w:tcW w:w="1786" w:type="dxa"/>
            <w:tcBorders>
              <w:top w:val="nil"/>
              <w:left w:val="nil"/>
              <w:bottom w:val="single" w:sz="4" w:space="0" w:color="auto"/>
              <w:right w:val="single" w:sz="4" w:space="0" w:color="auto"/>
            </w:tcBorders>
            <w:shd w:val="clear" w:color="auto" w:fill="auto"/>
            <w:noWrap/>
            <w:vAlign w:val="bottom"/>
            <w:hideMark/>
          </w:tcPr>
          <w:p w14:paraId="0AFA4D5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163</w:t>
            </w:r>
          </w:p>
        </w:tc>
        <w:tc>
          <w:tcPr>
            <w:tcW w:w="2008" w:type="dxa"/>
            <w:tcBorders>
              <w:top w:val="nil"/>
              <w:left w:val="nil"/>
              <w:bottom w:val="single" w:sz="4" w:space="0" w:color="auto"/>
              <w:right w:val="single" w:sz="4" w:space="0" w:color="auto"/>
            </w:tcBorders>
            <w:shd w:val="clear" w:color="auto" w:fill="auto"/>
            <w:noWrap/>
            <w:vAlign w:val="bottom"/>
            <w:hideMark/>
          </w:tcPr>
          <w:p w14:paraId="3F76137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w:t>
            </w:r>
          </w:p>
        </w:tc>
        <w:tc>
          <w:tcPr>
            <w:tcW w:w="2163" w:type="dxa"/>
            <w:tcBorders>
              <w:top w:val="nil"/>
              <w:left w:val="nil"/>
              <w:bottom w:val="single" w:sz="4" w:space="0" w:color="auto"/>
              <w:right w:val="single" w:sz="4" w:space="0" w:color="auto"/>
            </w:tcBorders>
            <w:shd w:val="clear" w:color="auto" w:fill="auto"/>
            <w:noWrap/>
            <w:vAlign w:val="bottom"/>
            <w:hideMark/>
          </w:tcPr>
          <w:p w14:paraId="2FD4B42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152777BB"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6778EA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Pender</w:t>
            </w:r>
          </w:p>
        </w:tc>
        <w:tc>
          <w:tcPr>
            <w:tcW w:w="1730" w:type="dxa"/>
            <w:tcBorders>
              <w:top w:val="nil"/>
              <w:left w:val="nil"/>
              <w:bottom w:val="single" w:sz="4" w:space="0" w:color="auto"/>
              <w:right w:val="single" w:sz="4" w:space="0" w:color="auto"/>
            </w:tcBorders>
            <w:shd w:val="clear" w:color="auto" w:fill="auto"/>
            <w:noWrap/>
            <w:vAlign w:val="bottom"/>
            <w:hideMark/>
          </w:tcPr>
          <w:p w14:paraId="53A8A69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70</w:t>
            </w:r>
          </w:p>
        </w:tc>
        <w:tc>
          <w:tcPr>
            <w:tcW w:w="1786" w:type="dxa"/>
            <w:tcBorders>
              <w:top w:val="nil"/>
              <w:left w:val="nil"/>
              <w:bottom w:val="single" w:sz="4" w:space="0" w:color="auto"/>
              <w:right w:val="single" w:sz="4" w:space="0" w:color="auto"/>
            </w:tcBorders>
            <w:shd w:val="clear" w:color="auto" w:fill="auto"/>
            <w:noWrap/>
            <w:vAlign w:val="bottom"/>
            <w:hideMark/>
          </w:tcPr>
          <w:p w14:paraId="080C97E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c>
          <w:tcPr>
            <w:tcW w:w="2008" w:type="dxa"/>
            <w:tcBorders>
              <w:top w:val="nil"/>
              <w:left w:val="nil"/>
              <w:bottom w:val="single" w:sz="4" w:space="0" w:color="auto"/>
              <w:right w:val="single" w:sz="4" w:space="0" w:color="auto"/>
            </w:tcBorders>
            <w:shd w:val="clear" w:color="auto" w:fill="auto"/>
            <w:noWrap/>
            <w:vAlign w:val="bottom"/>
            <w:hideMark/>
          </w:tcPr>
          <w:p w14:paraId="662B20B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F943E5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r>
      <w:tr w:rsidR="00482169" w:rsidRPr="000E652F" w14:paraId="2F2E821A"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628ED4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Perquimans</w:t>
            </w:r>
          </w:p>
        </w:tc>
        <w:tc>
          <w:tcPr>
            <w:tcW w:w="1730" w:type="dxa"/>
            <w:tcBorders>
              <w:top w:val="nil"/>
              <w:left w:val="nil"/>
              <w:bottom w:val="single" w:sz="4" w:space="0" w:color="auto"/>
              <w:right w:val="single" w:sz="4" w:space="0" w:color="auto"/>
            </w:tcBorders>
            <w:shd w:val="clear" w:color="auto" w:fill="auto"/>
            <w:noWrap/>
            <w:vAlign w:val="bottom"/>
            <w:hideMark/>
          </w:tcPr>
          <w:p w14:paraId="0B241E1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c>
          <w:tcPr>
            <w:tcW w:w="1786" w:type="dxa"/>
            <w:tcBorders>
              <w:top w:val="nil"/>
              <w:left w:val="nil"/>
              <w:bottom w:val="single" w:sz="4" w:space="0" w:color="auto"/>
              <w:right w:val="single" w:sz="4" w:space="0" w:color="auto"/>
            </w:tcBorders>
            <w:shd w:val="clear" w:color="auto" w:fill="auto"/>
            <w:noWrap/>
            <w:vAlign w:val="bottom"/>
            <w:hideMark/>
          </w:tcPr>
          <w:p w14:paraId="03A3ACB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3925466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660A2B5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F0C746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641E7D4"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Person</w:t>
            </w:r>
          </w:p>
        </w:tc>
        <w:tc>
          <w:tcPr>
            <w:tcW w:w="1730" w:type="dxa"/>
            <w:tcBorders>
              <w:top w:val="nil"/>
              <w:left w:val="nil"/>
              <w:bottom w:val="single" w:sz="4" w:space="0" w:color="auto"/>
              <w:right w:val="single" w:sz="4" w:space="0" w:color="auto"/>
            </w:tcBorders>
            <w:shd w:val="clear" w:color="auto" w:fill="auto"/>
            <w:noWrap/>
            <w:vAlign w:val="bottom"/>
            <w:hideMark/>
          </w:tcPr>
          <w:p w14:paraId="4967755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69</w:t>
            </w:r>
          </w:p>
        </w:tc>
        <w:tc>
          <w:tcPr>
            <w:tcW w:w="1786" w:type="dxa"/>
            <w:tcBorders>
              <w:top w:val="nil"/>
              <w:left w:val="nil"/>
              <w:bottom w:val="single" w:sz="4" w:space="0" w:color="auto"/>
              <w:right w:val="single" w:sz="4" w:space="0" w:color="auto"/>
            </w:tcBorders>
            <w:shd w:val="clear" w:color="auto" w:fill="auto"/>
            <w:noWrap/>
            <w:vAlign w:val="bottom"/>
            <w:hideMark/>
          </w:tcPr>
          <w:p w14:paraId="210CCBA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138</w:t>
            </w:r>
          </w:p>
        </w:tc>
        <w:tc>
          <w:tcPr>
            <w:tcW w:w="2008" w:type="dxa"/>
            <w:tcBorders>
              <w:top w:val="nil"/>
              <w:left w:val="nil"/>
              <w:bottom w:val="single" w:sz="4" w:space="0" w:color="auto"/>
              <w:right w:val="single" w:sz="4" w:space="0" w:color="auto"/>
            </w:tcBorders>
            <w:shd w:val="clear" w:color="auto" w:fill="auto"/>
            <w:noWrap/>
            <w:vAlign w:val="bottom"/>
            <w:hideMark/>
          </w:tcPr>
          <w:p w14:paraId="02EE22C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04B92D5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3921962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BD9E362"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Pitt</w:t>
            </w:r>
          </w:p>
        </w:tc>
        <w:tc>
          <w:tcPr>
            <w:tcW w:w="1730" w:type="dxa"/>
            <w:tcBorders>
              <w:top w:val="nil"/>
              <w:left w:val="nil"/>
              <w:bottom w:val="single" w:sz="4" w:space="0" w:color="auto"/>
              <w:right w:val="single" w:sz="4" w:space="0" w:color="auto"/>
            </w:tcBorders>
            <w:shd w:val="clear" w:color="auto" w:fill="auto"/>
            <w:noWrap/>
            <w:vAlign w:val="bottom"/>
            <w:hideMark/>
          </w:tcPr>
          <w:p w14:paraId="60F4E09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335</w:t>
            </w:r>
          </w:p>
        </w:tc>
        <w:tc>
          <w:tcPr>
            <w:tcW w:w="1786" w:type="dxa"/>
            <w:tcBorders>
              <w:top w:val="nil"/>
              <w:left w:val="nil"/>
              <w:bottom w:val="single" w:sz="4" w:space="0" w:color="auto"/>
              <w:right w:val="single" w:sz="4" w:space="0" w:color="auto"/>
            </w:tcBorders>
            <w:shd w:val="clear" w:color="auto" w:fill="auto"/>
            <w:noWrap/>
            <w:vAlign w:val="bottom"/>
            <w:hideMark/>
          </w:tcPr>
          <w:p w14:paraId="2D5917B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383</w:t>
            </w:r>
          </w:p>
        </w:tc>
        <w:tc>
          <w:tcPr>
            <w:tcW w:w="2008" w:type="dxa"/>
            <w:tcBorders>
              <w:top w:val="nil"/>
              <w:left w:val="nil"/>
              <w:bottom w:val="single" w:sz="4" w:space="0" w:color="auto"/>
              <w:right w:val="single" w:sz="4" w:space="0" w:color="auto"/>
            </w:tcBorders>
            <w:shd w:val="clear" w:color="auto" w:fill="auto"/>
            <w:noWrap/>
            <w:vAlign w:val="bottom"/>
            <w:hideMark/>
          </w:tcPr>
          <w:p w14:paraId="4DEE871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33</w:t>
            </w:r>
          </w:p>
        </w:tc>
        <w:tc>
          <w:tcPr>
            <w:tcW w:w="2163" w:type="dxa"/>
            <w:tcBorders>
              <w:top w:val="nil"/>
              <w:left w:val="nil"/>
              <w:bottom w:val="single" w:sz="4" w:space="0" w:color="auto"/>
              <w:right w:val="single" w:sz="4" w:space="0" w:color="auto"/>
            </w:tcBorders>
            <w:shd w:val="clear" w:color="auto" w:fill="auto"/>
            <w:noWrap/>
            <w:vAlign w:val="bottom"/>
            <w:hideMark/>
          </w:tcPr>
          <w:p w14:paraId="52C05FA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r>
      <w:tr w:rsidR="00482169" w:rsidRPr="000E652F" w14:paraId="2664F89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889466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Polk</w:t>
            </w:r>
          </w:p>
        </w:tc>
        <w:tc>
          <w:tcPr>
            <w:tcW w:w="1730" w:type="dxa"/>
            <w:tcBorders>
              <w:top w:val="nil"/>
              <w:left w:val="nil"/>
              <w:bottom w:val="single" w:sz="4" w:space="0" w:color="auto"/>
              <w:right w:val="single" w:sz="4" w:space="0" w:color="auto"/>
            </w:tcBorders>
            <w:shd w:val="clear" w:color="auto" w:fill="auto"/>
            <w:noWrap/>
            <w:vAlign w:val="bottom"/>
            <w:hideMark/>
          </w:tcPr>
          <w:p w14:paraId="255DE1A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w:t>
            </w:r>
          </w:p>
        </w:tc>
        <w:tc>
          <w:tcPr>
            <w:tcW w:w="1786" w:type="dxa"/>
            <w:tcBorders>
              <w:top w:val="nil"/>
              <w:left w:val="nil"/>
              <w:bottom w:val="single" w:sz="4" w:space="0" w:color="auto"/>
              <w:right w:val="single" w:sz="4" w:space="0" w:color="auto"/>
            </w:tcBorders>
            <w:shd w:val="clear" w:color="auto" w:fill="auto"/>
            <w:noWrap/>
            <w:vAlign w:val="bottom"/>
            <w:hideMark/>
          </w:tcPr>
          <w:p w14:paraId="1DA6015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048EE36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8B72DC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4C7DE6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AA0F6D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Randolph</w:t>
            </w:r>
          </w:p>
        </w:tc>
        <w:tc>
          <w:tcPr>
            <w:tcW w:w="1730" w:type="dxa"/>
            <w:tcBorders>
              <w:top w:val="nil"/>
              <w:left w:val="nil"/>
              <w:bottom w:val="single" w:sz="4" w:space="0" w:color="auto"/>
              <w:right w:val="single" w:sz="4" w:space="0" w:color="auto"/>
            </w:tcBorders>
            <w:shd w:val="clear" w:color="auto" w:fill="auto"/>
            <w:noWrap/>
            <w:vAlign w:val="bottom"/>
            <w:hideMark/>
          </w:tcPr>
          <w:p w14:paraId="5C2A955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182</w:t>
            </w:r>
          </w:p>
        </w:tc>
        <w:tc>
          <w:tcPr>
            <w:tcW w:w="1786" w:type="dxa"/>
            <w:tcBorders>
              <w:top w:val="nil"/>
              <w:left w:val="nil"/>
              <w:bottom w:val="single" w:sz="4" w:space="0" w:color="auto"/>
              <w:right w:val="single" w:sz="4" w:space="0" w:color="auto"/>
            </w:tcBorders>
            <w:shd w:val="clear" w:color="auto" w:fill="auto"/>
            <w:noWrap/>
            <w:vAlign w:val="bottom"/>
            <w:hideMark/>
          </w:tcPr>
          <w:p w14:paraId="68AFC80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213</w:t>
            </w:r>
          </w:p>
        </w:tc>
        <w:tc>
          <w:tcPr>
            <w:tcW w:w="2008" w:type="dxa"/>
            <w:tcBorders>
              <w:top w:val="nil"/>
              <w:left w:val="nil"/>
              <w:bottom w:val="single" w:sz="4" w:space="0" w:color="auto"/>
              <w:right w:val="single" w:sz="4" w:space="0" w:color="auto"/>
            </w:tcBorders>
            <w:shd w:val="clear" w:color="auto" w:fill="auto"/>
            <w:noWrap/>
            <w:vAlign w:val="bottom"/>
            <w:hideMark/>
          </w:tcPr>
          <w:p w14:paraId="3A9A835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30</w:t>
            </w:r>
          </w:p>
        </w:tc>
        <w:tc>
          <w:tcPr>
            <w:tcW w:w="2163" w:type="dxa"/>
            <w:tcBorders>
              <w:top w:val="nil"/>
              <w:left w:val="nil"/>
              <w:bottom w:val="single" w:sz="4" w:space="0" w:color="auto"/>
              <w:right w:val="single" w:sz="4" w:space="0" w:color="auto"/>
            </w:tcBorders>
            <w:shd w:val="clear" w:color="auto" w:fill="auto"/>
            <w:noWrap/>
            <w:vAlign w:val="bottom"/>
            <w:hideMark/>
          </w:tcPr>
          <w:p w14:paraId="54ACD08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123</w:t>
            </w:r>
          </w:p>
        </w:tc>
      </w:tr>
      <w:tr w:rsidR="00482169" w:rsidRPr="000E652F" w14:paraId="0F856599"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2ABBA5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Richmond</w:t>
            </w:r>
          </w:p>
        </w:tc>
        <w:tc>
          <w:tcPr>
            <w:tcW w:w="1730" w:type="dxa"/>
            <w:tcBorders>
              <w:top w:val="nil"/>
              <w:left w:val="nil"/>
              <w:bottom w:val="single" w:sz="4" w:space="0" w:color="auto"/>
              <w:right w:val="single" w:sz="4" w:space="0" w:color="auto"/>
            </w:tcBorders>
            <w:shd w:val="clear" w:color="auto" w:fill="auto"/>
            <w:noWrap/>
            <w:vAlign w:val="bottom"/>
            <w:hideMark/>
          </w:tcPr>
          <w:p w14:paraId="111923F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129</w:t>
            </w:r>
          </w:p>
        </w:tc>
        <w:tc>
          <w:tcPr>
            <w:tcW w:w="1786" w:type="dxa"/>
            <w:tcBorders>
              <w:top w:val="nil"/>
              <w:left w:val="nil"/>
              <w:bottom w:val="single" w:sz="4" w:space="0" w:color="auto"/>
              <w:right w:val="single" w:sz="4" w:space="0" w:color="auto"/>
            </w:tcBorders>
            <w:shd w:val="clear" w:color="auto" w:fill="auto"/>
            <w:noWrap/>
            <w:vAlign w:val="bottom"/>
            <w:hideMark/>
          </w:tcPr>
          <w:p w14:paraId="0C851AE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82</w:t>
            </w:r>
          </w:p>
        </w:tc>
        <w:tc>
          <w:tcPr>
            <w:tcW w:w="2008" w:type="dxa"/>
            <w:tcBorders>
              <w:top w:val="nil"/>
              <w:left w:val="nil"/>
              <w:bottom w:val="single" w:sz="4" w:space="0" w:color="auto"/>
              <w:right w:val="single" w:sz="4" w:space="0" w:color="auto"/>
            </w:tcBorders>
            <w:shd w:val="clear" w:color="auto" w:fill="auto"/>
            <w:noWrap/>
            <w:vAlign w:val="bottom"/>
            <w:hideMark/>
          </w:tcPr>
          <w:p w14:paraId="69655FB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c>
          <w:tcPr>
            <w:tcW w:w="2163" w:type="dxa"/>
            <w:tcBorders>
              <w:top w:val="nil"/>
              <w:left w:val="nil"/>
              <w:bottom w:val="single" w:sz="4" w:space="0" w:color="auto"/>
              <w:right w:val="single" w:sz="4" w:space="0" w:color="auto"/>
            </w:tcBorders>
            <w:shd w:val="clear" w:color="auto" w:fill="auto"/>
            <w:noWrap/>
            <w:vAlign w:val="bottom"/>
            <w:hideMark/>
          </w:tcPr>
          <w:p w14:paraId="7116B75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2C942BC"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B9746F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Robeson</w:t>
            </w:r>
          </w:p>
        </w:tc>
        <w:tc>
          <w:tcPr>
            <w:tcW w:w="1730" w:type="dxa"/>
            <w:tcBorders>
              <w:top w:val="nil"/>
              <w:left w:val="nil"/>
              <w:bottom w:val="single" w:sz="4" w:space="0" w:color="auto"/>
              <w:right w:val="single" w:sz="4" w:space="0" w:color="auto"/>
            </w:tcBorders>
            <w:shd w:val="clear" w:color="auto" w:fill="auto"/>
            <w:noWrap/>
            <w:vAlign w:val="bottom"/>
            <w:hideMark/>
          </w:tcPr>
          <w:p w14:paraId="458A6E4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475</w:t>
            </w:r>
          </w:p>
        </w:tc>
        <w:tc>
          <w:tcPr>
            <w:tcW w:w="1786" w:type="dxa"/>
            <w:tcBorders>
              <w:top w:val="nil"/>
              <w:left w:val="nil"/>
              <w:bottom w:val="single" w:sz="4" w:space="0" w:color="auto"/>
              <w:right w:val="single" w:sz="4" w:space="0" w:color="auto"/>
            </w:tcBorders>
            <w:shd w:val="clear" w:color="auto" w:fill="auto"/>
            <w:noWrap/>
            <w:vAlign w:val="bottom"/>
            <w:hideMark/>
          </w:tcPr>
          <w:p w14:paraId="6AB4D5D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301</w:t>
            </w:r>
          </w:p>
        </w:tc>
        <w:tc>
          <w:tcPr>
            <w:tcW w:w="2008" w:type="dxa"/>
            <w:tcBorders>
              <w:top w:val="nil"/>
              <w:left w:val="nil"/>
              <w:bottom w:val="single" w:sz="4" w:space="0" w:color="auto"/>
              <w:right w:val="single" w:sz="4" w:space="0" w:color="auto"/>
            </w:tcBorders>
            <w:shd w:val="clear" w:color="auto" w:fill="auto"/>
            <w:noWrap/>
            <w:vAlign w:val="bottom"/>
            <w:hideMark/>
          </w:tcPr>
          <w:p w14:paraId="367C2FE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545D35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97</w:t>
            </w:r>
          </w:p>
        </w:tc>
      </w:tr>
      <w:tr w:rsidR="00482169" w:rsidRPr="000E652F" w14:paraId="5146B0E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E1224DA"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Rockingham</w:t>
            </w:r>
          </w:p>
        </w:tc>
        <w:tc>
          <w:tcPr>
            <w:tcW w:w="1730" w:type="dxa"/>
            <w:tcBorders>
              <w:top w:val="nil"/>
              <w:left w:val="nil"/>
              <w:bottom w:val="single" w:sz="4" w:space="0" w:color="auto"/>
              <w:right w:val="single" w:sz="4" w:space="0" w:color="auto"/>
            </w:tcBorders>
            <w:shd w:val="clear" w:color="auto" w:fill="auto"/>
            <w:noWrap/>
            <w:vAlign w:val="bottom"/>
            <w:hideMark/>
          </w:tcPr>
          <w:p w14:paraId="091C911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286</w:t>
            </w:r>
          </w:p>
        </w:tc>
        <w:tc>
          <w:tcPr>
            <w:tcW w:w="1786" w:type="dxa"/>
            <w:tcBorders>
              <w:top w:val="nil"/>
              <w:left w:val="nil"/>
              <w:bottom w:val="single" w:sz="4" w:space="0" w:color="auto"/>
              <w:right w:val="single" w:sz="4" w:space="0" w:color="auto"/>
            </w:tcBorders>
            <w:shd w:val="clear" w:color="auto" w:fill="auto"/>
            <w:noWrap/>
            <w:vAlign w:val="bottom"/>
            <w:hideMark/>
          </w:tcPr>
          <w:p w14:paraId="27F70DA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4BD3818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40</w:t>
            </w:r>
          </w:p>
        </w:tc>
        <w:tc>
          <w:tcPr>
            <w:tcW w:w="2163" w:type="dxa"/>
            <w:tcBorders>
              <w:top w:val="nil"/>
              <w:left w:val="nil"/>
              <w:bottom w:val="single" w:sz="4" w:space="0" w:color="auto"/>
              <w:right w:val="single" w:sz="4" w:space="0" w:color="auto"/>
            </w:tcBorders>
            <w:shd w:val="clear" w:color="auto" w:fill="auto"/>
            <w:noWrap/>
            <w:vAlign w:val="bottom"/>
            <w:hideMark/>
          </w:tcPr>
          <w:p w14:paraId="0C1D0B4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329383F"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FFE8A42"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Rowan</w:t>
            </w:r>
          </w:p>
        </w:tc>
        <w:tc>
          <w:tcPr>
            <w:tcW w:w="1730" w:type="dxa"/>
            <w:tcBorders>
              <w:top w:val="nil"/>
              <w:left w:val="nil"/>
              <w:bottom w:val="single" w:sz="4" w:space="0" w:color="auto"/>
              <w:right w:val="single" w:sz="4" w:space="0" w:color="auto"/>
            </w:tcBorders>
            <w:shd w:val="clear" w:color="auto" w:fill="auto"/>
            <w:noWrap/>
            <w:vAlign w:val="bottom"/>
            <w:hideMark/>
          </w:tcPr>
          <w:p w14:paraId="030AB9C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126</w:t>
            </w:r>
          </w:p>
        </w:tc>
        <w:tc>
          <w:tcPr>
            <w:tcW w:w="1786" w:type="dxa"/>
            <w:tcBorders>
              <w:top w:val="nil"/>
              <w:left w:val="nil"/>
              <w:bottom w:val="single" w:sz="4" w:space="0" w:color="auto"/>
              <w:right w:val="single" w:sz="4" w:space="0" w:color="auto"/>
            </w:tcBorders>
            <w:shd w:val="clear" w:color="auto" w:fill="auto"/>
            <w:noWrap/>
            <w:vAlign w:val="bottom"/>
            <w:hideMark/>
          </w:tcPr>
          <w:p w14:paraId="4D84E84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161</w:t>
            </w:r>
          </w:p>
        </w:tc>
        <w:tc>
          <w:tcPr>
            <w:tcW w:w="2008" w:type="dxa"/>
            <w:tcBorders>
              <w:top w:val="nil"/>
              <w:left w:val="nil"/>
              <w:bottom w:val="single" w:sz="4" w:space="0" w:color="auto"/>
              <w:right w:val="single" w:sz="4" w:space="0" w:color="auto"/>
            </w:tcBorders>
            <w:shd w:val="clear" w:color="auto" w:fill="auto"/>
            <w:noWrap/>
            <w:vAlign w:val="bottom"/>
            <w:hideMark/>
          </w:tcPr>
          <w:p w14:paraId="7ED0748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E12D2A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1ED4B30"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F5FBD53"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Rutherford</w:t>
            </w:r>
          </w:p>
        </w:tc>
        <w:tc>
          <w:tcPr>
            <w:tcW w:w="1730" w:type="dxa"/>
            <w:tcBorders>
              <w:top w:val="nil"/>
              <w:left w:val="nil"/>
              <w:bottom w:val="single" w:sz="4" w:space="0" w:color="auto"/>
              <w:right w:val="single" w:sz="4" w:space="0" w:color="auto"/>
            </w:tcBorders>
            <w:shd w:val="clear" w:color="auto" w:fill="auto"/>
            <w:noWrap/>
            <w:vAlign w:val="bottom"/>
            <w:hideMark/>
          </w:tcPr>
          <w:p w14:paraId="46EEFD5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103</w:t>
            </w:r>
          </w:p>
        </w:tc>
        <w:tc>
          <w:tcPr>
            <w:tcW w:w="1786" w:type="dxa"/>
            <w:tcBorders>
              <w:top w:val="nil"/>
              <w:left w:val="nil"/>
              <w:bottom w:val="single" w:sz="4" w:space="0" w:color="auto"/>
              <w:right w:val="single" w:sz="4" w:space="0" w:color="auto"/>
            </w:tcBorders>
            <w:shd w:val="clear" w:color="auto" w:fill="auto"/>
            <w:noWrap/>
            <w:vAlign w:val="bottom"/>
            <w:hideMark/>
          </w:tcPr>
          <w:p w14:paraId="59797A2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c>
          <w:tcPr>
            <w:tcW w:w="2008" w:type="dxa"/>
            <w:tcBorders>
              <w:top w:val="nil"/>
              <w:left w:val="nil"/>
              <w:bottom w:val="single" w:sz="4" w:space="0" w:color="auto"/>
              <w:right w:val="single" w:sz="4" w:space="0" w:color="auto"/>
            </w:tcBorders>
            <w:shd w:val="clear" w:color="auto" w:fill="auto"/>
            <w:noWrap/>
            <w:vAlign w:val="bottom"/>
            <w:hideMark/>
          </w:tcPr>
          <w:p w14:paraId="2450D11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B72106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A46ADB5"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76A5A9D"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Sampson</w:t>
            </w:r>
          </w:p>
        </w:tc>
        <w:tc>
          <w:tcPr>
            <w:tcW w:w="1730" w:type="dxa"/>
            <w:tcBorders>
              <w:top w:val="nil"/>
              <w:left w:val="nil"/>
              <w:bottom w:val="single" w:sz="4" w:space="0" w:color="auto"/>
              <w:right w:val="single" w:sz="4" w:space="0" w:color="auto"/>
            </w:tcBorders>
            <w:shd w:val="clear" w:color="auto" w:fill="auto"/>
            <w:noWrap/>
            <w:vAlign w:val="bottom"/>
            <w:hideMark/>
          </w:tcPr>
          <w:p w14:paraId="0622FB5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36</w:t>
            </w:r>
          </w:p>
        </w:tc>
        <w:tc>
          <w:tcPr>
            <w:tcW w:w="1786" w:type="dxa"/>
            <w:tcBorders>
              <w:top w:val="nil"/>
              <w:left w:val="nil"/>
              <w:bottom w:val="single" w:sz="4" w:space="0" w:color="auto"/>
              <w:right w:val="single" w:sz="4" w:space="0" w:color="auto"/>
            </w:tcBorders>
            <w:shd w:val="clear" w:color="auto" w:fill="auto"/>
            <w:noWrap/>
            <w:vAlign w:val="bottom"/>
            <w:hideMark/>
          </w:tcPr>
          <w:p w14:paraId="071155A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21</w:t>
            </w:r>
          </w:p>
        </w:tc>
        <w:tc>
          <w:tcPr>
            <w:tcW w:w="2008" w:type="dxa"/>
            <w:tcBorders>
              <w:top w:val="nil"/>
              <w:left w:val="nil"/>
              <w:bottom w:val="single" w:sz="4" w:space="0" w:color="auto"/>
              <w:right w:val="single" w:sz="4" w:space="0" w:color="auto"/>
            </w:tcBorders>
            <w:shd w:val="clear" w:color="auto" w:fill="auto"/>
            <w:noWrap/>
            <w:vAlign w:val="bottom"/>
            <w:hideMark/>
          </w:tcPr>
          <w:p w14:paraId="3F0FDD1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EA13A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6BF85CA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482DDC2"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Scotland</w:t>
            </w:r>
          </w:p>
        </w:tc>
        <w:tc>
          <w:tcPr>
            <w:tcW w:w="1730" w:type="dxa"/>
            <w:tcBorders>
              <w:top w:val="nil"/>
              <w:left w:val="nil"/>
              <w:bottom w:val="single" w:sz="4" w:space="0" w:color="auto"/>
              <w:right w:val="single" w:sz="4" w:space="0" w:color="auto"/>
            </w:tcBorders>
            <w:shd w:val="clear" w:color="auto" w:fill="auto"/>
            <w:noWrap/>
            <w:vAlign w:val="bottom"/>
            <w:hideMark/>
          </w:tcPr>
          <w:p w14:paraId="1B822FA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134</w:t>
            </w:r>
          </w:p>
        </w:tc>
        <w:tc>
          <w:tcPr>
            <w:tcW w:w="1786" w:type="dxa"/>
            <w:tcBorders>
              <w:top w:val="nil"/>
              <w:left w:val="nil"/>
              <w:bottom w:val="single" w:sz="4" w:space="0" w:color="auto"/>
              <w:right w:val="single" w:sz="4" w:space="0" w:color="auto"/>
            </w:tcBorders>
            <w:shd w:val="clear" w:color="auto" w:fill="auto"/>
            <w:noWrap/>
            <w:vAlign w:val="bottom"/>
            <w:hideMark/>
          </w:tcPr>
          <w:p w14:paraId="6C69BFE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c>
          <w:tcPr>
            <w:tcW w:w="2008" w:type="dxa"/>
            <w:tcBorders>
              <w:top w:val="nil"/>
              <w:left w:val="nil"/>
              <w:bottom w:val="single" w:sz="4" w:space="0" w:color="auto"/>
              <w:right w:val="single" w:sz="4" w:space="0" w:color="auto"/>
            </w:tcBorders>
            <w:shd w:val="clear" w:color="auto" w:fill="auto"/>
            <w:noWrap/>
            <w:vAlign w:val="bottom"/>
            <w:hideMark/>
          </w:tcPr>
          <w:p w14:paraId="2FF4C6C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5C7ABED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B3123E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20759F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Stanly</w:t>
            </w:r>
          </w:p>
        </w:tc>
        <w:tc>
          <w:tcPr>
            <w:tcW w:w="1730" w:type="dxa"/>
            <w:tcBorders>
              <w:top w:val="nil"/>
              <w:left w:val="nil"/>
              <w:bottom w:val="single" w:sz="4" w:space="0" w:color="auto"/>
              <w:right w:val="single" w:sz="4" w:space="0" w:color="auto"/>
            </w:tcBorders>
            <w:shd w:val="clear" w:color="auto" w:fill="auto"/>
            <w:noWrap/>
            <w:vAlign w:val="bottom"/>
            <w:hideMark/>
          </w:tcPr>
          <w:p w14:paraId="5F1451B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c>
          <w:tcPr>
            <w:tcW w:w="1786" w:type="dxa"/>
            <w:tcBorders>
              <w:top w:val="nil"/>
              <w:left w:val="nil"/>
              <w:bottom w:val="single" w:sz="4" w:space="0" w:color="auto"/>
              <w:right w:val="single" w:sz="4" w:space="0" w:color="auto"/>
            </w:tcBorders>
            <w:shd w:val="clear" w:color="auto" w:fill="auto"/>
            <w:noWrap/>
            <w:vAlign w:val="bottom"/>
            <w:hideMark/>
          </w:tcPr>
          <w:p w14:paraId="298EED2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56</w:t>
            </w:r>
          </w:p>
        </w:tc>
        <w:tc>
          <w:tcPr>
            <w:tcW w:w="2008" w:type="dxa"/>
            <w:tcBorders>
              <w:top w:val="nil"/>
              <w:left w:val="nil"/>
              <w:bottom w:val="single" w:sz="4" w:space="0" w:color="auto"/>
              <w:right w:val="single" w:sz="4" w:space="0" w:color="auto"/>
            </w:tcBorders>
            <w:shd w:val="clear" w:color="auto" w:fill="auto"/>
            <w:noWrap/>
            <w:vAlign w:val="bottom"/>
            <w:hideMark/>
          </w:tcPr>
          <w:p w14:paraId="6B2C188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15B5D17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F119CF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73A7FA7"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Stokes</w:t>
            </w:r>
          </w:p>
        </w:tc>
        <w:tc>
          <w:tcPr>
            <w:tcW w:w="1730" w:type="dxa"/>
            <w:tcBorders>
              <w:top w:val="nil"/>
              <w:left w:val="nil"/>
              <w:bottom w:val="single" w:sz="4" w:space="0" w:color="auto"/>
              <w:right w:val="single" w:sz="4" w:space="0" w:color="auto"/>
            </w:tcBorders>
            <w:shd w:val="clear" w:color="auto" w:fill="auto"/>
            <w:noWrap/>
            <w:vAlign w:val="bottom"/>
            <w:hideMark/>
          </w:tcPr>
          <w:p w14:paraId="0A3FE889"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195</w:t>
            </w:r>
          </w:p>
        </w:tc>
        <w:tc>
          <w:tcPr>
            <w:tcW w:w="1786" w:type="dxa"/>
            <w:tcBorders>
              <w:top w:val="nil"/>
              <w:left w:val="nil"/>
              <w:bottom w:val="single" w:sz="4" w:space="0" w:color="auto"/>
              <w:right w:val="single" w:sz="4" w:space="0" w:color="auto"/>
            </w:tcBorders>
            <w:shd w:val="clear" w:color="auto" w:fill="auto"/>
            <w:noWrap/>
            <w:vAlign w:val="bottom"/>
            <w:hideMark/>
          </w:tcPr>
          <w:p w14:paraId="50C8927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c>
          <w:tcPr>
            <w:tcW w:w="2008" w:type="dxa"/>
            <w:tcBorders>
              <w:top w:val="nil"/>
              <w:left w:val="nil"/>
              <w:bottom w:val="single" w:sz="4" w:space="0" w:color="auto"/>
              <w:right w:val="single" w:sz="4" w:space="0" w:color="auto"/>
            </w:tcBorders>
            <w:shd w:val="clear" w:color="auto" w:fill="auto"/>
            <w:noWrap/>
            <w:vAlign w:val="bottom"/>
            <w:hideMark/>
          </w:tcPr>
          <w:p w14:paraId="39A75F4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28</w:t>
            </w:r>
          </w:p>
        </w:tc>
        <w:tc>
          <w:tcPr>
            <w:tcW w:w="2163" w:type="dxa"/>
            <w:tcBorders>
              <w:top w:val="nil"/>
              <w:left w:val="nil"/>
              <w:bottom w:val="single" w:sz="4" w:space="0" w:color="auto"/>
              <w:right w:val="single" w:sz="4" w:space="0" w:color="auto"/>
            </w:tcBorders>
            <w:shd w:val="clear" w:color="auto" w:fill="auto"/>
            <w:noWrap/>
            <w:vAlign w:val="bottom"/>
            <w:hideMark/>
          </w:tcPr>
          <w:p w14:paraId="6500142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48</w:t>
            </w:r>
          </w:p>
        </w:tc>
      </w:tr>
      <w:tr w:rsidR="00482169" w:rsidRPr="000E652F" w14:paraId="3A80472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1C09609"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Surry</w:t>
            </w:r>
          </w:p>
        </w:tc>
        <w:tc>
          <w:tcPr>
            <w:tcW w:w="1730" w:type="dxa"/>
            <w:tcBorders>
              <w:top w:val="nil"/>
              <w:left w:val="nil"/>
              <w:bottom w:val="single" w:sz="4" w:space="0" w:color="auto"/>
              <w:right w:val="single" w:sz="4" w:space="0" w:color="auto"/>
            </w:tcBorders>
            <w:shd w:val="clear" w:color="auto" w:fill="auto"/>
            <w:noWrap/>
            <w:vAlign w:val="bottom"/>
            <w:hideMark/>
          </w:tcPr>
          <w:p w14:paraId="0448C85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218</w:t>
            </w:r>
          </w:p>
        </w:tc>
        <w:tc>
          <w:tcPr>
            <w:tcW w:w="1786" w:type="dxa"/>
            <w:tcBorders>
              <w:top w:val="nil"/>
              <w:left w:val="nil"/>
              <w:bottom w:val="single" w:sz="4" w:space="0" w:color="auto"/>
              <w:right w:val="single" w:sz="4" w:space="0" w:color="auto"/>
            </w:tcBorders>
            <w:shd w:val="clear" w:color="auto" w:fill="auto"/>
            <w:noWrap/>
            <w:vAlign w:val="bottom"/>
            <w:hideMark/>
          </w:tcPr>
          <w:p w14:paraId="773A68D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w:t>
            </w:r>
          </w:p>
        </w:tc>
        <w:tc>
          <w:tcPr>
            <w:tcW w:w="2008" w:type="dxa"/>
            <w:tcBorders>
              <w:top w:val="nil"/>
              <w:left w:val="nil"/>
              <w:bottom w:val="single" w:sz="4" w:space="0" w:color="auto"/>
              <w:right w:val="single" w:sz="4" w:space="0" w:color="auto"/>
            </w:tcBorders>
            <w:shd w:val="clear" w:color="auto" w:fill="auto"/>
            <w:noWrap/>
            <w:vAlign w:val="bottom"/>
            <w:hideMark/>
          </w:tcPr>
          <w:p w14:paraId="16D461D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6CBA19E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8079D8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636587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lastRenderedPageBreak/>
              <w:t>Swain</w:t>
            </w:r>
          </w:p>
        </w:tc>
        <w:tc>
          <w:tcPr>
            <w:tcW w:w="1730" w:type="dxa"/>
            <w:tcBorders>
              <w:top w:val="nil"/>
              <w:left w:val="nil"/>
              <w:bottom w:val="single" w:sz="4" w:space="0" w:color="auto"/>
              <w:right w:val="single" w:sz="4" w:space="0" w:color="auto"/>
            </w:tcBorders>
            <w:shd w:val="clear" w:color="auto" w:fill="auto"/>
            <w:noWrap/>
            <w:vAlign w:val="bottom"/>
            <w:hideMark/>
          </w:tcPr>
          <w:p w14:paraId="4DEBC68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1786" w:type="dxa"/>
            <w:tcBorders>
              <w:top w:val="nil"/>
              <w:left w:val="nil"/>
              <w:bottom w:val="single" w:sz="4" w:space="0" w:color="auto"/>
              <w:right w:val="single" w:sz="4" w:space="0" w:color="auto"/>
            </w:tcBorders>
            <w:shd w:val="clear" w:color="auto" w:fill="auto"/>
            <w:noWrap/>
            <w:vAlign w:val="bottom"/>
            <w:hideMark/>
          </w:tcPr>
          <w:p w14:paraId="692B52C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008" w:type="dxa"/>
            <w:tcBorders>
              <w:top w:val="nil"/>
              <w:left w:val="nil"/>
              <w:bottom w:val="single" w:sz="4" w:space="0" w:color="auto"/>
              <w:right w:val="single" w:sz="4" w:space="0" w:color="auto"/>
            </w:tcBorders>
            <w:shd w:val="clear" w:color="auto" w:fill="auto"/>
            <w:noWrap/>
            <w:vAlign w:val="bottom"/>
            <w:hideMark/>
          </w:tcPr>
          <w:p w14:paraId="3E1459B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DC19F4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207C9F0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732921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Transylvania</w:t>
            </w:r>
          </w:p>
        </w:tc>
        <w:tc>
          <w:tcPr>
            <w:tcW w:w="1730" w:type="dxa"/>
            <w:tcBorders>
              <w:top w:val="nil"/>
              <w:left w:val="nil"/>
              <w:bottom w:val="single" w:sz="4" w:space="0" w:color="auto"/>
              <w:right w:val="single" w:sz="4" w:space="0" w:color="auto"/>
            </w:tcBorders>
            <w:shd w:val="clear" w:color="auto" w:fill="auto"/>
            <w:noWrap/>
            <w:vAlign w:val="bottom"/>
            <w:hideMark/>
          </w:tcPr>
          <w:p w14:paraId="4A1A6A2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73</w:t>
            </w:r>
          </w:p>
        </w:tc>
        <w:tc>
          <w:tcPr>
            <w:tcW w:w="1786" w:type="dxa"/>
            <w:tcBorders>
              <w:top w:val="nil"/>
              <w:left w:val="nil"/>
              <w:bottom w:val="single" w:sz="4" w:space="0" w:color="auto"/>
              <w:right w:val="single" w:sz="4" w:space="0" w:color="auto"/>
            </w:tcBorders>
            <w:shd w:val="clear" w:color="auto" w:fill="auto"/>
            <w:noWrap/>
            <w:vAlign w:val="bottom"/>
            <w:hideMark/>
          </w:tcPr>
          <w:p w14:paraId="7267E53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60</w:t>
            </w:r>
          </w:p>
        </w:tc>
        <w:tc>
          <w:tcPr>
            <w:tcW w:w="2008" w:type="dxa"/>
            <w:tcBorders>
              <w:top w:val="nil"/>
              <w:left w:val="nil"/>
              <w:bottom w:val="single" w:sz="4" w:space="0" w:color="auto"/>
              <w:right w:val="single" w:sz="4" w:space="0" w:color="auto"/>
            </w:tcBorders>
            <w:shd w:val="clear" w:color="auto" w:fill="auto"/>
            <w:noWrap/>
            <w:vAlign w:val="bottom"/>
            <w:hideMark/>
          </w:tcPr>
          <w:p w14:paraId="16D1308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2401BE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r>
      <w:tr w:rsidR="00482169" w:rsidRPr="000E652F" w14:paraId="22661CBC"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7EEA00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Tyrrell</w:t>
            </w:r>
          </w:p>
        </w:tc>
        <w:tc>
          <w:tcPr>
            <w:tcW w:w="1730" w:type="dxa"/>
            <w:tcBorders>
              <w:top w:val="nil"/>
              <w:left w:val="nil"/>
              <w:bottom w:val="single" w:sz="4" w:space="0" w:color="auto"/>
              <w:right w:val="single" w:sz="4" w:space="0" w:color="auto"/>
            </w:tcBorders>
            <w:shd w:val="clear" w:color="auto" w:fill="auto"/>
            <w:noWrap/>
            <w:vAlign w:val="bottom"/>
            <w:hideMark/>
          </w:tcPr>
          <w:p w14:paraId="487EBC8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w:t>
            </w:r>
          </w:p>
        </w:tc>
        <w:tc>
          <w:tcPr>
            <w:tcW w:w="1786" w:type="dxa"/>
            <w:tcBorders>
              <w:top w:val="nil"/>
              <w:left w:val="nil"/>
              <w:bottom w:val="single" w:sz="4" w:space="0" w:color="auto"/>
              <w:right w:val="single" w:sz="4" w:space="0" w:color="auto"/>
            </w:tcBorders>
            <w:shd w:val="clear" w:color="auto" w:fill="auto"/>
            <w:noWrap/>
            <w:vAlign w:val="bottom"/>
            <w:hideMark/>
          </w:tcPr>
          <w:p w14:paraId="411394E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34</w:t>
            </w:r>
          </w:p>
        </w:tc>
        <w:tc>
          <w:tcPr>
            <w:tcW w:w="2008" w:type="dxa"/>
            <w:tcBorders>
              <w:top w:val="nil"/>
              <w:left w:val="nil"/>
              <w:bottom w:val="single" w:sz="4" w:space="0" w:color="auto"/>
              <w:right w:val="single" w:sz="4" w:space="0" w:color="auto"/>
            </w:tcBorders>
            <w:shd w:val="clear" w:color="auto" w:fill="auto"/>
            <w:noWrap/>
            <w:vAlign w:val="bottom"/>
            <w:hideMark/>
          </w:tcPr>
          <w:p w14:paraId="2743760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6213887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12D24F6"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2692F4A"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Union</w:t>
            </w:r>
          </w:p>
        </w:tc>
        <w:tc>
          <w:tcPr>
            <w:tcW w:w="1730" w:type="dxa"/>
            <w:tcBorders>
              <w:top w:val="nil"/>
              <w:left w:val="nil"/>
              <w:bottom w:val="single" w:sz="4" w:space="0" w:color="auto"/>
              <w:right w:val="single" w:sz="4" w:space="0" w:color="auto"/>
            </w:tcBorders>
            <w:shd w:val="clear" w:color="auto" w:fill="auto"/>
            <w:noWrap/>
            <w:vAlign w:val="bottom"/>
            <w:hideMark/>
          </w:tcPr>
          <w:p w14:paraId="5847FF4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45</w:t>
            </w:r>
          </w:p>
        </w:tc>
        <w:tc>
          <w:tcPr>
            <w:tcW w:w="1786" w:type="dxa"/>
            <w:tcBorders>
              <w:top w:val="nil"/>
              <w:left w:val="nil"/>
              <w:bottom w:val="single" w:sz="4" w:space="0" w:color="auto"/>
              <w:right w:val="single" w:sz="4" w:space="0" w:color="auto"/>
            </w:tcBorders>
            <w:shd w:val="clear" w:color="auto" w:fill="auto"/>
            <w:noWrap/>
            <w:vAlign w:val="bottom"/>
            <w:hideMark/>
          </w:tcPr>
          <w:p w14:paraId="5D1A098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72</w:t>
            </w:r>
          </w:p>
        </w:tc>
        <w:tc>
          <w:tcPr>
            <w:tcW w:w="2008" w:type="dxa"/>
            <w:tcBorders>
              <w:top w:val="nil"/>
              <w:left w:val="nil"/>
              <w:bottom w:val="single" w:sz="4" w:space="0" w:color="auto"/>
              <w:right w:val="single" w:sz="4" w:space="0" w:color="auto"/>
            </w:tcBorders>
            <w:shd w:val="clear" w:color="auto" w:fill="auto"/>
            <w:noWrap/>
            <w:vAlign w:val="bottom"/>
            <w:hideMark/>
          </w:tcPr>
          <w:p w14:paraId="4AEBA69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4D625A4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32</w:t>
            </w:r>
          </w:p>
        </w:tc>
      </w:tr>
      <w:tr w:rsidR="00482169" w:rsidRPr="000E652F" w14:paraId="59B8005B"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BEFD7C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Vance</w:t>
            </w:r>
          </w:p>
        </w:tc>
        <w:tc>
          <w:tcPr>
            <w:tcW w:w="1730" w:type="dxa"/>
            <w:tcBorders>
              <w:top w:val="nil"/>
              <w:left w:val="nil"/>
              <w:bottom w:val="single" w:sz="4" w:space="0" w:color="auto"/>
              <w:right w:val="single" w:sz="4" w:space="0" w:color="auto"/>
            </w:tcBorders>
            <w:shd w:val="clear" w:color="auto" w:fill="auto"/>
            <w:noWrap/>
            <w:vAlign w:val="bottom"/>
            <w:hideMark/>
          </w:tcPr>
          <w:p w14:paraId="4B366C3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440</w:t>
            </w:r>
          </w:p>
        </w:tc>
        <w:tc>
          <w:tcPr>
            <w:tcW w:w="1786" w:type="dxa"/>
            <w:tcBorders>
              <w:top w:val="nil"/>
              <w:left w:val="nil"/>
              <w:bottom w:val="single" w:sz="4" w:space="0" w:color="auto"/>
              <w:right w:val="single" w:sz="4" w:space="0" w:color="auto"/>
            </w:tcBorders>
            <w:shd w:val="clear" w:color="auto" w:fill="auto"/>
            <w:noWrap/>
            <w:vAlign w:val="bottom"/>
            <w:hideMark/>
          </w:tcPr>
          <w:p w14:paraId="01E1B81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182</w:t>
            </w:r>
          </w:p>
        </w:tc>
        <w:tc>
          <w:tcPr>
            <w:tcW w:w="2008" w:type="dxa"/>
            <w:tcBorders>
              <w:top w:val="nil"/>
              <w:left w:val="nil"/>
              <w:bottom w:val="single" w:sz="4" w:space="0" w:color="auto"/>
              <w:right w:val="single" w:sz="4" w:space="0" w:color="auto"/>
            </w:tcBorders>
            <w:shd w:val="clear" w:color="auto" w:fill="auto"/>
            <w:noWrap/>
            <w:vAlign w:val="bottom"/>
            <w:hideMark/>
          </w:tcPr>
          <w:p w14:paraId="4B613DB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106</w:t>
            </w:r>
          </w:p>
        </w:tc>
        <w:tc>
          <w:tcPr>
            <w:tcW w:w="2163" w:type="dxa"/>
            <w:tcBorders>
              <w:top w:val="nil"/>
              <w:left w:val="nil"/>
              <w:bottom w:val="single" w:sz="4" w:space="0" w:color="auto"/>
              <w:right w:val="single" w:sz="4" w:space="0" w:color="auto"/>
            </w:tcBorders>
            <w:shd w:val="clear" w:color="auto" w:fill="auto"/>
            <w:noWrap/>
            <w:vAlign w:val="bottom"/>
            <w:hideMark/>
          </w:tcPr>
          <w:p w14:paraId="6C88DDF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4382BCF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2F282BF"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Wake</w:t>
            </w:r>
          </w:p>
        </w:tc>
        <w:tc>
          <w:tcPr>
            <w:tcW w:w="1730" w:type="dxa"/>
            <w:tcBorders>
              <w:top w:val="nil"/>
              <w:left w:val="nil"/>
              <w:bottom w:val="single" w:sz="4" w:space="0" w:color="auto"/>
              <w:right w:val="single" w:sz="4" w:space="0" w:color="auto"/>
            </w:tcBorders>
            <w:shd w:val="clear" w:color="auto" w:fill="auto"/>
            <w:noWrap/>
            <w:vAlign w:val="bottom"/>
            <w:hideMark/>
          </w:tcPr>
          <w:p w14:paraId="2C8E8B2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1,503</w:t>
            </w:r>
          </w:p>
        </w:tc>
        <w:tc>
          <w:tcPr>
            <w:tcW w:w="1786" w:type="dxa"/>
            <w:tcBorders>
              <w:top w:val="nil"/>
              <w:left w:val="nil"/>
              <w:bottom w:val="single" w:sz="4" w:space="0" w:color="auto"/>
              <w:right w:val="single" w:sz="4" w:space="0" w:color="auto"/>
            </w:tcBorders>
            <w:shd w:val="clear" w:color="auto" w:fill="auto"/>
            <w:noWrap/>
            <w:vAlign w:val="bottom"/>
            <w:hideMark/>
          </w:tcPr>
          <w:p w14:paraId="737CAEE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2,839</w:t>
            </w:r>
          </w:p>
        </w:tc>
        <w:tc>
          <w:tcPr>
            <w:tcW w:w="2008" w:type="dxa"/>
            <w:tcBorders>
              <w:top w:val="nil"/>
              <w:left w:val="nil"/>
              <w:bottom w:val="single" w:sz="4" w:space="0" w:color="auto"/>
              <w:right w:val="single" w:sz="4" w:space="0" w:color="auto"/>
            </w:tcBorders>
            <w:shd w:val="clear" w:color="auto" w:fill="auto"/>
            <w:noWrap/>
            <w:vAlign w:val="bottom"/>
            <w:hideMark/>
          </w:tcPr>
          <w:p w14:paraId="114FE2E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393</w:t>
            </w:r>
          </w:p>
        </w:tc>
        <w:tc>
          <w:tcPr>
            <w:tcW w:w="2163" w:type="dxa"/>
            <w:tcBorders>
              <w:top w:val="nil"/>
              <w:left w:val="nil"/>
              <w:bottom w:val="single" w:sz="4" w:space="0" w:color="auto"/>
              <w:right w:val="single" w:sz="4" w:space="0" w:color="auto"/>
            </w:tcBorders>
            <w:shd w:val="clear" w:color="auto" w:fill="auto"/>
            <w:noWrap/>
            <w:vAlign w:val="bottom"/>
            <w:hideMark/>
          </w:tcPr>
          <w:p w14:paraId="40C0E7A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1,406</w:t>
            </w:r>
          </w:p>
        </w:tc>
      </w:tr>
      <w:tr w:rsidR="00482169" w:rsidRPr="000E652F" w14:paraId="0DE31A33"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9973EE6"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Warren</w:t>
            </w:r>
          </w:p>
        </w:tc>
        <w:tc>
          <w:tcPr>
            <w:tcW w:w="1730" w:type="dxa"/>
            <w:tcBorders>
              <w:top w:val="nil"/>
              <w:left w:val="nil"/>
              <w:bottom w:val="single" w:sz="4" w:space="0" w:color="auto"/>
              <w:right w:val="single" w:sz="4" w:space="0" w:color="auto"/>
            </w:tcBorders>
            <w:shd w:val="clear" w:color="auto" w:fill="auto"/>
            <w:noWrap/>
            <w:vAlign w:val="bottom"/>
            <w:hideMark/>
          </w:tcPr>
          <w:p w14:paraId="0A54ACC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175</w:t>
            </w:r>
          </w:p>
        </w:tc>
        <w:tc>
          <w:tcPr>
            <w:tcW w:w="1786" w:type="dxa"/>
            <w:tcBorders>
              <w:top w:val="nil"/>
              <w:left w:val="nil"/>
              <w:bottom w:val="single" w:sz="4" w:space="0" w:color="auto"/>
              <w:right w:val="single" w:sz="4" w:space="0" w:color="auto"/>
            </w:tcBorders>
            <w:shd w:val="clear" w:color="auto" w:fill="auto"/>
            <w:noWrap/>
            <w:vAlign w:val="bottom"/>
            <w:hideMark/>
          </w:tcPr>
          <w:p w14:paraId="6D7478F2"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w:t>
            </w:r>
          </w:p>
        </w:tc>
        <w:tc>
          <w:tcPr>
            <w:tcW w:w="2008" w:type="dxa"/>
            <w:tcBorders>
              <w:top w:val="nil"/>
              <w:left w:val="nil"/>
              <w:bottom w:val="single" w:sz="4" w:space="0" w:color="auto"/>
              <w:right w:val="single" w:sz="4" w:space="0" w:color="auto"/>
            </w:tcBorders>
            <w:shd w:val="clear" w:color="auto" w:fill="auto"/>
            <w:noWrap/>
            <w:vAlign w:val="bottom"/>
            <w:hideMark/>
          </w:tcPr>
          <w:p w14:paraId="2850E06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67</w:t>
            </w:r>
          </w:p>
        </w:tc>
        <w:tc>
          <w:tcPr>
            <w:tcW w:w="2163" w:type="dxa"/>
            <w:tcBorders>
              <w:top w:val="nil"/>
              <w:left w:val="nil"/>
              <w:bottom w:val="single" w:sz="4" w:space="0" w:color="auto"/>
              <w:right w:val="single" w:sz="4" w:space="0" w:color="auto"/>
            </w:tcBorders>
            <w:shd w:val="clear" w:color="auto" w:fill="auto"/>
            <w:noWrap/>
            <w:vAlign w:val="bottom"/>
            <w:hideMark/>
          </w:tcPr>
          <w:p w14:paraId="41BD153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604F79C"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C70D3BE"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Washington</w:t>
            </w:r>
          </w:p>
        </w:tc>
        <w:tc>
          <w:tcPr>
            <w:tcW w:w="1730" w:type="dxa"/>
            <w:tcBorders>
              <w:top w:val="nil"/>
              <w:left w:val="nil"/>
              <w:bottom w:val="single" w:sz="4" w:space="0" w:color="auto"/>
              <w:right w:val="single" w:sz="4" w:space="0" w:color="auto"/>
            </w:tcBorders>
            <w:shd w:val="clear" w:color="auto" w:fill="auto"/>
            <w:noWrap/>
            <w:vAlign w:val="bottom"/>
            <w:hideMark/>
          </w:tcPr>
          <w:p w14:paraId="6F78093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29</w:t>
            </w:r>
          </w:p>
        </w:tc>
        <w:tc>
          <w:tcPr>
            <w:tcW w:w="1786" w:type="dxa"/>
            <w:tcBorders>
              <w:top w:val="nil"/>
              <w:left w:val="nil"/>
              <w:bottom w:val="single" w:sz="4" w:space="0" w:color="auto"/>
              <w:right w:val="single" w:sz="4" w:space="0" w:color="auto"/>
            </w:tcBorders>
            <w:shd w:val="clear" w:color="auto" w:fill="auto"/>
            <w:noWrap/>
            <w:vAlign w:val="bottom"/>
            <w:hideMark/>
          </w:tcPr>
          <w:p w14:paraId="6B06AA7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16</w:t>
            </w:r>
          </w:p>
        </w:tc>
        <w:tc>
          <w:tcPr>
            <w:tcW w:w="2008" w:type="dxa"/>
            <w:tcBorders>
              <w:top w:val="nil"/>
              <w:left w:val="nil"/>
              <w:bottom w:val="single" w:sz="4" w:space="0" w:color="auto"/>
              <w:right w:val="single" w:sz="4" w:space="0" w:color="auto"/>
            </w:tcBorders>
            <w:shd w:val="clear" w:color="auto" w:fill="auto"/>
            <w:noWrap/>
            <w:vAlign w:val="bottom"/>
            <w:hideMark/>
          </w:tcPr>
          <w:p w14:paraId="79C5B00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FFFDE6E"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FDD269E"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79BC064"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Watauga</w:t>
            </w:r>
          </w:p>
        </w:tc>
        <w:tc>
          <w:tcPr>
            <w:tcW w:w="1730" w:type="dxa"/>
            <w:tcBorders>
              <w:top w:val="nil"/>
              <w:left w:val="nil"/>
              <w:bottom w:val="single" w:sz="4" w:space="0" w:color="auto"/>
              <w:right w:val="single" w:sz="4" w:space="0" w:color="auto"/>
            </w:tcBorders>
            <w:shd w:val="clear" w:color="auto" w:fill="auto"/>
            <w:noWrap/>
            <w:vAlign w:val="bottom"/>
            <w:hideMark/>
          </w:tcPr>
          <w:p w14:paraId="7D306FF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20</w:t>
            </w:r>
          </w:p>
        </w:tc>
        <w:tc>
          <w:tcPr>
            <w:tcW w:w="1786" w:type="dxa"/>
            <w:tcBorders>
              <w:top w:val="nil"/>
              <w:left w:val="nil"/>
              <w:bottom w:val="single" w:sz="4" w:space="0" w:color="auto"/>
              <w:right w:val="single" w:sz="4" w:space="0" w:color="auto"/>
            </w:tcBorders>
            <w:shd w:val="clear" w:color="auto" w:fill="auto"/>
            <w:noWrap/>
            <w:vAlign w:val="bottom"/>
            <w:hideMark/>
          </w:tcPr>
          <w:p w14:paraId="4643C340"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76</w:t>
            </w:r>
          </w:p>
        </w:tc>
        <w:tc>
          <w:tcPr>
            <w:tcW w:w="2008" w:type="dxa"/>
            <w:tcBorders>
              <w:top w:val="nil"/>
              <w:left w:val="nil"/>
              <w:bottom w:val="single" w:sz="4" w:space="0" w:color="auto"/>
              <w:right w:val="single" w:sz="4" w:space="0" w:color="auto"/>
            </w:tcBorders>
            <w:shd w:val="clear" w:color="auto" w:fill="auto"/>
            <w:noWrap/>
            <w:vAlign w:val="bottom"/>
            <w:hideMark/>
          </w:tcPr>
          <w:p w14:paraId="30A63F6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74DAFB0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5907EF02"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21F449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Wayne</w:t>
            </w:r>
          </w:p>
        </w:tc>
        <w:tc>
          <w:tcPr>
            <w:tcW w:w="1730" w:type="dxa"/>
            <w:tcBorders>
              <w:top w:val="nil"/>
              <w:left w:val="nil"/>
              <w:bottom w:val="single" w:sz="4" w:space="0" w:color="auto"/>
              <w:right w:val="single" w:sz="4" w:space="0" w:color="auto"/>
            </w:tcBorders>
            <w:shd w:val="clear" w:color="auto" w:fill="auto"/>
            <w:noWrap/>
            <w:vAlign w:val="bottom"/>
            <w:hideMark/>
          </w:tcPr>
          <w:p w14:paraId="7497B38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263</w:t>
            </w:r>
          </w:p>
        </w:tc>
        <w:tc>
          <w:tcPr>
            <w:tcW w:w="1786" w:type="dxa"/>
            <w:tcBorders>
              <w:top w:val="nil"/>
              <w:left w:val="nil"/>
              <w:bottom w:val="single" w:sz="4" w:space="0" w:color="auto"/>
              <w:right w:val="single" w:sz="4" w:space="0" w:color="auto"/>
            </w:tcBorders>
            <w:shd w:val="clear" w:color="auto" w:fill="auto"/>
            <w:noWrap/>
            <w:vAlign w:val="bottom"/>
            <w:hideMark/>
          </w:tcPr>
          <w:p w14:paraId="7ACFAF0A"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133</w:t>
            </w:r>
          </w:p>
        </w:tc>
        <w:tc>
          <w:tcPr>
            <w:tcW w:w="2008" w:type="dxa"/>
            <w:tcBorders>
              <w:top w:val="nil"/>
              <w:left w:val="nil"/>
              <w:bottom w:val="single" w:sz="4" w:space="0" w:color="auto"/>
              <w:right w:val="single" w:sz="4" w:space="0" w:color="auto"/>
            </w:tcBorders>
            <w:shd w:val="clear" w:color="auto" w:fill="auto"/>
            <w:noWrap/>
            <w:vAlign w:val="bottom"/>
            <w:hideMark/>
          </w:tcPr>
          <w:p w14:paraId="0C7B00D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55</w:t>
            </w:r>
          </w:p>
        </w:tc>
        <w:tc>
          <w:tcPr>
            <w:tcW w:w="2163" w:type="dxa"/>
            <w:tcBorders>
              <w:top w:val="nil"/>
              <w:left w:val="nil"/>
              <w:bottom w:val="single" w:sz="4" w:space="0" w:color="auto"/>
              <w:right w:val="single" w:sz="4" w:space="0" w:color="auto"/>
            </w:tcBorders>
            <w:shd w:val="clear" w:color="auto" w:fill="auto"/>
            <w:noWrap/>
            <w:vAlign w:val="bottom"/>
            <w:hideMark/>
          </w:tcPr>
          <w:p w14:paraId="65DC8C86"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77FAD458"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0690302"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Wilkes</w:t>
            </w:r>
          </w:p>
        </w:tc>
        <w:tc>
          <w:tcPr>
            <w:tcW w:w="1730" w:type="dxa"/>
            <w:tcBorders>
              <w:top w:val="nil"/>
              <w:left w:val="nil"/>
              <w:bottom w:val="single" w:sz="4" w:space="0" w:color="auto"/>
              <w:right w:val="single" w:sz="4" w:space="0" w:color="auto"/>
            </w:tcBorders>
            <w:shd w:val="clear" w:color="auto" w:fill="auto"/>
            <w:noWrap/>
            <w:vAlign w:val="bottom"/>
            <w:hideMark/>
          </w:tcPr>
          <w:p w14:paraId="77A5310D"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102</w:t>
            </w:r>
          </w:p>
        </w:tc>
        <w:tc>
          <w:tcPr>
            <w:tcW w:w="1786" w:type="dxa"/>
            <w:tcBorders>
              <w:top w:val="nil"/>
              <w:left w:val="nil"/>
              <w:bottom w:val="single" w:sz="4" w:space="0" w:color="auto"/>
              <w:right w:val="single" w:sz="4" w:space="0" w:color="auto"/>
            </w:tcBorders>
            <w:shd w:val="clear" w:color="auto" w:fill="auto"/>
            <w:noWrap/>
            <w:vAlign w:val="bottom"/>
            <w:hideMark/>
          </w:tcPr>
          <w:p w14:paraId="1757AAF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41</w:t>
            </w:r>
          </w:p>
        </w:tc>
        <w:tc>
          <w:tcPr>
            <w:tcW w:w="2008" w:type="dxa"/>
            <w:tcBorders>
              <w:top w:val="nil"/>
              <w:left w:val="nil"/>
              <w:bottom w:val="single" w:sz="4" w:space="0" w:color="auto"/>
              <w:right w:val="single" w:sz="4" w:space="0" w:color="auto"/>
            </w:tcBorders>
            <w:shd w:val="clear" w:color="auto" w:fill="auto"/>
            <w:noWrap/>
            <w:vAlign w:val="bottom"/>
            <w:hideMark/>
          </w:tcPr>
          <w:p w14:paraId="1945DD0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83E4571"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7221407"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6CB11B11"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Wilson</w:t>
            </w:r>
          </w:p>
        </w:tc>
        <w:tc>
          <w:tcPr>
            <w:tcW w:w="1730" w:type="dxa"/>
            <w:tcBorders>
              <w:top w:val="nil"/>
              <w:left w:val="nil"/>
              <w:bottom w:val="single" w:sz="4" w:space="0" w:color="auto"/>
              <w:right w:val="single" w:sz="4" w:space="0" w:color="auto"/>
            </w:tcBorders>
            <w:shd w:val="clear" w:color="auto" w:fill="auto"/>
            <w:noWrap/>
            <w:vAlign w:val="bottom"/>
            <w:hideMark/>
          </w:tcPr>
          <w:p w14:paraId="616858FB"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139</w:t>
            </w:r>
          </w:p>
        </w:tc>
        <w:tc>
          <w:tcPr>
            <w:tcW w:w="1786" w:type="dxa"/>
            <w:tcBorders>
              <w:top w:val="nil"/>
              <w:left w:val="nil"/>
              <w:bottom w:val="single" w:sz="4" w:space="0" w:color="auto"/>
              <w:right w:val="single" w:sz="4" w:space="0" w:color="auto"/>
            </w:tcBorders>
            <w:shd w:val="clear" w:color="auto" w:fill="auto"/>
            <w:noWrap/>
            <w:vAlign w:val="bottom"/>
            <w:hideMark/>
          </w:tcPr>
          <w:p w14:paraId="7B2A6E1F"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61</w:t>
            </w:r>
          </w:p>
        </w:tc>
        <w:tc>
          <w:tcPr>
            <w:tcW w:w="2008" w:type="dxa"/>
            <w:tcBorders>
              <w:top w:val="nil"/>
              <w:left w:val="nil"/>
              <w:bottom w:val="single" w:sz="4" w:space="0" w:color="auto"/>
              <w:right w:val="single" w:sz="4" w:space="0" w:color="auto"/>
            </w:tcBorders>
            <w:shd w:val="clear" w:color="auto" w:fill="auto"/>
            <w:noWrap/>
            <w:vAlign w:val="bottom"/>
            <w:hideMark/>
          </w:tcPr>
          <w:p w14:paraId="25CF8C68"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76</w:t>
            </w:r>
          </w:p>
        </w:tc>
        <w:tc>
          <w:tcPr>
            <w:tcW w:w="2163" w:type="dxa"/>
            <w:tcBorders>
              <w:top w:val="nil"/>
              <w:left w:val="nil"/>
              <w:bottom w:val="single" w:sz="4" w:space="0" w:color="auto"/>
              <w:right w:val="single" w:sz="4" w:space="0" w:color="auto"/>
            </w:tcBorders>
            <w:shd w:val="clear" w:color="auto" w:fill="auto"/>
            <w:noWrap/>
            <w:vAlign w:val="bottom"/>
            <w:hideMark/>
          </w:tcPr>
          <w:p w14:paraId="264A300C"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9</w:t>
            </w:r>
          </w:p>
        </w:tc>
      </w:tr>
      <w:tr w:rsidR="00482169" w:rsidRPr="000E652F" w14:paraId="4B5B9E7D"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16717F3"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Yadkin</w:t>
            </w:r>
          </w:p>
        </w:tc>
        <w:tc>
          <w:tcPr>
            <w:tcW w:w="1730" w:type="dxa"/>
            <w:tcBorders>
              <w:top w:val="nil"/>
              <w:left w:val="nil"/>
              <w:bottom w:val="single" w:sz="4" w:space="0" w:color="auto"/>
              <w:right w:val="single" w:sz="4" w:space="0" w:color="auto"/>
            </w:tcBorders>
            <w:shd w:val="clear" w:color="auto" w:fill="auto"/>
            <w:noWrap/>
            <w:vAlign w:val="bottom"/>
            <w:hideMark/>
          </w:tcPr>
          <w:p w14:paraId="2B0EA31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125</w:t>
            </w:r>
          </w:p>
        </w:tc>
        <w:tc>
          <w:tcPr>
            <w:tcW w:w="1786" w:type="dxa"/>
            <w:tcBorders>
              <w:top w:val="nil"/>
              <w:left w:val="nil"/>
              <w:bottom w:val="single" w:sz="4" w:space="0" w:color="auto"/>
              <w:right w:val="single" w:sz="4" w:space="0" w:color="auto"/>
            </w:tcBorders>
            <w:shd w:val="clear" w:color="auto" w:fill="auto"/>
            <w:noWrap/>
            <w:vAlign w:val="bottom"/>
            <w:hideMark/>
          </w:tcPr>
          <w:p w14:paraId="6B936CB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56</w:t>
            </w:r>
          </w:p>
        </w:tc>
        <w:tc>
          <w:tcPr>
            <w:tcW w:w="2008" w:type="dxa"/>
            <w:tcBorders>
              <w:top w:val="nil"/>
              <w:left w:val="nil"/>
              <w:bottom w:val="single" w:sz="4" w:space="0" w:color="auto"/>
              <w:right w:val="single" w:sz="4" w:space="0" w:color="auto"/>
            </w:tcBorders>
            <w:shd w:val="clear" w:color="auto" w:fill="auto"/>
            <w:noWrap/>
            <w:vAlign w:val="bottom"/>
            <w:hideMark/>
          </w:tcPr>
          <w:p w14:paraId="11BE8DA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24</w:t>
            </w:r>
          </w:p>
        </w:tc>
        <w:tc>
          <w:tcPr>
            <w:tcW w:w="2163" w:type="dxa"/>
            <w:tcBorders>
              <w:top w:val="nil"/>
              <w:left w:val="nil"/>
              <w:bottom w:val="single" w:sz="4" w:space="0" w:color="auto"/>
              <w:right w:val="single" w:sz="4" w:space="0" w:color="auto"/>
            </w:tcBorders>
            <w:shd w:val="clear" w:color="auto" w:fill="auto"/>
            <w:noWrap/>
            <w:vAlign w:val="bottom"/>
            <w:hideMark/>
          </w:tcPr>
          <w:p w14:paraId="564C621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r w:rsidR="00482169" w:rsidRPr="000E652F" w14:paraId="063CCF51" w14:textId="77777777" w:rsidTr="00482169">
        <w:trPr>
          <w:trHeight w:val="279"/>
        </w:trPr>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4DBF99B" w14:textId="77777777" w:rsidR="00482169" w:rsidRPr="000E652F" w:rsidRDefault="00482169" w:rsidP="006D5C05">
            <w:pPr>
              <w:rPr>
                <w:rFonts w:ascii="Calibri" w:hAnsi="Calibri" w:cs="Calibri"/>
                <w:sz w:val="22"/>
                <w:szCs w:val="22"/>
              </w:rPr>
            </w:pPr>
            <w:r w:rsidRPr="000E652F">
              <w:rPr>
                <w:rFonts w:ascii="Calibri" w:hAnsi="Calibri" w:cs="Calibri"/>
                <w:sz w:val="22"/>
                <w:szCs w:val="22"/>
              </w:rPr>
              <w:t>Yancey</w:t>
            </w:r>
          </w:p>
        </w:tc>
        <w:tc>
          <w:tcPr>
            <w:tcW w:w="1730" w:type="dxa"/>
            <w:tcBorders>
              <w:top w:val="nil"/>
              <w:left w:val="nil"/>
              <w:bottom w:val="single" w:sz="4" w:space="0" w:color="auto"/>
              <w:right w:val="single" w:sz="4" w:space="0" w:color="auto"/>
            </w:tcBorders>
            <w:shd w:val="clear" w:color="auto" w:fill="auto"/>
            <w:noWrap/>
            <w:vAlign w:val="bottom"/>
            <w:hideMark/>
          </w:tcPr>
          <w:p w14:paraId="56035AC4"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6</w:t>
            </w:r>
          </w:p>
        </w:tc>
        <w:tc>
          <w:tcPr>
            <w:tcW w:w="1786" w:type="dxa"/>
            <w:tcBorders>
              <w:top w:val="nil"/>
              <w:left w:val="nil"/>
              <w:bottom w:val="single" w:sz="4" w:space="0" w:color="auto"/>
              <w:right w:val="single" w:sz="4" w:space="0" w:color="auto"/>
            </w:tcBorders>
            <w:shd w:val="clear" w:color="auto" w:fill="auto"/>
            <w:noWrap/>
            <w:vAlign w:val="bottom"/>
            <w:hideMark/>
          </w:tcPr>
          <w:p w14:paraId="59BDF887"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50</w:t>
            </w:r>
          </w:p>
        </w:tc>
        <w:tc>
          <w:tcPr>
            <w:tcW w:w="2008" w:type="dxa"/>
            <w:tcBorders>
              <w:top w:val="nil"/>
              <w:left w:val="nil"/>
              <w:bottom w:val="single" w:sz="4" w:space="0" w:color="auto"/>
              <w:right w:val="single" w:sz="4" w:space="0" w:color="auto"/>
            </w:tcBorders>
            <w:shd w:val="clear" w:color="auto" w:fill="auto"/>
            <w:noWrap/>
            <w:vAlign w:val="bottom"/>
            <w:hideMark/>
          </w:tcPr>
          <w:p w14:paraId="67F43F63"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c>
          <w:tcPr>
            <w:tcW w:w="2163" w:type="dxa"/>
            <w:tcBorders>
              <w:top w:val="nil"/>
              <w:left w:val="nil"/>
              <w:bottom w:val="single" w:sz="4" w:space="0" w:color="auto"/>
              <w:right w:val="single" w:sz="4" w:space="0" w:color="auto"/>
            </w:tcBorders>
            <w:shd w:val="clear" w:color="auto" w:fill="auto"/>
            <w:noWrap/>
            <w:vAlign w:val="bottom"/>
            <w:hideMark/>
          </w:tcPr>
          <w:p w14:paraId="2030ABD5" w14:textId="77777777" w:rsidR="00482169" w:rsidRPr="000E652F" w:rsidRDefault="00482169" w:rsidP="00880DE6">
            <w:pPr>
              <w:jc w:val="center"/>
              <w:rPr>
                <w:rFonts w:ascii="Calibri" w:hAnsi="Calibri" w:cs="Calibri"/>
                <w:sz w:val="22"/>
                <w:szCs w:val="22"/>
              </w:rPr>
            </w:pPr>
            <w:r w:rsidRPr="000E652F">
              <w:rPr>
                <w:rFonts w:ascii="Calibri" w:hAnsi="Calibri" w:cs="Calibri"/>
                <w:sz w:val="22"/>
                <w:szCs w:val="22"/>
              </w:rPr>
              <w:t>-</w:t>
            </w:r>
          </w:p>
        </w:tc>
      </w:tr>
    </w:tbl>
    <w:p w14:paraId="21262BE3" w14:textId="77777777" w:rsidR="00482169" w:rsidRPr="00482169" w:rsidRDefault="00482169" w:rsidP="00482169">
      <w:pPr>
        <w:rPr>
          <w:rFonts w:eastAsiaTheme="minorEastAsia"/>
        </w:rPr>
      </w:pPr>
    </w:p>
    <w:p w14:paraId="7D1DF288" w14:textId="77777777" w:rsidR="00375BBC" w:rsidRDefault="00375BBC" w:rsidP="00B75AF1">
      <w:pPr>
        <w:rPr>
          <w:rFonts w:eastAsiaTheme="minorEastAsia"/>
          <w:b/>
          <w:bCs/>
          <w:sz w:val="16"/>
          <w:szCs w:val="16"/>
        </w:rPr>
      </w:pPr>
    </w:p>
    <w:p w14:paraId="358AFAF6" w14:textId="3409B0A5" w:rsidR="00B75AF1" w:rsidRPr="00075D6B" w:rsidRDefault="00EA59FB" w:rsidP="00B75AF1">
      <w:pPr>
        <w:rPr>
          <w:rFonts w:eastAsiaTheme="minorEastAsia"/>
          <w:b/>
          <w:bCs/>
          <w:sz w:val="16"/>
          <w:szCs w:val="16"/>
        </w:rPr>
      </w:pPr>
      <w:r w:rsidRPr="00075D6B">
        <w:rPr>
          <w:rFonts w:eastAsiaTheme="minorEastAsia"/>
          <w:b/>
          <w:bCs/>
          <w:noProof/>
          <w:sz w:val="16"/>
          <w:szCs w:val="16"/>
        </w:rPr>
        <w:drawing>
          <wp:anchor distT="0" distB="0" distL="114300" distR="114300" simplePos="0" relativeHeight="251692032" behindDoc="0" locked="0" layoutInCell="1" allowOverlap="1" wp14:anchorId="2BC6B30A" wp14:editId="39C66DD4">
            <wp:simplePos x="0" y="0"/>
            <wp:positionH relativeFrom="margin">
              <wp:posOffset>-142875</wp:posOffset>
            </wp:positionH>
            <wp:positionV relativeFrom="paragraph">
              <wp:posOffset>221615</wp:posOffset>
            </wp:positionV>
            <wp:extent cx="6702425" cy="3350895"/>
            <wp:effectExtent l="0" t="0" r="3175"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02425" cy="335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AF1" w:rsidRPr="00075D6B">
        <w:rPr>
          <w:rFonts w:eastAsiaTheme="minorEastAsia"/>
          <w:b/>
          <w:bCs/>
          <w:sz w:val="16"/>
          <w:szCs w:val="16"/>
        </w:rPr>
        <w:t xml:space="preserve">Map </w:t>
      </w:r>
      <w:r w:rsidR="00B75AF1" w:rsidRPr="00075D6B">
        <w:rPr>
          <w:rFonts w:eastAsiaTheme="minorEastAsia"/>
          <w:b/>
          <w:bCs/>
          <w:sz w:val="16"/>
          <w:szCs w:val="16"/>
        </w:rPr>
        <w:fldChar w:fldCharType="begin"/>
      </w:r>
      <w:r w:rsidR="00B75AF1" w:rsidRPr="00075D6B">
        <w:rPr>
          <w:rFonts w:eastAsiaTheme="minorEastAsia"/>
          <w:b/>
          <w:bCs/>
          <w:sz w:val="16"/>
          <w:szCs w:val="16"/>
        </w:rPr>
        <w:instrText xml:space="preserve"> SEQ Map \* ARABIC </w:instrText>
      </w:r>
      <w:r w:rsidR="00B75AF1" w:rsidRPr="00075D6B">
        <w:rPr>
          <w:rFonts w:eastAsiaTheme="minorEastAsia"/>
          <w:b/>
          <w:bCs/>
          <w:sz w:val="16"/>
          <w:szCs w:val="16"/>
        </w:rPr>
        <w:fldChar w:fldCharType="separate"/>
      </w:r>
      <w:r w:rsidR="0055251A">
        <w:rPr>
          <w:rFonts w:eastAsiaTheme="minorEastAsia"/>
          <w:b/>
          <w:bCs/>
          <w:noProof/>
          <w:sz w:val="16"/>
          <w:szCs w:val="16"/>
        </w:rPr>
        <w:t>26</w:t>
      </w:r>
      <w:r w:rsidR="00B75AF1" w:rsidRPr="00075D6B">
        <w:rPr>
          <w:rFonts w:eastAsiaTheme="minorEastAsia"/>
          <w:sz w:val="16"/>
          <w:szCs w:val="16"/>
        </w:rPr>
        <w:fldChar w:fldCharType="end"/>
      </w:r>
      <w:r w:rsidR="00B75AF1" w:rsidRPr="00075D6B">
        <w:rPr>
          <w:rFonts w:eastAsiaTheme="minorEastAsia"/>
          <w:b/>
          <w:bCs/>
          <w:sz w:val="16"/>
          <w:szCs w:val="16"/>
        </w:rPr>
        <w:t xml:space="preserve"> Assisted Inventory in North Carolina, 2020</w:t>
      </w:r>
    </w:p>
    <w:p w14:paraId="2FCA7188" w14:textId="4FBADF03" w:rsidR="00B75AF1" w:rsidRPr="00375BBC" w:rsidRDefault="00B75AF1" w:rsidP="00B75AF1">
      <w:pPr>
        <w:rPr>
          <w:rFonts w:eastAsiaTheme="minorEastAsia"/>
          <w:sz w:val="16"/>
          <w:szCs w:val="16"/>
        </w:rPr>
      </w:pPr>
      <w:r w:rsidRPr="00375BBC">
        <w:rPr>
          <w:rFonts w:eastAsiaTheme="minorEastAsia"/>
          <w:sz w:val="16"/>
          <w:szCs w:val="16"/>
        </w:rPr>
        <w:t>Source: National Housing Preservation Database (NHPD), October 2020</w:t>
      </w:r>
    </w:p>
    <w:p w14:paraId="21C09972" w14:textId="1BAAB665" w:rsidR="003F5EBB" w:rsidRPr="00EA59FB" w:rsidRDefault="00B75AF1" w:rsidP="00EA59FB">
      <w:pPr>
        <w:rPr>
          <w:rFonts w:eastAsiaTheme="minorEastAsia"/>
          <w:b/>
          <w:bCs/>
          <w:i/>
          <w:iCs/>
        </w:rPr>
      </w:pPr>
      <w:r w:rsidRPr="00B75AF1">
        <w:rPr>
          <w:rFonts w:eastAsiaTheme="minorEastAsia"/>
          <w:b/>
          <w:bCs/>
        </w:rPr>
        <w:br w:type="page"/>
      </w:r>
    </w:p>
    <w:p w14:paraId="74CB7C9C" w14:textId="3487A25F" w:rsidR="003F5EBB" w:rsidRPr="003F5EBB" w:rsidRDefault="003F5EBB" w:rsidP="00306383">
      <w:pPr>
        <w:pStyle w:val="Heading1"/>
      </w:pPr>
      <w:bookmarkStart w:id="56" w:name="_Toc47639991"/>
      <w:bookmarkStart w:id="57" w:name="_Toc66807924"/>
      <w:r w:rsidRPr="003F5EBB">
        <w:lastRenderedPageBreak/>
        <w:t xml:space="preserve">Evaluation of </w:t>
      </w:r>
      <w:r w:rsidR="00306383">
        <w:t>State</w:t>
      </w:r>
      <w:r w:rsidRPr="003F5EBB">
        <w:t>’s Current Fair Housing Legal Status</w:t>
      </w:r>
      <w:bookmarkEnd w:id="56"/>
      <w:bookmarkEnd w:id="57"/>
    </w:p>
    <w:p w14:paraId="644DCB35" w14:textId="10220F81" w:rsidR="00E22517" w:rsidRDefault="00E22517" w:rsidP="00E22517">
      <w:pPr>
        <w:rPr>
          <w:rFonts w:eastAsiaTheme="minorEastAsia"/>
        </w:rPr>
      </w:pPr>
      <w:r>
        <w:rPr>
          <w:rFonts w:eastAsiaTheme="minorEastAsia"/>
        </w:rPr>
        <w:t xml:space="preserve">North Carolinians </w:t>
      </w:r>
      <w:r w:rsidRPr="00E22517">
        <w:rPr>
          <w:rFonts w:eastAsiaTheme="minorEastAsia"/>
        </w:rPr>
        <w:t xml:space="preserve">can receive fair housing services from </w:t>
      </w:r>
      <w:r w:rsidR="00EE1D6C">
        <w:rPr>
          <w:rFonts w:eastAsiaTheme="minorEastAsia"/>
        </w:rPr>
        <w:t>HUD, the North Carolina Human Relations Commission</w:t>
      </w:r>
      <w:r w:rsidR="00511814">
        <w:rPr>
          <w:rFonts w:eastAsiaTheme="minorEastAsia"/>
        </w:rPr>
        <w:t xml:space="preserve">, The Fair Housing Project </w:t>
      </w:r>
      <w:r w:rsidR="0031497D">
        <w:rPr>
          <w:rFonts w:eastAsiaTheme="minorEastAsia"/>
        </w:rPr>
        <w:t xml:space="preserve">of Legal Aid of </w:t>
      </w:r>
      <w:proofErr w:type="gramStart"/>
      <w:r w:rsidR="0031497D">
        <w:rPr>
          <w:rFonts w:eastAsiaTheme="minorEastAsia"/>
        </w:rPr>
        <w:t>North Carolina</w:t>
      </w:r>
      <w:proofErr w:type="gramEnd"/>
      <w:r w:rsidR="000C491E">
        <w:rPr>
          <w:rFonts w:eastAsiaTheme="minorEastAsia"/>
        </w:rPr>
        <w:t xml:space="preserve"> and several </w:t>
      </w:r>
      <w:r w:rsidRPr="00E22517">
        <w:rPr>
          <w:rFonts w:eastAsiaTheme="minorEastAsia"/>
        </w:rPr>
        <w:t>local human r</w:t>
      </w:r>
      <w:r w:rsidR="000C491E">
        <w:rPr>
          <w:rFonts w:eastAsiaTheme="minorEastAsia"/>
        </w:rPr>
        <w:t xml:space="preserve">elations </w:t>
      </w:r>
      <w:r w:rsidRPr="00E22517">
        <w:rPr>
          <w:rFonts w:eastAsiaTheme="minorEastAsia"/>
        </w:rPr>
        <w:t xml:space="preserve">commissions </w:t>
      </w:r>
      <w:r w:rsidR="000C491E">
        <w:rPr>
          <w:rFonts w:eastAsiaTheme="minorEastAsia"/>
        </w:rPr>
        <w:t>serving spe</w:t>
      </w:r>
      <w:r w:rsidR="007B504B">
        <w:rPr>
          <w:rFonts w:eastAsiaTheme="minorEastAsia"/>
        </w:rPr>
        <w:t xml:space="preserve">cific jurisdictions. </w:t>
      </w:r>
      <w:r w:rsidRPr="00E22517">
        <w:rPr>
          <w:rFonts w:eastAsiaTheme="minorEastAsia"/>
        </w:rPr>
        <w:t>This section summarizes the State-level fair housing organizations and analyzes the existence of fair housing complaints or compliance reviews where a charge of a finding of discrimination has been made.</w:t>
      </w:r>
    </w:p>
    <w:p w14:paraId="496E3BF6" w14:textId="77777777" w:rsidR="00E22517" w:rsidRPr="00E22517" w:rsidRDefault="00E22517" w:rsidP="00E22517">
      <w:pPr>
        <w:rPr>
          <w:rFonts w:eastAsiaTheme="minorEastAsia"/>
        </w:rPr>
      </w:pPr>
    </w:p>
    <w:p w14:paraId="3A10D57E" w14:textId="5ED183CF" w:rsidR="00A75288" w:rsidRDefault="00A75288" w:rsidP="00306383">
      <w:pPr>
        <w:pStyle w:val="Heading2"/>
        <w:rPr>
          <w:rFonts w:eastAsiaTheme="minorEastAsia"/>
        </w:rPr>
      </w:pPr>
      <w:bookmarkStart w:id="58" w:name="_Toc66807925"/>
      <w:r>
        <w:rPr>
          <w:rFonts w:eastAsiaTheme="minorEastAsia"/>
        </w:rPr>
        <w:t>Fair Housing Statutes</w:t>
      </w:r>
      <w:bookmarkEnd w:id="58"/>
    </w:p>
    <w:p w14:paraId="58858994" w14:textId="49CD536F" w:rsidR="00D95D51" w:rsidRDefault="00D95D51" w:rsidP="00306383">
      <w:pPr>
        <w:pStyle w:val="Heading3"/>
        <w:rPr>
          <w:rFonts w:eastAsiaTheme="minorEastAsia"/>
        </w:rPr>
      </w:pPr>
      <w:bookmarkStart w:id="59" w:name="_Toc66807926"/>
      <w:r>
        <w:rPr>
          <w:rFonts w:eastAsiaTheme="minorEastAsia"/>
        </w:rPr>
        <w:t>Federal Statutes</w:t>
      </w:r>
      <w:bookmarkEnd w:id="59"/>
    </w:p>
    <w:p w14:paraId="1357CB7E" w14:textId="27E481AE" w:rsidR="00D8644C" w:rsidRDefault="00D8644C" w:rsidP="0080249C">
      <w:pPr>
        <w:spacing w:after="160" w:line="259" w:lineRule="auto"/>
        <w:rPr>
          <w:rFonts w:eastAsiaTheme="minorEastAsia"/>
        </w:rPr>
      </w:pPr>
      <w:r>
        <w:rPr>
          <w:rFonts w:eastAsiaTheme="minorEastAsia"/>
        </w:rPr>
        <w:t xml:space="preserve">Several federal statutes protect </w:t>
      </w:r>
      <w:r w:rsidR="0080249C">
        <w:rPr>
          <w:rFonts w:eastAsiaTheme="minorEastAsia"/>
        </w:rPr>
        <w:t xml:space="preserve">people from </w:t>
      </w:r>
      <w:r w:rsidR="002346FD">
        <w:rPr>
          <w:rFonts w:eastAsiaTheme="minorEastAsia"/>
        </w:rPr>
        <w:t xml:space="preserve">housing </w:t>
      </w:r>
      <w:r w:rsidR="0080249C">
        <w:rPr>
          <w:rFonts w:eastAsiaTheme="minorEastAsia"/>
        </w:rPr>
        <w:t>discrimination</w:t>
      </w:r>
      <w:r w:rsidR="00D6092A">
        <w:rPr>
          <w:rFonts w:eastAsiaTheme="minorEastAsia"/>
        </w:rPr>
        <w:t xml:space="preserve"> or from </w:t>
      </w:r>
      <w:r w:rsidR="006D7BB8">
        <w:rPr>
          <w:rFonts w:eastAsiaTheme="minorEastAsia"/>
        </w:rPr>
        <w:t>being denied participation in federally funded programs</w:t>
      </w:r>
      <w:r w:rsidR="0080249C">
        <w:rPr>
          <w:rFonts w:eastAsiaTheme="minorEastAsia"/>
        </w:rPr>
        <w:t>. These include:</w:t>
      </w:r>
    </w:p>
    <w:p w14:paraId="26BA9669" w14:textId="38A747C2" w:rsidR="00A75288" w:rsidRPr="004E47B3" w:rsidRDefault="00A75288" w:rsidP="007A55D1">
      <w:pPr>
        <w:pStyle w:val="ListParagraph"/>
        <w:numPr>
          <w:ilvl w:val="0"/>
          <w:numId w:val="14"/>
        </w:numPr>
        <w:spacing w:after="120"/>
        <w:contextualSpacing w:val="0"/>
        <w:rPr>
          <w:rFonts w:eastAsiaTheme="minorEastAsia"/>
          <w:sz w:val="24"/>
        </w:rPr>
      </w:pPr>
      <w:r w:rsidRPr="004E47B3">
        <w:rPr>
          <w:rFonts w:eastAsiaTheme="minorEastAsia"/>
          <w:sz w:val="24"/>
        </w:rPr>
        <w:t xml:space="preserve">The federal </w:t>
      </w:r>
      <w:r w:rsidRPr="004E47B3">
        <w:rPr>
          <w:rFonts w:eastAsiaTheme="minorEastAsia"/>
          <w:b/>
          <w:bCs/>
          <w:sz w:val="24"/>
        </w:rPr>
        <w:t>Fair Housing Act</w:t>
      </w:r>
      <w:r w:rsidRPr="004E47B3">
        <w:rPr>
          <w:rFonts w:eastAsiaTheme="minorEastAsia"/>
          <w:sz w:val="24"/>
        </w:rPr>
        <w:t xml:space="preserve"> </w:t>
      </w:r>
      <w:r w:rsidR="00BB27A1" w:rsidRPr="004E47B3">
        <w:rPr>
          <w:rFonts w:eastAsiaTheme="minorEastAsia"/>
          <w:sz w:val="24"/>
        </w:rPr>
        <w:t>protects people from discrimination when they are renting or buying a home, getting a mortgage, seeking housing assistance, or engaging in other housing-related activities.</w:t>
      </w:r>
      <w:r w:rsidR="00A22905" w:rsidRPr="004E47B3">
        <w:rPr>
          <w:rFonts w:eastAsiaTheme="minorEastAsia"/>
          <w:sz w:val="24"/>
        </w:rPr>
        <w:t xml:space="preserve"> </w:t>
      </w:r>
    </w:p>
    <w:p w14:paraId="3F4CC9F2" w14:textId="1CE489CE" w:rsidR="00A22905" w:rsidRPr="004E47B3" w:rsidRDefault="00A22905" w:rsidP="007A55D1">
      <w:pPr>
        <w:pStyle w:val="ListParagraph"/>
        <w:numPr>
          <w:ilvl w:val="0"/>
          <w:numId w:val="14"/>
        </w:numPr>
        <w:spacing w:after="120"/>
        <w:contextualSpacing w:val="0"/>
        <w:rPr>
          <w:rFonts w:eastAsiaTheme="minorEastAsia"/>
          <w:sz w:val="24"/>
        </w:rPr>
      </w:pPr>
      <w:r w:rsidRPr="004E47B3">
        <w:rPr>
          <w:rFonts w:eastAsiaTheme="minorEastAsia"/>
          <w:sz w:val="24"/>
        </w:rPr>
        <w:t xml:space="preserve">Title VI of the </w:t>
      </w:r>
      <w:r w:rsidRPr="004E47B3">
        <w:rPr>
          <w:rFonts w:eastAsiaTheme="minorEastAsia"/>
          <w:b/>
          <w:bCs/>
          <w:sz w:val="24"/>
        </w:rPr>
        <w:t>Civil Rights Act</w:t>
      </w:r>
      <w:r w:rsidRPr="004E47B3">
        <w:rPr>
          <w:rFonts w:eastAsiaTheme="minorEastAsia"/>
          <w:sz w:val="24"/>
        </w:rPr>
        <w:t xml:space="preserve"> of 1964 provides that no person in the United States shall, on the ground of race, color, or national origin, be excluded from participation in, be denied the benefits of, or be subjected to discrimination under any program or activity receiving federal financial assistance.</w:t>
      </w:r>
      <w:r w:rsidR="00F07BAE" w:rsidRPr="004E47B3">
        <w:rPr>
          <w:rFonts w:eastAsiaTheme="minorEastAsia"/>
          <w:sz w:val="24"/>
        </w:rPr>
        <w:t xml:space="preserve"> </w:t>
      </w:r>
      <w:r w:rsidRPr="004E47B3">
        <w:rPr>
          <w:rFonts w:eastAsiaTheme="minorEastAsia"/>
          <w:sz w:val="24"/>
        </w:rPr>
        <w:t>Title VI applies to programs or activities receiving federal financial assistance from HUD.</w:t>
      </w:r>
    </w:p>
    <w:p w14:paraId="1CC3FD6D" w14:textId="5C45B8FD" w:rsidR="00D8644C" w:rsidRPr="004E47B3" w:rsidRDefault="00D8644C" w:rsidP="007A55D1">
      <w:pPr>
        <w:pStyle w:val="ListParagraph"/>
        <w:numPr>
          <w:ilvl w:val="0"/>
          <w:numId w:val="14"/>
        </w:numPr>
        <w:spacing w:after="120"/>
        <w:contextualSpacing w:val="0"/>
        <w:rPr>
          <w:rFonts w:eastAsiaTheme="minorEastAsia"/>
          <w:sz w:val="24"/>
        </w:rPr>
      </w:pPr>
      <w:r w:rsidRPr="004E47B3">
        <w:rPr>
          <w:rFonts w:eastAsiaTheme="minorEastAsia"/>
          <w:sz w:val="24"/>
        </w:rPr>
        <w:t xml:space="preserve">Section 504 of the </w:t>
      </w:r>
      <w:r w:rsidRPr="004E47B3">
        <w:rPr>
          <w:rFonts w:eastAsiaTheme="minorEastAsia"/>
          <w:b/>
          <w:bCs/>
          <w:sz w:val="24"/>
        </w:rPr>
        <w:t>Rehabilitation Act</w:t>
      </w:r>
      <w:r w:rsidRPr="004E47B3">
        <w:rPr>
          <w:rFonts w:eastAsiaTheme="minorEastAsia"/>
          <w:sz w:val="24"/>
        </w:rPr>
        <w:t xml:space="preserve"> </w:t>
      </w:r>
      <w:r w:rsidR="00B4254B" w:rsidRPr="004E47B3">
        <w:rPr>
          <w:rFonts w:eastAsiaTheme="minorEastAsia"/>
          <w:sz w:val="24"/>
        </w:rPr>
        <w:t xml:space="preserve">of 1973 </w:t>
      </w:r>
      <w:r w:rsidRPr="004E47B3">
        <w:rPr>
          <w:rFonts w:eastAsiaTheme="minorEastAsia"/>
          <w:sz w:val="24"/>
        </w:rPr>
        <w:t xml:space="preserve">prohibits discrimination </w:t>
      </w:r>
      <w:proofErr w:type="gramStart"/>
      <w:r w:rsidRPr="004E47B3">
        <w:rPr>
          <w:rFonts w:eastAsiaTheme="minorEastAsia"/>
          <w:sz w:val="24"/>
        </w:rPr>
        <w:t>on the basis of</w:t>
      </w:r>
      <w:proofErr w:type="gramEnd"/>
      <w:r w:rsidRPr="004E47B3">
        <w:rPr>
          <w:rFonts w:eastAsiaTheme="minorEastAsia"/>
          <w:sz w:val="24"/>
        </w:rPr>
        <w:t xml:space="preserve"> disability in any program or activity receiving federal financial assistance. Titles II and III of the Americans with Disabilities Act prohibit discrimination </w:t>
      </w:r>
      <w:proofErr w:type="gramStart"/>
      <w:r w:rsidRPr="004E47B3">
        <w:rPr>
          <w:rFonts w:eastAsiaTheme="minorEastAsia"/>
          <w:sz w:val="24"/>
        </w:rPr>
        <w:t>on the basis of</w:t>
      </w:r>
      <w:proofErr w:type="gramEnd"/>
      <w:r w:rsidRPr="004E47B3">
        <w:rPr>
          <w:rFonts w:eastAsiaTheme="minorEastAsia"/>
          <w:sz w:val="24"/>
        </w:rPr>
        <w:t xml:space="preserve"> disability in all programs, services, and activities of public entities and by private entities that own, operate, or lease places of public accommodation.</w:t>
      </w:r>
    </w:p>
    <w:p w14:paraId="651EC0BE" w14:textId="3DD9301B" w:rsidR="00F73FB4" w:rsidRPr="004E47B3" w:rsidRDefault="00AE3E0E" w:rsidP="007A55D1">
      <w:pPr>
        <w:pStyle w:val="ListParagraph"/>
        <w:numPr>
          <w:ilvl w:val="0"/>
          <w:numId w:val="14"/>
        </w:numPr>
        <w:spacing w:after="120"/>
        <w:contextualSpacing w:val="0"/>
        <w:rPr>
          <w:rFonts w:eastAsiaTheme="minorEastAsia"/>
          <w:sz w:val="24"/>
        </w:rPr>
      </w:pPr>
      <w:r w:rsidRPr="004E47B3">
        <w:rPr>
          <w:rFonts w:eastAsiaTheme="minorEastAsia"/>
          <w:sz w:val="24"/>
        </w:rPr>
        <w:t xml:space="preserve">Title </w:t>
      </w:r>
      <w:r w:rsidR="00B4254B" w:rsidRPr="004E47B3">
        <w:rPr>
          <w:rFonts w:eastAsiaTheme="minorEastAsia"/>
          <w:sz w:val="24"/>
        </w:rPr>
        <w:t>I</w:t>
      </w:r>
      <w:r w:rsidRPr="004E47B3">
        <w:rPr>
          <w:rFonts w:eastAsiaTheme="minorEastAsia"/>
          <w:sz w:val="24"/>
        </w:rPr>
        <w:t xml:space="preserve"> of </w:t>
      </w:r>
      <w:r w:rsidR="00F73FB4" w:rsidRPr="004E47B3">
        <w:rPr>
          <w:rFonts w:eastAsiaTheme="minorEastAsia"/>
          <w:sz w:val="24"/>
        </w:rPr>
        <w:t xml:space="preserve">Section 109 of the </w:t>
      </w:r>
      <w:r w:rsidR="00F73FB4" w:rsidRPr="004E47B3">
        <w:rPr>
          <w:rFonts w:eastAsiaTheme="minorEastAsia"/>
          <w:b/>
          <w:bCs/>
          <w:sz w:val="24"/>
        </w:rPr>
        <w:t xml:space="preserve">Housing </w:t>
      </w:r>
      <w:r w:rsidR="006D1932" w:rsidRPr="004E47B3">
        <w:rPr>
          <w:rFonts w:eastAsiaTheme="minorEastAsia"/>
          <w:b/>
          <w:bCs/>
          <w:sz w:val="24"/>
        </w:rPr>
        <w:t>and Community Development Act</w:t>
      </w:r>
      <w:r w:rsidR="006D1932" w:rsidRPr="004E47B3">
        <w:rPr>
          <w:rFonts w:eastAsiaTheme="minorEastAsia"/>
          <w:sz w:val="24"/>
        </w:rPr>
        <w:t xml:space="preserve"> of 1974</w:t>
      </w:r>
      <w:r w:rsidR="00211B91" w:rsidRPr="004E47B3">
        <w:rPr>
          <w:rFonts w:eastAsiaTheme="minorEastAsia"/>
          <w:sz w:val="24"/>
        </w:rPr>
        <w:t xml:space="preserve"> prohibits discrimination </w:t>
      </w:r>
      <w:proofErr w:type="gramStart"/>
      <w:r w:rsidR="00211B91" w:rsidRPr="004E47B3">
        <w:rPr>
          <w:rFonts w:eastAsiaTheme="minorEastAsia"/>
          <w:sz w:val="24"/>
        </w:rPr>
        <w:t>on the basis of</w:t>
      </w:r>
      <w:proofErr w:type="gramEnd"/>
      <w:r w:rsidR="00211B91" w:rsidRPr="004E47B3">
        <w:rPr>
          <w:rFonts w:eastAsiaTheme="minorEastAsia"/>
          <w:sz w:val="24"/>
        </w:rPr>
        <w:t xml:space="preserve"> race, color, national origin, disability, age, religion, and sex within Community Development Block Grant (CDBG) programs or activities.</w:t>
      </w:r>
    </w:p>
    <w:p w14:paraId="4D6E943F" w14:textId="3CAB6D66" w:rsidR="00D95D51" w:rsidRDefault="00D95D51" w:rsidP="00550393">
      <w:pPr>
        <w:pStyle w:val="Heading3"/>
        <w:rPr>
          <w:rFonts w:eastAsiaTheme="minorEastAsia"/>
        </w:rPr>
      </w:pPr>
      <w:bookmarkStart w:id="60" w:name="_Toc66807927"/>
      <w:r>
        <w:rPr>
          <w:rFonts w:eastAsiaTheme="minorEastAsia"/>
        </w:rPr>
        <w:t>State Statute</w:t>
      </w:r>
      <w:bookmarkEnd w:id="60"/>
    </w:p>
    <w:p w14:paraId="37E84EBF" w14:textId="6A084FC2" w:rsidR="00A3704F" w:rsidRDefault="00C238B0" w:rsidP="00C238B0">
      <w:pPr>
        <w:spacing w:after="120"/>
        <w:rPr>
          <w:rFonts w:eastAsiaTheme="minorEastAsia"/>
        </w:rPr>
      </w:pPr>
      <w:r>
        <w:rPr>
          <w:rFonts w:eastAsiaTheme="minorEastAsia"/>
        </w:rPr>
        <w:t xml:space="preserve">The North Carolina </w:t>
      </w:r>
      <w:r w:rsidR="00A17BD2">
        <w:rPr>
          <w:rFonts w:eastAsiaTheme="minorEastAsia"/>
        </w:rPr>
        <w:t xml:space="preserve">State </w:t>
      </w:r>
      <w:r>
        <w:rPr>
          <w:rFonts w:eastAsiaTheme="minorEastAsia"/>
        </w:rPr>
        <w:t xml:space="preserve">Fair Housing Act </w:t>
      </w:r>
      <w:r w:rsidR="00A17BD2">
        <w:rPr>
          <w:rFonts w:eastAsiaTheme="minorEastAsia"/>
        </w:rPr>
        <w:t>(Chapter 41A</w:t>
      </w:r>
      <w:r w:rsidR="00B16A9B">
        <w:rPr>
          <w:rFonts w:eastAsiaTheme="minorEastAsia"/>
        </w:rPr>
        <w:t xml:space="preserve"> of the North Carolina General Statutes) </w:t>
      </w:r>
      <w:r w:rsidR="00A3704F">
        <w:rPr>
          <w:rFonts w:eastAsiaTheme="minorEastAsia"/>
        </w:rPr>
        <w:t xml:space="preserve">makes it </w:t>
      </w:r>
      <w:r w:rsidR="00A3704F" w:rsidRPr="00A3704F">
        <w:rPr>
          <w:rFonts w:eastAsiaTheme="minorEastAsia"/>
        </w:rPr>
        <w:t xml:space="preserve">unlawful </w:t>
      </w:r>
      <w:r w:rsidR="009B38FB">
        <w:rPr>
          <w:rFonts w:eastAsiaTheme="minorEastAsia"/>
        </w:rPr>
        <w:t xml:space="preserve">to </w:t>
      </w:r>
      <w:r w:rsidR="00A3704F" w:rsidRPr="00A3704F">
        <w:rPr>
          <w:rFonts w:eastAsiaTheme="minorEastAsia"/>
        </w:rPr>
        <w:t>discriminat</w:t>
      </w:r>
      <w:r w:rsidR="009B38FB">
        <w:rPr>
          <w:rFonts w:eastAsiaTheme="minorEastAsia"/>
        </w:rPr>
        <w:t xml:space="preserve">e against </w:t>
      </w:r>
      <w:r w:rsidR="00A3704F" w:rsidRPr="00A3704F">
        <w:rPr>
          <w:rFonts w:eastAsiaTheme="minorEastAsia"/>
        </w:rPr>
        <w:t>any person in a real estate transaction because of race, color, religion, sex, national origin, handicapping condition, or familial status.</w:t>
      </w:r>
      <w:r w:rsidR="00D30024">
        <w:rPr>
          <w:rFonts w:eastAsiaTheme="minorEastAsia"/>
        </w:rPr>
        <w:t xml:space="preserve"> The State also prohibits discrimination in </w:t>
      </w:r>
      <w:r w:rsidR="00C80F3C">
        <w:rPr>
          <w:rFonts w:eastAsiaTheme="minorEastAsia"/>
        </w:rPr>
        <w:t xml:space="preserve">the siting of </w:t>
      </w:r>
      <w:r w:rsidR="00241AB1">
        <w:rPr>
          <w:rFonts w:eastAsiaTheme="minorEastAsia"/>
        </w:rPr>
        <w:t>residential development containing affordable housing units</w:t>
      </w:r>
      <w:r w:rsidR="008D4135">
        <w:rPr>
          <w:rFonts w:eastAsiaTheme="minorEastAsia"/>
        </w:rPr>
        <w:t>.</w:t>
      </w:r>
      <w:r w:rsidR="00241AB1">
        <w:rPr>
          <w:rFonts w:eastAsiaTheme="minorEastAsia"/>
        </w:rPr>
        <w:t xml:space="preserve"> </w:t>
      </w:r>
    </w:p>
    <w:p w14:paraId="28132FEA" w14:textId="397BE01E" w:rsidR="00D95D51" w:rsidRDefault="00937854" w:rsidP="00550393">
      <w:pPr>
        <w:pStyle w:val="Heading3"/>
        <w:rPr>
          <w:rFonts w:eastAsiaTheme="minorEastAsia"/>
        </w:rPr>
      </w:pPr>
      <w:bookmarkStart w:id="61" w:name="_Toc66807928"/>
      <w:r>
        <w:rPr>
          <w:rFonts w:eastAsiaTheme="minorEastAsia"/>
        </w:rPr>
        <w:t>Municipal Statutes</w:t>
      </w:r>
      <w:bookmarkEnd w:id="61"/>
    </w:p>
    <w:p w14:paraId="6051A900" w14:textId="16E9CB44" w:rsidR="00937854" w:rsidRDefault="0087789F" w:rsidP="00C238B0">
      <w:pPr>
        <w:spacing w:after="120"/>
        <w:rPr>
          <w:rFonts w:eastAsiaTheme="minorEastAsia"/>
        </w:rPr>
      </w:pPr>
      <w:r>
        <w:rPr>
          <w:rFonts w:eastAsiaTheme="minorEastAsia"/>
        </w:rPr>
        <w:t xml:space="preserve">Five </w:t>
      </w:r>
      <w:r w:rsidR="00EA795D">
        <w:rPr>
          <w:rFonts w:eastAsiaTheme="minorEastAsia"/>
        </w:rPr>
        <w:t>jurisdictions</w:t>
      </w:r>
      <w:r>
        <w:rPr>
          <w:rFonts w:eastAsiaTheme="minorEastAsia"/>
        </w:rPr>
        <w:t xml:space="preserve"> </w:t>
      </w:r>
      <w:r w:rsidR="00EA795D">
        <w:rPr>
          <w:rFonts w:eastAsiaTheme="minorEastAsia"/>
        </w:rPr>
        <w:t xml:space="preserve">within North Carolina </w:t>
      </w:r>
      <w:r>
        <w:rPr>
          <w:rFonts w:eastAsiaTheme="minorEastAsia"/>
        </w:rPr>
        <w:t xml:space="preserve">have established local </w:t>
      </w:r>
      <w:r w:rsidR="00D50509">
        <w:rPr>
          <w:rFonts w:eastAsiaTheme="minorEastAsia"/>
        </w:rPr>
        <w:t>human relations commissions, including Charlotte/Mecklenb</w:t>
      </w:r>
      <w:r w:rsidR="00EA795D">
        <w:rPr>
          <w:rFonts w:eastAsiaTheme="minorEastAsia"/>
        </w:rPr>
        <w:t>urg, Durham, Greensboro, Orange County and Winston-Salem.</w:t>
      </w:r>
      <w:r w:rsidR="00AB36DF">
        <w:rPr>
          <w:rFonts w:eastAsiaTheme="minorEastAsia"/>
        </w:rPr>
        <w:t xml:space="preserve"> Residents within these jurisdictions have the benefit of </w:t>
      </w:r>
      <w:r w:rsidR="00B415FB">
        <w:rPr>
          <w:rFonts w:eastAsiaTheme="minorEastAsia"/>
        </w:rPr>
        <w:t xml:space="preserve">filing discrimination complaints with a </w:t>
      </w:r>
      <w:r w:rsidR="00B415FB">
        <w:rPr>
          <w:rFonts w:eastAsiaTheme="minorEastAsia"/>
        </w:rPr>
        <w:lastRenderedPageBreak/>
        <w:t xml:space="preserve">local entity in addition to filing with </w:t>
      </w:r>
      <w:r w:rsidR="003F000C">
        <w:rPr>
          <w:rFonts w:eastAsiaTheme="minorEastAsia"/>
        </w:rPr>
        <w:t>the North Carolina Human Relations Commission, the Fair Housing Project of Legal Aid of North Carolina and HUD.</w:t>
      </w:r>
    </w:p>
    <w:p w14:paraId="41A94D7E" w14:textId="77777777" w:rsidR="00A75288" w:rsidRPr="00A75288" w:rsidRDefault="00A75288" w:rsidP="00A75288">
      <w:pPr>
        <w:rPr>
          <w:rFonts w:eastAsiaTheme="minorEastAsia"/>
        </w:rPr>
      </w:pPr>
    </w:p>
    <w:p w14:paraId="7DAB8C94" w14:textId="2C0A051E" w:rsidR="008D4135" w:rsidRDefault="008D4135" w:rsidP="00550393">
      <w:pPr>
        <w:pStyle w:val="Heading2"/>
        <w:rPr>
          <w:rFonts w:eastAsiaTheme="minorEastAsia"/>
        </w:rPr>
      </w:pPr>
      <w:bookmarkStart w:id="62" w:name="_Toc66807929"/>
      <w:r>
        <w:rPr>
          <w:rFonts w:eastAsiaTheme="minorEastAsia"/>
        </w:rPr>
        <w:t xml:space="preserve">Fair Housing </w:t>
      </w:r>
      <w:r w:rsidR="00D95D51">
        <w:rPr>
          <w:rFonts w:eastAsiaTheme="minorEastAsia"/>
        </w:rPr>
        <w:t>Entities</w:t>
      </w:r>
      <w:bookmarkEnd w:id="62"/>
    </w:p>
    <w:p w14:paraId="1779A598" w14:textId="1F1EDA5B" w:rsidR="00E22517" w:rsidRPr="00D95D51" w:rsidRDefault="00E22517" w:rsidP="00550393">
      <w:pPr>
        <w:pStyle w:val="Heading3"/>
      </w:pPr>
      <w:bookmarkStart w:id="63" w:name="_Toc66807930"/>
      <w:r w:rsidRPr="00D95D51">
        <w:t>U.S. Department of Housing &amp; Urban Development</w:t>
      </w:r>
      <w:bookmarkEnd w:id="63"/>
    </w:p>
    <w:p w14:paraId="30D27CEE" w14:textId="602E6D0A" w:rsidR="00E22517" w:rsidRDefault="00E22517" w:rsidP="00E22517">
      <w:pPr>
        <w:rPr>
          <w:rFonts w:eastAsiaTheme="minorEastAsia"/>
        </w:rPr>
      </w:pPr>
      <w:r w:rsidRPr="00E22517">
        <w:rPr>
          <w:rFonts w:eastAsiaTheme="minorEastAsia"/>
        </w:rPr>
        <w:t xml:space="preserve">The Office of Fair Housing &amp; Equal Opportunity (FHEO) of HUD administers federal laws and establishes national policies to ensure that all Americans have equal access to the housing of their choice. </w:t>
      </w:r>
      <w:r w:rsidR="0095541D">
        <w:rPr>
          <w:rFonts w:eastAsiaTheme="minorEastAsia"/>
        </w:rPr>
        <w:t>Housing discrimination complaints filed with HUD may be referred to the North Carolina Human Relations Commission for investigation.</w:t>
      </w:r>
    </w:p>
    <w:p w14:paraId="4EF676B5" w14:textId="6034CDDA" w:rsidR="00A9442A" w:rsidRDefault="00A9442A" w:rsidP="00E22517">
      <w:pPr>
        <w:rPr>
          <w:rFonts w:eastAsiaTheme="minorEastAsia"/>
        </w:rPr>
      </w:pPr>
    </w:p>
    <w:p w14:paraId="18C64782" w14:textId="29131DE1" w:rsidR="00E22517" w:rsidRDefault="002937F2" w:rsidP="00550393">
      <w:pPr>
        <w:pStyle w:val="Heading3"/>
        <w:rPr>
          <w:rFonts w:eastAsiaTheme="minorEastAsia"/>
        </w:rPr>
      </w:pPr>
      <w:bookmarkStart w:id="64" w:name="_Toc66807931"/>
      <w:r>
        <w:rPr>
          <w:rFonts w:eastAsiaTheme="minorEastAsia"/>
        </w:rPr>
        <w:t>North Carolina Human Relations Commission</w:t>
      </w:r>
      <w:bookmarkEnd w:id="64"/>
    </w:p>
    <w:p w14:paraId="29A1DB96" w14:textId="6EEF7BA1" w:rsidR="000C4D75" w:rsidRDefault="00ED789D" w:rsidP="000C4D75">
      <w:pPr>
        <w:rPr>
          <w:rFonts w:eastAsiaTheme="minorEastAsia"/>
        </w:rPr>
      </w:pPr>
      <w:r w:rsidRPr="00ED789D">
        <w:rPr>
          <w:rFonts w:eastAsiaTheme="minorEastAsia"/>
        </w:rPr>
        <w:t xml:space="preserve">The North Carolina </w:t>
      </w:r>
      <w:r>
        <w:rPr>
          <w:rFonts w:eastAsiaTheme="minorEastAsia"/>
        </w:rPr>
        <w:t>Human Relations Commission</w:t>
      </w:r>
      <w:r w:rsidRPr="00ED789D">
        <w:rPr>
          <w:rFonts w:eastAsiaTheme="minorEastAsia"/>
        </w:rPr>
        <w:t xml:space="preserve"> </w:t>
      </w:r>
      <w:r w:rsidR="000C4D75" w:rsidRPr="000C4D75">
        <w:rPr>
          <w:rFonts w:eastAsiaTheme="minorEastAsia"/>
        </w:rPr>
        <w:t xml:space="preserve">is a “substantially equivalent agency” under HUD’s Fair Housing Assistance Program (FHAP). This means that </w:t>
      </w:r>
      <w:r w:rsidR="00C9471B">
        <w:rPr>
          <w:rFonts w:eastAsiaTheme="minorEastAsia"/>
        </w:rPr>
        <w:t>NCHRC</w:t>
      </w:r>
      <w:r w:rsidR="000C4D75" w:rsidRPr="000C4D75">
        <w:rPr>
          <w:rFonts w:eastAsiaTheme="minorEastAsia"/>
        </w:rPr>
        <w:t xml:space="preserve"> has been certified as substantially equivalent after HUD determined that the Commission administers a law (i.e., the </w:t>
      </w:r>
      <w:r w:rsidR="006D1609">
        <w:rPr>
          <w:rFonts w:eastAsiaTheme="minorEastAsia"/>
        </w:rPr>
        <w:t>North Carolina State Fair Housing Act</w:t>
      </w:r>
      <w:r w:rsidR="000C4D75" w:rsidRPr="000C4D75">
        <w:rPr>
          <w:rFonts w:eastAsiaTheme="minorEastAsia"/>
        </w:rPr>
        <w:t xml:space="preserve">) which provides rights, procedures, </w:t>
      </w:r>
      <w:proofErr w:type="gramStart"/>
      <w:r w:rsidR="000C4D75" w:rsidRPr="000C4D75">
        <w:rPr>
          <w:rFonts w:eastAsiaTheme="minorEastAsia"/>
        </w:rPr>
        <w:t>remedies</w:t>
      </w:r>
      <w:proofErr w:type="gramEnd"/>
      <w:r w:rsidR="000C4D75" w:rsidRPr="000C4D75">
        <w:rPr>
          <w:rFonts w:eastAsiaTheme="minorEastAsia"/>
        </w:rPr>
        <w:t xml:space="preserve"> and judicial review provisions that are substantially equivalent to the </w:t>
      </w:r>
      <w:r w:rsidR="006D1609">
        <w:rPr>
          <w:rFonts w:eastAsiaTheme="minorEastAsia"/>
        </w:rPr>
        <w:t xml:space="preserve">federal </w:t>
      </w:r>
      <w:r w:rsidR="000C4D75" w:rsidRPr="000C4D75">
        <w:rPr>
          <w:rFonts w:eastAsiaTheme="minorEastAsia"/>
        </w:rPr>
        <w:t xml:space="preserve">Fair Housing Act. </w:t>
      </w:r>
      <w:r w:rsidR="006D1609">
        <w:rPr>
          <w:rFonts w:eastAsiaTheme="minorEastAsia"/>
        </w:rPr>
        <w:t>As a result, H</w:t>
      </w:r>
      <w:r w:rsidR="000C4D75" w:rsidRPr="000C4D75">
        <w:rPr>
          <w:rFonts w:eastAsiaTheme="minorEastAsia"/>
        </w:rPr>
        <w:t xml:space="preserve">UD refers complaints of housing discrimination that it receives from </w:t>
      </w:r>
      <w:r w:rsidR="006D1609">
        <w:rPr>
          <w:rFonts w:eastAsiaTheme="minorEastAsia"/>
        </w:rPr>
        <w:t xml:space="preserve">North Carolinians </w:t>
      </w:r>
      <w:r w:rsidR="000C4D75" w:rsidRPr="000C4D75">
        <w:rPr>
          <w:rFonts w:eastAsiaTheme="minorEastAsia"/>
        </w:rPr>
        <w:t xml:space="preserve">to </w:t>
      </w:r>
      <w:r w:rsidR="006D1609">
        <w:rPr>
          <w:rFonts w:eastAsiaTheme="minorEastAsia"/>
        </w:rPr>
        <w:t>NCHRC</w:t>
      </w:r>
      <w:r w:rsidR="000C4D75" w:rsidRPr="000C4D75">
        <w:rPr>
          <w:rFonts w:eastAsiaTheme="minorEastAsia"/>
        </w:rPr>
        <w:t xml:space="preserve"> for investigation. </w:t>
      </w:r>
    </w:p>
    <w:p w14:paraId="7466B204" w14:textId="22C83E43" w:rsidR="00D005F6" w:rsidRDefault="00D005F6" w:rsidP="000C4D75">
      <w:pPr>
        <w:rPr>
          <w:rFonts w:eastAsiaTheme="minorEastAsia"/>
        </w:rPr>
      </w:pPr>
    </w:p>
    <w:p w14:paraId="77095F16" w14:textId="008AA091" w:rsidR="00D005F6" w:rsidRDefault="00D005F6" w:rsidP="000C4D75">
      <w:pPr>
        <w:rPr>
          <w:rFonts w:eastAsiaTheme="minorEastAsia"/>
        </w:rPr>
      </w:pPr>
      <w:r>
        <w:rPr>
          <w:rFonts w:eastAsiaTheme="minorEastAsia"/>
        </w:rPr>
        <w:t>As a FHAP</w:t>
      </w:r>
      <w:r w:rsidR="009B751C">
        <w:rPr>
          <w:rFonts w:eastAsiaTheme="minorEastAsia"/>
        </w:rPr>
        <w:t xml:space="preserve"> agency, the Commission </w:t>
      </w:r>
      <w:r w:rsidR="0017618E">
        <w:rPr>
          <w:rFonts w:eastAsiaTheme="minorEastAsia"/>
        </w:rPr>
        <w:t xml:space="preserve">receives grant funding from HUD </w:t>
      </w:r>
      <w:r w:rsidR="000F6D00" w:rsidRPr="000F6D00">
        <w:rPr>
          <w:rFonts w:eastAsiaTheme="minorEastAsia"/>
        </w:rPr>
        <w:t xml:space="preserve">to assist in the enforcement of the </w:t>
      </w:r>
      <w:r w:rsidR="0017618E">
        <w:rPr>
          <w:rFonts w:eastAsiaTheme="minorEastAsia"/>
        </w:rPr>
        <w:t xml:space="preserve">federal Fair Housing </w:t>
      </w:r>
      <w:r w:rsidR="000F6D00" w:rsidRPr="000F6D00">
        <w:rPr>
          <w:rFonts w:eastAsiaTheme="minorEastAsia"/>
        </w:rPr>
        <w:t xml:space="preserve">Act. </w:t>
      </w:r>
      <w:r w:rsidR="00F23FA9">
        <w:rPr>
          <w:rFonts w:eastAsiaTheme="minorEastAsia"/>
        </w:rPr>
        <w:t xml:space="preserve">The Commission also receives some </w:t>
      </w:r>
      <w:r w:rsidR="000F6D00" w:rsidRPr="000F6D00">
        <w:rPr>
          <w:rFonts w:eastAsiaTheme="minorEastAsia"/>
        </w:rPr>
        <w:t xml:space="preserve">financial and operational assistance from FHEO to enforce </w:t>
      </w:r>
      <w:r w:rsidR="00F23FA9">
        <w:rPr>
          <w:rFonts w:eastAsiaTheme="minorEastAsia"/>
        </w:rPr>
        <w:t>the State Fair Housing Act</w:t>
      </w:r>
      <w:r w:rsidR="000F6D00" w:rsidRPr="000F6D00">
        <w:rPr>
          <w:rFonts w:eastAsiaTheme="minorEastAsia"/>
        </w:rPr>
        <w:t xml:space="preserve">. </w:t>
      </w:r>
    </w:p>
    <w:p w14:paraId="613E9CD6" w14:textId="3A13A67E" w:rsidR="00773132" w:rsidRDefault="00773132" w:rsidP="000C4D75">
      <w:pPr>
        <w:rPr>
          <w:rFonts w:eastAsiaTheme="minorEastAsia"/>
        </w:rPr>
      </w:pPr>
    </w:p>
    <w:p w14:paraId="6106BFCB" w14:textId="775FFC26" w:rsidR="0095541D" w:rsidRDefault="0095541D" w:rsidP="00550393">
      <w:pPr>
        <w:pStyle w:val="Heading3"/>
        <w:rPr>
          <w:rFonts w:eastAsiaTheme="minorEastAsia"/>
        </w:rPr>
      </w:pPr>
      <w:bookmarkStart w:id="65" w:name="_Toc66807932"/>
      <w:r>
        <w:rPr>
          <w:rFonts w:eastAsiaTheme="minorEastAsia"/>
        </w:rPr>
        <w:t>The Fair Housing Project of Legal Aid of North Carolina</w:t>
      </w:r>
      <w:bookmarkEnd w:id="65"/>
    </w:p>
    <w:p w14:paraId="385940DB" w14:textId="0D2F4E5D" w:rsidR="0095541D" w:rsidRDefault="004D4311" w:rsidP="000C4D75">
      <w:pPr>
        <w:rPr>
          <w:rFonts w:eastAsiaTheme="minorEastAsia"/>
        </w:rPr>
      </w:pPr>
      <w:r>
        <w:rPr>
          <w:rFonts w:eastAsiaTheme="minorEastAsia"/>
        </w:rPr>
        <w:t xml:space="preserve">The Fair Housing Project </w:t>
      </w:r>
      <w:r w:rsidR="00593AB2">
        <w:rPr>
          <w:rFonts w:eastAsiaTheme="minorEastAsia"/>
        </w:rPr>
        <w:t>is a grantee under HUD’s Fair Housing Initiatives Program (FHIP)</w:t>
      </w:r>
      <w:r w:rsidR="004838FA">
        <w:rPr>
          <w:rFonts w:eastAsiaTheme="minorEastAsia"/>
        </w:rPr>
        <w:t xml:space="preserve"> and provides the following services across the State:</w:t>
      </w:r>
    </w:p>
    <w:p w14:paraId="6ADDEB06" w14:textId="68709EC5" w:rsidR="004838FA" w:rsidRPr="004E47B3" w:rsidRDefault="004838FA" w:rsidP="007A55D1">
      <w:pPr>
        <w:pStyle w:val="ListParagraph"/>
        <w:numPr>
          <w:ilvl w:val="0"/>
          <w:numId w:val="15"/>
        </w:numPr>
        <w:spacing w:before="120" w:after="120"/>
        <w:contextualSpacing w:val="0"/>
        <w:rPr>
          <w:rFonts w:eastAsiaTheme="minorEastAsia"/>
          <w:sz w:val="24"/>
        </w:rPr>
      </w:pPr>
      <w:r w:rsidRPr="004E47B3">
        <w:rPr>
          <w:rFonts w:eastAsiaTheme="minorEastAsia"/>
          <w:sz w:val="24"/>
        </w:rPr>
        <w:t>Education and outreach on fair housing issues</w:t>
      </w:r>
      <w:r w:rsidR="008C7E81" w:rsidRPr="004E47B3">
        <w:rPr>
          <w:rFonts w:eastAsiaTheme="minorEastAsia"/>
          <w:sz w:val="24"/>
        </w:rPr>
        <w:t xml:space="preserve"> to residents, </w:t>
      </w:r>
      <w:proofErr w:type="gramStart"/>
      <w:r w:rsidR="008C7E81" w:rsidRPr="004E47B3">
        <w:rPr>
          <w:rFonts w:eastAsiaTheme="minorEastAsia"/>
          <w:sz w:val="24"/>
        </w:rPr>
        <w:t>advocates</w:t>
      </w:r>
      <w:proofErr w:type="gramEnd"/>
      <w:r w:rsidR="008C7E81" w:rsidRPr="004E47B3">
        <w:rPr>
          <w:rFonts w:eastAsiaTheme="minorEastAsia"/>
          <w:sz w:val="24"/>
        </w:rPr>
        <w:t xml:space="preserve"> and service providers</w:t>
      </w:r>
    </w:p>
    <w:p w14:paraId="4387CF99" w14:textId="4C29B145" w:rsidR="008C7E81" w:rsidRPr="004E47B3" w:rsidRDefault="008C7E81" w:rsidP="007A55D1">
      <w:pPr>
        <w:pStyle w:val="ListParagraph"/>
        <w:numPr>
          <w:ilvl w:val="0"/>
          <w:numId w:val="15"/>
        </w:numPr>
        <w:spacing w:after="120"/>
        <w:contextualSpacing w:val="0"/>
        <w:rPr>
          <w:rFonts w:eastAsiaTheme="minorEastAsia"/>
          <w:sz w:val="24"/>
        </w:rPr>
      </w:pPr>
      <w:r w:rsidRPr="004E47B3">
        <w:rPr>
          <w:rFonts w:eastAsiaTheme="minorEastAsia"/>
          <w:sz w:val="24"/>
        </w:rPr>
        <w:t>Legal representation to persons who have been discriminated against</w:t>
      </w:r>
    </w:p>
    <w:p w14:paraId="17927E1B" w14:textId="6708C809" w:rsidR="00C262CB" w:rsidRPr="004E47B3" w:rsidRDefault="00C262CB" w:rsidP="007A55D1">
      <w:pPr>
        <w:pStyle w:val="ListParagraph"/>
        <w:numPr>
          <w:ilvl w:val="0"/>
          <w:numId w:val="15"/>
        </w:numPr>
        <w:spacing w:after="120"/>
        <w:contextualSpacing w:val="0"/>
        <w:rPr>
          <w:rFonts w:eastAsiaTheme="minorEastAsia"/>
          <w:sz w:val="24"/>
        </w:rPr>
      </w:pPr>
      <w:r w:rsidRPr="004E47B3">
        <w:rPr>
          <w:rFonts w:eastAsiaTheme="minorEastAsia"/>
          <w:sz w:val="24"/>
        </w:rPr>
        <w:t>Conducting research into fair housing and predatory lending</w:t>
      </w:r>
      <w:r w:rsidR="00A901A9" w:rsidRPr="004E47B3">
        <w:rPr>
          <w:rFonts w:eastAsiaTheme="minorEastAsia"/>
          <w:sz w:val="24"/>
        </w:rPr>
        <w:t xml:space="preserve">, </w:t>
      </w:r>
      <w:r w:rsidRPr="004E47B3">
        <w:rPr>
          <w:rFonts w:eastAsiaTheme="minorEastAsia"/>
          <w:sz w:val="24"/>
        </w:rPr>
        <w:t>and</w:t>
      </w:r>
    </w:p>
    <w:p w14:paraId="69FC9CBC" w14:textId="77777777" w:rsidR="00C262CB" w:rsidRPr="004E47B3" w:rsidRDefault="00C262CB" w:rsidP="007A55D1">
      <w:pPr>
        <w:pStyle w:val="ListParagraph"/>
        <w:numPr>
          <w:ilvl w:val="0"/>
          <w:numId w:val="15"/>
        </w:numPr>
        <w:spacing w:after="120"/>
        <w:contextualSpacing w:val="0"/>
        <w:rPr>
          <w:rFonts w:eastAsiaTheme="minorEastAsia"/>
          <w:sz w:val="24"/>
        </w:rPr>
      </w:pPr>
      <w:r w:rsidRPr="004E47B3">
        <w:rPr>
          <w:rFonts w:eastAsiaTheme="minorEastAsia"/>
          <w:sz w:val="24"/>
        </w:rPr>
        <w:t>Conducting fair housing testing to determine possible discrimination based on race, disability, familial status, and other grounds.</w:t>
      </w:r>
    </w:p>
    <w:p w14:paraId="1640E79C" w14:textId="29220C9E" w:rsidR="00C262CB" w:rsidRPr="000C4D75" w:rsidRDefault="00467BEC" w:rsidP="000C4D75">
      <w:pPr>
        <w:rPr>
          <w:rFonts w:eastAsiaTheme="minorEastAsia"/>
        </w:rPr>
      </w:pPr>
      <w:r>
        <w:rPr>
          <w:rFonts w:eastAsiaTheme="minorEastAsia"/>
        </w:rPr>
        <w:t xml:space="preserve">As a </w:t>
      </w:r>
      <w:r w:rsidR="004D4FA4">
        <w:rPr>
          <w:rFonts w:eastAsiaTheme="minorEastAsia"/>
        </w:rPr>
        <w:t xml:space="preserve">FHIP agency, the Fair Housing Project receives </w:t>
      </w:r>
      <w:r w:rsidR="00417316">
        <w:rPr>
          <w:rFonts w:eastAsiaTheme="minorEastAsia"/>
        </w:rPr>
        <w:t xml:space="preserve">grant funding from HUD to carry out </w:t>
      </w:r>
      <w:r w:rsidR="00FF3510">
        <w:rPr>
          <w:rFonts w:eastAsiaTheme="minorEastAsia"/>
        </w:rPr>
        <w:t>its activities.</w:t>
      </w:r>
    </w:p>
    <w:p w14:paraId="5D6E188E" w14:textId="77777777" w:rsidR="002937F2" w:rsidRDefault="002937F2" w:rsidP="00EB0A57">
      <w:pPr>
        <w:rPr>
          <w:rFonts w:eastAsiaTheme="minorEastAsia"/>
        </w:rPr>
      </w:pPr>
    </w:p>
    <w:p w14:paraId="4BB43010" w14:textId="77777777" w:rsidR="003F5EBB" w:rsidRPr="003F5EBB" w:rsidRDefault="003F5EBB" w:rsidP="00550393">
      <w:pPr>
        <w:pStyle w:val="Heading2"/>
      </w:pPr>
      <w:bookmarkStart w:id="66" w:name="_Toc47639992"/>
      <w:bookmarkStart w:id="67" w:name="_Toc66807933"/>
      <w:r w:rsidRPr="003F5EBB">
        <w:t>Existence of Housing Discrimination Complaints</w:t>
      </w:r>
      <w:bookmarkEnd w:id="66"/>
      <w:bookmarkEnd w:id="67"/>
    </w:p>
    <w:p w14:paraId="5AA4A430" w14:textId="228A32C4" w:rsidR="003F5EBB" w:rsidRPr="00833872" w:rsidRDefault="003F5EBB" w:rsidP="00EB0A57">
      <w:pPr>
        <w:rPr>
          <w:rFonts w:eastAsiaTheme="minorEastAsia"/>
        </w:rPr>
      </w:pPr>
      <w:r w:rsidRPr="003F5EBB">
        <w:rPr>
          <w:rFonts w:eastAsiaTheme="minorEastAsia"/>
        </w:rPr>
        <w:t xml:space="preserve">A lack of filed complaints does not necessarily indicate a lack of housing discrimination.  Some persons may not file complaints because they are not aware of how to go about filing a complaint or where to file a complaint. In a tight rental market, tenants </w:t>
      </w:r>
      <w:r w:rsidR="000B2BC5">
        <w:rPr>
          <w:rFonts w:eastAsiaTheme="minorEastAsia"/>
        </w:rPr>
        <w:t xml:space="preserve">may want to </w:t>
      </w:r>
      <w:r w:rsidRPr="003F5EBB">
        <w:rPr>
          <w:rFonts w:eastAsiaTheme="minorEastAsia"/>
        </w:rPr>
        <w:t xml:space="preserve">avoid confrontations </w:t>
      </w:r>
      <w:r w:rsidRPr="003F5EBB">
        <w:rPr>
          <w:rFonts w:eastAsiaTheme="minorEastAsia"/>
        </w:rPr>
        <w:lastRenderedPageBreak/>
        <w:t xml:space="preserve">with prospective landlords. Discriminatory practices can be subtle and may not be detected by someone who does not have the benefit of comparing his treatment with that of another home seeker. Other times, persons may be aware that they are being discriminated against, but they may not be aware that the discrimination is against the law and that there are legal remedies to address the discrimination. Finally, households may be more interested in achieving their </w:t>
      </w:r>
      <w:proofErr w:type="gramStart"/>
      <w:r w:rsidRPr="003F5EBB">
        <w:rPr>
          <w:rFonts w:eastAsiaTheme="minorEastAsia"/>
        </w:rPr>
        <w:t>first priority</w:t>
      </w:r>
      <w:proofErr w:type="gramEnd"/>
      <w:r w:rsidRPr="003F5EBB">
        <w:rPr>
          <w:rFonts w:eastAsiaTheme="minorEastAsia"/>
        </w:rPr>
        <w:t xml:space="preserve"> of finding decent housing and may prefer to avoid going through the process of filing a complaint and following through with it. Therefore, </w:t>
      </w:r>
      <w:r w:rsidR="00653E4A">
        <w:rPr>
          <w:rFonts w:eastAsiaTheme="minorEastAsia"/>
        </w:rPr>
        <w:t xml:space="preserve">fair housing </w:t>
      </w:r>
      <w:r w:rsidRPr="003F5EBB">
        <w:rPr>
          <w:rFonts w:eastAsiaTheme="minorEastAsia"/>
        </w:rPr>
        <w:t>education</w:t>
      </w:r>
      <w:r w:rsidR="00653E4A">
        <w:rPr>
          <w:rFonts w:eastAsiaTheme="minorEastAsia"/>
        </w:rPr>
        <w:t xml:space="preserve"> and outreach</w:t>
      </w:r>
      <w:r w:rsidR="00197E5E">
        <w:rPr>
          <w:rFonts w:eastAsiaTheme="minorEastAsia"/>
        </w:rPr>
        <w:t xml:space="preserve"> </w:t>
      </w:r>
      <w:r w:rsidRPr="003F5EBB">
        <w:rPr>
          <w:rFonts w:eastAsiaTheme="minorEastAsia"/>
        </w:rPr>
        <w:t xml:space="preserve">remain </w:t>
      </w:r>
      <w:r w:rsidRPr="00833872">
        <w:rPr>
          <w:rFonts w:eastAsiaTheme="minorEastAsia"/>
        </w:rPr>
        <w:t xml:space="preserve">critical to </w:t>
      </w:r>
      <w:r w:rsidR="00E05CC5" w:rsidRPr="00833872">
        <w:rPr>
          <w:rFonts w:eastAsiaTheme="minorEastAsia"/>
        </w:rPr>
        <w:t xml:space="preserve">inform </w:t>
      </w:r>
      <w:r w:rsidR="00721485" w:rsidRPr="00833872">
        <w:rPr>
          <w:rFonts w:eastAsiaTheme="minorEastAsia"/>
        </w:rPr>
        <w:t xml:space="preserve">residents how to identify discrimination and </w:t>
      </w:r>
      <w:r w:rsidR="004177A9" w:rsidRPr="00833872">
        <w:rPr>
          <w:rFonts w:eastAsiaTheme="minorEastAsia"/>
        </w:rPr>
        <w:t>take appropriate actions to fight it</w:t>
      </w:r>
      <w:r w:rsidRPr="00833872">
        <w:rPr>
          <w:rFonts w:eastAsiaTheme="minorEastAsia"/>
        </w:rPr>
        <w:t>.</w:t>
      </w:r>
    </w:p>
    <w:p w14:paraId="2A03517D" w14:textId="52E88CD4" w:rsidR="00BA6E73" w:rsidRPr="00833872" w:rsidRDefault="00BA6E73" w:rsidP="00EB0A57">
      <w:pPr>
        <w:rPr>
          <w:rFonts w:eastAsiaTheme="minorEastAsia"/>
        </w:rPr>
      </w:pPr>
    </w:p>
    <w:p w14:paraId="3E6F7A2E" w14:textId="4E39170D" w:rsidR="00BA6E73" w:rsidRPr="00833872" w:rsidRDefault="00BA6E73" w:rsidP="003852A8">
      <w:pPr>
        <w:spacing w:after="240"/>
        <w:rPr>
          <w:rFonts w:eastAsiaTheme="minorEastAsia"/>
        </w:rPr>
      </w:pPr>
      <w:r w:rsidRPr="00833872">
        <w:rPr>
          <w:rFonts w:eastAsiaTheme="minorEastAsia"/>
        </w:rPr>
        <w:t>Th</w:t>
      </w:r>
      <w:r w:rsidR="00132FEE" w:rsidRPr="00833872">
        <w:rPr>
          <w:rFonts w:eastAsiaTheme="minorEastAsia"/>
        </w:rPr>
        <w:t>is</w:t>
      </w:r>
      <w:r w:rsidRPr="00833872">
        <w:rPr>
          <w:rFonts w:eastAsiaTheme="minorEastAsia"/>
        </w:rPr>
        <w:t xml:space="preserve"> section analyzes housing di</w:t>
      </w:r>
      <w:r w:rsidR="00663D74" w:rsidRPr="00833872">
        <w:rPr>
          <w:rFonts w:eastAsiaTheme="minorEastAsia"/>
        </w:rPr>
        <w:t xml:space="preserve">scrimination complaints </w:t>
      </w:r>
      <w:r w:rsidR="005B5D29" w:rsidRPr="00833872">
        <w:rPr>
          <w:rFonts w:eastAsiaTheme="minorEastAsia"/>
        </w:rPr>
        <w:t xml:space="preserve">filed with HUD by </w:t>
      </w:r>
      <w:r w:rsidR="00663D74" w:rsidRPr="00833872">
        <w:rPr>
          <w:rFonts w:eastAsiaTheme="minorEastAsia"/>
        </w:rPr>
        <w:t>North Carolinians between January 2015 and July 2020</w:t>
      </w:r>
      <w:r w:rsidR="005B5D29" w:rsidRPr="00833872">
        <w:rPr>
          <w:rFonts w:eastAsiaTheme="minorEastAsia"/>
        </w:rPr>
        <w:t>.</w:t>
      </w:r>
      <w:r w:rsidR="00DD546E" w:rsidRPr="00833872">
        <w:rPr>
          <w:rFonts w:eastAsiaTheme="minorEastAsia"/>
        </w:rPr>
        <w:t xml:space="preserve"> </w:t>
      </w:r>
      <w:r w:rsidR="00A1498F" w:rsidRPr="00833872">
        <w:rPr>
          <w:rFonts w:eastAsiaTheme="minorEastAsia"/>
        </w:rPr>
        <w:t>Many of the</w:t>
      </w:r>
      <w:r w:rsidR="00404B98" w:rsidRPr="00833872">
        <w:rPr>
          <w:rFonts w:eastAsiaTheme="minorEastAsia"/>
        </w:rPr>
        <w:t xml:space="preserve"> HUD</w:t>
      </w:r>
      <w:r w:rsidR="00A1498F" w:rsidRPr="00833872">
        <w:rPr>
          <w:rFonts w:eastAsiaTheme="minorEastAsia"/>
        </w:rPr>
        <w:t xml:space="preserve"> complaints may have been referred </w:t>
      </w:r>
      <w:r w:rsidR="00404B98" w:rsidRPr="00833872">
        <w:rPr>
          <w:rFonts w:eastAsiaTheme="minorEastAsia"/>
        </w:rPr>
        <w:t>t</w:t>
      </w:r>
      <w:r w:rsidR="00A1498F" w:rsidRPr="00833872">
        <w:rPr>
          <w:rFonts w:eastAsiaTheme="minorEastAsia"/>
        </w:rPr>
        <w:t>o the Human Relations Commission or the Fair Housing Project</w:t>
      </w:r>
      <w:r w:rsidR="00305DEF" w:rsidRPr="00833872">
        <w:rPr>
          <w:rFonts w:eastAsiaTheme="minorEastAsia"/>
        </w:rPr>
        <w:t xml:space="preserve"> for investigation and resolution</w:t>
      </w:r>
      <w:r w:rsidR="00A1498F" w:rsidRPr="00833872">
        <w:rPr>
          <w:rFonts w:eastAsiaTheme="minorEastAsia"/>
        </w:rPr>
        <w:t>.</w:t>
      </w:r>
    </w:p>
    <w:p w14:paraId="51478815" w14:textId="00744D6D" w:rsidR="00675482" w:rsidRPr="00833872" w:rsidRDefault="003F5EBB" w:rsidP="003852A8">
      <w:pPr>
        <w:spacing w:after="240"/>
        <w:rPr>
          <w:rFonts w:eastAsiaTheme="minorEastAsia"/>
        </w:rPr>
      </w:pPr>
      <w:r w:rsidRPr="00833872">
        <w:rPr>
          <w:rFonts w:eastAsiaTheme="minorEastAsia"/>
        </w:rPr>
        <w:t xml:space="preserve">Between January 2015 and July 2020, </w:t>
      </w:r>
      <w:r w:rsidR="00F3284A" w:rsidRPr="00833872">
        <w:rPr>
          <w:rFonts w:eastAsiaTheme="minorEastAsia"/>
        </w:rPr>
        <w:t>836</w:t>
      </w:r>
      <w:r w:rsidRPr="00833872">
        <w:rPr>
          <w:rFonts w:eastAsiaTheme="minorEastAsia"/>
        </w:rPr>
        <w:t xml:space="preserve"> cases in </w:t>
      </w:r>
      <w:r w:rsidR="003A0635" w:rsidRPr="00833872">
        <w:rPr>
          <w:rFonts w:eastAsiaTheme="minorEastAsia"/>
        </w:rPr>
        <w:t>North Carolina</w:t>
      </w:r>
      <w:r w:rsidRPr="00833872">
        <w:rPr>
          <w:rFonts w:eastAsiaTheme="minorEastAsia"/>
        </w:rPr>
        <w:t xml:space="preserve"> were filed</w:t>
      </w:r>
      <w:r w:rsidR="00DC339C" w:rsidRPr="00833872">
        <w:rPr>
          <w:rFonts w:eastAsiaTheme="minorEastAsia"/>
        </w:rPr>
        <w:t xml:space="preserve"> with HUD</w:t>
      </w:r>
      <w:r w:rsidR="003C38CF" w:rsidRPr="00833872">
        <w:rPr>
          <w:rFonts w:eastAsiaTheme="minorEastAsia"/>
        </w:rPr>
        <w:t>.</w:t>
      </w:r>
      <w:r w:rsidRPr="00833872">
        <w:rPr>
          <w:rFonts w:eastAsiaTheme="minorEastAsia"/>
        </w:rPr>
        <w:t xml:space="preserve"> Of these</w:t>
      </w:r>
      <w:r w:rsidR="00F947A8" w:rsidRPr="00833872">
        <w:rPr>
          <w:rFonts w:eastAsiaTheme="minorEastAsia"/>
        </w:rPr>
        <w:t xml:space="preserve"> cases</w:t>
      </w:r>
      <w:r w:rsidRPr="00833872">
        <w:rPr>
          <w:rFonts w:eastAsiaTheme="minorEastAsia"/>
        </w:rPr>
        <w:t xml:space="preserve">, </w:t>
      </w:r>
      <w:r w:rsidR="003A0635" w:rsidRPr="00833872">
        <w:rPr>
          <w:rFonts w:eastAsiaTheme="minorEastAsia"/>
        </w:rPr>
        <w:t>463</w:t>
      </w:r>
      <w:r w:rsidRPr="00833872">
        <w:rPr>
          <w:rFonts w:eastAsiaTheme="minorEastAsia"/>
        </w:rPr>
        <w:t xml:space="preserve"> </w:t>
      </w:r>
      <w:r w:rsidR="00F77324" w:rsidRPr="00833872">
        <w:rPr>
          <w:rFonts w:eastAsiaTheme="minorEastAsia"/>
        </w:rPr>
        <w:t xml:space="preserve">(55.4%) </w:t>
      </w:r>
      <w:r w:rsidRPr="00833872">
        <w:rPr>
          <w:rFonts w:eastAsiaTheme="minorEastAsia"/>
        </w:rPr>
        <w:t xml:space="preserve">alleged discrimination based on </w:t>
      </w:r>
      <w:r w:rsidR="00F947A8" w:rsidRPr="00833872">
        <w:rPr>
          <w:rFonts w:eastAsiaTheme="minorEastAsia"/>
        </w:rPr>
        <w:t>disability</w:t>
      </w:r>
      <w:r w:rsidR="003C38CF" w:rsidRPr="00833872">
        <w:rPr>
          <w:rFonts w:eastAsiaTheme="minorEastAsia"/>
        </w:rPr>
        <w:t xml:space="preserve"> and </w:t>
      </w:r>
      <w:r w:rsidRPr="00833872">
        <w:rPr>
          <w:rFonts w:eastAsiaTheme="minorEastAsia"/>
        </w:rPr>
        <w:t>account</w:t>
      </w:r>
      <w:r w:rsidR="003C38CF" w:rsidRPr="00833872">
        <w:rPr>
          <w:rFonts w:eastAsiaTheme="minorEastAsia"/>
        </w:rPr>
        <w:t>ed</w:t>
      </w:r>
      <w:r w:rsidRPr="00833872">
        <w:rPr>
          <w:rFonts w:eastAsiaTheme="minorEastAsia"/>
        </w:rPr>
        <w:t xml:space="preserve"> for </w:t>
      </w:r>
      <w:r w:rsidR="003A0635" w:rsidRPr="00833872">
        <w:rPr>
          <w:rFonts w:eastAsiaTheme="minorEastAsia"/>
        </w:rPr>
        <w:t>more than half</w:t>
      </w:r>
      <w:r w:rsidRPr="00833872">
        <w:rPr>
          <w:rFonts w:eastAsiaTheme="minorEastAsia"/>
        </w:rPr>
        <w:t xml:space="preserve"> of all cases. </w:t>
      </w:r>
      <w:r w:rsidR="00C067F2" w:rsidRPr="00833872">
        <w:rPr>
          <w:rFonts w:eastAsiaTheme="minorEastAsia"/>
        </w:rPr>
        <w:t xml:space="preserve">According to the </w:t>
      </w:r>
      <w:r w:rsidR="000C689E" w:rsidRPr="00833872">
        <w:rPr>
          <w:rFonts w:eastAsiaTheme="minorEastAsia"/>
        </w:rPr>
        <w:t>National Fair Housing Alliance</w:t>
      </w:r>
      <w:r w:rsidR="00AE0236" w:rsidRPr="00833872">
        <w:rPr>
          <w:rFonts w:eastAsiaTheme="minorEastAsia"/>
        </w:rPr>
        <w:t xml:space="preserve">’s 2020 report, </w:t>
      </w:r>
      <w:r w:rsidR="00AE0236" w:rsidRPr="00833872">
        <w:rPr>
          <w:rFonts w:eastAsiaTheme="minorEastAsia"/>
          <w:i/>
          <w:iCs/>
        </w:rPr>
        <w:t>Fair Housing in Jeopardy:</w:t>
      </w:r>
      <w:r w:rsidR="00CE3B91" w:rsidRPr="00833872">
        <w:rPr>
          <w:rFonts w:eastAsiaTheme="minorEastAsia"/>
          <w:i/>
          <w:iCs/>
        </w:rPr>
        <w:t xml:space="preserve"> Trump Administration Undermines Critical Tools for Achieving Racial Equity</w:t>
      </w:r>
      <w:r w:rsidR="00DC4EAA" w:rsidRPr="00833872">
        <w:rPr>
          <w:rFonts w:eastAsiaTheme="minorEastAsia"/>
        </w:rPr>
        <w:t xml:space="preserve">, complaints by persons with disabilities represented </w:t>
      </w:r>
      <w:r w:rsidR="001043B8" w:rsidRPr="00833872">
        <w:rPr>
          <w:rFonts w:eastAsiaTheme="minorEastAsia"/>
        </w:rPr>
        <w:t>the majority (</w:t>
      </w:r>
      <w:r w:rsidR="00200097" w:rsidRPr="00833872">
        <w:rPr>
          <w:rFonts w:eastAsiaTheme="minorEastAsia"/>
        </w:rPr>
        <w:t xml:space="preserve">58.9%) </w:t>
      </w:r>
      <w:r w:rsidR="001043B8" w:rsidRPr="00833872">
        <w:rPr>
          <w:rFonts w:eastAsiaTheme="minorEastAsia"/>
        </w:rPr>
        <w:t xml:space="preserve">of cases </w:t>
      </w:r>
      <w:r w:rsidR="00EB4705" w:rsidRPr="00833872">
        <w:rPr>
          <w:rFonts w:eastAsiaTheme="minorEastAsia"/>
        </w:rPr>
        <w:t xml:space="preserve">filed nationally </w:t>
      </w:r>
      <w:r w:rsidR="001043B8" w:rsidRPr="00833872">
        <w:rPr>
          <w:rFonts w:eastAsiaTheme="minorEastAsia"/>
        </w:rPr>
        <w:t>in 2019</w:t>
      </w:r>
      <w:r w:rsidR="00EB4705" w:rsidRPr="00833872">
        <w:rPr>
          <w:rFonts w:eastAsiaTheme="minorEastAsia"/>
        </w:rPr>
        <w:t xml:space="preserve">. </w:t>
      </w:r>
    </w:p>
    <w:p w14:paraId="2DA87F2A" w14:textId="77777777" w:rsidR="00DC339C" w:rsidRDefault="00A24238" w:rsidP="003852A8">
      <w:pPr>
        <w:spacing w:after="240"/>
      </w:pPr>
      <w:r w:rsidRPr="00833872">
        <w:t>From January 1, 2015 to September 30, 2020, the NCHRC investigated and/or is currently investigating a total of 340 fair housing discrimination cases. Most of these (cases received by the NCHRC through July 31, 2020) are included in the total cases received by HUD for the period January 1, 2015 to September 30, 2020.</w:t>
      </w:r>
      <w:r w:rsidRPr="0058443E">
        <w:t xml:space="preserve"> </w:t>
      </w:r>
    </w:p>
    <w:p w14:paraId="197D92F2" w14:textId="1067BBD1" w:rsidR="007D4789" w:rsidRDefault="007D4789" w:rsidP="004E2A7E">
      <w:pPr>
        <w:pStyle w:val="Caption"/>
        <w:ind w:firstLine="720"/>
      </w:pPr>
      <w:r>
        <w:t xml:space="preserve">Table </w:t>
      </w:r>
      <w:fldSimple w:instr=" SEQ Table \* ARABIC ">
        <w:r w:rsidR="0055251A">
          <w:rPr>
            <w:noProof/>
          </w:rPr>
          <w:t>22</w:t>
        </w:r>
      </w:fldSimple>
      <w:r w:rsidR="00F81589">
        <w:t xml:space="preserve"> </w:t>
      </w:r>
      <w:r w:rsidR="004D6576">
        <w:t xml:space="preserve">Housing Discrimination Complaints </w:t>
      </w:r>
      <w:r w:rsidR="00164DB0">
        <w:t xml:space="preserve">by </w:t>
      </w:r>
      <w:r w:rsidR="00F81589">
        <w:t>Bas</w:t>
      </w:r>
      <w:r w:rsidR="00164DB0">
        <w:t>i</w:t>
      </w:r>
      <w:r w:rsidR="00F81589">
        <w:t xml:space="preserve">s of </w:t>
      </w:r>
      <w:r w:rsidR="00B357CB">
        <w:t>D</w:t>
      </w:r>
      <w:r w:rsidR="00F81589">
        <w:t xml:space="preserve">iscrimination, </w:t>
      </w:r>
      <w:r w:rsidR="004E2A7E">
        <w:t xml:space="preserve">January </w:t>
      </w:r>
      <w:r w:rsidR="00F81589">
        <w:t>2015-</w:t>
      </w:r>
      <w:r w:rsidR="004E2A7E">
        <w:t xml:space="preserve">July </w:t>
      </w:r>
      <w:r w:rsidR="00F81589">
        <w:t>2020</w:t>
      </w:r>
    </w:p>
    <w:tbl>
      <w:tblPr>
        <w:tblW w:w="7830" w:type="dxa"/>
        <w:jc w:val="center"/>
        <w:tblLook w:val="04A0" w:firstRow="1" w:lastRow="0" w:firstColumn="1" w:lastColumn="0" w:noHBand="0" w:noVBand="1"/>
      </w:tblPr>
      <w:tblGrid>
        <w:gridCol w:w="5043"/>
        <w:gridCol w:w="1437"/>
        <w:gridCol w:w="1350"/>
      </w:tblGrid>
      <w:tr w:rsidR="000C689E" w:rsidRPr="007D4789" w14:paraId="6DABD5B2" w14:textId="77777777" w:rsidTr="004E2A7E">
        <w:trPr>
          <w:trHeight w:val="332"/>
          <w:jc w:val="center"/>
        </w:trPr>
        <w:tc>
          <w:tcPr>
            <w:tcW w:w="5043" w:type="dxa"/>
            <w:vMerge w:val="restart"/>
            <w:tcBorders>
              <w:top w:val="single" w:sz="4" w:space="0" w:color="auto"/>
              <w:left w:val="single" w:sz="4" w:space="0" w:color="auto"/>
              <w:right w:val="single" w:sz="4" w:space="0" w:color="auto"/>
            </w:tcBorders>
            <w:shd w:val="clear" w:color="auto" w:fill="4472C4"/>
            <w:noWrap/>
            <w:vAlign w:val="bottom"/>
          </w:tcPr>
          <w:p w14:paraId="60431507" w14:textId="0C2B68BF" w:rsidR="000C689E" w:rsidRPr="0013353C" w:rsidRDefault="000C689E" w:rsidP="007D4789">
            <w:pPr>
              <w:rPr>
                <w:rFonts w:ascii="Arial" w:hAnsi="Arial" w:cs="Arial"/>
                <w:b/>
                <w:bCs/>
                <w:color w:val="FFFFFF" w:themeColor="background1"/>
                <w:sz w:val="20"/>
                <w:szCs w:val="20"/>
              </w:rPr>
            </w:pPr>
            <w:r w:rsidRPr="0013353C">
              <w:rPr>
                <w:rFonts w:ascii="Arial" w:hAnsi="Arial" w:cs="Arial"/>
                <w:b/>
                <w:bCs/>
                <w:color w:val="FFFFFF" w:themeColor="background1"/>
                <w:sz w:val="20"/>
                <w:szCs w:val="20"/>
              </w:rPr>
              <w:t>Basis of Discrimination</w:t>
            </w:r>
          </w:p>
        </w:tc>
        <w:tc>
          <w:tcPr>
            <w:tcW w:w="2787" w:type="dxa"/>
            <w:gridSpan w:val="2"/>
            <w:tcBorders>
              <w:top w:val="single" w:sz="4" w:space="0" w:color="auto"/>
              <w:left w:val="nil"/>
              <w:bottom w:val="single" w:sz="4" w:space="0" w:color="auto"/>
              <w:right w:val="single" w:sz="4" w:space="0" w:color="auto"/>
            </w:tcBorders>
            <w:shd w:val="clear" w:color="auto" w:fill="4472C4"/>
            <w:noWrap/>
            <w:vAlign w:val="bottom"/>
          </w:tcPr>
          <w:p w14:paraId="46D17CC1" w14:textId="2F2F84B5" w:rsidR="000C689E" w:rsidRPr="0013353C" w:rsidRDefault="000C689E" w:rsidP="000C689E">
            <w:pPr>
              <w:jc w:val="center"/>
              <w:rPr>
                <w:rFonts w:ascii="Arial" w:hAnsi="Arial" w:cs="Arial"/>
                <w:b/>
                <w:bCs/>
                <w:color w:val="FFFFFF" w:themeColor="background1"/>
                <w:sz w:val="20"/>
                <w:szCs w:val="20"/>
              </w:rPr>
            </w:pPr>
            <w:r w:rsidRPr="0013353C">
              <w:rPr>
                <w:rFonts w:ascii="Arial" w:hAnsi="Arial" w:cs="Arial"/>
                <w:b/>
                <w:bCs/>
                <w:color w:val="FFFFFF" w:themeColor="background1"/>
                <w:sz w:val="20"/>
                <w:szCs w:val="20"/>
              </w:rPr>
              <w:t>Cases</w:t>
            </w:r>
          </w:p>
        </w:tc>
      </w:tr>
      <w:tr w:rsidR="000C689E" w:rsidRPr="007D4789" w14:paraId="44953F29" w14:textId="667A29EF" w:rsidTr="004E2A7E">
        <w:trPr>
          <w:trHeight w:val="251"/>
          <w:jc w:val="center"/>
        </w:trPr>
        <w:tc>
          <w:tcPr>
            <w:tcW w:w="5043" w:type="dxa"/>
            <w:vMerge/>
            <w:tcBorders>
              <w:left w:val="single" w:sz="4" w:space="0" w:color="auto"/>
              <w:bottom w:val="single" w:sz="4" w:space="0" w:color="auto"/>
              <w:right w:val="single" w:sz="4" w:space="0" w:color="auto"/>
            </w:tcBorders>
            <w:shd w:val="clear" w:color="auto" w:fill="4472C4"/>
            <w:noWrap/>
            <w:vAlign w:val="bottom"/>
            <w:hideMark/>
          </w:tcPr>
          <w:p w14:paraId="16E6FFE6" w14:textId="0D4EA101" w:rsidR="000C689E" w:rsidRPr="0013353C" w:rsidRDefault="000C689E" w:rsidP="007D4789">
            <w:pPr>
              <w:rPr>
                <w:rFonts w:ascii="Arial" w:hAnsi="Arial" w:cs="Arial"/>
                <w:b/>
                <w:bCs/>
                <w:color w:val="FFFFFF" w:themeColor="background1"/>
                <w:sz w:val="20"/>
                <w:szCs w:val="20"/>
              </w:rPr>
            </w:pPr>
          </w:p>
        </w:tc>
        <w:tc>
          <w:tcPr>
            <w:tcW w:w="1437" w:type="dxa"/>
            <w:tcBorders>
              <w:top w:val="single" w:sz="4" w:space="0" w:color="auto"/>
              <w:left w:val="nil"/>
              <w:bottom w:val="single" w:sz="4" w:space="0" w:color="auto"/>
              <w:right w:val="single" w:sz="4" w:space="0" w:color="auto"/>
            </w:tcBorders>
            <w:shd w:val="clear" w:color="auto" w:fill="4472C4"/>
            <w:noWrap/>
            <w:vAlign w:val="bottom"/>
            <w:hideMark/>
          </w:tcPr>
          <w:p w14:paraId="36F3DDEB" w14:textId="216E5E54" w:rsidR="000C689E" w:rsidRPr="0013353C" w:rsidRDefault="000C689E" w:rsidP="007D4789">
            <w:pPr>
              <w:rPr>
                <w:rFonts w:ascii="Arial" w:hAnsi="Arial" w:cs="Arial"/>
                <w:b/>
                <w:bCs/>
                <w:color w:val="FFFFFF" w:themeColor="background1"/>
                <w:sz w:val="20"/>
                <w:szCs w:val="20"/>
              </w:rPr>
            </w:pPr>
            <w:r w:rsidRPr="0013353C">
              <w:rPr>
                <w:rFonts w:ascii="Arial" w:hAnsi="Arial" w:cs="Arial"/>
                <w:b/>
                <w:bCs/>
                <w:color w:val="FFFFFF" w:themeColor="background1"/>
                <w:sz w:val="20"/>
                <w:szCs w:val="20"/>
              </w:rPr>
              <w:t>Number</w:t>
            </w:r>
          </w:p>
        </w:tc>
        <w:tc>
          <w:tcPr>
            <w:tcW w:w="1350" w:type="dxa"/>
            <w:tcBorders>
              <w:top w:val="single" w:sz="4" w:space="0" w:color="auto"/>
              <w:left w:val="nil"/>
              <w:bottom w:val="single" w:sz="4" w:space="0" w:color="auto"/>
              <w:right w:val="single" w:sz="4" w:space="0" w:color="auto"/>
            </w:tcBorders>
            <w:shd w:val="clear" w:color="auto" w:fill="4472C4"/>
            <w:vAlign w:val="bottom"/>
          </w:tcPr>
          <w:p w14:paraId="77A7A8FC" w14:textId="3D6DC7E9" w:rsidR="000C689E" w:rsidRPr="0013353C" w:rsidRDefault="000C689E" w:rsidP="000C689E">
            <w:pPr>
              <w:jc w:val="center"/>
              <w:rPr>
                <w:rFonts w:ascii="Arial" w:hAnsi="Arial" w:cs="Arial"/>
                <w:b/>
                <w:bCs/>
                <w:color w:val="FFFFFF" w:themeColor="background1"/>
                <w:sz w:val="20"/>
                <w:szCs w:val="20"/>
              </w:rPr>
            </w:pPr>
            <w:r w:rsidRPr="0013353C">
              <w:rPr>
                <w:rFonts w:ascii="Arial" w:hAnsi="Arial" w:cs="Arial"/>
                <w:b/>
                <w:bCs/>
                <w:color w:val="FFFFFF" w:themeColor="background1"/>
                <w:sz w:val="20"/>
                <w:szCs w:val="20"/>
              </w:rPr>
              <w:t>Percent</w:t>
            </w:r>
          </w:p>
        </w:tc>
      </w:tr>
      <w:tr w:rsidR="000C689E" w:rsidRPr="007D4789" w14:paraId="17771575" w14:textId="508FBE88"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2CA4E9FA"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Disability</w:t>
            </w:r>
          </w:p>
        </w:tc>
        <w:tc>
          <w:tcPr>
            <w:tcW w:w="1437" w:type="dxa"/>
            <w:tcBorders>
              <w:top w:val="nil"/>
              <w:left w:val="nil"/>
              <w:bottom w:val="single" w:sz="4" w:space="0" w:color="auto"/>
              <w:right w:val="single" w:sz="4" w:space="0" w:color="auto"/>
            </w:tcBorders>
            <w:shd w:val="clear" w:color="auto" w:fill="auto"/>
            <w:noWrap/>
            <w:vAlign w:val="bottom"/>
            <w:hideMark/>
          </w:tcPr>
          <w:p w14:paraId="4DB0ECBE"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463</w:t>
            </w:r>
          </w:p>
        </w:tc>
        <w:tc>
          <w:tcPr>
            <w:tcW w:w="1350" w:type="dxa"/>
            <w:tcBorders>
              <w:top w:val="nil"/>
              <w:left w:val="nil"/>
              <w:bottom w:val="single" w:sz="4" w:space="0" w:color="auto"/>
              <w:right w:val="single" w:sz="4" w:space="0" w:color="auto"/>
            </w:tcBorders>
            <w:vAlign w:val="bottom"/>
          </w:tcPr>
          <w:p w14:paraId="358D3914" w14:textId="0B3F1C7E" w:rsidR="000C689E" w:rsidRPr="0013353C" w:rsidRDefault="007D7AB8" w:rsidP="00CF3A40">
            <w:pPr>
              <w:jc w:val="right"/>
              <w:rPr>
                <w:rFonts w:ascii="Arial" w:hAnsi="Arial" w:cs="Arial"/>
                <w:color w:val="000000"/>
                <w:sz w:val="20"/>
                <w:szCs w:val="20"/>
              </w:rPr>
            </w:pPr>
            <w:r w:rsidRPr="0013353C">
              <w:rPr>
                <w:rFonts w:ascii="Arial" w:hAnsi="Arial" w:cs="Arial"/>
                <w:color w:val="000000"/>
                <w:sz w:val="20"/>
                <w:szCs w:val="20"/>
              </w:rPr>
              <w:t>55.4%</w:t>
            </w:r>
          </w:p>
        </w:tc>
      </w:tr>
      <w:tr w:rsidR="000C689E" w:rsidRPr="007D4789" w14:paraId="0D7FBFC3" w14:textId="105793BB"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4E7EFA93"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Race</w:t>
            </w:r>
          </w:p>
        </w:tc>
        <w:tc>
          <w:tcPr>
            <w:tcW w:w="1437" w:type="dxa"/>
            <w:tcBorders>
              <w:top w:val="nil"/>
              <w:left w:val="nil"/>
              <w:bottom w:val="single" w:sz="4" w:space="0" w:color="auto"/>
              <w:right w:val="single" w:sz="4" w:space="0" w:color="auto"/>
            </w:tcBorders>
            <w:shd w:val="clear" w:color="auto" w:fill="auto"/>
            <w:noWrap/>
            <w:vAlign w:val="bottom"/>
            <w:hideMark/>
          </w:tcPr>
          <w:p w14:paraId="785FC7C5"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269</w:t>
            </w:r>
          </w:p>
        </w:tc>
        <w:tc>
          <w:tcPr>
            <w:tcW w:w="1350" w:type="dxa"/>
            <w:tcBorders>
              <w:top w:val="nil"/>
              <w:left w:val="nil"/>
              <w:bottom w:val="single" w:sz="4" w:space="0" w:color="auto"/>
              <w:right w:val="single" w:sz="4" w:space="0" w:color="auto"/>
            </w:tcBorders>
            <w:vAlign w:val="bottom"/>
          </w:tcPr>
          <w:p w14:paraId="0ACB38EA" w14:textId="61C7F3BD" w:rsidR="000C689E" w:rsidRPr="0013353C" w:rsidRDefault="000132CD" w:rsidP="00CF3A40">
            <w:pPr>
              <w:jc w:val="right"/>
              <w:rPr>
                <w:rFonts w:ascii="Arial" w:hAnsi="Arial" w:cs="Arial"/>
                <w:color w:val="000000"/>
                <w:sz w:val="20"/>
                <w:szCs w:val="20"/>
              </w:rPr>
            </w:pPr>
            <w:r w:rsidRPr="0013353C">
              <w:rPr>
                <w:rFonts w:ascii="Arial" w:hAnsi="Arial" w:cs="Arial"/>
                <w:color w:val="000000"/>
                <w:sz w:val="20"/>
                <w:szCs w:val="20"/>
              </w:rPr>
              <w:t>32.2%</w:t>
            </w:r>
          </w:p>
        </w:tc>
      </w:tr>
      <w:tr w:rsidR="000C689E" w:rsidRPr="007D4789" w14:paraId="567A1992" w14:textId="167C57F5"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78EC6498"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Sex</w:t>
            </w:r>
          </w:p>
        </w:tc>
        <w:tc>
          <w:tcPr>
            <w:tcW w:w="1437" w:type="dxa"/>
            <w:tcBorders>
              <w:top w:val="nil"/>
              <w:left w:val="nil"/>
              <w:bottom w:val="single" w:sz="4" w:space="0" w:color="auto"/>
              <w:right w:val="single" w:sz="4" w:space="0" w:color="auto"/>
            </w:tcBorders>
            <w:shd w:val="clear" w:color="auto" w:fill="auto"/>
            <w:noWrap/>
            <w:vAlign w:val="bottom"/>
            <w:hideMark/>
          </w:tcPr>
          <w:p w14:paraId="1FDC035F"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107</w:t>
            </w:r>
          </w:p>
        </w:tc>
        <w:tc>
          <w:tcPr>
            <w:tcW w:w="1350" w:type="dxa"/>
            <w:tcBorders>
              <w:top w:val="nil"/>
              <w:left w:val="nil"/>
              <w:bottom w:val="single" w:sz="4" w:space="0" w:color="auto"/>
              <w:right w:val="single" w:sz="4" w:space="0" w:color="auto"/>
            </w:tcBorders>
            <w:vAlign w:val="bottom"/>
          </w:tcPr>
          <w:p w14:paraId="3B471D15" w14:textId="1B95CC24" w:rsidR="000C689E" w:rsidRPr="0013353C" w:rsidRDefault="000132CD" w:rsidP="00CF3A40">
            <w:pPr>
              <w:jc w:val="right"/>
              <w:rPr>
                <w:rFonts w:ascii="Arial" w:hAnsi="Arial" w:cs="Arial"/>
                <w:color w:val="000000"/>
                <w:sz w:val="20"/>
                <w:szCs w:val="20"/>
              </w:rPr>
            </w:pPr>
            <w:r w:rsidRPr="0013353C">
              <w:rPr>
                <w:rFonts w:ascii="Arial" w:hAnsi="Arial" w:cs="Arial"/>
                <w:color w:val="000000"/>
                <w:sz w:val="20"/>
                <w:szCs w:val="20"/>
              </w:rPr>
              <w:t>12.8%</w:t>
            </w:r>
          </w:p>
        </w:tc>
      </w:tr>
      <w:tr w:rsidR="000C689E" w:rsidRPr="007D4789" w14:paraId="2C79B8D4" w14:textId="04459E14"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2533C983"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National Origin</w:t>
            </w:r>
          </w:p>
        </w:tc>
        <w:tc>
          <w:tcPr>
            <w:tcW w:w="1437" w:type="dxa"/>
            <w:tcBorders>
              <w:top w:val="nil"/>
              <w:left w:val="nil"/>
              <w:bottom w:val="single" w:sz="4" w:space="0" w:color="auto"/>
              <w:right w:val="single" w:sz="4" w:space="0" w:color="auto"/>
            </w:tcBorders>
            <w:shd w:val="clear" w:color="auto" w:fill="auto"/>
            <w:noWrap/>
            <w:vAlign w:val="bottom"/>
            <w:hideMark/>
          </w:tcPr>
          <w:p w14:paraId="4EC66767"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106</w:t>
            </w:r>
          </w:p>
        </w:tc>
        <w:tc>
          <w:tcPr>
            <w:tcW w:w="1350" w:type="dxa"/>
            <w:tcBorders>
              <w:top w:val="nil"/>
              <w:left w:val="nil"/>
              <w:bottom w:val="single" w:sz="4" w:space="0" w:color="auto"/>
              <w:right w:val="single" w:sz="4" w:space="0" w:color="auto"/>
            </w:tcBorders>
            <w:vAlign w:val="bottom"/>
          </w:tcPr>
          <w:p w14:paraId="7DCE1DC2" w14:textId="7D424560" w:rsidR="000C689E" w:rsidRPr="0013353C" w:rsidRDefault="007F37F7" w:rsidP="00CF3A40">
            <w:pPr>
              <w:jc w:val="right"/>
              <w:rPr>
                <w:rFonts w:ascii="Arial" w:hAnsi="Arial" w:cs="Arial"/>
                <w:color w:val="000000"/>
                <w:sz w:val="20"/>
                <w:szCs w:val="20"/>
              </w:rPr>
            </w:pPr>
            <w:r w:rsidRPr="0013353C">
              <w:rPr>
                <w:rFonts w:ascii="Arial" w:hAnsi="Arial" w:cs="Arial"/>
                <w:color w:val="000000"/>
                <w:sz w:val="20"/>
                <w:szCs w:val="20"/>
              </w:rPr>
              <w:t>12.7%</w:t>
            </w:r>
          </w:p>
        </w:tc>
      </w:tr>
      <w:tr w:rsidR="000C689E" w:rsidRPr="007D4789" w14:paraId="3CF66D42" w14:textId="781E04C4"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54B471C2"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Familial Status</w:t>
            </w:r>
          </w:p>
        </w:tc>
        <w:tc>
          <w:tcPr>
            <w:tcW w:w="1437" w:type="dxa"/>
            <w:tcBorders>
              <w:top w:val="nil"/>
              <w:left w:val="nil"/>
              <w:bottom w:val="single" w:sz="4" w:space="0" w:color="auto"/>
              <w:right w:val="single" w:sz="4" w:space="0" w:color="auto"/>
            </w:tcBorders>
            <w:shd w:val="clear" w:color="auto" w:fill="auto"/>
            <w:noWrap/>
            <w:vAlign w:val="bottom"/>
            <w:hideMark/>
          </w:tcPr>
          <w:p w14:paraId="297D0A07"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104</w:t>
            </w:r>
          </w:p>
        </w:tc>
        <w:tc>
          <w:tcPr>
            <w:tcW w:w="1350" w:type="dxa"/>
            <w:tcBorders>
              <w:top w:val="nil"/>
              <w:left w:val="nil"/>
              <w:bottom w:val="single" w:sz="4" w:space="0" w:color="auto"/>
              <w:right w:val="single" w:sz="4" w:space="0" w:color="auto"/>
            </w:tcBorders>
            <w:vAlign w:val="bottom"/>
          </w:tcPr>
          <w:p w14:paraId="32A9BB6E" w14:textId="5CC14B1B" w:rsidR="000C689E" w:rsidRPr="0013353C" w:rsidRDefault="007F37F7" w:rsidP="00CF3A40">
            <w:pPr>
              <w:jc w:val="right"/>
              <w:rPr>
                <w:rFonts w:ascii="Arial" w:hAnsi="Arial" w:cs="Arial"/>
                <w:color w:val="000000"/>
                <w:sz w:val="20"/>
                <w:szCs w:val="20"/>
              </w:rPr>
            </w:pPr>
            <w:r w:rsidRPr="0013353C">
              <w:rPr>
                <w:rFonts w:ascii="Arial" w:hAnsi="Arial" w:cs="Arial"/>
                <w:color w:val="000000"/>
                <w:sz w:val="20"/>
                <w:szCs w:val="20"/>
              </w:rPr>
              <w:t>12.4%</w:t>
            </w:r>
          </w:p>
        </w:tc>
      </w:tr>
      <w:tr w:rsidR="000C689E" w:rsidRPr="007D4789" w14:paraId="78670C1C" w14:textId="6E41C5A2"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54CA5817"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Retaliation</w:t>
            </w:r>
          </w:p>
        </w:tc>
        <w:tc>
          <w:tcPr>
            <w:tcW w:w="1437" w:type="dxa"/>
            <w:tcBorders>
              <w:top w:val="nil"/>
              <w:left w:val="nil"/>
              <w:bottom w:val="single" w:sz="4" w:space="0" w:color="auto"/>
              <w:right w:val="single" w:sz="4" w:space="0" w:color="auto"/>
            </w:tcBorders>
            <w:shd w:val="clear" w:color="auto" w:fill="auto"/>
            <w:noWrap/>
            <w:vAlign w:val="bottom"/>
            <w:hideMark/>
          </w:tcPr>
          <w:p w14:paraId="71A23F65"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59</w:t>
            </w:r>
          </w:p>
        </w:tc>
        <w:tc>
          <w:tcPr>
            <w:tcW w:w="1350" w:type="dxa"/>
            <w:tcBorders>
              <w:top w:val="nil"/>
              <w:left w:val="nil"/>
              <w:bottom w:val="single" w:sz="4" w:space="0" w:color="auto"/>
              <w:right w:val="single" w:sz="4" w:space="0" w:color="auto"/>
            </w:tcBorders>
            <w:vAlign w:val="bottom"/>
          </w:tcPr>
          <w:p w14:paraId="6C47D8BA" w14:textId="50C3AF61" w:rsidR="000C689E" w:rsidRPr="0013353C" w:rsidRDefault="007F37F7" w:rsidP="00CF3A40">
            <w:pPr>
              <w:jc w:val="right"/>
              <w:rPr>
                <w:rFonts w:ascii="Arial" w:hAnsi="Arial" w:cs="Arial"/>
                <w:color w:val="000000"/>
                <w:sz w:val="20"/>
                <w:szCs w:val="20"/>
              </w:rPr>
            </w:pPr>
            <w:r w:rsidRPr="0013353C">
              <w:rPr>
                <w:rFonts w:ascii="Arial" w:hAnsi="Arial" w:cs="Arial"/>
                <w:color w:val="000000"/>
                <w:sz w:val="20"/>
                <w:szCs w:val="20"/>
              </w:rPr>
              <w:t>7.1%</w:t>
            </w:r>
          </w:p>
        </w:tc>
      </w:tr>
      <w:tr w:rsidR="000C689E" w:rsidRPr="007D4789" w14:paraId="32D7F58E" w14:textId="6D9B1591"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24488948"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Color</w:t>
            </w:r>
          </w:p>
        </w:tc>
        <w:tc>
          <w:tcPr>
            <w:tcW w:w="1437" w:type="dxa"/>
            <w:tcBorders>
              <w:top w:val="nil"/>
              <w:left w:val="nil"/>
              <w:bottom w:val="single" w:sz="4" w:space="0" w:color="auto"/>
              <w:right w:val="single" w:sz="4" w:space="0" w:color="auto"/>
            </w:tcBorders>
            <w:shd w:val="clear" w:color="auto" w:fill="auto"/>
            <w:noWrap/>
            <w:vAlign w:val="bottom"/>
            <w:hideMark/>
          </w:tcPr>
          <w:p w14:paraId="0DC7536B"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27</w:t>
            </w:r>
          </w:p>
        </w:tc>
        <w:tc>
          <w:tcPr>
            <w:tcW w:w="1350" w:type="dxa"/>
            <w:tcBorders>
              <w:top w:val="nil"/>
              <w:left w:val="nil"/>
              <w:bottom w:val="single" w:sz="4" w:space="0" w:color="auto"/>
              <w:right w:val="single" w:sz="4" w:space="0" w:color="auto"/>
            </w:tcBorders>
            <w:vAlign w:val="bottom"/>
          </w:tcPr>
          <w:p w14:paraId="71975056" w14:textId="50927450" w:rsidR="000C689E" w:rsidRPr="0013353C" w:rsidRDefault="005A534E" w:rsidP="00CF3A40">
            <w:pPr>
              <w:jc w:val="right"/>
              <w:rPr>
                <w:rFonts w:ascii="Arial" w:hAnsi="Arial" w:cs="Arial"/>
                <w:color w:val="000000"/>
                <w:sz w:val="20"/>
                <w:szCs w:val="20"/>
              </w:rPr>
            </w:pPr>
            <w:r w:rsidRPr="0013353C">
              <w:rPr>
                <w:rFonts w:ascii="Arial" w:hAnsi="Arial" w:cs="Arial"/>
                <w:color w:val="000000"/>
                <w:sz w:val="20"/>
                <w:szCs w:val="20"/>
              </w:rPr>
              <w:t>3.2%</w:t>
            </w:r>
          </w:p>
        </w:tc>
      </w:tr>
      <w:tr w:rsidR="000C689E" w:rsidRPr="007D4789" w14:paraId="2DCD559D" w14:textId="06BDD989" w:rsidTr="004E2A7E">
        <w:trPr>
          <w:trHeight w:val="432"/>
          <w:jc w:val="center"/>
        </w:trPr>
        <w:tc>
          <w:tcPr>
            <w:tcW w:w="5043" w:type="dxa"/>
            <w:tcBorders>
              <w:top w:val="nil"/>
              <w:left w:val="single" w:sz="4" w:space="0" w:color="auto"/>
              <w:bottom w:val="single" w:sz="4" w:space="0" w:color="auto"/>
              <w:right w:val="single" w:sz="4" w:space="0" w:color="auto"/>
            </w:tcBorders>
            <w:shd w:val="clear" w:color="auto" w:fill="auto"/>
            <w:noWrap/>
            <w:vAlign w:val="bottom"/>
            <w:hideMark/>
          </w:tcPr>
          <w:p w14:paraId="21F41F94" w14:textId="77777777" w:rsidR="000C689E" w:rsidRPr="0013353C" w:rsidRDefault="000C689E" w:rsidP="007D4789">
            <w:pPr>
              <w:rPr>
                <w:rFonts w:ascii="Arial" w:hAnsi="Arial" w:cs="Arial"/>
                <w:color w:val="000000"/>
                <w:sz w:val="20"/>
                <w:szCs w:val="20"/>
              </w:rPr>
            </w:pPr>
            <w:r w:rsidRPr="0013353C">
              <w:rPr>
                <w:rFonts w:ascii="Arial" w:hAnsi="Arial" w:cs="Arial"/>
                <w:color w:val="000000"/>
                <w:sz w:val="20"/>
                <w:szCs w:val="20"/>
              </w:rPr>
              <w:t>Religion</w:t>
            </w:r>
          </w:p>
        </w:tc>
        <w:tc>
          <w:tcPr>
            <w:tcW w:w="1437" w:type="dxa"/>
            <w:tcBorders>
              <w:top w:val="nil"/>
              <w:left w:val="nil"/>
              <w:bottom w:val="single" w:sz="4" w:space="0" w:color="auto"/>
              <w:right w:val="single" w:sz="4" w:space="0" w:color="auto"/>
            </w:tcBorders>
            <w:shd w:val="clear" w:color="auto" w:fill="auto"/>
            <w:noWrap/>
            <w:vAlign w:val="bottom"/>
            <w:hideMark/>
          </w:tcPr>
          <w:p w14:paraId="2D6C462F" w14:textId="77777777" w:rsidR="000C689E" w:rsidRPr="0013353C" w:rsidRDefault="000C689E" w:rsidP="007D4789">
            <w:pPr>
              <w:jc w:val="right"/>
              <w:rPr>
                <w:rFonts w:ascii="Arial" w:hAnsi="Arial" w:cs="Arial"/>
                <w:color w:val="000000"/>
                <w:sz w:val="20"/>
                <w:szCs w:val="20"/>
              </w:rPr>
            </w:pPr>
            <w:r w:rsidRPr="0013353C">
              <w:rPr>
                <w:rFonts w:ascii="Arial" w:hAnsi="Arial" w:cs="Arial"/>
                <w:color w:val="000000"/>
                <w:sz w:val="20"/>
                <w:szCs w:val="20"/>
              </w:rPr>
              <w:t>22</w:t>
            </w:r>
          </w:p>
        </w:tc>
        <w:tc>
          <w:tcPr>
            <w:tcW w:w="1350" w:type="dxa"/>
            <w:tcBorders>
              <w:top w:val="nil"/>
              <w:left w:val="nil"/>
              <w:bottom w:val="single" w:sz="4" w:space="0" w:color="auto"/>
              <w:right w:val="single" w:sz="4" w:space="0" w:color="auto"/>
            </w:tcBorders>
            <w:vAlign w:val="bottom"/>
          </w:tcPr>
          <w:p w14:paraId="3C4F03A8" w14:textId="2AF8E63E" w:rsidR="000C689E" w:rsidRPr="0013353C" w:rsidRDefault="005A534E" w:rsidP="00CF3A40">
            <w:pPr>
              <w:jc w:val="right"/>
              <w:rPr>
                <w:rFonts w:ascii="Arial" w:hAnsi="Arial" w:cs="Arial"/>
                <w:color w:val="000000"/>
                <w:sz w:val="20"/>
                <w:szCs w:val="20"/>
              </w:rPr>
            </w:pPr>
            <w:r w:rsidRPr="0013353C">
              <w:rPr>
                <w:rFonts w:ascii="Arial" w:hAnsi="Arial" w:cs="Arial"/>
                <w:color w:val="000000"/>
                <w:sz w:val="20"/>
                <w:szCs w:val="20"/>
              </w:rPr>
              <w:t>2.6%</w:t>
            </w:r>
          </w:p>
        </w:tc>
      </w:tr>
    </w:tbl>
    <w:p w14:paraId="040B4F03" w14:textId="4B36BE30" w:rsidR="00BF49CC" w:rsidRPr="004E2A7E" w:rsidRDefault="00E66914" w:rsidP="004E2A7E">
      <w:pPr>
        <w:ind w:firstLine="720"/>
        <w:rPr>
          <w:rFonts w:eastAsiaTheme="minorEastAsia"/>
          <w:sz w:val="16"/>
          <w:szCs w:val="16"/>
        </w:rPr>
      </w:pPr>
      <w:r w:rsidRPr="004E2A7E">
        <w:rPr>
          <w:rFonts w:eastAsiaTheme="minorEastAsia"/>
          <w:sz w:val="16"/>
          <w:szCs w:val="16"/>
        </w:rPr>
        <w:t xml:space="preserve">Total </w:t>
      </w:r>
      <w:r w:rsidR="00BF49CC" w:rsidRPr="004E2A7E">
        <w:rPr>
          <w:rFonts w:eastAsiaTheme="minorEastAsia"/>
          <w:sz w:val="16"/>
          <w:szCs w:val="16"/>
        </w:rPr>
        <w:t>exceeds 836 cases and 100% due to some reported complaints included more than one basis</w:t>
      </w:r>
      <w:r w:rsidR="004E2A7E" w:rsidRPr="004E2A7E">
        <w:rPr>
          <w:rFonts w:eastAsiaTheme="minorEastAsia"/>
          <w:sz w:val="16"/>
          <w:szCs w:val="16"/>
        </w:rPr>
        <w:t xml:space="preserve"> </w:t>
      </w:r>
      <w:r w:rsidR="00BF49CC" w:rsidRPr="004E2A7E">
        <w:rPr>
          <w:rFonts w:eastAsiaTheme="minorEastAsia"/>
          <w:sz w:val="16"/>
          <w:szCs w:val="16"/>
        </w:rPr>
        <w:t>of discrimination.</w:t>
      </w:r>
    </w:p>
    <w:p w14:paraId="7495E06A" w14:textId="4920A8A3" w:rsidR="007D4789" w:rsidRPr="004E2A7E" w:rsidRDefault="00F81589" w:rsidP="004E2A7E">
      <w:pPr>
        <w:ind w:firstLine="720"/>
        <w:rPr>
          <w:rFonts w:eastAsiaTheme="minorEastAsia"/>
          <w:sz w:val="16"/>
          <w:szCs w:val="16"/>
        </w:rPr>
      </w:pPr>
      <w:r w:rsidRPr="004E2A7E">
        <w:rPr>
          <w:rFonts w:eastAsiaTheme="minorEastAsia"/>
          <w:sz w:val="16"/>
          <w:szCs w:val="16"/>
        </w:rPr>
        <w:t>Source: HUD</w:t>
      </w:r>
      <w:r w:rsidR="003F61D0" w:rsidRPr="004E2A7E">
        <w:rPr>
          <w:rFonts w:eastAsiaTheme="minorEastAsia"/>
          <w:sz w:val="16"/>
          <w:szCs w:val="16"/>
        </w:rPr>
        <w:t>’s Office of Fair Housing and Equal Opportunity</w:t>
      </w:r>
    </w:p>
    <w:p w14:paraId="1C21DBCB" w14:textId="77777777" w:rsidR="00D35253" w:rsidRPr="003F5EBB" w:rsidRDefault="00D35253" w:rsidP="00D35253">
      <w:pPr>
        <w:rPr>
          <w:rFonts w:eastAsiaTheme="minorEastAsia"/>
        </w:rPr>
      </w:pPr>
    </w:p>
    <w:p w14:paraId="6E31CF5D" w14:textId="106C1571" w:rsidR="00B30D97" w:rsidRDefault="00B30D97" w:rsidP="00B30D97">
      <w:pPr>
        <w:spacing w:after="240"/>
        <w:rPr>
          <w:rFonts w:eastAsiaTheme="minorEastAsia"/>
        </w:rPr>
      </w:pPr>
      <w:r>
        <w:rPr>
          <w:rFonts w:eastAsiaTheme="minorEastAsia"/>
        </w:rPr>
        <w:t xml:space="preserve">The number of cases filed has fluctuated each year between 2015 and 2020 ranging from 125 cases in 2017 to a high </w:t>
      </w:r>
      <w:r w:rsidR="00233960">
        <w:rPr>
          <w:rFonts w:eastAsiaTheme="minorEastAsia"/>
        </w:rPr>
        <w:t>of</w:t>
      </w:r>
      <w:r>
        <w:rPr>
          <w:rFonts w:eastAsiaTheme="minorEastAsia"/>
        </w:rPr>
        <w:t xml:space="preserve"> 166 cases in 2016. The number of cases filed in 2020 only include those filed through the beginning of August. </w:t>
      </w:r>
      <w:proofErr w:type="gramStart"/>
      <w:r>
        <w:rPr>
          <w:rFonts w:eastAsiaTheme="minorEastAsia"/>
        </w:rPr>
        <w:t>Taking into account</w:t>
      </w:r>
      <w:proofErr w:type="gramEnd"/>
      <w:r>
        <w:rPr>
          <w:rFonts w:eastAsiaTheme="minorEastAsia"/>
        </w:rPr>
        <w:t xml:space="preserve"> the shorter time frame, the number of cases filed for 2020 is expected to remain similar to 20</w:t>
      </w:r>
      <w:r w:rsidR="00373622">
        <w:rPr>
          <w:rFonts w:eastAsiaTheme="minorEastAsia"/>
        </w:rPr>
        <w:t>1</w:t>
      </w:r>
      <w:r>
        <w:rPr>
          <w:rFonts w:eastAsiaTheme="minorEastAsia"/>
        </w:rPr>
        <w:t xml:space="preserve">8 and 2019. </w:t>
      </w:r>
      <w:r w:rsidRPr="00546D37">
        <w:rPr>
          <w:rFonts w:eastAsiaTheme="minorEastAsia"/>
        </w:rPr>
        <w:t xml:space="preserve">Areas with the </w:t>
      </w:r>
      <w:r w:rsidRPr="00546D37">
        <w:rPr>
          <w:rFonts w:eastAsiaTheme="minorEastAsia"/>
        </w:rPr>
        <w:lastRenderedPageBreak/>
        <w:t>largest number of fair housing cases are primarily located in urban counties</w:t>
      </w:r>
      <w:r>
        <w:rPr>
          <w:rFonts w:eastAsiaTheme="minorEastAsia"/>
        </w:rPr>
        <w:t>, with Durham and Mecklenburg Counties having the most cases by a significant margin. However, the number of cases within these counties fluctuated similar</w:t>
      </w:r>
      <w:r w:rsidR="00373622">
        <w:rPr>
          <w:rFonts w:eastAsiaTheme="minorEastAsia"/>
        </w:rPr>
        <w:t>ly</w:t>
      </w:r>
      <w:r>
        <w:rPr>
          <w:rFonts w:eastAsiaTheme="minorEastAsia"/>
        </w:rPr>
        <w:t xml:space="preserve"> to the state </w:t>
      </w:r>
      <w:r w:rsidR="00EB4424">
        <w:rPr>
          <w:rFonts w:eastAsiaTheme="minorEastAsia"/>
        </w:rPr>
        <w:t>trend</w:t>
      </w:r>
      <w:r>
        <w:rPr>
          <w:rFonts w:eastAsiaTheme="minorEastAsia"/>
        </w:rPr>
        <w:t>.</w:t>
      </w:r>
    </w:p>
    <w:p w14:paraId="52D8484E" w14:textId="61E8D609" w:rsidR="00560AC3" w:rsidRDefault="00560AC3" w:rsidP="00014806">
      <w:pPr>
        <w:pStyle w:val="Caption"/>
        <w:ind w:left="720" w:firstLine="720"/>
      </w:pPr>
      <w:r>
        <w:t xml:space="preserve">Table </w:t>
      </w:r>
      <w:fldSimple w:instr=" SEQ Table \* ARABIC ">
        <w:r w:rsidR="0055251A">
          <w:rPr>
            <w:noProof/>
          </w:rPr>
          <w:t>23</w:t>
        </w:r>
      </w:fldSimple>
      <w:r>
        <w:t xml:space="preserve"> Top </w:t>
      </w:r>
      <w:r w:rsidR="0039740D">
        <w:t>T</w:t>
      </w:r>
      <w:r>
        <w:t xml:space="preserve">en </w:t>
      </w:r>
      <w:r w:rsidR="0039740D">
        <w:t>C</w:t>
      </w:r>
      <w:r>
        <w:t xml:space="preserve">ounties with </w:t>
      </w:r>
      <w:r w:rsidR="0039740D">
        <w:t>Highest N</w:t>
      </w:r>
      <w:r>
        <w:t xml:space="preserve">umber of </w:t>
      </w:r>
      <w:r w:rsidR="0039740D">
        <w:t>H</w:t>
      </w:r>
      <w:r>
        <w:t xml:space="preserve">ousing </w:t>
      </w:r>
      <w:r w:rsidR="00164DB0">
        <w:t>Discrimination</w:t>
      </w:r>
      <w:r w:rsidR="00193CDA">
        <w:t xml:space="preserve"> </w:t>
      </w:r>
      <w:r w:rsidR="0039740D">
        <w:t>C</w:t>
      </w:r>
      <w:r>
        <w:t>ases, 2015-2020</w:t>
      </w:r>
    </w:p>
    <w:tbl>
      <w:tblPr>
        <w:tblW w:w="6761" w:type="dxa"/>
        <w:jc w:val="center"/>
        <w:tblCellMar>
          <w:left w:w="72" w:type="dxa"/>
          <w:right w:w="72" w:type="dxa"/>
        </w:tblCellMar>
        <w:tblLook w:val="04A0" w:firstRow="1" w:lastRow="0" w:firstColumn="1" w:lastColumn="0" w:noHBand="0" w:noVBand="1"/>
      </w:tblPr>
      <w:tblGrid>
        <w:gridCol w:w="3240"/>
        <w:gridCol w:w="1661"/>
        <w:gridCol w:w="1860"/>
      </w:tblGrid>
      <w:tr w:rsidR="00014806" w14:paraId="4A6799CD" w14:textId="77777777" w:rsidTr="009C54AF">
        <w:trPr>
          <w:trHeight w:val="263"/>
          <w:jc w:val="center"/>
        </w:trPr>
        <w:tc>
          <w:tcPr>
            <w:tcW w:w="3240" w:type="dxa"/>
            <w:vMerge w:val="restart"/>
            <w:tcBorders>
              <w:top w:val="single" w:sz="4" w:space="0" w:color="auto"/>
              <w:left w:val="single" w:sz="4" w:space="0" w:color="auto"/>
              <w:right w:val="single" w:sz="4" w:space="0" w:color="auto"/>
            </w:tcBorders>
            <w:shd w:val="clear" w:color="auto" w:fill="4472C4"/>
            <w:noWrap/>
            <w:tcMar>
              <w:top w:w="15" w:type="dxa"/>
              <w:left w:w="15" w:type="dxa"/>
              <w:bottom w:w="0" w:type="dxa"/>
              <w:right w:w="15" w:type="dxa"/>
            </w:tcMar>
            <w:vAlign w:val="bottom"/>
          </w:tcPr>
          <w:p w14:paraId="277EDC32" w14:textId="1E82F7F1" w:rsidR="00014806" w:rsidRPr="00560AC3" w:rsidRDefault="00014806" w:rsidP="00014806">
            <w:pPr>
              <w:jc w:val="center"/>
              <w:rPr>
                <w:rFonts w:ascii="Arial" w:hAnsi="Arial" w:cs="Arial"/>
                <w:b/>
                <w:bCs/>
                <w:color w:val="FFFFFF" w:themeColor="background1"/>
                <w:sz w:val="20"/>
                <w:szCs w:val="20"/>
              </w:rPr>
            </w:pPr>
            <w:r w:rsidRPr="00560AC3">
              <w:rPr>
                <w:rFonts w:ascii="Arial" w:hAnsi="Arial" w:cs="Arial"/>
                <w:b/>
                <w:bCs/>
                <w:color w:val="FFFFFF" w:themeColor="background1"/>
                <w:sz w:val="20"/>
                <w:szCs w:val="20"/>
              </w:rPr>
              <w:t>County</w:t>
            </w:r>
          </w:p>
        </w:tc>
        <w:tc>
          <w:tcPr>
            <w:tcW w:w="3521" w:type="dxa"/>
            <w:gridSpan w:val="2"/>
            <w:tcBorders>
              <w:top w:val="single" w:sz="4" w:space="0" w:color="auto"/>
              <w:left w:val="nil"/>
              <w:bottom w:val="single" w:sz="4" w:space="0" w:color="auto"/>
              <w:right w:val="single" w:sz="4" w:space="0" w:color="auto"/>
            </w:tcBorders>
            <w:shd w:val="clear" w:color="auto" w:fill="4472C4"/>
            <w:noWrap/>
            <w:tcMar>
              <w:top w:w="15" w:type="dxa"/>
              <w:left w:w="15" w:type="dxa"/>
              <w:bottom w:w="0" w:type="dxa"/>
              <w:right w:w="15" w:type="dxa"/>
            </w:tcMar>
            <w:vAlign w:val="center"/>
          </w:tcPr>
          <w:p w14:paraId="41829A56" w14:textId="238055C4" w:rsidR="00014806" w:rsidRPr="00560AC3" w:rsidRDefault="00014806" w:rsidP="00560AC3">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Cases</w:t>
            </w:r>
          </w:p>
        </w:tc>
      </w:tr>
      <w:tr w:rsidR="00014806" w14:paraId="3D9B2BEB" w14:textId="44453D06" w:rsidTr="009C54AF">
        <w:trPr>
          <w:trHeight w:val="254"/>
          <w:jc w:val="center"/>
        </w:trPr>
        <w:tc>
          <w:tcPr>
            <w:tcW w:w="3240" w:type="dxa"/>
            <w:vMerge/>
            <w:tcBorders>
              <w:left w:val="single" w:sz="4" w:space="0" w:color="auto"/>
              <w:bottom w:val="single" w:sz="4" w:space="0" w:color="auto"/>
              <w:right w:val="single" w:sz="4" w:space="0" w:color="auto"/>
            </w:tcBorders>
            <w:shd w:val="clear" w:color="auto" w:fill="4472C4"/>
            <w:noWrap/>
            <w:tcMar>
              <w:top w:w="15" w:type="dxa"/>
              <w:left w:w="15" w:type="dxa"/>
              <w:bottom w:w="0" w:type="dxa"/>
              <w:right w:w="15" w:type="dxa"/>
            </w:tcMar>
            <w:vAlign w:val="center"/>
            <w:hideMark/>
          </w:tcPr>
          <w:p w14:paraId="21636715" w14:textId="6DF921EF" w:rsidR="00014806" w:rsidRPr="00560AC3" w:rsidRDefault="00014806" w:rsidP="00560AC3">
            <w:pPr>
              <w:jc w:val="center"/>
              <w:rPr>
                <w:rFonts w:ascii="Arial" w:hAnsi="Arial" w:cs="Arial"/>
                <w:b/>
                <w:bCs/>
                <w:color w:val="FFFFFF" w:themeColor="background1"/>
                <w:sz w:val="20"/>
                <w:szCs w:val="20"/>
              </w:rPr>
            </w:pPr>
          </w:p>
        </w:tc>
        <w:tc>
          <w:tcPr>
            <w:tcW w:w="1661" w:type="dxa"/>
            <w:tcBorders>
              <w:top w:val="single" w:sz="4" w:space="0" w:color="auto"/>
              <w:left w:val="nil"/>
              <w:bottom w:val="single" w:sz="4" w:space="0" w:color="auto"/>
              <w:right w:val="single" w:sz="4" w:space="0" w:color="auto"/>
            </w:tcBorders>
            <w:shd w:val="clear" w:color="auto" w:fill="4472C4"/>
            <w:noWrap/>
            <w:tcMar>
              <w:top w:w="15" w:type="dxa"/>
              <w:left w:w="15" w:type="dxa"/>
              <w:bottom w:w="0" w:type="dxa"/>
              <w:right w:w="15" w:type="dxa"/>
            </w:tcMar>
            <w:vAlign w:val="bottom"/>
            <w:hideMark/>
          </w:tcPr>
          <w:p w14:paraId="7D764753" w14:textId="7AAE5A52" w:rsidR="00014806" w:rsidRPr="00560AC3" w:rsidRDefault="00014806" w:rsidP="009C54AF">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Number</w:t>
            </w:r>
          </w:p>
        </w:tc>
        <w:tc>
          <w:tcPr>
            <w:tcW w:w="1860" w:type="dxa"/>
            <w:tcBorders>
              <w:top w:val="single" w:sz="4" w:space="0" w:color="auto"/>
              <w:left w:val="nil"/>
              <w:bottom w:val="single" w:sz="4" w:space="0" w:color="auto"/>
              <w:right w:val="single" w:sz="4" w:space="0" w:color="auto"/>
            </w:tcBorders>
            <w:shd w:val="clear" w:color="auto" w:fill="4472C4"/>
            <w:vAlign w:val="bottom"/>
          </w:tcPr>
          <w:p w14:paraId="2F42DA7C" w14:textId="7980A5E6" w:rsidR="00014806" w:rsidRPr="00560AC3" w:rsidRDefault="00014806" w:rsidP="009C54AF">
            <w:pPr>
              <w:jc w:val="center"/>
              <w:rPr>
                <w:rFonts w:ascii="Arial" w:hAnsi="Arial" w:cs="Arial"/>
                <w:b/>
                <w:bCs/>
                <w:color w:val="FFFFFF" w:themeColor="background1"/>
                <w:sz w:val="20"/>
                <w:szCs w:val="20"/>
              </w:rPr>
            </w:pPr>
            <w:r>
              <w:rPr>
                <w:rFonts w:ascii="Arial" w:hAnsi="Arial" w:cs="Arial"/>
                <w:b/>
                <w:bCs/>
                <w:color w:val="FFFFFF" w:themeColor="background1"/>
                <w:sz w:val="20"/>
                <w:szCs w:val="20"/>
              </w:rPr>
              <w:t>Percent</w:t>
            </w:r>
          </w:p>
        </w:tc>
      </w:tr>
      <w:tr w:rsidR="00014806" w14:paraId="47735C80" w14:textId="53D1E95C"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0BE73" w14:textId="77777777" w:rsidR="00014806" w:rsidRDefault="00014806">
            <w:pPr>
              <w:rPr>
                <w:rFonts w:ascii="Arial" w:hAnsi="Arial" w:cs="Arial"/>
                <w:color w:val="000000"/>
                <w:sz w:val="20"/>
                <w:szCs w:val="20"/>
              </w:rPr>
            </w:pPr>
            <w:r>
              <w:rPr>
                <w:rFonts w:ascii="Arial" w:hAnsi="Arial" w:cs="Arial"/>
                <w:color w:val="000000"/>
                <w:sz w:val="20"/>
                <w:szCs w:val="20"/>
              </w:rPr>
              <w:t>Durham</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700B8" w14:textId="77777777" w:rsidR="00014806" w:rsidRDefault="00014806">
            <w:pPr>
              <w:jc w:val="right"/>
              <w:rPr>
                <w:rFonts w:ascii="Arial" w:hAnsi="Arial" w:cs="Arial"/>
                <w:color w:val="000000"/>
                <w:sz w:val="20"/>
                <w:szCs w:val="20"/>
              </w:rPr>
            </w:pPr>
            <w:r>
              <w:rPr>
                <w:rFonts w:ascii="Arial" w:hAnsi="Arial" w:cs="Arial"/>
                <w:color w:val="000000"/>
                <w:sz w:val="20"/>
                <w:szCs w:val="20"/>
              </w:rPr>
              <w:t>146</w:t>
            </w:r>
          </w:p>
        </w:tc>
        <w:tc>
          <w:tcPr>
            <w:tcW w:w="0" w:type="auto"/>
            <w:tcBorders>
              <w:top w:val="nil"/>
              <w:left w:val="nil"/>
              <w:bottom w:val="single" w:sz="4" w:space="0" w:color="auto"/>
              <w:right w:val="single" w:sz="4" w:space="0" w:color="auto"/>
            </w:tcBorders>
            <w:vAlign w:val="bottom"/>
          </w:tcPr>
          <w:p w14:paraId="36F25932" w14:textId="6F214EFE" w:rsidR="00014806" w:rsidRDefault="001608E6" w:rsidP="00014806">
            <w:pPr>
              <w:jc w:val="right"/>
              <w:rPr>
                <w:rFonts w:ascii="Arial" w:hAnsi="Arial" w:cs="Arial"/>
                <w:color w:val="000000"/>
                <w:sz w:val="20"/>
                <w:szCs w:val="20"/>
              </w:rPr>
            </w:pPr>
            <w:r>
              <w:rPr>
                <w:rFonts w:ascii="Arial" w:hAnsi="Arial" w:cs="Arial"/>
                <w:color w:val="000000"/>
                <w:sz w:val="20"/>
                <w:szCs w:val="20"/>
              </w:rPr>
              <w:t>17.5%</w:t>
            </w:r>
          </w:p>
        </w:tc>
      </w:tr>
      <w:tr w:rsidR="00014806" w14:paraId="68306738" w14:textId="4DF4CABC"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0632F" w14:textId="77777777" w:rsidR="00014806" w:rsidRDefault="00014806">
            <w:pPr>
              <w:rPr>
                <w:rFonts w:ascii="Arial" w:hAnsi="Arial" w:cs="Arial"/>
                <w:color w:val="000000"/>
                <w:sz w:val="20"/>
                <w:szCs w:val="20"/>
              </w:rPr>
            </w:pPr>
            <w:r>
              <w:rPr>
                <w:rFonts w:ascii="Arial" w:hAnsi="Arial" w:cs="Arial"/>
                <w:color w:val="000000"/>
                <w:sz w:val="20"/>
                <w:szCs w:val="20"/>
              </w:rPr>
              <w:t>Mecklenburg</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9BCE5" w14:textId="77777777" w:rsidR="00014806" w:rsidRDefault="00014806">
            <w:pPr>
              <w:jc w:val="right"/>
              <w:rPr>
                <w:rFonts w:ascii="Arial" w:hAnsi="Arial" w:cs="Arial"/>
                <w:color w:val="000000"/>
                <w:sz w:val="20"/>
                <w:szCs w:val="20"/>
              </w:rPr>
            </w:pPr>
            <w:r>
              <w:rPr>
                <w:rFonts w:ascii="Arial" w:hAnsi="Arial" w:cs="Arial"/>
                <w:color w:val="000000"/>
                <w:sz w:val="20"/>
                <w:szCs w:val="20"/>
              </w:rPr>
              <w:t>144</w:t>
            </w:r>
          </w:p>
        </w:tc>
        <w:tc>
          <w:tcPr>
            <w:tcW w:w="0" w:type="auto"/>
            <w:tcBorders>
              <w:top w:val="nil"/>
              <w:left w:val="nil"/>
              <w:bottom w:val="single" w:sz="4" w:space="0" w:color="auto"/>
              <w:right w:val="single" w:sz="4" w:space="0" w:color="auto"/>
            </w:tcBorders>
            <w:vAlign w:val="bottom"/>
          </w:tcPr>
          <w:p w14:paraId="431263F1" w14:textId="1998EB49" w:rsidR="00014806" w:rsidRDefault="00332567" w:rsidP="00014806">
            <w:pPr>
              <w:jc w:val="right"/>
              <w:rPr>
                <w:rFonts w:ascii="Arial" w:hAnsi="Arial" w:cs="Arial"/>
                <w:color w:val="000000"/>
                <w:sz w:val="20"/>
                <w:szCs w:val="20"/>
              </w:rPr>
            </w:pPr>
            <w:r>
              <w:rPr>
                <w:rFonts w:ascii="Arial" w:hAnsi="Arial" w:cs="Arial"/>
                <w:color w:val="000000"/>
                <w:sz w:val="20"/>
                <w:szCs w:val="20"/>
              </w:rPr>
              <w:t>17.2%</w:t>
            </w:r>
          </w:p>
        </w:tc>
      </w:tr>
      <w:tr w:rsidR="00014806" w14:paraId="7FCFB3F8" w14:textId="470C10EE"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4BADE" w14:textId="77777777" w:rsidR="00014806" w:rsidRDefault="00014806">
            <w:pPr>
              <w:rPr>
                <w:rFonts w:ascii="Arial" w:hAnsi="Arial" w:cs="Arial"/>
                <w:color w:val="000000"/>
                <w:sz w:val="20"/>
                <w:szCs w:val="20"/>
              </w:rPr>
            </w:pPr>
            <w:r>
              <w:rPr>
                <w:rFonts w:ascii="Arial" w:hAnsi="Arial" w:cs="Arial"/>
                <w:color w:val="000000"/>
                <w:sz w:val="20"/>
                <w:szCs w:val="20"/>
              </w:rPr>
              <w:t>Guilford</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1A339" w14:textId="77777777" w:rsidR="00014806" w:rsidRDefault="00014806">
            <w:pPr>
              <w:jc w:val="right"/>
              <w:rPr>
                <w:rFonts w:ascii="Arial" w:hAnsi="Arial" w:cs="Arial"/>
                <w:color w:val="000000"/>
                <w:sz w:val="20"/>
                <w:szCs w:val="20"/>
              </w:rPr>
            </w:pPr>
            <w:r>
              <w:rPr>
                <w:rFonts w:ascii="Arial" w:hAnsi="Arial" w:cs="Arial"/>
                <w:color w:val="000000"/>
                <w:sz w:val="20"/>
                <w:szCs w:val="20"/>
              </w:rPr>
              <w:t>91</w:t>
            </w:r>
          </w:p>
        </w:tc>
        <w:tc>
          <w:tcPr>
            <w:tcW w:w="0" w:type="auto"/>
            <w:tcBorders>
              <w:top w:val="nil"/>
              <w:left w:val="nil"/>
              <w:bottom w:val="single" w:sz="4" w:space="0" w:color="auto"/>
              <w:right w:val="single" w:sz="4" w:space="0" w:color="auto"/>
            </w:tcBorders>
            <w:vAlign w:val="bottom"/>
          </w:tcPr>
          <w:p w14:paraId="34F24B9C" w14:textId="6CE3393A" w:rsidR="00014806" w:rsidRDefault="00332567" w:rsidP="00014806">
            <w:pPr>
              <w:jc w:val="right"/>
              <w:rPr>
                <w:rFonts w:ascii="Arial" w:hAnsi="Arial" w:cs="Arial"/>
                <w:color w:val="000000"/>
                <w:sz w:val="20"/>
                <w:szCs w:val="20"/>
              </w:rPr>
            </w:pPr>
            <w:r>
              <w:rPr>
                <w:rFonts w:ascii="Arial" w:hAnsi="Arial" w:cs="Arial"/>
                <w:color w:val="000000"/>
                <w:sz w:val="20"/>
                <w:szCs w:val="20"/>
              </w:rPr>
              <w:t>10.9%</w:t>
            </w:r>
          </w:p>
        </w:tc>
      </w:tr>
      <w:tr w:rsidR="00014806" w14:paraId="6C9C1132" w14:textId="49A7B195"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3172" w14:textId="77777777" w:rsidR="00014806" w:rsidRDefault="00014806">
            <w:pPr>
              <w:rPr>
                <w:rFonts w:ascii="Arial" w:hAnsi="Arial" w:cs="Arial"/>
                <w:color w:val="000000"/>
                <w:sz w:val="20"/>
                <w:szCs w:val="20"/>
              </w:rPr>
            </w:pPr>
            <w:r>
              <w:rPr>
                <w:rFonts w:ascii="Arial" w:hAnsi="Arial" w:cs="Arial"/>
                <w:color w:val="000000"/>
                <w:sz w:val="20"/>
                <w:szCs w:val="20"/>
              </w:rPr>
              <w:t>Wake</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DC219" w14:textId="77777777" w:rsidR="00014806" w:rsidRDefault="00014806">
            <w:pPr>
              <w:jc w:val="right"/>
              <w:rPr>
                <w:rFonts w:ascii="Arial" w:hAnsi="Arial" w:cs="Arial"/>
                <w:color w:val="000000"/>
                <w:sz w:val="20"/>
                <w:szCs w:val="20"/>
              </w:rPr>
            </w:pPr>
            <w:r>
              <w:rPr>
                <w:rFonts w:ascii="Arial" w:hAnsi="Arial" w:cs="Arial"/>
                <w:color w:val="000000"/>
                <w:sz w:val="20"/>
                <w:szCs w:val="20"/>
              </w:rPr>
              <w:t>67</w:t>
            </w:r>
          </w:p>
        </w:tc>
        <w:tc>
          <w:tcPr>
            <w:tcW w:w="0" w:type="auto"/>
            <w:tcBorders>
              <w:top w:val="nil"/>
              <w:left w:val="nil"/>
              <w:bottom w:val="single" w:sz="4" w:space="0" w:color="auto"/>
              <w:right w:val="single" w:sz="4" w:space="0" w:color="auto"/>
            </w:tcBorders>
            <w:vAlign w:val="bottom"/>
          </w:tcPr>
          <w:p w14:paraId="415485C2" w14:textId="49D7969B" w:rsidR="00014806" w:rsidRDefault="00332567" w:rsidP="00014806">
            <w:pPr>
              <w:jc w:val="right"/>
              <w:rPr>
                <w:rFonts w:ascii="Arial" w:hAnsi="Arial" w:cs="Arial"/>
                <w:color w:val="000000"/>
                <w:sz w:val="20"/>
                <w:szCs w:val="20"/>
              </w:rPr>
            </w:pPr>
            <w:r>
              <w:rPr>
                <w:rFonts w:ascii="Arial" w:hAnsi="Arial" w:cs="Arial"/>
                <w:color w:val="000000"/>
                <w:sz w:val="20"/>
                <w:szCs w:val="20"/>
              </w:rPr>
              <w:t>8</w:t>
            </w:r>
            <w:r w:rsidR="00407943">
              <w:rPr>
                <w:rFonts w:ascii="Arial" w:hAnsi="Arial" w:cs="Arial"/>
                <w:color w:val="000000"/>
                <w:sz w:val="20"/>
                <w:szCs w:val="20"/>
              </w:rPr>
              <w:t>.0</w:t>
            </w:r>
            <w:r>
              <w:rPr>
                <w:rFonts w:ascii="Arial" w:hAnsi="Arial" w:cs="Arial"/>
                <w:color w:val="000000"/>
                <w:sz w:val="20"/>
                <w:szCs w:val="20"/>
              </w:rPr>
              <w:t>%</w:t>
            </w:r>
          </w:p>
        </w:tc>
      </w:tr>
      <w:tr w:rsidR="00014806" w14:paraId="40ADA56B" w14:textId="723A7FA4"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C9C62" w14:textId="77777777" w:rsidR="00014806" w:rsidRDefault="00014806">
            <w:pPr>
              <w:rPr>
                <w:rFonts w:ascii="Arial" w:hAnsi="Arial" w:cs="Arial"/>
                <w:color w:val="000000"/>
                <w:sz w:val="20"/>
                <w:szCs w:val="20"/>
              </w:rPr>
            </w:pPr>
            <w:r>
              <w:rPr>
                <w:rFonts w:ascii="Arial" w:hAnsi="Arial" w:cs="Arial"/>
                <w:color w:val="000000"/>
                <w:sz w:val="20"/>
                <w:szCs w:val="20"/>
              </w:rPr>
              <w:t>Forsyth</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820C3" w14:textId="77777777" w:rsidR="00014806" w:rsidRDefault="00014806">
            <w:pPr>
              <w:jc w:val="right"/>
              <w:rPr>
                <w:rFonts w:ascii="Arial" w:hAnsi="Arial" w:cs="Arial"/>
                <w:color w:val="000000"/>
                <w:sz w:val="20"/>
                <w:szCs w:val="20"/>
              </w:rPr>
            </w:pPr>
            <w:r>
              <w:rPr>
                <w:rFonts w:ascii="Arial" w:hAnsi="Arial" w:cs="Arial"/>
                <w:color w:val="000000"/>
                <w:sz w:val="20"/>
                <w:szCs w:val="20"/>
              </w:rPr>
              <w:t>66</w:t>
            </w:r>
          </w:p>
        </w:tc>
        <w:tc>
          <w:tcPr>
            <w:tcW w:w="0" w:type="auto"/>
            <w:tcBorders>
              <w:top w:val="nil"/>
              <w:left w:val="nil"/>
              <w:bottom w:val="single" w:sz="4" w:space="0" w:color="auto"/>
              <w:right w:val="single" w:sz="4" w:space="0" w:color="auto"/>
            </w:tcBorders>
            <w:vAlign w:val="bottom"/>
          </w:tcPr>
          <w:p w14:paraId="493FA04D" w14:textId="7B215FB9" w:rsidR="00014806" w:rsidRDefault="00407943" w:rsidP="00014806">
            <w:pPr>
              <w:jc w:val="right"/>
              <w:rPr>
                <w:rFonts w:ascii="Arial" w:hAnsi="Arial" w:cs="Arial"/>
                <w:color w:val="000000"/>
                <w:sz w:val="20"/>
                <w:szCs w:val="20"/>
              </w:rPr>
            </w:pPr>
            <w:r>
              <w:rPr>
                <w:rFonts w:ascii="Arial" w:hAnsi="Arial" w:cs="Arial"/>
                <w:color w:val="000000"/>
                <w:sz w:val="20"/>
                <w:szCs w:val="20"/>
              </w:rPr>
              <w:t>7.9%</w:t>
            </w:r>
          </w:p>
        </w:tc>
      </w:tr>
      <w:tr w:rsidR="00014806" w14:paraId="72D0351B" w14:textId="22E87A92"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FC5C6" w14:textId="77777777" w:rsidR="00014806" w:rsidRDefault="00014806">
            <w:pPr>
              <w:rPr>
                <w:rFonts w:ascii="Arial" w:hAnsi="Arial" w:cs="Arial"/>
                <w:color w:val="000000"/>
                <w:sz w:val="20"/>
                <w:szCs w:val="20"/>
              </w:rPr>
            </w:pPr>
            <w:r>
              <w:rPr>
                <w:rFonts w:ascii="Arial" w:hAnsi="Arial" w:cs="Arial"/>
                <w:color w:val="000000"/>
                <w:sz w:val="20"/>
                <w:szCs w:val="20"/>
              </w:rPr>
              <w:t>Orange</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316D8" w14:textId="77777777" w:rsidR="00014806" w:rsidRDefault="00014806">
            <w:pPr>
              <w:jc w:val="right"/>
              <w:rPr>
                <w:rFonts w:ascii="Arial" w:hAnsi="Arial" w:cs="Arial"/>
                <w:color w:val="000000"/>
                <w:sz w:val="20"/>
                <w:szCs w:val="20"/>
              </w:rPr>
            </w:pPr>
            <w:r>
              <w:rPr>
                <w:rFonts w:ascii="Arial" w:hAnsi="Arial" w:cs="Arial"/>
                <w:color w:val="000000"/>
                <w:sz w:val="20"/>
                <w:szCs w:val="20"/>
              </w:rPr>
              <w:t>40</w:t>
            </w:r>
          </w:p>
        </w:tc>
        <w:tc>
          <w:tcPr>
            <w:tcW w:w="0" w:type="auto"/>
            <w:tcBorders>
              <w:top w:val="nil"/>
              <w:left w:val="nil"/>
              <w:bottom w:val="single" w:sz="4" w:space="0" w:color="auto"/>
              <w:right w:val="single" w:sz="4" w:space="0" w:color="auto"/>
            </w:tcBorders>
            <w:vAlign w:val="bottom"/>
          </w:tcPr>
          <w:p w14:paraId="4BB2ED8F" w14:textId="6DBC78A0" w:rsidR="00014806" w:rsidRDefault="00407943" w:rsidP="00014806">
            <w:pPr>
              <w:jc w:val="right"/>
              <w:rPr>
                <w:rFonts w:ascii="Arial" w:hAnsi="Arial" w:cs="Arial"/>
                <w:color w:val="000000"/>
                <w:sz w:val="20"/>
                <w:szCs w:val="20"/>
              </w:rPr>
            </w:pPr>
            <w:r>
              <w:rPr>
                <w:rFonts w:ascii="Arial" w:hAnsi="Arial" w:cs="Arial"/>
                <w:color w:val="000000"/>
                <w:sz w:val="20"/>
                <w:szCs w:val="20"/>
              </w:rPr>
              <w:t>4.3%</w:t>
            </w:r>
          </w:p>
        </w:tc>
      </w:tr>
      <w:tr w:rsidR="00014806" w14:paraId="0109BFA5" w14:textId="79944F3C"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24871" w14:textId="77777777" w:rsidR="00014806" w:rsidRDefault="00014806">
            <w:pPr>
              <w:rPr>
                <w:rFonts w:ascii="Arial" w:hAnsi="Arial" w:cs="Arial"/>
                <w:color w:val="000000"/>
                <w:sz w:val="20"/>
                <w:szCs w:val="20"/>
              </w:rPr>
            </w:pPr>
            <w:r>
              <w:rPr>
                <w:rFonts w:ascii="Arial" w:hAnsi="Arial" w:cs="Arial"/>
                <w:color w:val="000000"/>
                <w:sz w:val="20"/>
                <w:szCs w:val="20"/>
              </w:rPr>
              <w:t>Buncombe</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E5CD" w14:textId="77777777" w:rsidR="00014806" w:rsidRDefault="00014806">
            <w:pPr>
              <w:jc w:val="right"/>
              <w:rPr>
                <w:rFonts w:ascii="Arial" w:hAnsi="Arial" w:cs="Arial"/>
                <w:color w:val="000000"/>
                <w:sz w:val="20"/>
                <w:szCs w:val="20"/>
              </w:rPr>
            </w:pPr>
            <w:r>
              <w:rPr>
                <w:rFonts w:ascii="Arial" w:hAnsi="Arial" w:cs="Arial"/>
                <w:color w:val="000000"/>
                <w:sz w:val="20"/>
                <w:szCs w:val="20"/>
              </w:rPr>
              <w:t>24</w:t>
            </w:r>
          </w:p>
        </w:tc>
        <w:tc>
          <w:tcPr>
            <w:tcW w:w="0" w:type="auto"/>
            <w:tcBorders>
              <w:top w:val="nil"/>
              <w:left w:val="nil"/>
              <w:bottom w:val="single" w:sz="4" w:space="0" w:color="auto"/>
              <w:right w:val="single" w:sz="4" w:space="0" w:color="auto"/>
            </w:tcBorders>
            <w:vAlign w:val="bottom"/>
          </w:tcPr>
          <w:p w14:paraId="49B0B126" w14:textId="0BD23B8B" w:rsidR="00014806" w:rsidRDefault="00407943" w:rsidP="00014806">
            <w:pPr>
              <w:jc w:val="right"/>
              <w:rPr>
                <w:rFonts w:ascii="Arial" w:hAnsi="Arial" w:cs="Arial"/>
                <w:color w:val="000000"/>
                <w:sz w:val="20"/>
                <w:szCs w:val="20"/>
              </w:rPr>
            </w:pPr>
            <w:r>
              <w:rPr>
                <w:rFonts w:ascii="Arial" w:hAnsi="Arial" w:cs="Arial"/>
                <w:color w:val="000000"/>
                <w:sz w:val="20"/>
                <w:szCs w:val="20"/>
              </w:rPr>
              <w:t>2.9%</w:t>
            </w:r>
          </w:p>
        </w:tc>
      </w:tr>
      <w:tr w:rsidR="00014806" w14:paraId="15493DC5" w14:textId="28C7BAE6" w:rsidTr="0001480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9CC12" w14:textId="77777777" w:rsidR="00014806" w:rsidRDefault="00014806">
            <w:pPr>
              <w:rPr>
                <w:rFonts w:ascii="Arial" w:hAnsi="Arial" w:cs="Arial"/>
                <w:color w:val="000000"/>
                <w:sz w:val="20"/>
                <w:szCs w:val="20"/>
              </w:rPr>
            </w:pPr>
            <w:r>
              <w:rPr>
                <w:rFonts w:ascii="Arial" w:hAnsi="Arial" w:cs="Arial"/>
                <w:color w:val="000000"/>
                <w:sz w:val="20"/>
                <w:szCs w:val="20"/>
              </w:rPr>
              <w:t>New Hanover</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6B20C" w14:textId="77777777" w:rsidR="00014806" w:rsidRDefault="00014806">
            <w:pPr>
              <w:jc w:val="right"/>
              <w:rPr>
                <w:rFonts w:ascii="Arial" w:hAnsi="Arial" w:cs="Arial"/>
                <w:color w:val="000000"/>
                <w:sz w:val="20"/>
                <w:szCs w:val="20"/>
              </w:rPr>
            </w:pPr>
            <w:r>
              <w:rPr>
                <w:rFonts w:ascii="Arial" w:hAnsi="Arial" w:cs="Arial"/>
                <w:color w:val="000000"/>
                <w:sz w:val="20"/>
                <w:szCs w:val="20"/>
              </w:rPr>
              <w:t>18</w:t>
            </w:r>
          </w:p>
        </w:tc>
        <w:tc>
          <w:tcPr>
            <w:tcW w:w="0" w:type="auto"/>
            <w:tcBorders>
              <w:top w:val="nil"/>
              <w:left w:val="nil"/>
              <w:bottom w:val="single" w:sz="4" w:space="0" w:color="auto"/>
              <w:right w:val="single" w:sz="4" w:space="0" w:color="auto"/>
            </w:tcBorders>
            <w:vAlign w:val="bottom"/>
          </w:tcPr>
          <w:p w14:paraId="1159CEA4" w14:textId="137D8D0C" w:rsidR="00014806" w:rsidRDefault="009A5AD6" w:rsidP="00014806">
            <w:pPr>
              <w:jc w:val="right"/>
              <w:rPr>
                <w:rFonts w:ascii="Arial" w:hAnsi="Arial" w:cs="Arial"/>
                <w:color w:val="000000"/>
                <w:sz w:val="20"/>
                <w:szCs w:val="20"/>
              </w:rPr>
            </w:pPr>
            <w:r>
              <w:rPr>
                <w:rFonts w:ascii="Arial" w:hAnsi="Arial" w:cs="Arial"/>
                <w:color w:val="000000"/>
                <w:sz w:val="20"/>
                <w:szCs w:val="20"/>
              </w:rPr>
              <w:t>2.1%</w:t>
            </w:r>
          </w:p>
        </w:tc>
      </w:tr>
      <w:tr w:rsidR="00014806" w14:paraId="59F792B7" w14:textId="7D41CC67" w:rsidTr="009A5AD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36604" w14:textId="77777777" w:rsidR="00014806" w:rsidRDefault="00014806">
            <w:pPr>
              <w:rPr>
                <w:rFonts w:ascii="Arial" w:hAnsi="Arial" w:cs="Arial"/>
                <w:color w:val="000000"/>
                <w:sz w:val="20"/>
                <w:szCs w:val="20"/>
              </w:rPr>
            </w:pPr>
            <w:r>
              <w:rPr>
                <w:rFonts w:ascii="Arial" w:hAnsi="Arial" w:cs="Arial"/>
                <w:color w:val="000000"/>
                <w:sz w:val="20"/>
                <w:szCs w:val="20"/>
              </w:rPr>
              <w:t>Cumberland</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D6AD1" w14:textId="77777777" w:rsidR="00014806" w:rsidRDefault="00014806">
            <w:pPr>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single" w:sz="4" w:space="0" w:color="auto"/>
              <w:right w:val="single" w:sz="4" w:space="0" w:color="auto"/>
            </w:tcBorders>
            <w:vAlign w:val="bottom"/>
          </w:tcPr>
          <w:p w14:paraId="604B8DF1" w14:textId="7E6A25BB" w:rsidR="00014806" w:rsidRDefault="009A5AD6" w:rsidP="009A5AD6">
            <w:pPr>
              <w:jc w:val="right"/>
              <w:rPr>
                <w:rFonts w:ascii="Arial" w:hAnsi="Arial" w:cs="Arial"/>
                <w:color w:val="000000"/>
                <w:sz w:val="20"/>
                <w:szCs w:val="20"/>
              </w:rPr>
            </w:pPr>
            <w:r>
              <w:rPr>
                <w:rFonts w:ascii="Arial" w:hAnsi="Arial" w:cs="Arial"/>
                <w:color w:val="000000"/>
                <w:sz w:val="20"/>
                <w:szCs w:val="20"/>
              </w:rPr>
              <w:t>1.6%</w:t>
            </w:r>
          </w:p>
        </w:tc>
      </w:tr>
      <w:tr w:rsidR="00014806" w14:paraId="59B3A73A" w14:textId="0792B7C7" w:rsidTr="009A5AD6">
        <w:trPr>
          <w:trHeight w:val="432"/>
          <w:jc w:val="center"/>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45891" w14:textId="77777777" w:rsidR="00014806" w:rsidRDefault="00014806">
            <w:pPr>
              <w:rPr>
                <w:rFonts w:ascii="Arial" w:hAnsi="Arial" w:cs="Arial"/>
                <w:color w:val="000000"/>
                <w:sz w:val="20"/>
                <w:szCs w:val="20"/>
              </w:rPr>
            </w:pPr>
            <w:r>
              <w:rPr>
                <w:rFonts w:ascii="Arial" w:hAnsi="Arial" w:cs="Arial"/>
                <w:color w:val="000000"/>
                <w:sz w:val="20"/>
                <w:szCs w:val="20"/>
              </w:rPr>
              <w:t>Pitt</w:t>
            </w:r>
          </w:p>
        </w:tc>
        <w:tc>
          <w:tcPr>
            <w:tcW w:w="16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65D3C" w14:textId="77777777" w:rsidR="00014806" w:rsidRDefault="00014806">
            <w:pPr>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single" w:sz="4" w:space="0" w:color="auto"/>
              <w:right w:val="single" w:sz="4" w:space="0" w:color="auto"/>
            </w:tcBorders>
            <w:vAlign w:val="bottom"/>
          </w:tcPr>
          <w:p w14:paraId="22A0F95A" w14:textId="369B1696" w:rsidR="00014806" w:rsidRDefault="009A5AD6" w:rsidP="009A5AD6">
            <w:pPr>
              <w:jc w:val="right"/>
              <w:rPr>
                <w:rFonts w:ascii="Arial" w:hAnsi="Arial" w:cs="Arial"/>
                <w:color w:val="000000"/>
                <w:sz w:val="20"/>
                <w:szCs w:val="20"/>
              </w:rPr>
            </w:pPr>
            <w:r>
              <w:rPr>
                <w:rFonts w:ascii="Arial" w:hAnsi="Arial" w:cs="Arial"/>
                <w:color w:val="000000"/>
                <w:sz w:val="20"/>
                <w:szCs w:val="20"/>
              </w:rPr>
              <w:t>1.6%</w:t>
            </w:r>
          </w:p>
        </w:tc>
      </w:tr>
    </w:tbl>
    <w:p w14:paraId="47905FAC" w14:textId="6C884274" w:rsidR="00560AC3" w:rsidRPr="00014806" w:rsidRDefault="00560AC3" w:rsidP="00014806">
      <w:pPr>
        <w:spacing w:after="240"/>
        <w:ind w:left="720" w:firstLine="720"/>
        <w:rPr>
          <w:rFonts w:eastAsiaTheme="minorEastAsia"/>
          <w:sz w:val="16"/>
          <w:szCs w:val="16"/>
        </w:rPr>
      </w:pPr>
      <w:r w:rsidRPr="00014806">
        <w:rPr>
          <w:rFonts w:eastAsiaTheme="minorEastAsia"/>
          <w:sz w:val="16"/>
          <w:szCs w:val="16"/>
        </w:rPr>
        <w:t>Source: HUD Office of Fair Housing and Equal Opportunity</w:t>
      </w:r>
    </w:p>
    <w:p w14:paraId="1DA45FDE" w14:textId="463A3EBE" w:rsidR="006A5488" w:rsidRDefault="00560AC3" w:rsidP="0039740D">
      <w:pPr>
        <w:rPr>
          <w:rFonts w:eastAsiaTheme="minorEastAsia"/>
        </w:rPr>
      </w:pPr>
      <w:r>
        <w:rPr>
          <w:rFonts w:eastAsiaTheme="minorEastAsia"/>
        </w:rPr>
        <w:t>Since 2015, 705 out of the 836 fair housing cases have been closed</w:t>
      </w:r>
      <w:r w:rsidR="009C6413">
        <w:rPr>
          <w:rFonts w:eastAsiaTheme="minorEastAsia"/>
        </w:rPr>
        <w:t>; of the 131 open</w:t>
      </w:r>
      <w:r w:rsidR="005A063B">
        <w:rPr>
          <w:rFonts w:eastAsiaTheme="minorEastAsia"/>
        </w:rPr>
        <w:t xml:space="preserve"> cases</w:t>
      </w:r>
      <w:r w:rsidR="009C6413">
        <w:rPr>
          <w:rFonts w:eastAsiaTheme="minorEastAsia"/>
        </w:rPr>
        <w:t>, 66 or 50.3% were filed in 2020.</w:t>
      </w:r>
      <w:r w:rsidRPr="003F5EBB">
        <w:rPr>
          <w:rFonts w:eastAsiaTheme="minorEastAsia"/>
        </w:rPr>
        <w:t xml:space="preserve"> </w:t>
      </w:r>
      <w:r>
        <w:rPr>
          <w:rFonts w:eastAsiaTheme="minorEastAsia"/>
        </w:rPr>
        <w:t xml:space="preserve">No </w:t>
      </w:r>
      <w:proofErr w:type="gramStart"/>
      <w:r>
        <w:rPr>
          <w:rFonts w:eastAsiaTheme="minorEastAsia"/>
        </w:rPr>
        <w:t>cause</w:t>
      </w:r>
      <w:proofErr w:type="gramEnd"/>
      <w:r>
        <w:rPr>
          <w:rFonts w:eastAsiaTheme="minorEastAsia"/>
        </w:rPr>
        <w:t xml:space="preserve"> determination was the most common case disposition, accounting for the outcome of 425 or 60</w:t>
      </w:r>
      <w:r w:rsidR="008C549A">
        <w:rPr>
          <w:rFonts w:eastAsiaTheme="minorEastAsia"/>
        </w:rPr>
        <w:t>.3</w:t>
      </w:r>
      <w:r>
        <w:rPr>
          <w:rFonts w:eastAsiaTheme="minorEastAsia"/>
        </w:rPr>
        <w:t>% of closed cases.</w:t>
      </w:r>
      <w:r w:rsidR="008C549A">
        <w:rPr>
          <w:rFonts w:eastAsiaTheme="minorEastAsia"/>
        </w:rPr>
        <w:t xml:space="preserve"> Cases where conciliation or a settlement was successful accounted for 199 or 28.2% of closed cases. In line with the recorded bases of discrimination, most settled cases (117) were related to discrimination against persons with disabilities.</w:t>
      </w:r>
    </w:p>
    <w:p w14:paraId="51C5C9C4" w14:textId="77777777" w:rsidR="006A5488" w:rsidRDefault="006A5488" w:rsidP="0039740D">
      <w:pPr>
        <w:rPr>
          <w:rFonts w:eastAsiaTheme="minorEastAsia"/>
        </w:rPr>
      </w:pPr>
    </w:p>
    <w:p w14:paraId="2BDA49CF" w14:textId="77777777" w:rsidR="006A5488" w:rsidRPr="00D17CD5" w:rsidRDefault="006A5488" w:rsidP="00D17CD5">
      <w:pPr>
        <w:pStyle w:val="Heading3"/>
      </w:pPr>
      <w:bookmarkStart w:id="68" w:name="_Toc47639996"/>
      <w:bookmarkStart w:id="69" w:name="_Toc66807934"/>
      <w:r w:rsidRPr="00D17CD5">
        <w:t>Patterns and Trends in Housing Discrimination</w:t>
      </w:r>
      <w:bookmarkEnd w:id="68"/>
      <w:bookmarkEnd w:id="69"/>
    </w:p>
    <w:p w14:paraId="2274323B" w14:textId="68E5DFC6" w:rsidR="008177E6" w:rsidRDefault="00BF17A7" w:rsidP="00BF17A7">
      <w:bookmarkStart w:id="70" w:name="_Toc47639997"/>
      <w:r w:rsidRPr="00BF17A7">
        <w:rPr>
          <w:rFonts w:eastAsiaTheme="minorHAnsi"/>
        </w:rPr>
        <w:t xml:space="preserve">National statistics from HUD indicate that race, </w:t>
      </w:r>
      <w:proofErr w:type="gramStart"/>
      <w:r w:rsidRPr="00BF17A7">
        <w:rPr>
          <w:rFonts w:eastAsiaTheme="minorHAnsi"/>
        </w:rPr>
        <w:t>color</w:t>
      </w:r>
      <w:proofErr w:type="gramEnd"/>
      <w:r w:rsidRPr="00BF17A7">
        <w:rPr>
          <w:rFonts w:eastAsiaTheme="minorHAnsi"/>
        </w:rPr>
        <w:t xml:space="preserve"> and national origin discrimination dealing with coercion, intimidation, threats and interference in fair housing are on the rise since 2018. The NCHRC has noticed a comparable increase in </w:t>
      </w:r>
      <w:r>
        <w:rPr>
          <w:rFonts w:eastAsiaTheme="minorHAnsi"/>
        </w:rPr>
        <w:t>these types of</w:t>
      </w:r>
      <w:r w:rsidRPr="00BF17A7">
        <w:rPr>
          <w:rFonts w:eastAsiaTheme="minorHAnsi"/>
        </w:rPr>
        <w:t xml:space="preserve"> cases during the same period.</w:t>
      </w:r>
      <w:r w:rsidR="001272DF">
        <w:rPr>
          <w:rFonts w:eastAsiaTheme="minorHAnsi"/>
        </w:rPr>
        <w:t xml:space="preserve"> </w:t>
      </w:r>
    </w:p>
    <w:p w14:paraId="021B6556" w14:textId="73CCBDD8" w:rsidR="00C83AFC" w:rsidRDefault="00C83AFC" w:rsidP="00C83AFC">
      <w:pPr>
        <w:spacing w:after="240"/>
        <w:rPr>
          <w:rFonts w:eastAsiaTheme="minorEastAsia"/>
        </w:rPr>
      </w:pPr>
      <w:bookmarkStart w:id="71" w:name="_Hlk63252239"/>
      <w:r w:rsidRPr="00675482">
        <w:rPr>
          <w:rFonts w:eastAsiaTheme="minorEastAsia"/>
        </w:rPr>
        <w:t xml:space="preserve">According to </w:t>
      </w:r>
      <w:r>
        <w:rPr>
          <w:rFonts w:eastAsiaTheme="minorEastAsia"/>
        </w:rPr>
        <w:t>the NCHRC, r</w:t>
      </w:r>
      <w:r w:rsidRPr="00675482">
        <w:rPr>
          <w:rFonts w:eastAsiaTheme="minorEastAsia"/>
        </w:rPr>
        <w:t xml:space="preserve">ecent trends </w:t>
      </w:r>
      <w:r>
        <w:rPr>
          <w:rFonts w:eastAsiaTheme="minorEastAsia"/>
        </w:rPr>
        <w:t xml:space="preserve">in discrimination against persons with disabilities involves </w:t>
      </w:r>
      <w:r w:rsidRPr="00675482">
        <w:rPr>
          <w:rFonts w:eastAsiaTheme="minorEastAsia"/>
        </w:rPr>
        <w:t xml:space="preserve">discriminatory behavior against persons with emotional support animals (ESAs). Resistance from housing providers in the form of “no pet” policies, requiring pet deposits and establishing animal breed, </w:t>
      </w:r>
      <w:proofErr w:type="gramStart"/>
      <w:r w:rsidRPr="00675482">
        <w:rPr>
          <w:rFonts w:eastAsiaTheme="minorEastAsia"/>
        </w:rPr>
        <w:t>size</w:t>
      </w:r>
      <w:proofErr w:type="gramEnd"/>
      <w:r w:rsidRPr="00675482">
        <w:rPr>
          <w:rFonts w:eastAsiaTheme="minorEastAsia"/>
        </w:rPr>
        <w:t xml:space="preserve"> and weight policies (even though ESAs are not considered pets under fair housing laws) are reflected in many of the inquiries and complaints filed with </w:t>
      </w:r>
      <w:r>
        <w:rPr>
          <w:rFonts w:eastAsiaTheme="minorEastAsia"/>
        </w:rPr>
        <w:t>the Commission</w:t>
      </w:r>
      <w:r w:rsidRPr="00675482">
        <w:rPr>
          <w:rFonts w:eastAsiaTheme="minorEastAsia"/>
        </w:rPr>
        <w:t xml:space="preserve">. </w:t>
      </w:r>
      <w:bookmarkEnd w:id="71"/>
      <w:r w:rsidRPr="003F61D0">
        <w:rPr>
          <w:rFonts w:eastAsiaTheme="minorEastAsia"/>
        </w:rPr>
        <w:t>Other commonly reported bases of alleged discrimination include</w:t>
      </w:r>
      <w:r>
        <w:rPr>
          <w:rFonts w:eastAsiaTheme="minorEastAsia"/>
        </w:rPr>
        <w:t>d</w:t>
      </w:r>
      <w:r w:rsidRPr="003F61D0">
        <w:rPr>
          <w:rFonts w:eastAsiaTheme="minorEastAsia"/>
        </w:rPr>
        <w:t xml:space="preserve"> race (269 </w:t>
      </w:r>
      <w:r>
        <w:rPr>
          <w:rFonts w:eastAsiaTheme="minorEastAsia"/>
        </w:rPr>
        <w:t>or 32.2% of cases</w:t>
      </w:r>
      <w:r w:rsidRPr="003F61D0">
        <w:rPr>
          <w:rFonts w:eastAsiaTheme="minorEastAsia"/>
        </w:rPr>
        <w:t>), sex (107</w:t>
      </w:r>
      <w:r>
        <w:rPr>
          <w:rFonts w:eastAsiaTheme="minorEastAsia"/>
        </w:rPr>
        <w:t xml:space="preserve"> or 12.8%</w:t>
      </w:r>
      <w:r w:rsidRPr="003F61D0">
        <w:rPr>
          <w:rFonts w:eastAsiaTheme="minorEastAsia"/>
        </w:rPr>
        <w:t>), national origin (106</w:t>
      </w:r>
      <w:r>
        <w:rPr>
          <w:rFonts w:eastAsiaTheme="minorEastAsia"/>
        </w:rPr>
        <w:t xml:space="preserve"> or 12.7%</w:t>
      </w:r>
      <w:r w:rsidRPr="003F61D0">
        <w:rPr>
          <w:rFonts w:eastAsiaTheme="minorEastAsia"/>
        </w:rPr>
        <w:t>) and familial status (104</w:t>
      </w:r>
      <w:r>
        <w:rPr>
          <w:rFonts w:eastAsiaTheme="minorEastAsia"/>
        </w:rPr>
        <w:t xml:space="preserve"> or 12.4%</w:t>
      </w:r>
      <w:r w:rsidRPr="003F61D0">
        <w:rPr>
          <w:rFonts w:eastAsiaTheme="minorEastAsia"/>
        </w:rPr>
        <w:t xml:space="preserve">). </w:t>
      </w:r>
      <w:r>
        <w:rPr>
          <w:rFonts w:eastAsiaTheme="minorEastAsia"/>
        </w:rPr>
        <w:t xml:space="preserve">Among the 836 total cases, </w:t>
      </w:r>
      <w:r w:rsidRPr="003F61D0">
        <w:rPr>
          <w:rFonts w:eastAsiaTheme="minorEastAsia"/>
        </w:rPr>
        <w:t>598 alleged discrimination on multiple bases.</w:t>
      </w:r>
      <w:r w:rsidRPr="003F5EBB">
        <w:rPr>
          <w:rFonts w:eastAsiaTheme="minorEastAsia"/>
        </w:rPr>
        <w:t xml:space="preserve">  </w:t>
      </w:r>
    </w:p>
    <w:p w14:paraId="68F50AD1" w14:textId="77777777" w:rsidR="00C83AFC" w:rsidRDefault="00C83AFC" w:rsidP="0058443E"/>
    <w:p w14:paraId="5169D256" w14:textId="77777777" w:rsidR="00C83AFC" w:rsidRDefault="00C83AFC" w:rsidP="0058443E"/>
    <w:p w14:paraId="5A947F17" w14:textId="306BE31A" w:rsidR="0058443E" w:rsidRPr="0058443E" w:rsidRDefault="0058443E" w:rsidP="0058443E">
      <w:pPr>
        <w:rPr>
          <w:b/>
          <w:bCs/>
        </w:rPr>
      </w:pPr>
      <w:r w:rsidRPr="0058443E">
        <w:lastRenderedPageBreak/>
        <w:t xml:space="preserve">The NCHRC provided the following </w:t>
      </w:r>
      <w:r w:rsidR="00F177A5">
        <w:t xml:space="preserve">additional </w:t>
      </w:r>
      <w:r w:rsidRPr="0058443E">
        <w:t>information related to its cases.</w:t>
      </w:r>
      <w:r w:rsidR="00F177A5">
        <w:t xml:space="preserve"> </w:t>
      </w:r>
      <w:r w:rsidRPr="0058443E">
        <w:t>The fair housing discrimination trends and the most common bases alleging fair housing discrimination that the NCHRC sees throughout North Carolina are:</w:t>
      </w:r>
      <w:r w:rsidRPr="0058443E">
        <w:rPr>
          <w:b/>
          <w:bCs/>
        </w:rPr>
        <w:t xml:space="preserve"> </w:t>
      </w:r>
    </w:p>
    <w:p w14:paraId="0DDC890C" w14:textId="77777777" w:rsidR="0058443E" w:rsidRPr="0058443E" w:rsidRDefault="0058443E" w:rsidP="00F177A5">
      <w:pPr>
        <w:pStyle w:val="ListParagraph"/>
        <w:numPr>
          <w:ilvl w:val="0"/>
          <w:numId w:val="18"/>
        </w:numPr>
        <w:spacing w:before="120" w:after="120"/>
        <w:contextualSpacing w:val="0"/>
        <w:rPr>
          <w:sz w:val="24"/>
        </w:rPr>
      </w:pPr>
      <w:r w:rsidRPr="0058443E">
        <w:rPr>
          <w:sz w:val="24"/>
        </w:rPr>
        <w:t xml:space="preserve">Sex Discrimination: This type of discrimination pertains to gender, gender identity, sexual harassment complaints and some domestic violence issues. </w:t>
      </w:r>
    </w:p>
    <w:p w14:paraId="60825638" w14:textId="77777777" w:rsidR="0058443E" w:rsidRPr="0058443E" w:rsidRDefault="0058443E" w:rsidP="00F177A5">
      <w:pPr>
        <w:pStyle w:val="ListParagraph"/>
        <w:numPr>
          <w:ilvl w:val="0"/>
          <w:numId w:val="18"/>
        </w:numPr>
        <w:spacing w:before="120" w:after="120"/>
        <w:contextualSpacing w:val="0"/>
        <w:rPr>
          <w:sz w:val="24"/>
        </w:rPr>
      </w:pPr>
      <w:r w:rsidRPr="0058443E">
        <w:rPr>
          <w:sz w:val="24"/>
        </w:rPr>
        <w:t>Handicap (Disability) Discrimination: This type of discrimination pertains to physical and/or mental disabilities involving either service/emotional support animal complaints and/or fair housing design and construction complaints.</w:t>
      </w:r>
      <w:r w:rsidRPr="0058443E">
        <w:rPr>
          <w:i/>
          <w:iCs/>
          <w:sz w:val="24"/>
        </w:rPr>
        <w:t xml:space="preserve"> </w:t>
      </w:r>
    </w:p>
    <w:p w14:paraId="0332796A" w14:textId="77777777" w:rsidR="0058443E" w:rsidRPr="0058443E" w:rsidRDefault="0058443E" w:rsidP="00F177A5">
      <w:pPr>
        <w:pStyle w:val="ListParagraph"/>
        <w:numPr>
          <w:ilvl w:val="0"/>
          <w:numId w:val="18"/>
        </w:numPr>
        <w:spacing w:before="120" w:after="120"/>
        <w:contextualSpacing w:val="0"/>
        <w:rPr>
          <w:sz w:val="24"/>
        </w:rPr>
      </w:pPr>
      <w:r w:rsidRPr="0058443E">
        <w:rPr>
          <w:sz w:val="24"/>
        </w:rPr>
        <w:t xml:space="preserve">Race/Color/National Origin Discrimination: This type of discrimination pertains to coercion, harassment, threats, intimidation, and retaliation complaints based on the person’s race/color/national origin. </w:t>
      </w:r>
    </w:p>
    <w:p w14:paraId="42688D88" w14:textId="77777777" w:rsidR="0058443E" w:rsidRPr="0058443E" w:rsidRDefault="0058443E" w:rsidP="00F177A5">
      <w:pPr>
        <w:pStyle w:val="ListParagraph"/>
        <w:numPr>
          <w:ilvl w:val="0"/>
          <w:numId w:val="18"/>
        </w:numPr>
        <w:spacing w:before="120" w:after="120"/>
        <w:contextualSpacing w:val="0"/>
        <w:rPr>
          <w:sz w:val="24"/>
        </w:rPr>
      </w:pPr>
      <w:r w:rsidRPr="0058443E">
        <w:rPr>
          <w:sz w:val="24"/>
        </w:rPr>
        <w:t xml:space="preserve">Race/National Origin Discrimination: This type of discrimination pertains to complaints that deal with blanket ban policies affecting ex-offenders because of their race/national origin and who are trying to obtain housing, primarily in the Housing Choice Voucher program administered by public housing authorities. </w:t>
      </w:r>
    </w:p>
    <w:p w14:paraId="400A72D3" w14:textId="690DA53B" w:rsidR="0058443E" w:rsidRDefault="0058443E" w:rsidP="00F177A5">
      <w:pPr>
        <w:spacing w:after="240"/>
      </w:pPr>
      <w:r w:rsidRPr="0058443E">
        <w:t>Regarding discrimination affecting ex-offenders because of their race/national origin and who are trying to obtain housing, individuals with a criminal record are not a protected class under the Fair Housing Act. However, the Act does prohibit landlords from using criminal records as a pretext for intentional discrimination or in a manner that causes an unjustified discriminatory effect on a protected class. The two exemptions to the policy include sexual offenders and illegal drug abuse offenses.</w:t>
      </w:r>
    </w:p>
    <w:p w14:paraId="4B88B5D4" w14:textId="79E41B1C" w:rsidR="00F177A5" w:rsidRDefault="0045532B" w:rsidP="00F177A5">
      <w:pPr>
        <w:spacing w:after="240"/>
      </w:pPr>
      <w:r w:rsidRPr="00833872">
        <w:t xml:space="preserve">Among the </w:t>
      </w:r>
      <w:r w:rsidR="00D46F11" w:rsidRPr="00833872">
        <w:t xml:space="preserve">1,877 issues cited in </w:t>
      </w:r>
      <w:r w:rsidR="00900475" w:rsidRPr="00833872">
        <w:t xml:space="preserve">cases during the period studied, </w:t>
      </w:r>
      <w:r w:rsidR="00A31C73" w:rsidRPr="00833872">
        <w:t>the majority involved</w:t>
      </w:r>
      <w:r w:rsidR="006F7943" w:rsidRPr="00833872">
        <w:t xml:space="preserve"> discriminatory terms, </w:t>
      </w:r>
      <w:proofErr w:type="gramStart"/>
      <w:r w:rsidR="006F7943" w:rsidRPr="00833872">
        <w:t>conditions</w:t>
      </w:r>
      <w:proofErr w:type="gramEnd"/>
      <w:r w:rsidR="006F7943" w:rsidRPr="00833872">
        <w:t xml:space="preserve"> and privileges; failure to make reasonable accommodation; </w:t>
      </w:r>
      <w:r w:rsidR="002044C0" w:rsidRPr="00833872">
        <w:t>discrimination in the terms, conditions and privileges related to renting; denying or making housing unavailable</w:t>
      </w:r>
      <w:r w:rsidR="00BD0AD3" w:rsidRPr="00833872">
        <w:t>; refusing to rent; coercive acts; and discriminatory advertising.</w:t>
      </w:r>
    </w:p>
    <w:p w14:paraId="0AFCC014" w14:textId="0B7F7C58" w:rsidR="002B1B71" w:rsidRPr="002B1B71" w:rsidRDefault="002B1B71" w:rsidP="006B3878">
      <w:pPr>
        <w:pStyle w:val="Caption"/>
        <w:rPr>
          <w:rFonts w:eastAsiaTheme="minorHAnsi"/>
        </w:rPr>
      </w:pPr>
      <w:r w:rsidRPr="00833872">
        <w:rPr>
          <w:rFonts w:eastAsiaTheme="minorHAnsi"/>
        </w:rPr>
        <w:t xml:space="preserve">Table </w:t>
      </w:r>
      <w:r w:rsidRPr="00833872">
        <w:rPr>
          <w:rFonts w:eastAsiaTheme="minorHAnsi"/>
        </w:rPr>
        <w:fldChar w:fldCharType="begin"/>
      </w:r>
      <w:r w:rsidRPr="00833872">
        <w:rPr>
          <w:rFonts w:eastAsiaTheme="minorHAnsi"/>
        </w:rPr>
        <w:instrText xml:space="preserve"> SEQ Table \* ARABIC </w:instrText>
      </w:r>
      <w:r w:rsidRPr="00833872">
        <w:rPr>
          <w:rFonts w:eastAsiaTheme="minorHAnsi"/>
        </w:rPr>
        <w:fldChar w:fldCharType="separate"/>
      </w:r>
      <w:r w:rsidR="0055251A">
        <w:rPr>
          <w:rFonts w:eastAsiaTheme="minorHAnsi"/>
          <w:noProof/>
        </w:rPr>
        <w:t>24</w:t>
      </w:r>
      <w:r w:rsidRPr="00833872">
        <w:rPr>
          <w:rFonts w:eastAsiaTheme="minorHAnsi"/>
          <w:noProof/>
        </w:rPr>
        <w:fldChar w:fldCharType="end"/>
      </w:r>
      <w:r w:rsidRPr="00833872">
        <w:rPr>
          <w:rFonts w:eastAsiaTheme="minorHAnsi"/>
        </w:rPr>
        <w:t xml:space="preserve"> Housing </w:t>
      </w:r>
      <w:r w:rsidR="00CD6CB8" w:rsidRPr="00833872">
        <w:rPr>
          <w:rFonts w:eastAsiaTheme="minorHAnsi"/>
        </w:rPr>
        <w:t xml:space="preserve">Discrimination </w:t>
      </w:r>
      <w:r w:rsidRPr="00833872">
        <w:rPr>
          <w:rFonts w:eastAsiaTheme="minorHAnsi"/>
        </w:rPr>
        <w:t>Complaints by Issue, 2015-2020</w:t>
      </w:r>
    </w:p>
    <w:tbl>
      <w:tblPr>
        <w:tblW w:w="9076" w:type="dxa"/>
        <w:tblLook w:val="04A0" w:firstRow="1" w:lastRow="0" w:firstColumn="1" w:lastColumn="0" w:noHBand="0" w:noVBand="1"/>
      </w:tblPr>
      <w:tblGrid>
        <w:gridCol w:w="4585"/>
        <w:gridCol w:w="661"/>
        <w:gridCol w:w="661"/>
        <w:gridCol w:w="661"/>
        <w:gridCol w:w="661"/>
        <w:gridCol w:w="661"/>
        <w:gridCol w:w="661"/>
        <w:gridCol w:w="717"/>
      </w:tblGrid>
      <w:tr w:rsidR="002B1B71" w:rsidRPr="002B1B71" w14:paraId="50ED33CB" w14:textId="77777777" w:rsidTr="00B93041">
        <w:trPr>
          <w:trHeight w:val="255"/>
        </w:trPr>
        <w:tc>
          <w:tcPr>
            <w:tcW w:w="4585"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D617DFC" w14:textId="3670F6FB" w:rsidR="002B1B71" w:rsidRPr="00833872" w:rsidRDefault="002B1B71" w:rsidP="002B1B71">
            <w:pPr>
              <w:rPr>
                <w:rFonts w:ascii="Arial" w:hAnsi="Arial" w:cs="Arial"/>
                <w:b/>
                <w:bCs/>
                <w:color w:val="FFFFFF" w:themeColor="background1"/>
                <w:sz w:val="20"/>
                <w:szCs w:val="20"/>
              </w:rPr>
            </w:pPr>
            <w:r w:rsidRPr="00833872">
              <w:rPr>
                <w:rFonts w:ascii="Arial" w:hAnsi="Arial" w:cs="Arial"/>
                <w:b/>
                <w:bCs/>
                <w:color w:val="FFFFFF" w:themeColor="background1"/>
                <w:sz w:val="20"/>
                <w:szCs w:val="20"/>
              </w:rPr>
              <w:t>Issue</w:t>
            </w:r>
          </w:p>
        </w:tc>
        <w:tc>
          <w:tcPr>
            <w:tcW w:w="469"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402AE14C" w14:textId="77777777" w:rsidR="002B1B71" w:rsidRPr="00833872"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2015</w:t>
            </w:r>
          </w:p>
        </w:tc>
        <w:tc>
          <w:tcPr>
            <w:tcW w:w="661"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4811F5A7" w14:textId="77777777" w:rsidR="002B1B71" w:rsidRPr="00833872"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2016</w:t>
            </w:r>
          </w:p>
        </w:tc>
        <w:tc>
          <w:tcPr>
            <w:tcW w:w="661"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409E7B9" w14:textId="77777777" w:rsidR="002B1B71" w:rsidRPr="00833872"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2017</w:t>
            </w:r>
          </w:p>
        </w:tc>
        <w:tc>
          <w:tcPr>
            <w:tcW w:w="661"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3B0B9F2A" w14:textId="77777777" w:rsidR="002B1B71" w:rsidRPr="00833872"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2018</w:t>
            </w:r>
          </w:p>
        </w:tc>
        <w:tc>
          <w:tcPr>
            <w:tcW w:w="661"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47E5EAF2" w14:textId="77777777" w:rsidR="002B1B71" w:rsidRPr="00833872"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2019</w:t>
            </w:r>
          </w:p>
        </w:tc>
        <w:tc>
          <w:tcPr>
            <w:tcW w:w="661"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5A7313D7" w14:textId="77777777" w:rsidR="002B1B71" w:rsidRPr="00833872"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2020</w:t>
            </w:r>
          </w:p>
        </w:tc>
        <w:tc>
          <w:tcPr>
            <w:tcW w:w="717"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0BCCF55A" w14:textId="77777777" w:rsidR="002B1B71" w:rsidRPr="002B1B71" w:rsidRDefault="002B1B71" w:rsidP="002B1B71">
            <w:pPr>
              <w:jc w:val="center"/>
              <w:rPr>
                <w:rFonts w:ascii="Arial" w:hAnsi="Arial" w:cs="Arial"/>
                <w:b/>
                <w:bCs/>
                <w:color w:val="FFFFFF" w:themeColor="background1"/>
                <w:sz w:val="20"/>
                <w:szCs w:val="20"/>
              </w:rPr>
            </w:pPr>
            <w:r w:rsidRPr="00833872">
              <w:rPr>
                <w:rFonts w:ascii="Arial" w:hAnsi="Arial" w:cs="Arial"/>
                <w:b/>
                <w:bCs/>
                <w:color w:val="FFFFFF" w:themeColor="background1"/>
                <w:sz w:val="20"/>
                <w:szCs w:val="20"/>
              </w:rPr>
              <w:t>Total</w:t>
            </w:r>
          </w:p>
        </w:tc>
      </w:tr>
      <w:tr w:rsidR="00E37AEE" w:rsidRPr="002B1B71" w14:paraId="38126BCD"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36E8D221"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Discriminatory terms, conditions, privileges, or services and facilities</w:t>
            </w:r>
          </w:p>
        </w:tc>
        <w:tc>
          <w:tcPr>
            <w:tcW w:w="469" w:type="dxa"/>
            <w:tcBorders>
              <w:top w:val="nil"/>
              <w:left w:val="nil"/>
              <w:bottom w:val="single" w:sz="4" w:space="0" w:color="auto"/>
              <w:right w:val="single" w:sz="4" w:space="0" w:color="auto"/>
            </w:tcBorders>
            <w:shd w:val="clear" w:color="auto" w:fill="auto"/>
            <w:noWrap/>
            <w:vAlign w:val="center"/>
            <w:hideMark/>
          </w:tcPr>
          <w:p w14:paraId="1CD21E99" w14:textId="30C09CF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69</w:t>
            </w:r>
          </w:p>
        </w:tc>
        <w:tc>
          <w:tcPr>
            <w:tcW w:w="661" w:type="dxa"/>
            <w:tcBorders>
              <w:top w:val="nil"/>
              <w:left w:val="nil"/>
              <w:bottom w:val="single" w:sz="4" w:space="0" w:color="auto"/>
              <w:right w:val="single" w:sz="4" w:space="0" w:color="auto"/>
            </w:tcBorders>
            <w:shd w:val="clear" w:color="auto" w:fill="auto"/>
            <w:noWrap/>
            <w:vAlign w:val="center"/>
            <w:hideMark/>
          </w:tcPr>
          <w:p w14:paraId="43EC888E" w14:textId="4CB1D64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81</w:t>
            </w:r>
          </w:p>
        </w:tc>
        <w:tc>
          <w:tcPr>
            <w:tcW w:w="661" w:type="dxa"/>
            <w:tcBorders>
              <w:top w:val="nil"/>
              <w:left w:val="nil"/>
              <w:bottom w:val="single" w:sz="4" w:space="0" w:color="auto"/>
              <w:right w:val="single" w:sz="4" w:space="0" w:color="auto"/>
            </w:tcBorders>
            <w:shd w:val="clear" w:color="auto" w:fill="auto"/>
            <w:noWrap/>
            <w:vAlign w:val="center"/>
            <w:hideMark/>
          </w:tcPr>
          <w:p w14:paraId="643F9988" w14:textId="7BFF966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69</w:t>
            </w:r>
          </w:p>
        </w:tc>
        <w:tc>
          <w:tcPr>
            <w:tcW w:w="661" w:type="dxa"/>
            <w:tcBorders>
              <w:top w:val="nil"/>
              <w:left w:val="nil"/>
              <w:bottom w:val="single" w:sz="4" w:space="0" w:color="auto"/>
              <w:right w:val="single" w:sz="4" w:space="0" w:color="auto"/>
            </w:tcBorders>
            <w:shd w:val="clear" w:color="auto" w:fill="auto"/>
            <w:noWrap/>
            <w:vAlign w:val="center"/>
            <w:hideMark/>
          </w:tcPr>
          <w:p w14:paraId="76F1F076" w14:textId="39E42684"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82</w:t>
            </w:r>
          </w:p>
        </w:tc>
        <w:tc>
          <w:tcPr>
            <w:tcW w:w="661" w:type="dxa"/>
            <w:tcBorders>
              <w:top w:val="nil"/>
              <w:left w:val="nil"/>
              <w:bottom w:val="single" w:sz="4" w:space="0" w:color="auto"/>
              <w:right w:val="single" w:sz="4" w:space="0" w:color="auto"/>
            </w:tcBorders>
            <w:shd w:val="clear" w:color="auto" w:fill="auto"/>
            <w:noWrap/>
            <w:vAlign w:val="center"/>
            <w:hideMark/>
          </w:tcPr>
          <w:p w14:paraId="3AA2DAF3" w14:textId="0C74AC6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74</w:t>
            </w:r>
          </w:p>
        </w:tc>
        <w:tc>
          <w:tcPr>
            <w:tcW w:w="661" w:type="dxa"/>
            <w:tcBorders>
              <w:top w:val="nil"/>
              <w:left w:val="nil"/>
              <w:bottom w:val="single" w:sz="4" w:space="0" w:color="auto"/>
              <w:right w:val="single" w:sz="4" w:space="0" w:color="auto"/>
            </w:tcBorders>
            <w:shd w:val="clear" w:color="auto" w:fill="auto"/>
            <w:noWrap/>
            <w:vAlign w:val="center"/>
            <w:hideMark/>
          </w:tcPr>
          <w:p w14:paraId="14B66E54" w14:textId="6F52C45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57</w:t>
            </w:r>
          </w:p>
        </w:tc>
        <w:tc>
          <w:tcPr>
            <w:tcW w:w="717" w:type="dxa"/>
            <w:tcBorders>
              <w:top w:val="nil"/>
              <w:left w:val="nil"/>
              <w:bottom w:val="single" w:sz="4" w:space="0" w:color="auto"/>
              <w:right w:val="single" w:sz="4" w:space="0" w:color="auto"/>
            </w:tcBorders>
            <w:shd w:val="clear" w:color="auto" w:fill="auto"/>
            <w:noWrap/>
            <w:vAlign w:val="center"/>
            <w:hideMark/>
          </w:tcPr>
          <w:p w14:paraId="35B33C05" w14:textId="1C23702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432</w:t>
            </w:r>
          </w:p>
        </w:tc>
      </w:tr>
      <w:tr w:rsidR="00D011C2" w:rsidRPr="002B1B71" w14:paraId="7C1536B0"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35BE6519"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Failure to make reasonable accommodation</w:t>
            </w:r>
          </w:p>
        </w:tc>
        <w:tc>
          <w:tcPr>
            <w:tcW w:w="469" w:type="dxa"/>
            <w:tcBorders>
              <w:top w:val="nil"/>
              <w:left w:val="nil"/>
              <w:bottom w:val="single" w:sz="4" w:space="0" w:color="auto"/>
              <w:right w:val="single" w:sz="4" w:space="0" w:color="auto"/>
            </w:tcBorders>
            <w:shd w:val="clear" w:color="auto" w:fill="auto"/>
            <w:noWrap/>
            <w:vAlign w:val="center"/>
            <w:hideMark/>
          </w:tcPr>
          <w:p w14:paraId="643950D0" w14:textId="7026F40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56</w:t>
            </w:r>
          </w:p>
        </w:tc>
        <w:tc>
          <w:tcPr>
            <w:tcW w:w="661" w:type="dxa"/>
            <w:tcBorders>
              <w:top w:val="nil"/>
              <w:left w:val="nil"/>
              <w:bottom w:val="single" w:sz="4" w:space="0" w:color="auto"/>
              <w:right w:val="single" w:sz="4" w:space="0" w:color="auto"/>
            </w:tcBorders>
            <w:shd w:val="clear" w:color="auto" w:fill="auto"/>
            <w:noWrap/>
            <w:vAlign w:val="center"/>
            <w:hideMark/>
          </w:tcPr>
          <w:p w14:paraId="05DE2883" w14:textId="4285A8F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59</w:t>
            </w:r>
          </w:p>
        </w:tc>
        <w:tc>
          <w:tcPr>
            <w:tcW w:w="661" w:type="dxa"/>
            <w:tcBorders>
              <w:top w:val="nil"/>
              <w:left w:val="nil"/>
              <w:bottom w:val="single" w:sz="4" w:space="0" w:color="auto"/>
              <w:right w:val="single" w:sz="4" w:space="0" w:color="auto"/>
            </w:tcBorders>
            <w:shd w:val="clear" w:color="auto" w:fill="auto"/>
            <w:noWrap/>
            <w:vAlign w:val="center"/>
            <w:hideMark/>
          </w:tcPr>
          <w:p w14:paraId="36C4E11D" w14:textId="2E33030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45</w:t>
            </w:r>
          </w:p>
        </w:tc>
        <w:tc>
          <w:tcPr>
            <w:tcW w:w="661" w:type="dxa"/>
            <w:tcBorders>
              <w:top w:val="nil"/>
              <w:left w:val="nil"/>
              <w:bottom w:val="single" w:sz="4" w:space="0" w:color="auto"/>
              <w:right w:val="single" w:sz="4" w:space="0" w:color="auto"/>
            </w:tcBorders>
            <w:shd w:val="clear" w:color="auto" w:fill="auto"/>
            <w:noWrap/>
            <w:vAlign w:val="center"/>
            <w:hideMark/>
          </w:tcPr>
          <w:p w14:paraId="39FCDFDD" w14:textId="31E8813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68</w:t>
            </w:r>
          </w:p>
        </w:tc>
        <w:tc>
          <w:tcPr>
            <w:tcW w:w="661" w:type="dxa"/>
            <w:tcBorders>
              <w:top w:val="nil"/>
              <w:left w:val="nil"/>
              <w:bottom w:val="single" w:sz="4" w:space="0" w:color="auto"/>
              <w:right w:val="single" w:sz="4" w:space="0" w:color="auto"/>
            </w:tcBorders>
            <w:shd w:val="clear" w:color="auto" w:fill="auto"/>
            <w:noWrap/>
            <w:vAlign w:val="center"/>
            <w:hideMark/>
          </w:tcPr>
          <w:p w14:paraId="35250251" w14:textId="197FA0F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68</w:t>
            </w:r>
          </w:p>
        </w:tc>
        <w:tc>
          <w:tcPr>
            <w:tcW w:w="661" w:type="dxa"/>
            <w:tcBorders>
              <w:top w:val="nil"/>
              <w:left w:val="nil"/>
              <w:bottom w:val="single" w:sz="4" w:space="0" w:color="auto"/>
              <w:right w:val="single" w:sz="4" w:space="0" w:color="auto"/>
            </w:tcBorders>
            <w:shd w:val="clear" w:color="auto" w:fill="auto"/>
            <w:noWrap/>
            <w:vAlign w:val="center"/>
            <w:hideMark/>
          </w:tcPr>
          <w:p w14:paraId="67D6BFE1" w14:textId="686F7B1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47</w:t>
            </w:r>
          </w:p>
        </w:tc>
        <w:tc>
          <w:tcPr>
            <w:tcW w:w="717" w:type="dxa"/>
            <w:tcBorders>
              <w:top w:val="nil"/>
              <w:left w:val="nil"/>
              <w:bottom w:val="single" w:sz="4" w:space="0" w:color="auto"/>
              <w:right w:val="single" w:sz="4" w:space="0" w:color="auto"/>
            </w:tcBorders>
            <w:shd w:val="clear" w:color="auto" w:fill="auto"/>
            <w:noWrap/>
            <w:vAlign w:val="center"/>
            <w:hideMark/>
          </w:tcPr>
          <w:p w14:paraId="348C0E81" w14:textId="54C81CE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343</w:t>
            </w:r>
          </w:p>
        </w:tc>
      </w:tr>
      <w:tr w:rsidR="00D011C2" w:rsidRPr="002B1B71" w14:paraId="0D891097"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54DFF73F" w14:textId="4733329D"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Discrimination in terms/conditions/privileges relating to rental</w:t>
            </w:r>
          </w:p>
        </w:tc>
        <w:tc>
          <w:tcPr>
            <w:tcW w:w="469" w:type="dxa"/>
            <w:tcBorders>
              <w:top w:val="nil"/>
              <w:left w:val="nil"/>
              <w:bottom w:val="single" w:sz="4" w:space="0" w:color="auto"/>
              <w:right w:val="single" w:sz="4" w:space="0" w:color="auto"/>
            </w:tcBorders>
            <w:shd w:val="clear" w:color="auto" w:fill="auto"/>
            <w:noWrap/>
            <w:vAlign w:val="center"/>
            <w:hideMark/>
          </w:tcPr>
          <w:p w14:paraId="2F1D08B9" w14:textId="3C57330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53</w:t>
            </w:r>
          </w:p>
        </w:tc>
        <w:tc>
          <w:tcPr>
            <w:tcW w:w="661" w:type="dxa"/>
            <w:tcBorders>
              <w:top w:val="nil"/>
              <w:left w:val="nil"/>
              <w:bottom w:val="single" w:sz="4" w:space="0" w:color="auto"/>
              <w:right w:val="single" w:sz="4" w:space="0" w:color="auto"/>
            </w:tcBorders>
            <w:shd w:val="clear" w:color="auto" w:fill="auto"/>
            <w:noWrap/>
            <w:vAlign w:val="center"/>
            <w:hideMark/>
          </w:tcPr>
          <w:p w14:paraId="07E47D13" w14:textId="799C1D3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60</w:t>
            </w:r>
          </w:p>
        </w:tc>
        <w:tc>
          <w:tcPr>
            <w:tcW w:w="661" w:type="dxa"/>
            <w:tcBorders>
              <w:top w:val="nil"/>
              <w:left w:val="nil"/>
              <w:bottom w:val="single" w:sz="4" w:space="0" w:color="auto"/>
              <w:right w:val="single" w:sz="4" w:space="0" w:color="auto"/>
            </w:tcBorders>
            <w:shd w:val="clear" w:color="auto" w:fill="auto"/>
            <w:noWrap/>
            <w:vAlign w:val="center"/>
            <w:hideMark/>
          </w:tcPr>
          <w:p w14:paraId="639EE98A" w14:textId="2241CC6C"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39</w:t>
            </w:r>
          </w:p>
        </w:tc>
        <w:tc>
          <w:tcPr>
            <w:tcW w:w="661" w:type="dxa"/>
            <w:tcBorders>
              <w:top w:val="nil"/>
              <w:left w:val="nil"/>
              <w:bottom w:val="single" w:sz="4" w:space="0" w:color="auto"/>
              <w:right w:val="single" w:sz="4" w:space="0" w:color="auto"/>
            </w:tcBorders>
            <w:shd w:val="clear" w:color="auto" w:fill="auto"/>
            <w:noWrap/>
            <w:vAlign w:val="center"/>
            <w:hideMark/>
          </w:tcPr>
          <w:p w14:paraId="62723058" w14:textId="6D20CAA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43</w:t>
            </w:r>
          </w:p>
        </w:tc>
        <w:tc>
          <w:tcPr>
            <w:tcW w:w="661" w:type="dxa"/>
            <w:tcBorders>
              <w:top w:val="nil"/>
              <w:left w:val="nil"/>
              <w:bottom w:val="single" w:sz="4" w:space="0" w:color="auto"/>
              <w:right w:val="single" w:sz="4" w:space="0" w:color="auto"/>
            </w:tcBorders>
            <w:shd w:val="clear" w:color="auto" w:fill="auto"/>
            <w:noWrap/>
            <w:vAlign w:val="center"/>
            <w:hideMark/>
          </w:tcPr>
          <w:p w14:paraId="51B5784F" w14:textId="2BC7C33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60</w:t>
            </w:r>
          </w:p>
        </w:tc>
        <w:tc>
          <w:tcPr>
            <w:tcW w:w="661" w:type="dxa"/>
            <w:tcBorders>
              <w:top w:val="nil"/>
              <w:left w:val="nil"/>
              <w:bottom w:val="single" w:sz="4" w:space="0" w:color="auto"/>
              <w:right w:val="single" w:sz="4" w:space="0" w:color="auto"/>
            </w:tcBorders>
            <w:shd w:val="clear" w:color="auto" w:fill="auto"/>
            <w:noWrap/>
            <w:vAlign w:val="center"/>
            <w:hideMark/>
          </w:tcPr>
          <w:p w14:paraId="39D54E75" w14:textId="0EDD838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26</w:t>
            </w:r>
          </w:p>
        </w:tc>
        <w:tc>
          <w:tcPr>
            <w:tcW w:w="717" w:type="dxa"/>
            <w:tcBorders>
              <w:top w:val="nil"/>
              <w:left w:val="nil"/>
              <w:bottom w:val="single" w:sz="4" w:space="0" w:color="auto"/>
              <w:right w:val="single" w:sz="4" w:space="0" w:color="auto"/>
            </w:tcBorders>
            <w:shd w:val="clear" w:color="auto" w:fill="auto"/>
            <w:noWrap/>
            <w:vAlign w:val="center"/>
            <w:hideMark/>
          </w:tcPr>
          <w:p w14:paraId="472FBD96" w14:textId="65770C5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281</w:t>
            </w:r>
          </w:p>
        </w:tc>
      </w:tr>
      <w:tr w:rsidR="00E37AEE" w:rsidRPr="002B1B71" w14:paraId="26287229"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5E4E3650"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Otherwise deny or make housing unavailable</w:t>
            </w:r>
          </w:p>
        </w:tc>
        <w:tc>
          <w:tcPr>
            <w:tcW w:w="469" w:type="dxa"/>
            <w:tcBorders>
              <w:top w:val="nil"/>
              <w:left w:val="nil"/>
              <w:bottom w:val="single" w:sz="4" w:space="0" w:color="auto"/>
              <w:right w:val="single" w:sz="4" w:space="0" w:color="auto"/>
            </w:tcBorders>
            <w:shd w:val="clear" w:color="auto" w:fill="auto"/>
            <w:noWrap/>
            <w:vAlign w:val="center"/>
            <w:hideMark/>
          </w:tcPr>
          <w:p w14:paraId="79868382" w14:textId="35EEBA0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58</w:t>
            </w:r>
          </w:p>
        </w:tc>
        <w:tc>
          <w:tcPr>
            <w:tcW w:w="661" w:type="dxa"/>
            <w:tcBorders>
              <w:top w:val="nil"/>
              <w:left w:val="nil"/>
              <w:bottom w:val="single" w:sz="4" w:space="0" w:color="auto"/>
              <w:right w:val="single" w:sz="4" w:space="0" w:color="auto"/>
            </w:tcBorders>
            <w:shd w:val="clear" w:color="auto" w:fill="auto"/>
            <w:noWrap/>
            <w:vAlign w:val="center"/>
            <w:hideMark/>
          </w:tcPr>
          <w:p w14:paraId="38701A5F" w14:textId="0A73AE6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44</w:t>
            </w:r>
          </w:p>
        </w:tc>
        <w:tc>
          <w:tcPr>
            <w:tcW w:w="661" w:type="dxa"/>
            <w:tcBorders>
              <w:top w:val="nil"/>
              <w:left w:val="nil"/>
              <w:bottom w:val="single" w:sz="4" w:space="0" w:color="auto"/>
              <w:right w:val="single" w:sz="4" w:space="0" w:color="auto"/>
            </w:tcBorders>
            <w:shd w:val="clear" w:color="auto" w:fill="auto"/>
            <w:noWrap/>
            <w:vAlign w:val="center"/>
            <w:hideMark/>
          </w:tcPr>
          <w:p w14:paraId="3FB08A00" w14:textId="1F27C94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20</w:t>
            </w:r>
          </w:p>
        </w:tc>
        <w:tc>
          <w:tcPr>
            <w:tcW w:w="661" w:type="dxa"/>
            <w:tcBorders>
              <w:top w:val="nil"/>
              <w:left w:val="nil"/>
              <w:bottom w:val="single" w:sz="4" w:space="0" w:color="auto"/>
              <w:right w:val="single" w:sz="4" w:space="0" w:color="auto"/>
            </w:tcBorders>
            <w:shd w:val="clear" w:color="auto" w:fill="auto"/>
            <w:noWrap/>
            <w:vAlign w:val="center"/>
            <w:hideMark/>
          </w:tcPr>
          <w:p w14:paraId="72AAF385" w14:textId="5B79067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35</w:t>
            </w:r>
          </w:p>
        </w:tc>
        <w:tc>
          <w:tcPr>
            <w:tcW w:w="661" w:type="dxa"/>
            <w:tcBorders>
              <w:top w:val="nil"/>
              <w:left w:val="nil"/>
              <w:bottom w:val="single" w:sz="4" w:space="0" w:color="auto"/>
              <w:right w:val="single" w:sz="4" w:space="0" w:color="auto"/>
            </w:tcBorders>
            <w:shd w:val="clear" w:color="auto" w:fill="auto"/>
            <w:noWrap/>
            <w:vAlign w:val="center"/>
            <w:hideMark/>
          </w:tcPr>
          <w:p w14:paraId="234D2722" w14:textId="31CF438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29</w:t>
            </w:r>
          </w:p>
        </w:tc>
        <w:tc>
          <w:tcPr>
            <w:tcW w:w="661" w:type="dxa"/>
            <w:tcBorders>
              <w:top w:val="nil"/>
              <w:left w:val="nil"/>
              <w:bottom w:val="single" w:sz="4" w:space="0" w:color="auto"/>
              <w:right w:val="single" w:sz="4" w:space="0" w:color="auto"/>
            </w:tcBorders>
            <w:shd w:val="clear" w:color="auto" w:fill="auto"/>
            <w:noWrap/>
            <w:vAlign w:val="center"/>
            <w:hideMark/>
          </w:tcPr>
          <w:p w14:paraId="61E319E4" w14:textId="2026929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w:t>
            </w:r>
          </w:p>
        </w:tc>
        <w:tc>
          <w:tcPr>
            <w:tcW w:w="717" w:type="dxa"/>
            <w:tcBorders>
              <w:top w:val="nil"/>
              <w:left w:val="nil"/>
              <w:bottom w:val="single" w:sz="4" w:space="0" w:color="auto"/>
              <w:right w:val="single" w:sz="4" w:space="0" w:color="auto"/>
            </w:tcBorders>
            <w:shd w:val="clear" w:color="auto" w:fill="auto"/>
            <w:noWrap/>
            <w:vAlign w:val="center"/>
            <w:hideMark/>
          </w:tcPr>
          <w:p w14:paraId="60653829" w14:textId="01A13D1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192</w:t>
            </w:r>
          </w:p>
        </w:tc>
      </w:tr>
      <w:tr w:rsidR="00D011C2" w:rsidRPr="002B1B71" w14:paraId="25B764A1"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78B04CA2"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Discriminatory refusal to rent</w:t>
            </w:r>
          </w:p>
        </w:tc>
        <w:tc>
          <w:tcPr>
            <w:tcW w:w="469" w:type="dxa"/>
            <w:tcBorders>
              <w:top w:val="nil"/>
              <w:left w:val="nil"/>
              <w:bottom w:val="single" w:sz="4" w:space="0" w:color="auto"/>
              <w:right w:val="single" w:sz="4" w:space="0" w:color="auto"/>
            </w:tcBorders>
            <w:shd w:val="clear" w:color="auto" w:fill="auto"/>
            <w:noWrap/>
            <w:vAlign w:val="center"/>
            <w:hideMark/>
          </w:tcPr>
          <w:p w14:paraId="1E78D678" w14:textId="40FB234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27</w:t>
            </w:r>
          </w:p>
        </w:tc>
        <w:tc>
          <w:tcPr>
            <w:tcW w:w="661" w:type="dxa"/>
            <w:tcBorders>
              <w:top w:val="nil"/>
              <w:left w:val="nil"/>
              <w:bottom w:val="single" w:sz="4" w:space="0" w:color="auto"/>
              <w:right w:val="single" w:sz="4" w:space="0" w:color="auto"/>
            </w:tcBorders>
            <w:shd w:val="clear" w:color="auto" w:fill="auto"/>
            <w:noWrap/>
            <w:vAlign w:val="center"/>
            <w:hideMark/>
          </w:tcPr>
          <w:p w14:paraId="1CC87790" w14:textId="5D58998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36</w:t>
            </w:r>
          </w:p>
        </w:tc>
        <w:tc>
          <w:tcPr>
            <w:tcW w:w="661" w:type="dxa"/>
            <w:tcBorders>
              <w:top w:val="nil"/>
              <w:left w:val="nil"/>
              <w:bottom w:val="single" w:sz="4" w:space="0" w:color="auto"/>
              <w:right w:val="single" w:sz="4" w:space="0" w:color="auto"/>
            </w:tcBorders>
            <w:shd w:val="clear" w:color="auto" w:fill="auto"/>
            <w:noWrap/>
            <w:vAlign w:val="center"/>
            <w:hideMark/>
          </w:tcPr>
          <w:p w14:paraId="519F8B1B" w14:textId="20A0356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21</w:t>
            </w:r>
          </w:p>
        </w:tc>
        <w:tc>
          <w:tcPr>
            <w:tcW w:w="661" w:type="dxa"/>
            <w:tcBorders>
              <w:top w:val="nil"/>
              <w:left w:val="nil"/>
              <w:bottom w:val="single" w:sz="4" w:space="0" w:color="auto"/>
              <w:right w:val="single" w:sz="4" w:space="0" w:color="auto"/>
            </w:tcBorders>
            <w:shd w:val="clear" w:color="auto" w:fill="auto"/>
            <w:noWrap/>
            <w:vAlign w:val="center"/>
            <w:hideMark/>
          </w:tcPr>
          <w:p w14:paraId="70A862B2" w14:textId="3DF1D87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25</w:t>
            </w:r>
          </w:p>
        </w:tc>
        <w:tc>
          <w:tcPr>
            <w:tcW w:w="661" w:type="dxa"/>
            <w:tcBorders>
              <w:top w:val="nil"/>
              <w:left w:val="nil"/>
              <w:bottom w:val="single" w:sz="4" w:space="0" w:color="auto"/>
              <w:right w:val="single" w:sz="4" w:space="0" w:color="auto"/>
            </w:tcBorders>
            <w:shd w:val="clear" w:color="auto" w:fill="auto"/>
            <w:noWrap/>
            <w:vAlign w:val="center"/>
            <w:hideMark/>
          </w:tcPr>
          <w:p w14:paraId="06DF4958" w14:textId="354DDC0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25</w:t>
            </w:r>
          </w:p>
        </w:tc>
        <w:tc>
          <w:tcPr>
            <w:tcW w:w="661" w:type="dxa"/>
            <w:tcBorders>
              <w:top w:val="nil"/>
              <w:left w:val="nil"/>
              <w:bottom w:val="single" w:sz="4" w:space="0" w:color="auto"/>
              <w:right w:val="single" w:sz="4" w:space="0" w:color="auto"/>
            </w:tcBorders>
            <w:shd w:val="clear" w:color="auto" w:fill="auto"/>
            <w:noWrap/>
            <w:vAlign w:val="center"/>
            <w:hideMark/>
          </w:tcPr>
          <w:p w14:paraId="3F0D600E" w14:textId="223D459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18</w:t>
            </w:r>
          </w:p>
        </w:tc>
        <w:tc>
          <w:tcPr>
            <w:tcW w:w="717" w:type="dxa"/>
            <w:tcBorders>
              <w:top w:val="nil"/>
              <w:left w:val="nil"/>
              <w:bottom w:val="single" w:sz="4" w:space="0" w:color="auto"/>
              <w:right w:val="single" w:sz="4" w:space="0" w:color="auto"/>
            </w:tcBorders>
            <w:shd w:val="clear" w:color="auto" w:fill="auto"/>
            <w:noWrap/>
            <w:vAlign w:val="center"/>
            <w:hideMark/>
          </w:tcPr>
          <w:p w14:paraId="7F2ABD91" w14:textId="4785AF5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152</w:t>
            </w:r>
          </w:p>
        </w:tc>
      </w:tr>
      <w:tr w:rsidR="003C4308" w:rsidRPr="002B1B71" w14:paraId="4AA1E45E"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079C3F32" w14:textId="6628D2FD"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 xml:space="preserve">Discriminatory acts under Section 818 (coercion, </w:t>
            </w:r>
            <w:r w:rsidR="00954798">
              <w:rPr>
                <w:rFonts w:ascii="Arial" w:hAnsi="Arial" w:cs="Arial"/>
                <w:color w:val="000000"/>
                <w:sz w:val="20"/>
                <w:szCs w:val="20"/>
              </w:rPr>
              <w:t>e</w:t>
            </w:r>
            <w:r w:rsidRPr="002B1B71">
              <w:rPr>
                <w:rFonts w:ascii="Arial" w:hAnsi="Arial" w:cs="Arial"/>
                <w:color w:val="000000"/>
                <w:sz w:val="20"/>
                <w:szCs w:val="20"/>
              </w:rPr>
              <w:t>tc.)</w:t>
            </w:r>
          </w:p>
        </w:tc>
        <w:tc>
          <w:tcPr>
            <w:tcW w:w="469" w:type="dxa"/>
            <w:tcBorders>
              <w:top w:val="nil"/>
              <w:left w:val="nil"/>
              <w:bottom w:val="single" w:sz="4" w:space="0" w:color="auto"/>
              <w:right w:val="single" w:sz="4" w:space="0" w:color="auto"/>
            </w:tcBorders>
            <w:shd w:val="clear" w:color="auto" w:fill="auto"/>
            <w:noWrap/>
            <w:vAlign w:val="center"/>
            <w:hideMark/>
          </w:tcPr>
          <w:p w14:paraId="10311851" w14:textId="3DAA512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24</w:t>
            </w:r>
          </w:p>
        </w:tc>
        <w:tc>
          <w:tcPr>
            <w:tcW w:w="661" w:type="dxa"/>
            <w:tcBorders>
              <w:top w:val="nil"/>
              <w:left w:val="nil"/>
              <w:bottom w:val="single" w:sz="4" w:space="0" w:color="auto"/>
              <w:right w:val="single" w:sz="4" w:space="0" w:color="auto"/>
            </w:tcBorders>
            <w:shd w:val="clear" w:color="auto" w:fill="auto"/>
            <w:noWrap/>
            <w:vAlign w:val="center"/>
            <w:hideMark/>
          </w:tcPr>
          <w:p w14:paraId="467E82EA" w14:textId="505CCF4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28</w:t>
            </w:r>
          </w:p>
        </w:tc>
        <w:tc>
          <w:tcPr>
            <w:tcW w:w="661" w:type="dxa"/>
            <w:tcBorders>
              <w:top w:val="nil"/>
              <w:left w:val="nil"/>
              <w:bottom w:val="single" w:sz="4" w:space="0" w:color="auto"/>
              <w:right w:val="single" w:sz="4" w:space="0" w:color="auto"/>
            </w:tcBorders>
            <w:shd w:val="clear" w:color="auto" w:fill="auto"/>
            <w:noWrap/>
            <w:vAlign w:val="center"/>
            <w:hideMark/>
          </w:tcPr>
          <w:p w14:paraId="7E711A47" w14:textId="14A1430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25</w:t>
            </w:r>
          </w:p>
        </w:tc>
        <w:tc>
          <w:tcPr>
            <w:tcW w:w="661" w:type="dxa"/>
            <w:tcBorders>
              <w:top w:val="nil"/>
              <w:left w:val="nil"/>
              <w:bottom w:val="single" w:sz="4" w:space="0" w:color="auto"/>
              <w:right w:val="single" w:sz="4" w:space="0" w:color="auto"/>
            </w:tcBorders>
            <w:shd w:val="clear" w:color="auto" w:fill="auto"/>
            <w:noWrap/>
            <w:vAlign w:val="center"/>
            <w:hideMark/>
          </w:tcPr>
          <w:p w14:paraId="540A1CBD" w14:textId="3C1EB8C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26</w:t>
            </w:r>
          </w:p>
        </w:tc>
        <w:tc>
          <w:tcPr>
            <w:tcW w:w="661" w:type="dxa"/>
            <w:tcBorders>
              <w:top w:val="nil"/>
              <w:left w:val="nil"/>
              <w:bottom w:val="single" w:sz="4" w:space="0" w:color="auto"/>
              <w:right w:val="single" w:sz="4" w:space="0" w:color="auto"/>
            </w:tcBorders>
            <w:shd w:val="clear" w:color="auto" w:fill="auto"/>
            <w:noWrap/>
            <w:vAlign w:val="center"/>
            <w:hideMark/>
          </w:tcPr>
          <w:p w14:paraId="22FD5DBF" w14:textId="5C6EE7C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20</w:t>
            </w:r>
          </w:p>
        </w:tc>
        <w:tc>
          <w:tcPr>
            <w:tcW w:w="661" w:type="dxa"/>
            <w:tcBorders>
              <w:top w:val="nil"/>
              <w:left w:val="nil"/>
              <w:bottom w:val="single" w:sz="4" w:space="0" w:color="auto"/>
              <w:right w:val="single" w:sz="4" w:space="0" w:color="auto"/>
            </w:tcBorders>
            <w:shd w:val="clear" w:color="auto" w:fill="auto"/>
            <w:noWrap/>
            <w:vAlign w:val="center"/>
            <w:hideMark/>
          </w:tcPr>
          <w:p w14:paraId="6D022F1E" w14:textId="437886A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7</w:t>
            </w:r>
          </w:p>
        </w:tc>
        <w:tc>
          <w:tcPr>
            <w:tcW w:w="717" w:type="dxa"/>
            <w:tcBorders>
              <w:top w:val="nil"/>
              <w:left w:val="nil"/>
              <w:bottom w:val="single" w:sz="4" w:space="0" w:color="auto"/>
              <w:right w:val="single" w:sz="4" w:space="0" w:color="auto"/>
            </w:tcBorders>
            <w:shd w:val="clear" w:color="auto" w:fill="auto"/>
            <w:noWrap/>
            <w:vAlign w:val="center"/>
            <w:hideMark/>
          </w:tcPr>
          <w:p w14:paraId="07D67DB9" w14:textId="2559165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130</w:t>
            </w:r>
          </w:p>
        </w:tc>
      </w:tr>
      <w:tr w:rsidR="00F93B5F" w:rsidRPr="002B1B71" w14:paraId="1311204F"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3FC2D2E6"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Discriminatory advertisement</w:t>
            </w:r>
          </w:p>
        </w:tc>
        <w:tc>
          <w:tcPr>
            <w:tcW w:w="469" w:type="dxa"/>
            <w:tcBorders>
              <w:top w:val="nil"/>
              <w:left w:val="nil"/>
              <w:bottom w:val="single" w:sz="4" w:space="0" w:color="auto"/>
              <w:right w:val="single" w:sz="4" w:space="0" w:color="auto"/>
            </w:tcBorders>
            <w:shd w:val="clear" w:color="auto" w:fill="auto"/>
            <w:noWrap/>
            <w:vAlign w:val="center"/>
            <w:hideMark/>
          </w:tcPr>
          <w:p w14:paraId="302198D9" w14:textId="3D1CD6B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22</w:t>
            </w:r>
          </w:p>
        </w:tc>
        <w:tc>
          <w:tcPr>
            <w:tcW w:w="661" w:type="dxa"/>
            <w:tcBorders>
              <w:top w:val="nil"/>
              <w:left w:val="nil"/>
              <w:bottom w:val="single" w:sz="4" w:space="0" w:color="auto"/>
              <w:right w:val="single" w:sz="4" w:space="0" w:color="auto"/>
            </w:tcBorders>
            <w:shd w:val="clear" w:color="auto" w:fill="auto"/>
            <w:noWrap/>
            <w:vAlign w:val="center"/>
            <w:hideMark/>
          </w:tcPr>
          <w:p w14:paraId="13F187C3" w14:textId="08D1190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24</w:t>
            </w:r>
          </w:p>
        </w:tc>
        <w:tc>
          <w:tcPr>
            <w:tcW w:w="661" w:type="dxa"/>
            <w:tcBorders>
              <w:top w:val="nil"/>
              <w:left w:val="nil"/>
              <w:bottom w:val="single" w:sz="4" w:space="0" w:color="auto"/>
              <w:right w:val="single" w:sz="4" w:space="0" w:color="auto"/>
            </w:tcBorders>
            <w:shd w:val="clear" w:color="auto" w:fill="auto"/>
            <w:noWrap/>
            <w:vAlign w:val="center"/>
            <w:hideMark/>
          </w:tcPr>
          <w:p w14:paraId="33F20FE5" w14:textId="0DAF709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24</w:t>
            </w:r>
          </w:p>
        </w:tc>
        <w:tc>
          <w:tcPr>
            <w:tcW w:w="661" w:type="dxa"/>
            <w:tcBorders>
              <w:top w:val="nil"/>
              <w:left w:val="nil"/>
              <w:bottom w:val="single" w:sz="4" w:space="0" w:color="auto"/>
              <w:right w:val="single" w:sz="4" w:space="0" w:color="auto"/>
            </w:tcBorders>
            <w:shd w:val="clear" w:color="auto" w:fill="auto"/>
            <w:noWrap/>
            <w:vAlign w:val="center"/>
            <w:hideMark/>
          </w:tcPr>
          <w:p w14:paraId="685885AD" w14:textId="00E029C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12</w:t>
            </w:r>
          </w:p>
        </w:tc>
        <w:tc>
          <w:tcPr>
            <w:tcW w:w="661" w:type="dxa"/>
            <w:tcBorders>
              <w:top w:val="nil"/>
              <w:left w:val="nil"/>
              <w:bottom w:val="single" w:sz="4" w:space="0" w:color="auto"/>
              <w:right w:val="single" w:sz="4" w:space="0" w:color="auto"/>
            </w:tcBorders>
            <w:shd w:val="clear" w:color="auto" w:fill="auto"/>
            <w:noWrap/>
            <w:vAlign w:val="center"/>
            <w:hideMark/>
          </w:tcPr>
          <w:p w14:paraId="270D349C" w14:textId="7037B774"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16</w:t>
            </w:r>
          </w:p>
        </w:tc>
        <w:tc>
          <w:tcPr>
            <w:tcW w:w="661" w:type="dxa"/>
            <w:tcBorders>
              <w:top w:val="nil"/>
              <w:left w:val="nil"/>
              <w:bottom w:val="single" w:sz="4" w:space="0" w:color="auto"/>
              <w:right w:val="single" w:sz="4" w:space="0" w:color="auto"/>
            </w:tcBorders>
            <w:shd w:val="clear" w:color="auto" w:fill="auto"/>
            <w:noWrap/>
            <w:vAlign w:val="center"/>
            <w:hideMark/>
          </w:tcPr>
          <w:p w14:paraId="40A81AB1" w14:textId="39DC109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717" w:type="dxa"/>
            <w:tcBorders>
              <w:top w:val="nil"/>
              <w:left w:val="nil"/>
              <w:bottom w:val="single" w:sz="4" w:space="0" w:color="auto"/>
              <w:right w:val="single" w:sz="4" w:space="0" w:color="auto"/>
            </w:tcBorders>
            <w:shd w:val="clear" w:color="auto" w:fill="auto"/>
            <w:noWrap/>
            <w:vAlign w:val="center"/>
            <w:hideMark/>
          </w:tcPr>
          <w:p w14:paraId="0C14BFDC" w14:textId="390070B4"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101</w:t>
            </w:r>
          </w:p>
        </w:tc>
      </w:tr>
      <w:tr w:rsidR="00E40039" w:rsidRPr="002B1B71" w14:paraId="3914D21B"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131131D2"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lastRenderedPageBreak/>
              <w:t>Discrimination in services and facilities relating to rental</w:t>
            </w:r>
          </w:p>
        </w:tc>
        <w:tc>
          <w:tcPr>
            <w:tcW w:w="469" w:type="dxa"/>
            <w:tcBorders>
              <w:top w:val="nil"/>
              <w:left w:val="nil"/>
              <w:bottom w:val="single" w:sz="4" w:space="0" w:color="auto"/>
              <w:right w:val="single" w:sz="4" w:space="0" w:color="auto"/>
            </w:tcBorders>
            <w:shd w:val="clear" w:color="auto" w:fill="auto"/>
            <w:noWrap/>
            <w:vAlign w:val="center"/>
            <w:hideMark/>
          </w:tcPr>
          <w:p w14:paraId="15B104D5" w14:textId="0537E800"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4313140E" w14:textId="45D7C76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12</w:t>
            </w:r>
          </w:p>
        </w:tc>
        <w:tc>
          <w:tcPr>
            <w:tcW w:w="661" w:type="dxa"/>
            <w:tcBorders>
              <w:top w:val="nil"/>
              <w:left w:val="nil"/>
              <w:bottom w:val="single" w:sz="4" w:space="0" w:color="auto"/>
              <w:right w:val="single" w:sz="4" w:space="0" w:color="auto"/>
            </w:tcBorders>
            <w:shd w:val="clear" w:color="auto" w:fill="auto"/>
            <w:noWrap/>
            <w:vAlign w:val="center"/>
            <w:hideMark/>
          </w:tcPr>
          <w:p w14:paraId="4DF52B29" w14:textId="2920D55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13</w:t>
            </w:r>
          </w:p>
        </w:tc>
        <w:tc>
          <w:tcPr>
            <w:tcW w:w="661" w:type="dxa"/>
            <w:tcBorders>
              <w:top w:val="nil"/>
              <w:left w:val="nil"/>
              <w:bottom w:val="single" w:sz="4" w:space="0" w:color="auto"/>
              <w:right w:val="single" w:sz="4" w:space="0" w:color="auto"/>
            </w:tcBorders>
            <w:shd w:val="clear" w:color="auto" w:fill="auto"/>
            <w:noWrap/>
            <w:vAlign w:val="center"/>
            <w:hideMark/>
          </w:tcPr>
          <w:p w14:paraId="5185A813" w14:textId="33EE08F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11</w:t>
            </w:r>
          </w:p>
        </w:tc>
        <w:tc>
          <w:tcPr>
            <w:tcW w:w="661" w:type="dxa"/>
            <w:tcBorders>
              <w:top w:val="nil"/>
              <w:left w:val="nil"/>
              <w:bottom w:val="single" w:sz="4" w:space="0" w:color="auto"/>
              <w:right w:val="single" w:sz="4" w:space="0" w:color="auto"/>
            </w:tcBorders>
            <w:shd w:val="clear" w:color="auto" w:fill="auto"/>
            <w:noWrap/>
            <w:vAlign w:val="center"/>
            <w:hideMark/>
          </w:tcPr>
          <w:p w14:paraId="0F8DB520" w14:textId="375973A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w:t>
            </w:r>
          </w:p>
        </w:tc>
        <w:tc>
          <w:tcPr>
            <w:tcW w:w="661" w:type="dxa"/>
            <w:tcBorders>
              <w:top w:val="nil"/>
              <w:left w:val="nil"/>
              <w:bottom w:val="single" w:sz="4" w:space="0" w:color="auto"/>
              <w:right w:val="single" w:sz="4" w:space="0" w:color="auto"/>
            </w:tcBorders>
            <w:shd w:val="clear" w:color="auto" w:fill="auto"/>
            <w:noWrap/>
            <w:vAlign w:val="center"/>
            <w:hideMark/>
          </w:tcPr>
          <w:p w14:paraId="4A6A4665" w14:textId="6D7CC23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w:t>
            </w:r>
          </w:p>
        </w:tc>
        <w:tc>
          <w:tcPr>
            <w:tcW w:w="717" w:type="dxa"/>
            <w:tcBorders>
              <w:top w:val="nil"/>
              <w:left w:val="nil"/>
              <w:bottom w:val="single" w:sz="4" w:space="0" w:color="auto"/>
              <w:right w:val="single" w:sz="4" w:space="0" w:color="auto"/>
            </w:tcBorders>
            <w:shd w:val="clear" w:color="auto" w:fill="auto"/>
            <w:noWrap/>
            <w:vAlign w:val="center"/>
            <w:hideMark/>
          </w:tcPr>
          <w:p w14:paraId="6A1B6C40" w14:textId="5F0729B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54</w:t>
            </w:r>
          </w:p>
        </w:tc>
      </w:tr>
      <w:tr w:rsidR="00F93B5F" w:rsidRPr="002B1B71" w14:paraId="6172D3E9"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6ECD1D23"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Other discriminatory acts</w:t>
            </w:r>
          </w:p>
        </w:tc>
        <w:tc>
          <w:tcPr>
            <w:tcW w:w="469" w:type="dxa"/>
            <w:tcBorders>
              <w:top w:val="nil"/>
              <w:left w:val="nil"/>
              <w:bottom w:val="single" w:sz="4" w:space="0" w:color="auto"/>
              <w:right w:val="single" w:sz="4" w:space="0" w:color="auto"/>
            </w:tcBorders>
            <w:shd w:val="clear" w:color="auto" w:fill="auto"/>
            <w:noWrap/>
            <w:vAlign w:val="center"/>
            <w:hideMark/>
          </w:tcPr>
          <w:p w14:paraId="4DE3C4EB" w14:textId="089CBF1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661" w:type="dxa"/>
            <w:tcBorders>
              <w:top w:val="nil"/>
              <w:left w:val="nil"/>
              <w:bottom w:val="single" w:sz="4" w:space="0" w:color="auto"/>
              <w:right w:val="single" w:sz="4" w:space="0" w:color="auto"/>
            </w:tcBorders>
            <w:shd w:val="clear" w:color="auto" w:fill="auto"/>
            <w:noWrap/>
            <w:vAlign w:val="center"/>
            <w:hideMark/>
          </w:tcPr>
          <w:p w14:paraId="3606594B" w14:textId="72F6907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9</w:t>
            </w:r>
          </w:p>
        </w:tc>
        <w:tc>
          <w:tcPr>
            <w:tcW w:w="661" w:type="dxa"/>
            <w:tcBorders>
              <w:top w:val="nil"/>
              <w:left w:val="nil"/>
              <w:bottom w:val="single" w:sz="4" w:space="0" w:color="auto"/>
              <w:right w:val="single" w:sz="4" w:space="0" w:color="auto"/>
            </w:tcBorders>
            <w:shd w:val="clear" w:color="auto" w:fill="auto"/>
            <w:noWrap/>
            <w:vAlign w:val="center"/>
            <w:hideMark/>
          </w:tcPr>
          <w:p w14:paraId="2C9C57A2" w14:textId="3C3EF65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13</w:t>
            </w:r>
          </w:p>
        </w:tc>
        <w:tc>
          <w:tcPr>
            <w:tcW w:w="661" w:type="dxa"/>
            <w:tcBorders>
              <w:top w:val="nil"/>
              <w:left w:val="nil"/>
              <w:bottom w:val="single" w:sz="4" w:space="0" w:color="auto"/>
              <w:right w:val="single" w:sz="4" w:space="0" w:color="auto"/>
            </w:tcBorders>
            <w:shd w:val="clear" w:color="auto" w:fill="auto"/>
            <w:noWrap/>
            <w:vAlign w:val="center"/>
            <w:hideMark/>
          </w:tcPr>
          <w:p w14:paraId="04DA9CF9" w14:textId="7C054E8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w:t>
            </w:r>
          </w:p>
        </w:tc>
        <w:tc>
          <w:tcPr>
            <w:tcW w:w="661" w:type="dxa"/>
            <w:tcBorders>
              <w:top w:val="nil"/>
              <w:left w:val="nil"/>
              <w:bottom w:val="single" w:sz="4" w:space="0" w:color="auto"/>
              <w:right w:val="single" w:sz="4" w:space="0" w:color="auto"/>
            </w:tcBorders>
            <w:shd w:val="clear" w:color="auto" w:fill="auto"/>
            <w:noWrap/>
            <w:vAlign w:val="center"/>
            <w:hideMark/>
          </w:tcPr>
          <w:p w14:paraId="51C4BBFF" w14:textId="5F83087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036D00AE" w14:textId="34CD6CA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center"/>
            <w:hideMark/>
          </w:tcPr>
          <w:p w14:paraId="07BFBAED" w14:textId="5593A9D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38</w:t>
            </w:r>
          </w:p>
        </w:tc>
      </w:tr>
      <w:tr w:rsidR="00E40039" w:rsidRPr="002B1B71" w14:paraId="51E7430F"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0D388C3B"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Failure to permit reasonable modification</w:t>
            </w:r>
          </w:p>
        </w:tc>
        <w:tc>
          <w:tcPr>
            <w:tcW w:w="469" w:type="dxa"/>
            <w:tcBorders>
              <w:top w:val="nil"/>
              <w:left w:val="nil"/>
              <w:bottom w:val="single" w:sz="4" w:space="0" w:color="auto"/>
              <w:right w:val="single" w:sz="4" w:space="0" w:color="auto"/>
            </w:tcBorders>
            <w:shd w:val="clear" w:color="auto" w:fill="auto"/>
            <w:noWrap/>
            <w:vAlign w:val="center"/>
            <w:hideMark/>
          </w:tcPr>
          <w:p w14:paraId="4D686D34" w14:textId="1A51DA6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center"/>
            <w:hideMark/>
          </w:tcPr>
          <w:p w14:paraId="3A323F74" w14:textId="6044DFE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34B91DA2" w14:textId="355DB70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3CB2972F" w14:textId="175ED5F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9</w:t>
            </w:r>
          </w:p>
        </w:tc>
        <w:tc>
          <w:tcPr>
            <w:tcW w:w="661" w:type="dxa"/>
            <w:tcBorders>
              <w:top w:val="nil"/>
              <w:left w:val="nil"/>
              <w:bottom w:val="single" w:sz="4" w:space="0" w:color="auto"/>
              <w:right w:val="single" w:sz="4" w:space="0" w:color="auto"/>
            </w:tcBorders>
            <w:shd w:val="clear" w:color="auto" w:fill="auto"/>
            <w:noWrap/>
            <w:vAlign w:val="center"/>
            <w:hideMark/>
          </w:tcPr>
          <w:p w14:paraId="2A5EBCEB" w14:textId="1E3C490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hideMark/>
          </w:tcPr>
          <w:p w14:paraId="0F824ADB" w14:textId="4607E22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center"/>
            <w:hideMark/>
          </w:tcPr>
          <w:p w14:paraId="147E71FA" w14:textId="35006E9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30</w:t>
            </w:r>
          </w:p>
        </w:tc>
      </w:tr>
      <w:tr w:rsidR="00E40039" w:rsidRPr="002B1B71" w14:paraId="37E9DB6D"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30047BFA"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Discriminatory refusal to negotiate for rental</w:t>
            </w:r>
          </w:p>
        </w:tc>
        <w:tc>
          <w:tcPr>
            <w:tcW w:w="469" w:type="dxa"/>
            <w:tcBorders>
              <w:top w:val="nil"/>
              <w:left w:val="nil"/>
              <w:bottom w:val="single" w:sz="4" w:space="0" w:color="auto"/>
              <w:right w:val="single" w:sz="4" w:space="0" w:color="auto"/>
            </w:tcBorders>
            <w:shd w:val="clear" w:color="auto" w:fill="auto"/>
            <w:noWrap/>
            <w:vAlign w:val="center"/>
            <w:hideMark/>
          </w:tcPr>
          <w:p w14:paraId="37150461" w14:textId="2E6D873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center"/>
            <w:hideMark/>
          </w:tcPr>
          <w:p w14:paraId="3C55DFEB" w14:textId="05B12F6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w:t>
            </w:r>
          </w:p>
        </w:tc>
        <w:tc>
          <w:tcPr>
            <w:tcW w:w="661" w:type="dxa"/>
            <w:tcBorders>
              <w:top w:val="nil"/>
              <w:left w:val="nil"/>
              <w:bottom w:val="single" w:sz="4" w:space="0" w:color="auto"/>
              <w:right w:val="single" w:sz="4" w:space="0" w:color="auto"/>
            </w:tcBorders>
            <w:shd w:val="clear" w:color="auto" w:fill="auto"/>
            <w:noWrap/>
            <w:vAlign w:val="center"/>
            <w:hideMark/>
          </w:tcPr>
          <w:p w14:paraId="457C1CAD" w14:textId="068D166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w:t>
            </w:r>
          </w:p>
        </w:tc>
        <w:tc>
          <w:tcPr>
            <w:tcW w:w="661" w:type="dxa"/>
            <w:tcBorders>
              <w:top w:val="nil"/>
              <w:left w:val="nil"/>
              <w:bottom w:val="single" w:sz="4" w:space="0" w:color="auto"/>
              <w:right w:val="single" w:sz="4" w:space="0" w:color="auto"/>
            </w:tcBorders>
            <w:shd w:val="clear" w:color="auto" w:fill="auto"/>
            <w:noWrap/>
            <w:vAlign w:val="center"/>
            <w:hideMark/>
          </w:tcPr>
          <w:p w14:paraId="4564FEAD" w14:textId="3F6AEEE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center"/>
            <w:hideMark/>
          </w:tcPr>
          <w:p w14:paraId="4E8B06EB" w14:textId="5133B16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center"/>
            <w:hideMark/>
          </w:tcPr>
          <w:p w14:paraId="46953791" w14:textId="182FDE7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717" w:type="dxa"/>
            <w:tcBorders>
              <w:top w:val="nil"/>
              <w:left w:val="nil"/>
              <w:bottom w:val="single" w:sz="4" w:space="0" w:color="auto"/>
              <w:right w:val="single" w:sz="4" w:space="0" w:color="auto"/>
            </w:tcBorders>
            <w:shd w:val="clear" w:color="auto" w:fill="auto"/>
            <w:noWrap/>
            <w:vAlign w:val="center"/>
            <w:hideMark/>
          </w:tcPr>
          <w:p w14:paraId="6581997A" w14:textId="038BF36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29</w:t>
            </w:r>
          </w:p>
        </w:tc>
      </w:tr>
      <w:tr w:rsidR="00E40039" w:rsidRPr="002B1B71" w14:paraId="6A0EB1CB"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2193B2FA"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False denial or representation of availability - rental</w:t>
            </w:r>
          </w:p>
        </w:tc>
        <w:tc>
          <w:tcPr>
            <w:tcW w:w="469" w:type="dxa"/>
            <w:tcBorders>
              <w:top w:val="nil"/>
              <w:left w:val="nil"/>
              <w:bottom w:val="single" w:sz="4" w:space="0" w:color="auto"/>
              <w:right w:val="single" w:sz="4" w:space="0" w:color="auto"/>
            </w:tcBorders>
            <w:shd w:val="clear" w:color="auto" w:fill="auto"/>
            <w:noWrap/>
            <w:vAlign w:val="center"/>
            <w:hideMark/>
          </w:tcPr>
          <w:p w14:paraId="3A45D426" w14:textId="1222672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6</w:t>
            </w:r>
          </w:p>
        </w:tc>
        <w:tc>
          <w:tcPr>
            <w:tcW w:w="661" w:type="dxa"/>
            <w:tcBorders>
              <w:top w:val="nil"/>
              <w:left w:val="nil"/>
              <w:bottom w:val="single" w:sz="4" w:space="0" w:color="auto"/>
              <w:right w:val="single" w:sz="4" w:space="0" w:color="auto"/>
            </w:tcBorders>
            <w:shd w:val="clear" w:color="auto" w:fill="auto"/>
            <w:noWrap/>
            <w:vAlign w:val="center"/>
            <w:hideMark/>
          </w:tcPr>
          <w:p w14:paraId="23E8798B" w14:textId="0EBC8CB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288B84C4" w14:textId="5494A806"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0B7120AF" w14:textId="7E628A6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661" w:type="dxa"/>
            <w:tcBorders>
              <w:top w:val="nil"/>
              <w:left w:val="nil"/>
              <w:bottom w:val="single" w:sz="4" w:space="0" w:color="auto"/>
              <w:right w:val="single" w:sz="4" w:space="0" w:color="auto"/>
            </w:tcBorders>
            <w:shd w:val="clear" w:color="auto" w:fill="auto"/>
            <w:noWrap/>
            <w:vAlign w:val="center"/>
            <w:hideMark/>
          </w:tcPr>
          <w:p w14:paraId="0DFF8603" w14:textId="290C159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1EC4C98E" w14:textId="7D32597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center"/>
            <w:hideMark/>
          </w:tcPr>
          <w:p w14:paraId="7E75035B" w14:textId="67FAD85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15</w:t>
            </w:r>
          </w:p>
        </w:tc>
      </w:tr>
      <w:tr w:rsidR="00E40039" w:rsidRPr="002B1B71" w14:paraId="3408E978"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50C79CC6"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Discriminatory financing (includes real estate transactions)</w:t>
            </w:r>
          </w:p>
        </w:tc>
        <w:tc>
          <w:tcPr>
            <w:tcW w:w="469" w:type="dxa"/>
            <w:tcBorders>
              <w:top w:val="nil"/>
              <w:left w:val="nil"/>
              <w:bottom w:val="single" w:sz="4" w:space="0" w:color="auto"/>
              <w:right w:val="single" w:sz="4" w:space="0" w:color="auto"/>
            </w:tcBorders>
            <w:shd w:val="clear" w:color="auto" w:fill="auto"/>
            <w:noWrap/>
            <w:vAlign w:val="center"/>
            <w:hideMark/>
          </w:tcPr>
          <w:p w14:paraId="14D64494" w14:textId="4F68481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7B11A3C6" w14:textId="7BC8FF1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center"/>
            <w:hideMark/>
          </w:tcPr>
          <w:p w14:paraId="6EC4E41B" w14:textId="38B8CE1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126FBF58" w14:textId="6DC0E67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center"/>
            <w:hideMark/>
          </w:tcPr>
          <w:p w14:paraId="640C5D39" w14:textId="4CE0684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661" w:type="dxa"/>
            <w:tcBorders>
              <w:top w:val="nil"/>
              <w:left w:val="nil"/>
              <w:bottom w:val="single" w:sz="4" w:space="0" w:color="auto"/>
              <w:right w:val="single" w:sz="4" w:space="0" w:color="auto"/>
            </w:tcBorders>
            <w:shd w:val="clear" w:color="auto" w:fill="auto"/>
            <w:noWrap/>
            <w:vAlign w:val="center"/>
            <w:hideMark/>
          </w:tcPr>
          <w:p w14:paraId="49612DC5" w14:textId="1F9A183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717" w:type="dxa"/>
            <w:tcBorders>
              <w:top w:val="nil"/>
              <w:left w:val="nil"/>
              <w:bottom w:val="single" w:sz="4" w:space="0" w:color="auto"/>
              <w:right w:val="single" w:sz="4" w:space="0" w:color="auto"/>
            </w:tcBorders>
            <w:shd w:val="clear" w:color="auto" w:fill="auto"/>
            <w:noWrap/>
            <w:vAlign w:val="center"/>
            <w:hideMark/>
          </w:tcPr>
          <w:p w14:paraId="3025C525" w14:textId="130DADC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14</w:t>
            </w:r>
          </w:p>
        </w:tc>
      </w:tr>
      <w:tr w:rsidR="00E40039" w:rsidRPr="002B1B71" w14:paraId="39927AC8"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54F16FF1"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Discriminatory refusal to sell</w:t>
            </w:r>
          </w:p>
        </w:tc>
        <w:tc>
          <w:tcPr>
            <w:tcW w:w="469" w:type="dxa"/>
            <w:tcBorders>
              <w:top w:val="nil"/>
              <w:left w:val="nil"/>
              <w:bottom w:val="single" w:sz="4" w:space="0" w:color="auto"/>
              <w:right w:val="single" w:sz="4" w:space="0" w:color="auto"/>
            </w:tcBorders>
            <w:shd w:val="clear" w:color="auto" w:fill="auto"/>
            <w:noWrap/>
            <w:vAlign w:val="center"/>
            <w:hideMark/>
          </w:tcPr>
          <w:p w14:paraId="4D60581A" w14:textId="528F949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0420B856" w14:textId="6EC3477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764C7B61" w14:textId="29EDD78C"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center"/>
            <w:hideMark/>
          </w:tcPr>
          <w:p w14:paraId="6F2624A8" w14:textId="67CA1E8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661" w:type="dxa"/>
            <w:tcBorders>
              <w:top w:val="nil"/>
              <w:left w:val="nil"/>
              <w:bottom w:val="single" w:sz="4" w:space="0" w:color="auto"/>
              <w:right w:val="single" w:sz="4" w:space="0" w:color="auto"/>
            </w:tcBorders>
            <w:shd w:val="clear" w:color="auto" w:fill="auto"/>
            <w:noWrap/>
            <w:vAlign w:val="center"/>
            <w:hideMark/>
          </w:tcPr>
          <w:p w14:paraId="25593AF1" w14:textId="1D6C275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6B36F768" w14:textId="654977A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717" w:type="dxa"/>
            <w:tcBorders>
              <w:top w:val="nil"/>
              <w:left w:val="nil"/>
              <w:bottom w:val="single" w:sz="4" w:space="0" w:color="auto"/>
              <w:right w:val="single" w:sz="4" w:space="0" w:color="auto"/>
            </w:tcBorders>
            <w:shd w:val="clear" w:color="auto" w:fill="auto"/>
            <w:noWrap/>
            <w:vAlign w:val="center"/>
            <w:hideMark/>
          </w:tcPr>
          <w:p w14:paraId="36BE320A" w14:textId="4997472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14</w:t>
            </w:r>
          </w:p>
        </w:tc>
      </w:tr>
      <w:tr w:rsidR="00E40039" w:rsidRPr="002B1B71" w14:paraId="41B38EFB"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437D19A1" w14:textId="194220A9"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Discrimination in terms/</w:t>
            </w:r>
            <w:r w:rsidR="00D15B46">
              <w:rPr>
                <w:rFonts w:ascii="Arial" w:hAnsi="Arial" w:cs="Arial"/>
                <w:color w:val="000000"/>
                <w:sz w:val="20"/>
                <w:szCs w:val="20"/>
              </w:rPr>
              <w:t xml:space="preserve"> </w:t>
            </w:r>
            <w:r w:rsidRPr="002B1B71">
              <w:rPr>
                <w:rFonts w:ascii="Arial" w:hAnsi="Arial" w:cs="Arial"/>
                <w:color w:val="000000"/>
                <w:sz w:val="20"/>
                <w:szCs w:val="20"/>
              </w:rPr>
              <w:t>conditions/privileges relating to sale</w:t>
            </w:r>
          </w:p>
        </w:tc>
        <w:tc>
          <w:tcPr>
            <w:tcW w:w="469" w:type="dxa"/>
            <w:tcBorders>
              <w:top w:val="nil"/>
              <w:left w:val="nil"/>
              <w:bottom w:val="single" w:sz="4" w:space="0" w:color="auto"/>
              <w:right w:val="single" w:sz="4" w:space="0" w:color="auto"/>
            </w:tcBorders>
            <w:shd w:val="clear" w:color="auto" w:fill="auto"/>
            <w:noWrap/>
            <w:vAlign w:val="center"/>
            <w:hideMark/>
          </w:tcPr>
          <w:p w14:paraId="314D2090" w14:textId="39FF51E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center"/>
            <w:hideMark/>
          </w:tcPr>
          <w:p w14:paraId="76E6FD71" w14:textId="5F7D7B6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center"/>
            <w:hideMark/>
          </w:tcPr>
          <w:p w14:paraId="1695BCAF" w14:textId="0FB7A66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097436F5" w14:textId="5B8E247C"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center"/>
            <w:hideMark/>
          </w:tcPr>
          <w:p w14:paraId="4A6CFD04" w14:textId="4ECB93C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center"/>
            <w:hideMark/>
          </w:tcPr>
          <w:p w14:paraId="52335C24" w14:textId="08B91C1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717" w:type="dxa"/>
            <w:tcBorders>
              <w:top w:val="nil"/>
              <w:left w:val="nil"/>
              <w:bottom w:val="single" w:sz="4" w:space="0" w:color="auto"/>
              <w:right w:val="single" w:sz="4" w:space="0" w:color="auto"/>
            </w:tcBorders>
            <w:shd w:val="clear" w:color="auto" w:fill="auto"/>
            <w:noWrap/>
            <w:vAlign w:val="center"/>
            <w:hideMark/>
          </w:tcPr>
          <w:p w14:paraId="1762BB2E" w14:textId="4DBEE3EC"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13</w:t>
            </w:r>
          </w:p>
        </w:tc>
      </w:tr>
      <w:tr w:rsidR="00E40039" w:rsidRPr="002B1B71" w14:paraId="4F66E88E"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208100A9"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Non-compliance with design and construction requirements (handicap)</w:t>
            </w:r>
          </w:p>
        </w:tc>
        <w:tc>
          <w:tcPr>
            <w:tcW w:w="469" w:type="dxa"/>
            <w:tcBorders>
              <w:top w:val="nil"/>
              <w:left w:val="nil"/>
              <w:bottom w:val="single" w:sz="4" w:space="0" w:color="auto"/>
              <w:right w:val="single" w:sz="4" w:space="0" w:color="auto"/>
            </w:tcBorders>
            <w:shd w:val="clear" w:color="auto" w:fill="auto"/>
            <w:noWrap/>
            <w:vAlign w:val="center"/>
            <w:hideMark/>
          </w:tcPr>
          <w:p w14:paraId="10032632" w14:textId="7BAF336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3DCF4A0" w14:textId="23A987F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center"/>
            <w:hideMark/>
          </w:tcPr>
          <w:p w14:paraId="2EA17B43" w14:textId="1D8FDEF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w:t>
            </w:r>
          </w:p>
        </w:tc>
        <w:tc>
          <w:tcPr>
            <w:tcW w:w="661" w:type="dxa"/>
            <w:tcBorders>
              <w:top w:val="nil"/>
              <w:left w:val="nil"/>
              <w:bottom w:val="single" w:sz="4" w:space="0" w:color="auto"/>
              <w:right w:val="single" w:sz="4" w:space="0" w:color="auto"/>
            </w:tcBorders>
            <w:shd w:val="clear" w:color="auto" w:fill="auto"/>
            <w:noWrap/>
            <w:vAlign w:val="center"/>
            <w:hideMark/>
          </w:tcPr>
          <w:p w14:paraId="04028AB7" w14:textId="6FDB4160"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0904BFE" w14:textId="33CF887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AC05458" w14:textId="0D58FB1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717" w:type="dxa"/>
            <w:tcBorders>
              <w:top w:val="nil"/>
              <w:left w:val="nil"/>
              <w:bottom w:val="single" w:sz="4" w:space="0" w:color="auto"/>
              <w:right w:val="single" w:sz="4" w:space="0" w:color="auto"/>
            </w:tcBorders>
            <w:shd w:val="clear" w:color="auto" w:fill="auto"/>
            <w:noWrap/>
            <w:vAlign w:val="center"/>
            <w:hideMark/>
          </w:tcPr>
          <w:p w14:paraId="6F70A495" w14:textId="313F183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13</w:t>
            </w:r>
          </w:p>
        </w:tc>
      </w:tr>
      <w:tr w:rsidR="002B1B71" w:rsidRPr="002B1B71" w14:paraId="1A6AB21C" w14:textId="77777777" w:rsidTr="00560987">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39F47650"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Use of discriminatory indicators</w:t>
            </w:r>
          </w:p>
        </w:tc>
        <w:tc>
          <w:tcPr>
            <w:tcW w:w="469" w:type="dxa"/>
            <w:tcBorders>
              <w:top w:val="nil"/>
              <w:left w:val="nil"/>
              <w:bottom w:val="single" w:sz="4" w:space="0" w:color="auto"/>
              <w:right w:val="single" w:sz="4" w:space="0" w:color="auto"/>
            </w:tcBorders>
            <w:shd w:val="clear" w:color="auto" w:fill="auto"/>
            <w:noWrap/>
            <w:vAlign w:val="center"/>
            <w:hideMark/>
          </w:tcPr>
          <w:p w14:paraId="726BB606" w14:textId="1992984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2932F1A7" w14:textId="202077F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226D55AF" w14:textId="7F2A05D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w:t>
            </w:r>
          </w:p>
        </w:tc>
        <w:tc>
          <w:tcPr>
            <w:tcW w:w="661" w:type="dxa"/>
            <w:tcBorders>
              <w:top w:val="nil"/>
              <w:left w:val="nil"/>
              <w:bottom w:val="single" w:sz="4" w:space="0" w:color="auto"/>
              <w:right w:val="single" w:sz="4" w:space="0" w:color="auto"/>
            </w:tcBorders>
            <w:shd w:val="clear" w:color="auto" w:fill="auto"/>
            <w:noWrap/>
            <w:vAlign w:val="center"/>
            <w:hideMark/>
          </w:tcPr>
          <w:p w14:paraId="577CCF06" w14:textId="325AD82C"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6A1EF8B6" w14:textId="1480CFD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1384EA9" w14:textId="485A6B2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717" w:type="dxa"/>
            <w:tcBorders>
              <w:top w:val="nil"/>
              <w:left w:val="nil"/>
              <w:bottom w:val="single" w:sz="4" w:space="0" w:color="auto"/>
              <w:right w:val="single" w:sz="4" w:space="0" w:color="auto"/>
            </w:tcBorders>
            <w:shd w:val="clear" w:color="auto" w:fill="auto"/>
            <w:noWrap/>
            <w:vAlign w:val="center"/>
            <w:hideMark/>
          </w:tcPr>
          <w:p w14:paraId="282E7C7E" w14:textId="1ED8CD8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9</w:t>
            </w:r>
          </w:p>
        </w:tc>
      </w:tr>
      <w:tr w:rsidR="004854AF" w:rsidRPr="002B1B71" w14:paraId="05DBC7E6"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0A3FA8D4"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Using ordinances to discriminate in zoning and land use</w:t>
            </w:r>
          </w:p>
        </w:tc>
        <w:tc>
          <w:tcPr>
            <w:tcW w:w="469" w:type="dxa"/>
            <w:tcBorders>
              <w:top w:val="nil"/>
              <w:left w:val="nil"/>
              <w:bottom w:val="single" w:sz="4" w:space="0" w:color="auto"/>
              <w:right w:val="single" w:sz="4" w:space="0" w:color="auto"/>
            </w:tcBorders>
            <w:shd w:val="clear" w:color="auto" w:fill="auto"/>
            <w:noWrap/>
            <w:vAlign w:val="center"/>
            <w:hideMark/>
          </w:tcPr>
          <w:p w14:paraId="473C7986" w14:textId="14FCFF7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760EDF78" w14:textId="1ACDEB1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661" w:type="dxa"/>
            <w:tcBorders>
              <w:top w:val="nil"/>
              <w:left w:val="nil"/>
              <w:bottom w:val="single" w:sz="4" w:space="0" w:color="auto"/>
              <w:right w:val="single" w:sz="4" w:space="0" w:color="auto"/>
            </w:tcBorders>
            <w:shd w:val="clear" w:color="auto" w:fill="auto"/>
            <w:noWrap/>
            <w:vAlign w:val="center"/>
            <w:hideMark/>
          </w:tcPr>
          <w:p w14:paraId="339FFDF9" w14:textId="66FE0A0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1BDF0B35" w14:textId="45E9176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w:t>
            </w:r>
          </w:p>
        </w:tc>
        <w:tc>
          <w:tcPr>
            <w:tcW w:w="661" w:type="dxa"/>
            <w:tcBorders>
              <w:top w:val="nil"/>
              <w:left w:val="nil"/>
              <w:bottom w:val="single" w:sz="4" w:space="0" w:color="auto"/>
              <w:right w:val="single" w:sz="4" w:space="0" w:color="auto"/>
            </w:tcBorders>
            <w:shd w:val="clear" w:color="auto" w:fill="auto"/>
            <w:noWrap/>
            <w:vAlign w:val="center"/>
            <w:hideMark/>
          </w:tcPr>
          <w:p w14:paraId="56BDAA3F" w14:textId="27459BD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539235B" w14:textId="1AD2AA4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center"/>
            <w:hideMark/>
          </w:tcPr>
          <w:p w14:paraId="3C0E2630" w14:textId="6856AF1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w:t>
            </w:r>
          </w:p>
        </w:tc>
      </w:tr>
      <w:tr w:rsidR="00546544" w:rsidRPr="002B1B71" w14:paraId="2E95460D"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vAlign w:val="center"/>
            <w:hideMark/>
          </w:tcPr>
          <w:p w14:paraId="5B906878"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Discrimination in terms and conditions of membership</w:t>
            </w:r>
          </w:p>
        </w:tc>
        <w:tc>
          <w:tcPr>
            <w:tcW w:w="469" w:type="dxa"/>
            <w:tcBorders>
              <w:top w:val="nil"/>
              <w:left w:val="nil"/>
              <w:bottom w:val="single" w:sz="4" w:space="0" w:color="auto"/>
              <w:right w:val="single" w:sz="4" w:space="0" w:color="auto"/>
            </w:tcBorders>
            <w:shd w:val="clear" w:color="auto" w:fill="auto"/>
            <w:noWrap/>
            <w:vAlign w:val="center"/>
            <w:hideMark/>
          </w:tcPr>
          <w:p w14:paraId="4E0499FC" w14:textId="426E45F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219442F2" w14:textId="74FCAA5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4FD9150E" w14:textId="3A0EF64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56099D71" w14:textId="011E6CF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center"/>
            <w:hideMark/>
          </w:tcPr>
          <w:p w14:paraId="49E9CC58" w14:textId="4C20198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29513312" w14:textId="2C76CBA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717" w:type="dxa"/>
            <w:tcBorders>
              <w:top w:val="nil"/>
              <w:left w:val="nil"/>
              <w:bottom w:val="single" w:sz="4" w:space="0" w:color="auto"/>
              <w:right w:val="single" w:sz="4" w:space="0" w:color="auto"/>
            </w:tcBorders>
            <w:shd w:val="clear" w:color="auto" w:fill="auto"/>
            <w:noWrap/>
            <w:vAlign w:val="center"/>
            <w:hideMark/>
          </w:tcPr>
          <w:p w14:paraId="2B2110FB" w14:textId="2E771427"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5</w:t>
            </w:r>
          </w:p>
        </w:tc>
      </w:tr>
      <w:tr w:rsidR="000C2F88" w:rsidRPr="002B1B71" w14:paraId="64C9104B" w14:textId="77777777" w:rsidTr="00EE4EDC">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2FAD2489"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Steering</w:t>
            </w:r>
          </w:p>
        </w:tc>
        <w:tc>
          <w:tcPr>
            <w:tcW w:w="469" w:type="dxa"/>
            <w:tcBorders>
              <w:top w:val="nil"/>
              <w:left w:val="nil"/>
              <w:bottom w:val="single" w:sz="4" w:space="0" w:color="auto"/>
              <w:right w:val="single" w:sz="4" w:space="0" w:color="auto"/>
            </w:tcBorders>
            <w:shd w:val="clear" w:color="auto" w:fill="auto"/>
            <w:noWrap/>
            <w:vAlign w:val="center"/>
            <w:hideMark/>
          </w:tcPr>
          <w:p w14:paraId="205F5E02" w14:textId="04D7A6D2"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05A63C16" w14:textId="66BED72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555BC4CC" w14:textId="129B738C"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3C99B7C7" w14:textId="24156AC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center"/>
            <w:hideMark/>
          </w:tcPr>
          <w:p w14:paraId="702C15D2" w14:textId="1EBBA7B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64E12E5" w14:textId="3BFE3794"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center"/>
            <w:hideMark/>
          </w:tcPr>
          <w:p w14:paraId="5C37D3E6" w14:textId="788F6ED8"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4</w:t>
            </w:r>
          </w:p>
        </w:tc>
      </w:tr>
      <w:tr w:rsidR="002B1B71" w:rsidRPr="002B1B71" w14:paraId="5BB661A6" w14:textId="77777777" w:rsidTr="00560987">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1083031D"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Total Issues</w:t>
            </w:r>
          </w:p>
        </w:tc>
        <w:tc>
          <w:tcPr>
            <w:tcW w:w="469" w:type="dxa"/>
            <w:tcBorders>
              <w:top w:val="nil"/>
              <w:left w:val="nil"/>
              <w:bottom w:val="single" w:sz="4" w:space="0" w:color="auto"/>
              <w:right w:val="single" w:sz="4" w:space="0" w:color="auto"/>
            </w:tcBorders>
            <w:shd w:val="clear" w:color="auto" w:fill="auto"/>
            <w:noWrap/>
            <w:vAlign w:val="center"/>
            <w:hideMark/>
          </w:tcPr>
          <w:p w14:paraId="0D1B184D" w14:textId="550760A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342</w:t>
            </w:r>
          </w:p>
        </w:tc>
        <w:tc>
          <w:tcPr>
            <w:tcW w:w="661" w:type="dxa"/>
            <w:tcBorders>
              <w:top w:val="nil"/>
              <w:left w:val="nil"/>
              <w:bottom w:val="single" w:sz="4" w:space="0" w:color="auto"/>
              <w:right w:val="single" w:sz="4" w:space="0" w:color="auto"/>
            </w:tcBorders>
            <w:shd w:val="clear" w:color="auto" w:fill="auto"/>
            <w:noWrap/>
            <w:vAlign w:val="center"/>
            <w:hideMark/>
          </w:tcPr>
          <w:p w14:paraId="637FEE41" w14:textId="484905F5"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390</w:t>
            </w:r>
          </w:p>
        </w:tc>
        <w:tc>
          <w:tcPr>
            <w:tcW w:w="661" w:type="dxa"/>
            <w:tcBorders>
              <w:top w:val="nil"/>
              <w:left w:val="nil"/>
              <w:bottom w:val="single" w:sz="4" w:space="0" w:color="auto"/>
              <w:right w:val="single" w:sz="4" w:space="0" w:color="auto"/>
            </w:tcBorders>
            <w:shd w:val="clear" w:color="auto" w:fill="auto"/>
            <w:noWrap/>
            <w:vAlign w:val="center"/>
            <w:hideMark/>
          </w:tcPr>
          <w:p w14:paraId="3DE41ADD" w14:textId="3B389CC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301</w:t>
            </w:r>
          </w:p>
        </w:tc>
        <w:tc>
          <w:tcPr>
            <w:tcW w:w="661" w:type="dxa"/>
            <w:tcBorders>
              <w:top w:val="nil"/>
              <w:left w:val="nil"/>
              <w:bottom w:val="single" w:sz="4" w:space="0" w:color="auto"/>
              <w:right w:val="single" w:sz="4" w:space="0" w:color="auto"/>
            </w:tcBorders>
            <w:shd w:val="clear" w:color="auto" w:fill="auto"/>
            <w:noWrap/>
            <w:vAlign w:val="center"/>
            <w:hideMark/>
          </w:tcPr>
          <w:p w14:paraId="72E775A9" w14:textId="0EE3FC4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341</w:t>
            </w:r>
          </w:p>
        </w:tc>
        <w:tc>
          <w:tcPr>
            <w:tcW w:w="661" w:type="dxa"/>
            <w:tcBorders>
              <w:top w:val="nil"/>
              <w:left w:val="nil"/>
              <w:bottom w:val="single" w:sz="4" w:space="0" w:color="auto"/>
              <w:right w:val="single" w:sz="4" w:space="0" w:color="auto"/>
            </w:tcBorders>
            <w:shd w:val="clear" w:color="auto" w:fill="auto"/>
            <w:noWrap/>
            <w:vAlign w:val="center"/>
            <w:hideMark/>
          </w:tcPr>
          <w:p w14:paraId="3499CB62" w14:textId="7F498A4A"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324</w:t>
            </w:r>
          </w:p>
        </w:tc>
        <w:tc>
          <w:tcPr>
            <w:tcW w:w="661" w:type="dxa"/>
            <w:tcBorders>
              <w:top w:val="nil"/>
              <w:left w:val="nil"/>
              <w:bottom w:val="single" w:sz="4" w:space="0" w:color="auto"/>
              <w:right w:val="single" w:sz="4" w:space="0" w:color="auto"/>
            </w:tcBorders>
            <w:shd w:val="clear" w:color="auto" w:fill="auto"/>
            <w:noWrap/>
            <w:vAlign w:val="center"/>
            <w:hideMark/>
          </w:tcPr>
          <w:p w14:paraId="0B1C332A" w14:textId="396F206E"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179</w:t>
            </w:r>
          </w:p>
        </w:tc>
        <w:tc>
          <w:tcPr>
            <w:tcW w:w="717" w:type="dxa"/>
            <w:tcBorders>
              <w:top w:val="nil"/>
              <w:left w:val="nil"/>
              <w:bottom w:val="single" w:sz="4" w:space="0" w:color="auto"/>
              <w:right w:val="single" w:sz="4" w:space="0" w:color="auto"/>
            </w:tcBorders>
            <w:shd w:val="clear" w:color="auto" w:fill="auto"/>
            <w:noWrap/>
            <w:vAlign w:val="center"/>
            <w:hideMark/>
          </w:tcPr>
          <w:p w14:paraId="53E38D73" w14:textId="5168B59F"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1,877</w:t>
            </w:r>
          </w:p>
        </w:tc>
      </w:tr>
      <w:tr w:rsidR="002B1B71" w:rsidRPr="002B1B71" w14:paraId="494428BC" w14:textId="77777777" w:rsidTr="00560987">
        <w:trPr>
          <w:trHeight w:val="576"/>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7ECCF438" w14:textId="77777777" w:rsidR="002B1B71" w:rsidRPr="002B1B71" w:rsidRDefault="002B1B71" w:rsidP="00560987">
            <w:pPr>
              <w:rPr>
                <w:rFonts w:ascii="Arial" w:hAnsi="Arial" w:cs="Arial"/>
                <w:color w:val="000000"/>
                <w:sz w:val="20"/>
                <w:szCs w:val="20"/>
              </w:rPr>
            </w:pPr>
            <w:r w:rsidRPr="002B1B71">
              <w:rPr>
                <w:rFonts w:ascii="Arial" w:hAnsi="Arial" w:cs="Arial"/>
                <w:color w:val="000000"/>
                <w:sz w:val="20"/>
                <w:szCs w:val="20"/>
              </w:rPr>
              <w:t>Total Complaints</w:t>
            </w:r>
          </w:p>
        </w:tc>
        <w:tc>
          <w:tcPr>
            <w:tcW w:w="469" w:type="dxa"/>
            <w:tcBorders>
              <w:top w:val="nil"/>
              <w:left w:val="nil"/>
              <w:bottom w:val="single" w:sz="4" w:space="0" w:color="auto"/>
              <w:right w:val="single" w:sz="4" w:space="0" w:color="auto"/>
            </w:tcBorders>
            <w:shd w:val="clear" w:color="auto" w:fill="auto"/>
            <w:noWrap/>
            <w:vAlign w:val="center"/>
            <w:hideMark/>
          </w:tcPr>
          <w:p w14:paraId="17C1FD29" w14:textId="2B35B00D"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144</w:t>
            </w:r>
          </w:p>
        </w:tc>
        <w:tc>
          <w:tcPr>
            <w:tcW w:w="661" w:type="dxa"/>
            <w:tcBorders>
              <w:top w:val="nil"/>
              <w:left w:val="nil"/>
              <w:bottom w:val="single" w:sz="4" w:space="0" w:color="auto"/>
              <w:right w:val="single" w:sz="4" w:space="0" w:color="auto"/>
            </w:tcBorders>
            <w:shd w:val="clear" w:color="auto" w:fill="auto"/>
            <w:noWrap/>
            <w:vAlign w:val="center"/>
            <w:hideMark/>
          </w:tcPr>
          <w:p w14:paraId="0819C844" w14:textId="01A83493"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166</w:t>
            </w:r>
          </w:p>
        </w:tc>
        <w:tc>
          <w:tcPr>
            <w:tcW w:w="661" w:type="dxa"/>
            <w:tcBorders>
              <w:top w:val="nil"/>
              <w:left w:val="nil"/>
              <w:bottom w:val="single" w:sz="4" w:space="0" w:color="auto"/>
              <w:right w:val="single" w:sz="4" w:space="0" w:color="auto"/>
            </w:tcBorders>
            <w:shd w:val="clear" w:color="auto" w:fill="auto"/>
            <w:noWrap/>
            <w:vAlign w:val="center"/>
            <w:hideMark/>
          </w:tcPr>
          <w:p w14:paraId="60249F49" w14:textId="66A6265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125</w:t>
            </w:r>
          </w:p>
        </w:tc>
        <w:tc>
          <w:tcPr>
            <w:tcW w:w="661" w:type="dxa"/>
            <w:tcBorders>
              <w:top w:val="nil"/>
              <w:left w:val="nil"/>
              <w:bottom w:val="single" w:sz="4" w:space="0" w:color="auto"/>
              <w:right w:val="single" w:sz="4" w:space="0" w:color="auto"/>
            </w:tcBorders>
            <w:shd w:val="clear" w:color="auto" w:fill="auto"/>
            <w:noWrap/>
            <w:vAlign w:val="center"/>
            <w:hideMark/>
          </w:tcPr>
          <w:p w14:paraId="77FF9167" w14:textId="03234861"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154</w:t>
            </w:r>
          </w:p>
        </w:tc>
        <w:tc>
          <w:tcPr>
            <w:tcW w:w="661" w:type="dxa"/>
            <w:tcBorders>
              <w:top w:val="nil"/>
              <w:left w:val="nil"/>
              <w:bottom w:val="single" w:sz="4" w:space="0" w:color="auto"/>
              <w:right w:val="single" w:sz="4" w:space="0" w:color="auto"/>
            </w:tcBorders>
            <w:shd w:val="clear" w:color="auto" w:fill="auto"/>
            <w:noWrap/>
            <w:vAlign w:val="center"/>
            <w:hideMark/>
          </w:tcPr>
          <w:p w14:paraId="227A0D1D" w14:textId="38B6DED4"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160</w:t>
            </w:r>
          </w:p>
        </w:tc>
        <w:tc>
          <w:tcPr>
            <w:tcW w:w="661" w:type="dxa"/>
            <w:tcBorders>
              <w:top w:val="nil"/>
              <w:left w:val="nil"/>
              <w:bottom w:val="single" w:sz="4" w:space="0" w:color="auto"/>
              <w:right w:val="single" w:sz="4" w:space="0" w:color="auto"/>
            </w:tcBorders>
            <w:shd w:val="clear" w:color="auto" w:fill="auto"/>
            <w:noWrap/>
            <w:vAlign w:val="center"/>
            <w:hideMark/>
          </w:tcPr>
          <w:p w14:paraId="3F55CC34" w14:textId="45FDCF79"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87</w:t>
            </w:r>
          </w:p>
        </w:tc>
        <w:tc>
          <w:tcPr>
            <w:tcW w:w="717" w:type="dxa"/>
            <w:tcBorders>
              <w:top w:val="nil"/>
              <w:left w:val="nil"/>
              <w:bottom w:val="single" w:sz="4" w:space="0" w:color="auto"/>
              <w:right w:val="single" w:sz="4" w:space="0" w:color="auto"/>
            </w:tcBorders>
            <w:shd w:val="clear" w:color="auto" w:fill="auto"/>
            <w:noWrap/>
            <w:vAlign w:val="center"/>
            <w:hideMark/>
          </w:tcPr>
          <w:p w14:paraId="5987C958" w14:textId="5328780B" w:rsidR="002B1B71" w:rsidRPr="002B1B71" w:rsidRDefault="002B1B71" w:rsidP="00560987">
            <w:pPr>
              <w:jc w:val="right"/>
              <w:rPr>
                <w:rFonts w:ascii="Arial" w:hAnsi="Arial" w:cs="Arial"/>
                <w:color w:val="000000"/>
                <w:sz w:val="20"/>
                <w:szCs w:val="20"/>
              </w:rPr>
            </w:pPr>
            <w:r w:rsidRPr="002B1B71">
              <w:rPr>
                <w:rFonts w:ascii="Arial" w:hAnsi="Arial" w:cs="Arial"/>
                <w:color w:val="000000"/>
                <w:sz w:val="20"/>
                <w:szCs w:val="20"/>
              </w:rPr>
              <w:t>836</w:t>
            </w:r>
          </w:p>
        </w:tc>
      </w:tr>
    </w:tbl>
    <w:p w14:paraId="56DB8020" w14:textId="564CF9E0" w:rsidR="002B1B71" w:rsidRDefault="002B1B71" w:rsidP="002B1B71">
      <w:pPr>
        <w:spacing w:after="240"/>
        <w:rPr>
          <w:rFonts w:ascii="Calibri" w:eastAsiaTheme="minorHAnsi" w:hAnsi="Calibri"/>
          <w:sz w:val="22"/>
          <w:szCs w:val="22"/>
        </w:rPr>
      </w:pPr>
    </w:p>
    <w:p w14:paraId="621AE9CE" w14:textId="495E4CC3" w:rsidR="00BC56C7" w:rsidRPr="00833872" w:rsidRDefault="00BC56C7" w:rsidP="00BC56C7">
      <w:pPr>
        <w:rPr>
          <w:rFonts w:eastAsiaTheme="minorHAnsi"/>
        </w:rPr>
      </w:pPr>
      <w:r w:rsidRPr="00833872">
        <w:rPr>
          <w:rFonts w:eastAsiaTheme="minorHAnsi"/>
        </w:rPr>
        <w:t>An analysis by transaction type revealed that over 82%</w:t>
      </w:r>
      <w:r w:rsidR="00E164E0" w:rsidRPr="00833872">
        <w:rPr>
          <w:rFonts w:eastAsiaTheme="minorHAnsi"/>
        </w:rPr>
        <w:t xml:space="preserve"> </w:t>
      </w:r>
      <w:r w:rsidR="002D3C29" w:rsidRPr="00833872">
        <w:rPr>
          <w:rFonts w:eastAsiaTheme="minorHAnsi"/>
        </w:rPr>
        <w:t xml:space="preserve">of all housing discrimination complaints occurred in the rental market. This is comparable to </w:t>
      </w:r>
      <w:r w:rsidR="00066778" w:rsidRPr="00833872">
        <w:rPr>
          <w:rFonts w:eastAsiaTheme="minorHAnsi"/>
        </w:rPr>
        <w:t>the national rate of 83.75% reported in the 2020 NFHA report.</w:t>
      </w:r>
    </w:p>
    <w:p w14:paraId="60E8491B" w14:textId="77777777" w:rsidR="00BC56C7" w:rsidRPr="00833872" w:rsidRDefault="00BC56C7" w:rsidP="00BC56C7">
      <w:pPr>
        <w:rPr>
          <w:rFonts w:eastAsiaTheme="minorHAnsi"/>
        </w:rPr>
      </w:pPr>
    </w:p>
    <w:p w14:paraId="488B019B" w14:textId="1F9E91EB" w:rsidR="002804E1" w:rsidRPr="002B1B71" w:rsidRDefault="002804E1" w:rsidP="006B3878">
      <w:pPr>
        <w:pStyle w:val="Caption"/>
        <w:rPr>
          <w:rFonts w:eastAsiaTheme="minorHAnsi"/>
        </w:rPr>
      </w:pPr>
      <w:r w:rsidRPr="00833872">
        <w:rPr>
          <w:rFonts w:eastAsiaTheme="minorHAnsi"/>
        </w:rPr>
        <w:t xml:space="preserve">Table </w:t>
      </w:r>
      <w:r w:rsidRPr="00833872">
        <w:rPr>
          <w:rFonts w:eastAsiaTheme="minorHAnsi"/>
        </w:rPr>
        <w:fldChar w:fldCharType="begin"/>
      </w:r>
      <w:r w:rsidRPr="00833872">
        <w:rPr>
          <w:rFonts w:eastAsiaTheme="minorHAnsi"/>
        </w:rPr>
        <w:instrText xml:space="preserve"> SEQ Table \* ARABIC </w:instrText>
      </w:r>
      <w:r w:rsidRPr="00833872">
        <w:rPr>
          <w:rFonts w:eastAsiaTheme="minorHAnsi"/>
        </w:rPr>
        <w:fldChar w:fldCharType="separate"/>
      </w:r>
      <w:r w:rsidR="0055251A">
        <w:rPr>
          <w:rFonts w:eastAsiaTheme="minorHAnsi"/>
          <w:noProof/>
        </w:rPr>
        <w:t>25</w:t>
      </w:r>
      <w:r w:rsidRPr="00833872">
        <w:rPr>
          <w:rFonts w:eastAsiaTheme="minorHAnsi"/>
          <w:noProof/>
        </w:rPr>
        <w:fldChar w:fldCharType="end"/>
      </w:r>
      <w:r w:rsidRPr="00833872">
        <w:rPr>
          <w:rFonts w:eastAsiaTheme="minorHAnsi"/>
        </w:rPr>
        <w:t xml:space="preserve"> Housing </w:t>
      </w:r>
      <w:r w:rsidR="00564F89" w:rsidRPr="00833872">
        <w:rPr>
          <w:rFonts w:eastAsiaTheme="minorHAnsi"/>
        </w:rPr>
        <w:t xml:space="preserve">Discrimination Complaint Data </w:t>
      </w:r>
      <w:r w:rsidRPr="00833872">
        <w:rPr>
          <w:rFonts w:eastAsiaTheme="minorHAnsi"/>
        </w:rPr>
        <w:t xml:space="preserve">by </w:t>
      </w:r>
      <w:r w:rsidR="00564F89" w:rsidRPr="00833872">
        <w:rPr>
          <w:rFonts w:eastAsiaTheme="minorHAnsi"/>
        </w:rPr>
        <w:t>Transaction Type</w:t>
      </w:r>
      <w:r w:rsidRPr="00833872">
        <w:rPr>
          <w:rFonts w:eastAsiaTheme="minorHAnsi"/>
        </w:rPr>
        <w:t>, 2015-2020</w:t>
      </w:r>
    </w:p>
    <w:tbl>
      <w:tblPr>
        <w:tblW w:w="7069" w:type="dxa"/>
        <w:tblLook w:val="04A0" w:firstRow="1" w:lastRow="0" w:firstColumn="1" w:lastColumn="0" w:noHBand="0" w:noVBand="1"/>
      </w:tblPr>
      <w:tblGrid>
        <w:gridCol w:w="4945"/>
        <w:gridCol w:w="972"/>
        <w:gridCol w:w="1152"/>
      </w:tblGrid>
      <w:tr w:rsidR="00AA1CAF" w:rsidRPr="002B1B71" w14:paraId="3B9F9F17" w14:textId="77777777" w:rsidTr="00C156D9">
        <w:trPr>
          <w:trHeight w:val="255"/>
        </w:trPr>
        <w:tc>
          <w:tcPr>
            <w:tcW w:w="4945"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7C98010" w14:textId="51776788" w:rsidR="00AA1CAF" w:rsidRPr="002B1B71" w:rsidRDefault="00AA1CAF" w:rsidP="004A6858">
            <w:pPr>
              <w:rPr>
                <w:rFonts w:ascii="Arial" w:hAnsi="Arial" w:cs="Arial"/>
                <w:b/>
                <w:bCs/>
                <w:color w:val="FFFFFF" w:themeColor="background1"/>
                <w:sz w:val="20"/>
                <w:szCs w:val="20"/>
              </w:rPr>
            </w:pPr>
            <w:r>
              <w:rPr>
                <w:rFonts w:ascii="Arial" w:hAnsi="Arial" w:cs="Arial"/>
                <w:b/>
                <w:bCs/>
                <w:color w:val="FFFFFF" w:themeColor="background1"/>
                <w:sz w:val="20"/>
                <w:szCs w:val="20"/>
              </w:rPr>
              <w:t>Type</w:t>
            </w:r>
          </w:p>
        </w:tc>
        <w:tc>
          <w:tcPr>
            <w:tcW w:w="972"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284296BE" w14:textId="769865AF" w:rsidR="00AA1CAF" w:rsidRPr="002B1B71" w:rsidRDefault="00AA1CAF" w:rsidP="004A6858">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Number</w:t>
            </w:r>
          </w:p>
        </w:tc>
        <w:tc>
          <w:tcPr>
            <w:tcW w:w="1152"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1D9DC1F4" w14:textId="75C53EAD" w:rsidR="00AA1CAF" w:rsidRPr="002B1B71" w:rsidRDefault="00AA1CAF" w:rsidP="004A6858">
            <w:pPr>
              <w:jc w:val="center"/>
              <w:rPr>
                <w:rFonts w:ascii="Arial" w:hAnsi="Arial" w:cs="Arial"/>
                <w:b/>
                <w:bCs/>
                <w:color w:val="FFFFFF" w:themeColor="background1"/>
                <w:sz w:val="20"/>
                <w:szCs w:val="20"/>
              </w:rPr>
            </w:pPr>
            <w:r>
              <w:rPr>
                <w:rFonts w:ascii="Arial" w:hAnsi="Arial" w:cs="Arial"/>
                <w:b/>
                <w:bCs/>
                <w:color w:val="FFFFFF" w:themeColor="background1"/>
                <w:sz w:val="20"/>
                <w:szCs w:val="20"/>
              </w:rPr>
              <w:t>Percent</w:t>
            </w:r>
          </w:p>
        </w:tc>
      </w:tr>
      <w:tr w:rsidR="00AA1CAF" w:rsidRPr="002B1B71" w14:paraId="13393E07" w14:textId="77777777" w:rsidTr="00C156D9">
        <w:trPr>
          <w:trHeight w:val="432"/>
        </w:trPr>
        <w:tc>
          <w:tcPr>
            <w:tcW w:w="4945" w:type="dxa"/>
            <w:tcBorders>
              <w:top w:val="nil"/>
              <w:left w:val="single" w:sz="4" w:space="0" w:color="auto"/>
              <w:bottom w:val="single" w:sz="4" w:space="0" w:color="auto"/>
              <w:right w:val="single" w:sz="4" w:space="0" w:color="auto"/>
            </w:tcBorders>
            <w:shd w:val="clear" w:color="auto" w:fill="auto"/>
            <w:vAlign w:val="center"/>
          </w:tcPr>
          <w:p w14:paraId="75A716FC" w14:textId="78C53C96" w:rsidR="00AA1CAF" w:rsidRPr="002B1B71" w:rsidRDefault="00AA1CAF" w:rsidP="004A6858">
            <w:pPr>
              <w:rPr>
                <w:rFonts w:ascii="Arial" w:hAnsi="Arial" w:cs="Arial"/>
                <w:color w:val="000000"/>
                <w:sz w:val="20"/>
                <w:szCs w:val="20"/>
              </w:rPr>
            </w:pPr>
            <w:r>
              <w:rPr>
                <w:rFonts w:ascii="Arial" w:hAnsi="Arial" w:cs="Arial"/>
                <w:color w:val="000000"/>
                <w:sz w:val="20"/>
                <w:szCs w:val="20"/>
              </w:rPr>
              <w:t>Rental</w:t>
            </w:r>
          </w:p>
        </w:tc>
        <w:tc>
          <w:tcPr>
            <w:tcW w:w="972" w:type="dxa"/>
            <w:tcBorders>
              <w:top w:val="nil"/>
              <w:left w:val="nil"/>
              <w:bottom w:val="single" w:sz="4" w:space="0" w:color="auto"/>
              <w:right w:val="single" w:sz="4" w:space="0" w:color="auto"/>
            </w:tcBorders>
            <w:shd w:val="clear" w:color="auto" w:fill="auto"/>
            <w:noWrap/>
            <w:vAlign w:val="center"/>
          </w:tcPr>
          <w:p w14:paraId="2629B563" w14:textId="48D3AA43" w:rsidR="00AA1CAF" w:rsidRPr="002B1B71" w:rsidRDefault="00AA1CAF" w:rsidP="004A6858">
            <w:pPr>
              <w:jc w:val="right"/>
              <w:rPr>
                <w:rFonts w:ascii="Arial" w:hAnsi="Arial" w:cs="Arial"/>
                <w:color w:val="000000"/>
                <w:sz w:val="20"/>
                <w:szCs w:val="20"/>
              </w:rPr>
            </w:pPr>
            <w:r>
              <w:rPr>
                <w:rFonts w:ascii="Arial" w:hAnsi="Arial" w:cs="Arial"/>
                <w:color w:val="000000"/>
                <w:sz w:val="20"/>
                <w:szCs w:val="20"/>
              </w:rPr>
              <w:t>1,541</w:t>
            </w:r>
          </w:p>
        </w:tc>
        <w:tc>
          <w:tcPr>
            <w:tcW w:w="1152" w:type="dxa"/>
            <w:tcBorders>
              <w:top w:val="nil"/>
              <w:left w:val="nil"/>
              <w:bottom w:val="single" w:sz="4" w:space="0" w:color="auto"/>
              <w:right w:val="single" w:sz="4" w:space="0" w:color="auto"/>
            </w:tcBorders>
            <w:shd w:val="clear" w:color="auto" w:fill="auto"/>
            <w:noWrap/>
            <w:vAlign w:val="center"/>
          </w:tcPr>
          <w:p w14:paraId="292069EA" w14:textId="284BBA2B" w:rsidR="00AA1CAF" w:rsidRPr="002B1B71" w:rsidRDefault="00727F9B" w:rsidP="004A6858">
            <w:pPr>
              <w:jc w:val="right"/>
              <w:rPr>
                <w:rFonts w:ascii="Arial" w:hAnsi="Arial" w:cs="Arial"/>
                <w:color w:val="000000"/>
                <w:sz w:val="20"/>
                <w:szCs w:val="20"/>
              </w:rPr>
            </w:pPr>
            <w:r>
              <w:rPr>
                <w:rFonts w:ascii="Arial" w:hAnsi="Arial" w:cs="Arial"/>
                <w:color w:val="000000"/>
                <w:sz w:val="20"/>
                <w:szCs w:val="20"/>
              </w:rPr>
              <w:t>82.1%</w:t>
            </w:r>
          </w:p>
        </w:tc>
      </w:tr>
      <w:tr w:rsidR="00C156D9" w:rsidRPr="002B1B71" w14:paraId="5827F1E5" w14:textId="77777777" w:rsidTr="00C156D9">
        <w:trPr>
          <w:trHeight w:val="432"/>
        </w:trPr>
        <w:tc>
          <w:tcPr>
            <w:tcW w:w="4945" w:type="dxa"/>
            <w:tcBorders>
              <w:top w:val="nil"/>
              <w:left w:val="single" w:sz="4" w:space="0" w:color="auto"/>
              <w:bottom w:val="single" w:sz="4" w:space="0" w:color="auto"/>
              <w:right w:val="single" w:sz="4" w:space="0" w:color="auto"/>
            </w:tcBorders>
            <w:shd w:val="clear" w:color="auto" w:fill="auto"/>
            <w:vAlign w:val="center"/>
          </w:tcPr>
          <w:p w14:paraId="05FADEBD" w14:textId="67C38BAB" w:rsidR="00C156D9" w:rsidRDefault="00C156D9" w:rsidP="00C156D9">
            <w:pPr>
              <w:rPr>
                <w:rFonts w:ascii="Arial" w:hAnsi="Arial" w:cs="Arial"/>
                <w:color w:val="000000"/>
                <w:sz w:val="20"/>
                <w:szCs w:val="20"/>
              </w:rPr>
            </w:pPr>
            <w:r>
              <w:rPr>
                <w:rFonts w:ascii="Arial" w:hAnsi="Arial" w:cs="Arial"/>
                <w:color w:val="000000"/>
                <w:sz w:val="20"/>
                <w:szCs w:val="20"/>
              </w:rPr>
              <w:t>Harassment</w:t>
            </w:r>
          </w:p>
        </w:tc>
        <w:tc>
          <w:tcPr>
            <w:tcW w:w="972" w:type="dxa"/>
            <w:tcBorders>
              <w:top w:val="nil"/>
              <w:left w:val="nil"/>
              <w:bottom w:val="single" w:sz="4" w:space="0" w:color="auto"/>
              <w:right w:val="single" w:sz="4" w:space="0" w:color="auto"/>
            </w:tcBorders>
            <w:shd w:val="clear" w:color="auto" w:fill="auto"/>
            <w:noWrap/>
            <w:vAlign w:val="center"/>
          </w:tcPr>
          <w:p w14:paraId="043FBC53" w14:textId="53D1FC7B" w:rsidR="00C156D9" w:rsidRDefault="00C156D9" w:rsidP="00C156D9">
            <w:pPr>
              <w:jc w:val="right"/>
              <w:rPr>
                <w:rFonts w:ascii="Arial" w:hAnsi="Arial" w:cs="Arial"/>
                <w:color w:val="000000"/>
                <w:sz w:val="20"/>
                <w:szCs w:val="20"/>
              </w:rPr>
            </w:pPr>
            <w:r>
              <w:rPr>
                <w:rFonts w:ascii="Arial" w:hAnsi="Arial" w:cs="Arial"/>
                <w:color w:val="000000"/>
                <w:sz w:val="20"/>
                <w:szCs w:val="20"/>
              </w:rPr>
              <w:t>130</w:t>
            </w:r>
          </w:p>
        </w:tc>
        <w:tc>
          <w:tcPr>
            <w:tcW w:w="1152" w:type="dxa"/>
            <w:tcBorders>
              <w:top w:val="nil"/>
              <w:left w:val="nil"/>
              <w:bottom w:val="single" w:sz="4" w:space="0" w:color="auto"/>
              <w:right w:val="single" w:sz="4" w:space="0" w:color="auto"/>
            </w:tcBorders>
            <w:shd w:val="clear" w:color="auto" w:fill="auto"/>
            <w:noWrap/>
            <w:vAlign w:val="center"/>
          </w:tcPr>
          <w:p w14:paraId="1C287BF4" w14:textId="224A64B2" w:rsidR="00C156D9" w:rsidRPr="002B1B71" w:rsidRDefault="00727F9B" w:rsidP="00C156D9">
            <w:pPr>
              <w:jc w:val="right"/>
              <w:rPr>
                <w:rFonts w:ascii="Arial" w:hAnsi="Arial" w:cs="Arial"/>
                <w:color w:val="000000"/>
                <w:sz w:val="20"/>
                <w:szCs w:val="20"/>
              </w:rPr>
            </w:pPr>
            <w:r>
              <w:rPr>
                <w:rFonts w:ascii="Arial" w:hAnsi="Arial" w:cs="Arial"/>
                <w:color w:val="000000"/>
                <w:sz w:val="20"/>
                <w:szCs w:val="20"/>
              </w:rPr>
              <w:t>6.9%</w:t>
            </w:r>
          </w:p>
        </w:tc>
      </w:tr>
      <w:tr w:rsidR="00C156D9" w:rsidRPr="002B1B71" w14:paraId="10D10804" w14:textId="77777777" w:rsidTr="00DF79A2">
        <w:trPr>
          <w:trHeight w:val="432"/>
        </w:trPr>
        <w:tc>
          <w:tcPr>
            <w:tcW w:w="4945" w:type="dxa"/>
            <w:tcBorders>
              <w:top w:val="single" w:sz="4" w:space="0" w:color="auto"/>
              <w:left w:val="single" w:sz="4" w:space="0" w:color="auto"/>
              <w:bottom w:val="single" w:sz="4" w:space="0" w:color="auto"/>
              <w:right w:val="single" w:sz="4" w:space="0" w:color="auto"/>
            </w:tcBorders>
            <w:shd w:val="clear" w:color="auto" w:fill="auto"/>
            <w:vAlign w:val="center"/>
          </w:tcPr>
          <w:p w14:paraId="7A97E811" w14:textId="1127566C" w:rsidR="00C156D9" w:rsidRDefault="00C156D9" w:rsidP="00C156D9">
            <w:pPr>
              <w:rPr>
                <w:rFonts w:ascii="Arial" w:hAnsi="Arial" w:cs="Arial"/>
                <w:color w:val="000000"/>
                <w:sz w:val="20"/>
                <w:szCs w:val="20"/>
              </w:rPr>
            </w:pPr>
            <w:r>
              <w:rPr>
                <w:rFonts w:ascii="Arial" w:hAnsi="Arial" w:cs="Arial"/>
                <w:color w:val="000000"/>
                <w:sz w:val="20"/>
                <w:szCs w:val="20"/>
              </w:rPr>
              <w:t>Advertising</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30AED9B3" w14:textId="2D2B1D1D" w:rsidR="00C156D9" w:rsidRDefault="00C156D9" w:rsidP="00C156D9">
            <w:pPr>
              <w:jc w:val="right"/>
              <w:rPr>
                <w:rFonts w:ascii="Arial" w:hAnsi="Arial" w:cs="Arial"/>
                <w:color w:val="000000"/>
                <w:sz w:val="20"/>
                <w:szCs w:val="20"/>
              </w:rPr>
            </w:pPr>
            <w:r>
              <w:rPr>
                <w:rFonts w:ascii="Arial" w:hAnsi="Arial" w:cs="Arial"/>
                <w:color w:val="000000"/>
                <w:sz w:val="20"/>
                <w:szCs w:val="20"/>
              </w:rPr>
              <w:t>101</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EE275E1" w14:textId="026D3584" w:rsidR="00C156D9" w:rsidRPr="002B1B71" w:rsidRDefault="0041373E" w:rsidP="00C156D9">
            <w:pPr>
              <w:jc w:val="right"/>
              <w:rPr>
                <w:rFonts w:ascii="Arial" w:hAnsi="Arial" w:cs="Arial"/>
                <w:color w:val="000000"/>
                <w:sz w:val="20"/>
                <w:szCs w:val="20"/>
              </w:rPr>
            </w:pPr>
            <w:r>
              <w:rPr>
                <w:rFonts w:ascii="Arial" w:hAnsi="Arial" w:cs="Arial"/>
                <w:color w:val="000000"/>
                <w:sz w:val="20"/>
                <w:szCs w:val="20"/>
              </w:rPr>
              <w:t>5.4%</w:t>
            </w:r>
          </w:p>
        </w:tc>
      </w:tr>
      <w:tr w:rsidR="00C156D9" w:rsidRPr="002B1B71" w14:paraId="206C741F" w14:textId="77777777" w:rsidTr="00DF79A2">
        <w:trPr>
          <w:trHeight w:val="432"/>
        </w:trPr>
        <w:tc>
          <w:tcPr>
            <w:tcW w:w="4945" w:type="dxa"/>
            <w:tcBorders>
              <w:top w:val="single" w:sz="4" w:space="0" w:color="auto"/>
              <w:left w:val="single" w:sz="4" w:space="0" w:color="auto"/>
              <w:bottom w:val="single" w:sz="4" w:space="0" w:color="auto"/>
              <w:right w:val="single" w:sz="4" w:space="0" w:color="auto"/>
            </w:tcBorders>
            <w:shd w:val="clear" w:color="auto" w:fill="auto"/>
            <w:vAlign w:val="center"/>
          </w:tcPr>
          <w:p w14:paraId="44E315B6" w14:textId="08366E84" w:rsidR="00C156D9" w:rsidRDefault="00C156D9" w:rsidP="00C156D9">
            <w:pPr>
              <w:rPr>
                <w:rFonts w:ascii="Arial" w:hAnsi="Arial" w:cs="Arial"/>
                <w:color w:val="000000"/>
                <w:sz w:val="20"/>
                <w:szCs w:val="20"/>
              </w:rPr>
            </w:pPr>
            <w:r>
              <w:rPr>
                <w:rFonts w:ascii="Arial" w:hAnsi="Arial" w:cs="Arial"/>
                <w:color w:val="000000"/>
                <w:sz w:val="20"/>
                <w:szCs w:val="20"/>
              </w:rPr>
              <w:t>Other</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56C4ADD9" w14:textId="2B3A7B65" w:rsidR="00C156D9" w:rsidRDefault="00C156D9" w:rsidP="00C156D9">
            <w:pPr>
              <w:jc w:val="right"/>
              <w:rPr>
                <w:rFonts w:ascii="Arial" w:hAnsi="Arial" w:cs="Arial"/>
                <w:color w:val="000000"/>
                <w:sz w:val="20"/>
                <w:szCs w:val="20"/>
              </w:rPr>
            </w:pPr>
            <w:r>
              <w:rPr>
                <w:rFonts w:ascii="Arial" w:hAnsi="Arial" w:cs="Arial"/>
                <w:color w:val="000000"/>
                <w:sz w:val="20"/>
                <w:szCs w:val="20"/>
              </w:rPr>
              <w:t>52</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24E49A7" w14:textId="62793DC0" w:rsidR="00C156D9" w:rsidRPr="002B1B71" w:rsidRDefault="0041373E" w:rsidP="00C156D9">
            <w:pPr>
              <w:jc w:val="right"/>
              <w:rPr>
                <w:rFonts w:ascii="Arial" w:hAnsi="Arial" w:cs="Arial"/>
                <w:color w:val="000000"/>
                <w:sz w:val="20"/>
                <w:szCs w:val="20"/>
              </w:rPr>
            </w:pPr>
            <w:r>
              <w:rPr>
                <w:rFonts w:ascii="Arial" w:hAnsi="Arial" w:cs="Arial"/>
                <w:color w:val="000000"/>
                <w:sz w:val="20"/>
                <w:szCs w:val="20"/>
              </w:rPr>
              <w:t>2.8%</w:t>
            </w:r>
          </w:p>
        </w:tc>
      </w:tr>
      <w:tr w:rsidR="00C156D9" w:rsidRPr="002B1B71" w14:paraId="7D68746B" w14:textId="77777777" w:rsidTr="00C156D9">
        <w:trPr>
          <w:trHeight w:val="432"/>
        </w:trPr>
        <w:tc>
          <w:tcPr>
            <w:tcW w:w="4945" w:type="dxa"/>
            <w:tcBorders>
              <w:top w:val="nil"/>
              <w:left w:val="single" w:sz="4" w:space="0" w:color="auto"/>
              <w:bottom w:val="single" w:sz="4" w:space="0" w:color="auto"/>
              <w:right w:val="single" w:sz="4" w:space="0" w:color="auto"/>
            </w:tcBorders>
            <w:shd w:val="clear" w:color="auto" w:fill="auto"/>
            <w:vAlign w:val="center"/>
          </w:tcPr>
          <w:p w14:paraId="160D4546" w14:textId="0A70A636" w:rsidR="00C156D9" w:rsidRPr="002B1B71" w:rsidRDefault="00C156D9" w:rsidP="00C156D9">
            <w:pPr>
              <w:rPr>
                <w:rFonts w:ascii="Arial" w:hAnsi="Arial" w:cs="Arial"/>
                <w:color w:val="000000"/>
                <w:sz w:val="20"/>
                <w:szCs w:val="20"/>
              </w:rPr>
            </w:pPr>
            <w:r>
              <w:rPr>
                <w:rFonts w:ascii="Arial" w:hAnsi="Arial" w:cs="Arial"/>
                <w:color w:val="000000"/>
                <w:sz w:val="20"/>
                <w:szCs w:val="20"/>
              </w:rPr>
              <w:lastRenderedPageBreak/>
              <w:t>Sales</w:t>
            </w:r>
          </w:p>
        </w:tc>
        <w:tc>
          <w:tcPr>
            <w:tcW w:w="972" w:type="dxa"/>
            <w:tcBorders>
              <w:top w:val="nil"/>
              <w:left w:val="nil"/>
              <w:bottom w:val="single" w:sz="4" w:space="0" w:color="auto"/>
              <w:right w:val="single" w:sz="4" w:space="0" w:color="auto"/>
            </w:tcBorders>
            <w:shd w:val="clear" w:color="auto" w:fill="auto"/>
            <w:noWrap/>
            <w:vAlign w:val="center"/>
          </w:tcPr>
          <w:p w14:paraId="162740C9" w14:textId="21AFC7AB" w:rsidR="00C156D9" w:rsidRPr="002B1B71" w:rsidRDefault="00C156D9" w:rsidP="00C156D9">
            <w:pPr>
              <w:jc w:val="right"/>
              <w:rPr>
                <w:rFonts w:ascii="Arial" w:hAnsi="Arial" w:cs="Arial"/>
                <w:color w:val="000000"/>
                <w:sz w:val="20"/>
                <w:szCs w:val="20"/>
              </w:rPr>
            </w:pPr>
            <w:r>
              <w:rPr>
                <w:rFonts w:ascii="Arial" w:hAnsi="Arial" w:cs="Arial"/>
                <w:color w:val="000000"/>
                <w:sz w:val="20"/>
                <w:szCs w:val="20"/>
              </w:rPr>
              <w:t>45</w:t>
            </w:r>
          </w:p>
        </w:tc>
        <w:tc>
          <w:tcPr>
            <w:tcW w:w="1152" w:type="dxa"/>
            <w:tcBorders>
              <w:top w:val="nil"/>
              <w:left w:val="nil"/>
              <w:bottom w:val="single" w:sz="4" w:space="0" w:color="auto"/>
              <w:right w:val="single" w:sz="4" w:space="0" w:color="auto"/>
            </w:tcBorders>
            <w:shd w:val="clear" w:color="auto" w:fill="auto"/>
            <w:noWrap/>
            <w:vAlign w:val="center"/>
          </w:tcPr>
          <w:p w14:paraId="7AED14E4" w14:textId="5DC3E78B" w:rsidR="00C156D9" w:rsidRPr="002B1B71" w:rsidRDefault="0041373E" w:rsidP="00C156D9">
            <w:pPr>
              <w:jc w:val="right"/>
              <w:rPr>
                <w:rFonts w:ascii="Arial" w:hAnsi="Arial" w:cs="Arial"/>
                <w:color w:val="000000"/>
                <w:sz w:val="20"/>
                <w:szCs w:val="20"/>
              </w:rPr>
            </w:pPr>
            <w:r>
              <w:rPr>
                <w:rFonts w:ascii="Arial" w:hAnsi="Arial" w:cs="Arial"/>
                <w:color w:val="000000"/>
                <w:sz w:val="20"/>
                <w:szCs w:val="20"/>
              </w:rPr>
              <w:t>2.4%</w:t>
            </w:r>
          </w:p>
        </w:tc>
      </w:tr>
      <w:tr w:rsidR="00C156D9" w:rsidRPr="002B1B71" w14:paraId="69FAFE17" w14:textId="77777777" w:rsidTr="00C156D9">
        <w:trPr>
          <w:trHeight w:val="432"/>
        </w:trPr>
        <w:tc>
          <w:tcPr>
            <w:tcW w:w="4945" w:type="dxa"/>
            <w:tcBorders>
              <w:top w:val="single" w:sz="4" w:space="0" w:color="auto"/>
              <w:left w:val="single" w:sz="4" w:space="0" w:color="auto"/>
              <w:bottom w:val="single" w:sz="4" w:space="0" w:color="auto"/>
              <w:right w:val="single" w:sz="4" w:space="0" w:color="auto"/>
            </w:tcBorders>
            <w:shd w:val="clear" w:color="auto" w:fill="auto"/>
            <w:vAlign w:val="center"/>
          </w:tcPr>
          <w:p w14:paraId="0C131243" w14:textId="0E09A935" w:rsidR="00C156D9" w:rsidRPr="002B1B71" w:rsidRDefault="00C156D9" w:rsidP="00C156D9">
            <w:pPr>
              <w:rPr>
                <w:rFonts w:ascii="Arial" w:hAnsi="Arial" w:cs="Arial"/>
                <w:color w:val="000000"/>
                <w:sz w:val="20"/>
                <w:szCs w:val="20"/>
              </w:rPr>
            </w:pPr>
            <w:r>
              <w:rPr>
                <w:rFonts w:ascii="Arial" w:hAnsi="Arial" w:cs="Arial"/>
                <w:color w:val="000000"/>
                <w:sz w:val="20"/>
                <w:szCs w:val="20"/>
              </w:rPr>
              <w:t>Zoning/Land Use</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52B053F4" w14:textId="57D9AEE7" w:rsidR="00C156D9" w:rsidRPr="002B1B71" w:rsidRDefault="00C156D9" w:rsidP="00C156D9">
            <w:pPr>
              <w:jc w:val="right"/>
              <w:rPr>
                <w:rFonts w:ascii="Arial" w:hAnsi="Arial" w:cs="Arial"/>
                <w:color w:val="000000"/>
                <w:sz w:val="20"/>
                <w:szCs w:val="20"/>
              </w:rPr>
            </w:pPr>
            <w:r>
              <w:rPr>
                <w:rFonts w:ascii="Arial" w:hAnsi="Arial" w:cs="Arial"/>
                <w:color w:val="000000"/>
                <w:sz w:val="20"/>
                <w:szCs w:val="20"/>
              </w:rPr>
              <w:t>8</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19199A5" w14:textId="12A5EA10" w:rsidR="00C156D9" w:rsidRPr="002B1B71" w:rsidRDefault="00EE4EDC" w:rsidP="00C156D9">
            <w:pPr>
              <w:jc w:val="right"/>
              <w:rPr>
                <w:rFonts w:ascii="Arial" w:hAnsi="Arial" w:cs="Arial"/>
                <w:color w:val="000000"/>
                <w:sz w:val="20"/>
                <w:szCs w:val="20"/>
              </w:rPr>
            </w:pPr>
            <w:r>
              <w:rPr>
                <w:rFonts w:ascii="Arial" w:hAnsi="Arial" w:cs="Arial"/>
                <w:color w:val="000000"/>
                <w:sz w:val="20"/>
                <w:szCs w:val="20"/>
              </w:rPr>
              <w:t>0.4%</w:t>
            </w:r>
          </w:p>
        </w:tc>
      </w:tr>
      <w:tr w:rsidR="00C156D9" w:rsidRPr="002B1B71" w14:paraId="26116D7E" w14:textId="77777777" w:rsidTr="00C156D9">
        <w:trPr>
          <w:trHeight w:val="432"/>
        </w:trPr>
        <w:tc>
          <w:tcPr>
            <w:tcW w:w="4945" w:type="dxa"/>
            <w:tcBorders>
              <w:top w:val="single" w:sz="4" w:space="0" w:color="auto"/>
              <w:left w:val="single" w:sz="4" w:space="0" w:color="auto"/>
              <w:bottom w:val="single" w:sz="4" w:space="0" w:color="auto"/>
              <w:right w:val="single" w:sz="4" w:space="0" w:color="auto"/>
            </w:tcBorders>
            <w:shd w:val="clear" w:color="auto" w:fill="auto"/>
            <w:vAlign w:val="center"/>
          </w:tcPr>
          <w:p w14:paraId="11862EAE" w14:textId="570C8494" w:rsidR="00C156D9" w:rsidRDefault="00C156D9" w:rsidP="00C156D9">
            <w:pPr>
              <w:rPr>
                <w:rFonts w:ascii="Arial" w:hAnsi="Arial" w:cs="Arial"/>
                <w:color w:val="000000"/>
                <w:sz w:val="20"/>
                <w:szCs w:val="20"/>
              </w:rPr>
            </w:pPr>
            <w:r>
              <w:rPr>
                <w:rFonts w:ascii="Arial" w:hAnsi="Arial" w:cs="Arial"/>
                <w:color w:val="000000"/>
                <w:sz w:val="20"/>
                <w:szCs w:val="20"/>
              </w:rPr>
              <w:t>Total</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63B98A19" w14:textId="1E7B279A" w:rsidR="00C156D9" w:rsidRPr="002B1B71" w:rsidRDefault="00C156D9" w:rsidP="00C156D9">
            <w:pPr>
              <w:jc w:val="right"/>
              <w:rPr>
                <w:rFonts w:ascii="Arial" w:hAnsi="Arial" w:cs="Arial"/>
                <w:color w:val="000000"/>
                <w:sz w:val="20"/>
                <w:szCs w:val="20"/>
              </w:rPr>
            </w:pPr>
            <w:r>
              <w:rPr>
                <w:rFonts w:ascii="Arial" w:hAnsi="Arial" w:cs="Arial"/>
                <w:color w:val="000000"/>
                <w:sz w:val="20"/>
                <w:szCs w:val="20"/>
              </w:rPr>
              <w:t>1,877</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FF3C675" w14:textId="48BC5E36" w:rsidR="00C156D9" w:rsidRPr="002B1B71" w:rsidRDefault="00EE4EDC" w:rsidP="00C156D9">
            <w:pPr>
              <w:jc w:val="right"/>
              <w:rPr>
                <w:rFonts w:ascii="Arial" w:hAnsi="Arial" w:cs="Arial"/>
                <w:color w:val="000000"/>
                <w:sz w:val="20"/>
                <w:szCs w:val="20"/>
              </w:rPr>
            </w:pPr>
            <w:r>
              <w:rPr>
                <w:rFonts w:ascii="Arial" w:hAnsi="Arial" w:cs="Arial"/>
                <w:color w:val="000000"/>
                <w:sz w:val="20"/>
                <w:szCs w:val="20"/>
              </w:rPr>
              <w:t>100.0%</w:t>
            </w:r>
          </w:p>
        </w:tc>
      </w:tr>
    </w:tbl>
    <w:p w14:paraId="6DF210F2" w14:textId="77777777" w:rsidR="0071003A" w:rsidRDefault="0071003A">
      <w:pPr>
        <w:spacing w:after="160" w:line="259" w:lineRule="auto"/>
      </w:pPr>
    </w:p>
    <w:p w14:paraId="6BE3E004" w14:textId="62D87937" w:rsidR="0058443E" w:rsidRPr="0058443E" w:rsidRDefault="0058443E" w:rsidP="0058443E">
      <w:r w:rsidRPr="0058443E">
        <w:t>Other recent trends noted by the NCHRC included the following:</w:t>
      </w:r>
    </w:p>
    <w:p w14:paraId="2015F1B7" w14:textId="77777777" w:rsidR="0058443E" w:rsidRPr="0058443E" w:rsidRDefault="0058443E" w:rsidP="0058443E">
      <w:pPr>
        <w:pStyle w:val="ListParagraph"/>
        <w:numPr>
          <w:ilvl w:val="0"/>
          <w:numId w:val="19"/>
        </w:numPr>
        <w:rPr>
          <w:sz w:val="24"/>
        </w:rPr>
      </w:pPr>
      <w:r w:rsidRPr="0058443E">
        <w:rPr>
          <w:sz w:val="24"/>
        </w:rPr>
        <w:t xml:space="preserve">The number of people displaced, evicted and/or becoming homeless is increasing due to Covid-19, and they are remaining unhoused for longer periods of </w:t>
      </w:r>
      <w:proofErr w:type="gramStart"/>
      <w:r w:rsidRPr="0058443E">
        <w:rPr>
          <w:sz w:val="24"/>
        </w:rPr>
        <w:t>time</w:t>
      </w:r>
      <w:proofErr w:type="gramEnd"/>
    </w:p>
    <w:p w14:paraId="04E6C17E" w14:textId="77777777" w:rsidR="0058443E" w:rsidRPr="0058443E" w:rsidRDefault="0058443E" w:rsidP="0058443E">
      <w:pPr>
        <w:pStyle w:val="ListParagraph"/>
        <w:numPr>
          <w:ilvl w:val="0"/>
          <w:numId w:val="19"/>
        </w:numPr>
        <w:rPr>
          <w:sz w:val="24"/>
        </w:rPr>
      </w:pPr>
      <w:r w:rsidRPr="0058443E">
        <w:rPr>
          <w:sz w:val="24"/>
        </w:rPr>
        <w:t xml:space="preserve">Eviction mediations are increasing, particularly in Winston-Salem and </w:t>
      </w:r>
      <w:proofErr w:type="gramStart"/>
      <w:r w:rsidRPr="0058443E">
        <w:rPr>
          <w:sz w:val="24"/>
        </w:rPr>
        <w:t>Greensboro</w:t>
      </w:r>
      <w:proofErr w:type="gramEnd"/>
    </w:p>
    <w:p w14:paraId="2399A13E" w14:textId="77777777" w:rsidR="0058443E" w:rsidRPr="0058443E" w:rsidRDefault="0058443E" w:rsidP="0058443E">
      <w:pPr>
        <w:pStyle w:val="ListParagraph"/>
        <w:numPr>
          <w:ilvl w:val="0"/>
          <w:numId w:val="19"/>
        </w:numPr>
        <w:rPr>
          <w:sz w:val="24"/>
        </w:rPr>
      </w:pPr>
      <w:r w:rsidRPr="0058443E">
        <w:rPr>
          <w:sz w:val="24"/>
        </w:rPr>
        <w:t xml:space="preserve">There is not a comprehensive approach or program in place to address the impact of Covid-19 on </w:t>
      </w:r>
      <w:proofErr w:type="gramStart"/>
      <w:r w:rsidRPr="0058443E">
        <w:rPr>
          <w:sz w:val="24"/>
        </w:rPr>
        <w:t>housing</w:t>
      </w:r>
      <w:proofErr w:type="gramEnd"/>
      <w:r w:rsidRPr="0058443E">
        <w:rPr>
          <w:sz w:val="24"/>
        </w:rPr>
        <w:t xml:space="preserve"> </w:t>
      </w:r>
    </w:p>
    <w:p w14:paraId="4997BAED" w14:textId="77777777" w:rsidR="00D561E9" w:rsidRDefault="00D561E9" w:rsidP="0058443E"/>
    <w:p w14:paraId="57CB9047" w14:textId="667D9359" w:rsidR="0058443E" w:rsidRPr="0058443E" w:rsidRDefault="0058443E" w:rsidP="0058443E">
      <w:r w:rsidRPr="0058443E">
        <w:t xml:space="preserve">Geographically, the NCHRC has identified increasing cases filed from residents in Wake, Buncombe, New Hanover, </w:t>
      </w:r>
      <w:proofErr w:type="gramStart"/>
      <w:r w:rsidRPr="0058443E">
        <w:t>Pitt</w:t>
      </w:r>
      <w:proofErr w:type="gramEnd"/>
      <w:r w:rsidRPr="0058443E">
        <w:t xml:space="preserve"> and Cumberland counties. These five counties are higher growth counties in North Carolina where significant residential development has occurred in rural areas. </w:t>
      </w:r>
      <w:r w:rsidR="00D561E9">
        <w:t xml:space="preserve">It is </w:t>
      </w:r>
      <w:r w:rsidRPr="0058443E">
        <w:t>in these previously rural areas where landlords, primarily, may feel they can continue discriminatory practices that were more commonly accepted before and went unchecked. As a result, HUD issued a directive to the NCHRC to target rural areas with more fair housing education and outreach, partnering with local human relations commissions to achieve this objective.</w:t>
      </w:r>
    </w:p>
    <w:p w14:paraId="3A65AE7C" w14:textId="77777777" w:rsidR="00D561E9" w:rsidRDefault="00D561E9" w:rsidP="0058443E"/>
    <w:p w14:paraId="376ADBF2" w14:textId="5CEAE525" w:rsidR="0058443E" w:rsidRPr="0058443E" w:rsidRDefault="0058443E" w:rsidP="0058443E">
      <w:r w:rsidRPr="0058443E">
        <w:t>There are only five local human relations commissions across the state, all in eastern North Carolina: Orange County, Greensboro, Winston/Salem, Charlotte/Mecklenburg County and Durham. The City of Fayetteville and surrounding Cumberland County has submitted a request for approval of a human relations commission to the State General Assembly, a required and difficult step in the process. Typically, strong local support is needed to secure General Assembly approval in this matter.</w:t>
      </w:r>
    </w:p>
    <w:p w14:paraId="4C92330D" w14:textId="77777777" w:rsidR="008177E6" w:rsidRDefault="008177E6" w:rsidP="00BF17A7"/>
    <w:p w14:paraId="1FF670C7" w14:textId="0496AAB5" w:rsidR="003F5EBB" w:rsidRPr="003F5EBB" w:rsidRDefault="003F5EBB" w:rsidP="00602471">
      <w:pPr>
        <w:pStyle w:val="Heading3"/>
      </w:pPr>
      <w:bookmarkStart w:id="72" w:name="_Toc66807935"/>
      <w:r w:rsidRPr="00BF79CA">
        <w:t>Assessment of Current Fair Housing Programs &amp; Activities</w:t>
      </w:r>
      <w:bookmarkEnd w:id="72"/>
    </w:p>
    <w:p w14:paraId="0C8869FC" w14:textId="5DC082F2" w:rsidR="00D561E9" w:rsidRDefault="00D561E9" w:rsidP="00D561E9">
      <w:pPr>
        <w:pStyle w:val="Heading4"/>
        <w:rPr>
          <w:rFonts w:eastAsiaTheme="minorEastAsia"/>
        </w:rPr>
      </w:pPr>
      <w:r>
        <w:rPr>
          <w:rFonts w:eastAsiaTheme="minorEastAsia"/>
        </w:rPr>
        <w:t>North Carolina Human Relations Commission</w:t>
      </w:r>
    </w:p>
    <w:p w14:paraId="6EDE9610" w14:textId="77777777" w:rsidR="00F318FA" w:rsidRPr="00F318FA" w:rsidRDefault="00F318FA" w:rsidP="00F318FA">
      <w:pPr>
        <w:rPr>
          <w:rFonts w:eastAsiaTheme="minorEastAsia"/>
        </w:rPr>
      </w:pPr>
      <w:r w:rsidRPr="00F318FA">
        <w:rPr>
          <w:rFonts w:eastAsiaTheme="minorEastAsia"/>
        </w:rPr>
        <w:t xml:space="preserve">The NCHRC receive requests from housing providers, </w:t>
      </w:r>
      <w:proofErr w:type="gramStart"/>
      <w:r w:rsidRPr="00F318FA">
        <w:rPr>
          <w:rFonts w:eastAsiaTheme="minorEastAsia"/>
        </w:rPr>
        <w:t>city</w:t>
      </w:r>
      <w:proofErr w:type="gramEnd"/>
      <w:r w:rsidRPr="00F318FA">
        <w:rPr>
          <w:rFonts w:eastAsiaTheme="minorEastAsia"/>
        </w:rPr>
        <w:t xml:space="preserve"> and county Community Development Block Grant (CDGB) departments, local human relations commission, city/county/regional Realtors associations, etc. to conduct fair housing trainings for local landlords/property manager/property owners who rent their properties. </w:t>
      </w:r>
    </w:p>
    <w:p w14:paraId="4917172E" w14:textId="77777777" w:rsidR="00F318FA" w:rsidRDefault="00F318FA" w:rsidP="00F318FA">
      <w:pPr>
        <w:rPr>
          <w:rFonts w:eastAsiaTheme="minorEastAsia"/>
        </w:rPr>
      </w:pPr>
    </w:p>
    <w:p w14:paraId="6C2FDD7E" w14:textId="1CFDA106" w:rsidR="00F318FA" w:rsidRPr="00F318FA" w:rsidRDefault="00F318FA" w:rsidP="00F318FA">
      <w:pPr>
        <w:rPr>
          <w:rFonts w:eastAsiaTheme="minorEastAsia"/>
        </w:rPr>
      </w:pPr>
      <w:r w:rsidRPr="00F318FA">
        <w:rPr>
          <w:rFonts w:eastAsiaTheme="minorEastAsia"/>
        </w:rPr>
        <w:t xml:space="preserve">The NCHRC distributes a substantial variety of fair housing educational literature to the public, including the following: </w:t>
      </w:r>
    </w:p>
    <w:p w14:paraId="03512A61" w14:textId="77777777" w:rsidR="00F318FA" w:rsidRPr="004E47B3" w:rsidRDefault="00F318FA" w:rsidP="00F318FA">
      <w:pPr>
        <w:pStyle w:val="ListParagraph"/>
        <w:numPr>
          <w:ilvl w:val="0"/>
          <w:numId w:val="23"/>
        </w:numPr>
        <w:rPr>
          <w:rFonts w:eastAsiaTheme="minorEastAsia"/>
          <w:sz w:val="24"/>
        </w:rPr>
      </w:pPr>
      <w:r w:rsidRPr="004E47B3">
        <w:rPr>
          <w:rFonts w:eastAsiaTheme="minorEastAsia"/>
          <w:sz w:val="24"/>
        </w:rPr>
        <w:t>The North Carolina Fair Housing Act booklet (in English and in Spanish)</w:t>
      </w:r>
    </w:p>
    <w:p w14:paraId="5BD38B9A" w14:textId="77777777" w:rsidR="00F318FA" w:rsidRPr="004E47B3" w:rsidRDefault="00F318FA" w:rsidP="00F318FA">
      <w:pPr>
        <w:pStyle w:val="ListParagraph"/>
        <w:numPr>
          <w:ilvl w:val="0"/>
          <w:numId w:val="23"/>
        </w:numPr>
        <w:rPr>
          <w:rFonts w:eastAsiaTheme="minorEastAsia"/>
          <w:sz w:val="24"/>
        </w:rPr>
      </w:pPr>
      <w:r w:rsidRPr="004E47B3">
        <w:rPr>
          <w:rFonts w:eastAsiaTheme="minorEastAsia"/>
          <w:sz w:val="24"/>
        </w:rPr>
        <w:t>Fair Housing is the Law brochure (in English and in Spanish)</w:t>
      </w:r>
    </w:p>
    <w:p w14:paraId="5D9F6DE9" w14:textId="77777777" w:rsidR="00F318FA" w:rsidRPr="004E47B3" w:rsidRDefault="00F318FA" w:rsidP="00F318FA">
      <w:pPr>
        <w:pStyle w:val="ListParagraph"/>
        <w:numPr>
          <w:ilvl w:val="0"/>
          <w:numId w:val="23"/>
        </w:numPr>
        <w:rPr>
          <w:rFonts w:eastAsiaTheme="minorEastAsia"/>
          <w:sz w:val="24"/>
        </w:rPr>
      </w:pPr>
      <w:r w:rsidRPr="004E47B3">
        <w:rPr>
          <w:rFonts w:eastAsiaTheme="minorEastAsia"/>
          <w:sz w:val="24"/>
        </w:rPr>
        <w:t>Fair Housing is For Everyone (in English and in Spanish)</w:t>
      </w:r>
    </w:p>
    <w:p w14:paraId="484861C1" w14:textId="77777777" w:rsidR="00F318FA" w:rsidRPr="004E47B3" w:rsidRDefault="00F318FA" w:rsidP="00F318FA">
      <w:pPr>
        <w:pStyle w:val="ListParagraph"/>
        <w:numPr>
          <w:ilvl w:val="0"/>
          <w:numId w:val="23"/>
        </w:numPr>
        <w:rPr>
          <w:rFonts w:eastAsiaTheme="minorEastAsia"/>
          <w:sz w:val="24"/>
        </w:rPr>
      </w:pPr>
      <w:r w:rsidRPr="004E47B3">
        <w:rPr>
          <w:rFonts w:eastAsiaTheme="minorEastAsia"/>
          <w:sz w:val="24"/>
        </w:rPr>
        <w:t>Fair Housing is the Law poster (in English and in Spanish)</w:t>
      </w:r>
    </w:p>
    <w:p w14:paraId="7202C508" w14:textId="77777777" w:rsidR="00F318FA" w:rsidRPr="004E47B3" w:rsidRDefault="00F318FA" w:rsidP="00F318FA">
      <w:pPr>
        <w:rPr>
          <w:rFonts w:eastAsiaTheme="minorEastAsia"/>
        </w:rPr>
      </w:pPr>
    </w:p>
    <w:p w14:paraId="1BDB085A" w14:textId="39EDC747" w:rsidR="00F318FA" w:rsidRPr="00F318FA" w:rsidRDefault="00F318FA" w:rsidP="00F318FA">
      <w:pPr>
        <w:rPr>
          <w:rFonts w:eastAsiaTheme="minorEastAsia"/>
        </w:rPr>
      </w:pPr>
      <w:r w:rsidRPr="00F318FA">
        <w:rPr>
          <w:rFonts w:eastAsiaTheme="minorEastAsia"/>
        </w:rPr>
        <w:t xml:space="preserve">The NCHRC distributes their fair housing literature through: </w:t>
      </w:r>
    </w:p>
    <w:p w14:paraId="3CDC1300" w14:textId="77777777" w:rsidR="00F318FA" w:rsidRPr="004E47B3" w:rsidRDefault="00F318FA" w:rsidP="00F318FA">
      <w:pPr>
        <w:pStyle w:val="ListParagraph"/>
        <w:numPr>
          <w:ilvl w:val="0"/>
          <w:numId w:val="24"/>
        </w:numPr>
        <w:rPr>
          <w:rFonts w:eastAsiaTheme="minorEastAsia"/>
          <w:sz w:val="24"/>
        </w:rPr>
      </w:pPr>
      <w:r w:rsidRPr="004E47B3">
        <w:rPr>
          <w:rFonts w:eastAsiaTheme="minorEastAsia"/>
          <w:sz w:val="24"/>
        </w:rPr>
        <w:lastRenderedPageBreak/>
        <w:t xml:space="preserve">Attendance at community events, </w:t>
      </w:r>
      <w:proofErr w:type="gramStart"/>
      <w:r w:rsidRPr="004E47B3">
        <w:rPr>
          <w:rFonts w:eastAsiaTheme="minorEastAsia"/>
          <w:sz w:val="24"/>
        </w:rPr>
        <w:t>workshops</w:t>
      </w:r>
      <w:proofErr w:type="gramEnd"/>
      <w:r w:rsidRPr="004E47B3">
        <w:rPr>
          <w:rFonts w:eastAsiaTheme="minorEastAsia"/>
          <w:sz w:val="24"/>
        </w:rPr>
        <w:t xml:space="preserve"> and seminars</w:t>
      </w:r>
    </w:p>
    <w:p w14:paraId="61D1CA94" w14:textId="77777777" w:rsidR="00F318FA" w:rsidRPr="004E47B3" w:rsidRDefault="00F318FA" w:rsidP="00F318FA">
      <w:pPr>
        <w:pStyle w:val="ListParagraph"/>
        <w:numPr>
          <w:ilvl w:val="0"/>
          <w:numId w:val="24"/>
        </w:numPr>
        <w:rPr>
          <w:rFonts w:eastAsiaTheme="minorEastAsia"/>
          <w:sz w:val="24"/>
        </w:rPr>
      </w:pPr>
      <w:r w:rsidRPr="004E47B3">
        <w:rPr>
          <w:rFonts w:eastAsiaTheme="minorEastAsia"/>
          <w:sz w:val="24"/>
        </w:rPr>
        <w:t>Conducting fair housing trainings to landlords, property managers, etc.</w:t>
      </w:r>
    </w:p>
    <w:p w14:paraId="485578F7" w14:textId="31CE685E" w:rsidR="00F318FA" w:rsidRPr="004E47B3" w:rsidRDefault="00F318FA" w:rsidP="00F318FA">
      <w:pPr>
        <w:pStyle w:val="ListParagraph"/>
        <w:numPr>
          <w:ilvl w:val="0"/>
          <w:numId w:val="24"/>
        </w:numPr>
        <w:rPr>
          <w:rFonts w:eastAsiaTheme="minorEastAsia"/>
          <w:sz w:val="24"/>
        </w:rPr>
      </w:pPr>
      <w:r w:rsidRPr="004E47B3">
        <w:rPr>
          <w:rFonts w:eastAsiaTheme="minorEastAsia"/>
          <w:sz w:val="24"/>
        </w:rPr>
        <w:t xml:space="preserve">Responding to requests via email or telephone from landlords, property managers, property owners renting their own properties, local human relations commissions, fair housing community organizations, etc.   </w:t>
      </w:r>
    </w:p>
    <w:p w14:paraId="120E7679" w14:textId="7A428B80" w:rsidR="00F318FA" w:rsidRPr="004E47B3" w:rsidRDefault="00F318FA" w:rsidP="00F318FA">
      <w:pPr>
        <w:pStyle w:val="ListParagraph"/>
        <w:numPr>
          <w:ilvl w:val="0"/>
          <w:numId w:val="24"/>
        </w:numPr>
        <w:rPr>
          <w:rFonts w:eastAsiaTheme="minorEastAsia"/>
          <w:sz w:val="24"/>
        </w:rPr>
      </w:pPr>
      <w:r w:rsidRPr="004E47B3">
        <w:rPr>
          <w:rFonts w:eastAsiaTheme="minorEastAsia"/>
          <w:sz w:val="24"/>
        </w:rPr>
        <w:t xml:space="preserve">Conducting compliance fair housing trainings to respondents named in fair housing complaints filed with the NCHRC, which is responsible for conciliation between complainants and the </w:t>
      </w:r>
      <w:proofErr w:type="gramStart"/>
      <w:r w:rsidRPr="004E47B3">
        <w:rPr>
          <w:rFonts w:eastAsiaTheme="minorEastAsia"/>
          <w:sz w:val="24"/>
        </w:rPr>
        <w:t>respondents</w:t>
      </w:r>
      <w:proofErr w:type="gramEnd"/>
    </w:p>
    <w:p w14:paraId="4FE3B229" w14:textId="10530724" w:rsidR="00F318FA" w:rsidRPr="004E47B3" w:rsidRDefault="00F318FA" w:rsidP="00F318FA">
      <w:pPr>
        <w:pStyle w:val="ListParagraph"/>
        <w:numPr>
          <w:ilvl w:val="0"/>
          <w:numId w:val="24"/>
        </w:numPr>
        <w:rPr>
          <w:rFonts w:eastAsiaTheme="minorEastAsia"/>
          <w:sz w:val="24"/>
        </w:rPr>
      </w:pPr>
      <w:r w:rsidRPr="004E47B3">
        <w:rPr>
          <w:rFonts w:eastAsiaTheme="minorEastAsia"/>
          <w:sz w:val="24"/>
        </w:rPr>
        <w:t>Conducting other NCHRC trainings (i.e., cultural diversity training, local human relations commission orientation training, hate crimes/bias training, etc.)</w:t>
      </w:r>
    </w:p>
    <w:p w14:paraId="2E2158EB" w14:textId="77777777" w:rsidR="00774E42" w:rsidRPr="00774E42" w:rsidRDefault="00774E42" w:rsidP="00774E42">
      <w:pPr>
        <w:rPr>
          <w:rFonts w:eastAsiaTheme="minorEastAsia"/>
        </w:rPr>
      </w:pPr>
    </w:p>
    <w:p w14:paraId="6D369D31" w14:textId="3628640B" w:rsidR="00F318FA" w:rsidRPr="00F318FA" w:rsidRDefault="00F318FA" w:rsidP="00F318FA">
      <w:pPr>
        <w:rPr>
          <w:rFonts w:eastAsiaTheme="minorEastAsia"/>
        </w:rPr>
      </w:pPr>
      <w:r w:rsidRPr="00F318FA">
        <w:rPr>
          <w:rFonts w:eastAsiaTheme="minorEastAsia"/>
        </w:rPr>
        <w:t xml:space="preserve">Appendix </w:t>
      </w:r>
      <w:r w:rsidR="00774E42">
        <w:rPr>
          <w:rFonts w:eastAsiaTheme="minorEastAsia"/>
        </w:rPr>
        <w:t>A</w:t>
      </w:r>
      <w:r w:rsidRPr="00F318FA">
        <w:rPr>
          <w:rFonts w:eastAsiaTheme="minorEastAsia"/>
        </w:rPr>
        <w:t xml:space="preserve"> includes summary charts of events where the NCHRC distributed over 11,800 pieces of educational materials to 3,710 persons during fiscal years 2018 to 2020.</w:t>
      </w:r>
    </w:p>
    <w:p w14:paraId="0A4E44FC" w14:textId="77777777" w:rsidR="00774E42" w:rsidRDefault="00774E42" w:rsidP="00F318FA">
      <w:pPr>
        <w:rPr>
          <w:rFonts w:eastAsiaTheme="minorEastAsia"/>
        </w:rPr>
      </w:pPr>
    </w:p>
    <w:p w14:paraId="633959E2" w14:textId="4692D6FB" w:rsidR="00F318FA" w:rsidRPr="00F318FA" w:rsidRDefault="00F318FA" w:rsidP="00F318FA">
      <w:pPr>
        <w:rPr>
          <w:rFonts w:eastAsiaTheme="minorEastAsia"/>
        </w:rPr>
      </w:pPr>
      <w:r w:rsidRPr="00F318FA">
        <w:rPr>
          <w:rFonts w:eastAsiaTheme="minorEastAsia"/>
        </w:rPr>
        <w:t>The NCHRC conciliates complaints between complainants and respondents, one of the requirements included in conciliation agreements is that the respondent receive compliance fair housing training from the NCHRC and/or a HUD approved fair housing organization. When the NCHRC conducts the compliance fair housing training, the fair housing brochures, booklets and/or posters are provided to the respondents.</w:t>
      </w:r>
    </w:p>
    <w:p w14:paraId="3122B83A" w14:textId="77777777" w:rsidR="0016700C" w:rsidRDefault="0016700C" w:rsidP="00F318FA">
      <w:pPr>
        <w:rPr>
          <w:rFonts w:eastAsiaTheme="minorEastAsia"/>
        </w:rPr>
      </w:pPr>
    </w:p>
    <w:p w14:paraId="2A3A2153" w14:textId="1C025340" w:rsidR="00F318FA" w:rsidRPr="00F318FA" w:rsidRDefault="00F318FA" w:rsidP="00F318FA">
      <w:pPr>
        <w:rPr>
          <w:rFonts w:eastAsiaTheme="minorEastAsia"/>
        </w:rPr>
      </w:pPr>
      <w:r w:rsidRPr="00F318FA">
        <w:rPr>
          <w:rFonts w:eastAsiaTheme="minorEastAsia"/>
        </w:rPr>
        <w:t>The NCHRC provided related information from July 1, 2019 to June 30, 2020 to the following 26 local governments in the preparation of their respective Analyses of Impediments to Fair Housing Choice</w:t>
      </w:r>
      <w:r w:rsidR="0016700C">
        <w:rPr>
          <w:rFonts w:eastAsiaTheme="minorEastAsia"/>
        </w:rPr>
        <w:t>:</w:t>
      </w:r>
    </w:p>
    <w:p w14:paraId="131D280D"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Lee County</w:t>
      </w:r>
    </w:p>
    <w:p w14:paraId="6096255B"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Jacksonville and Onslow County</w:t>
      </w:r>
    </w:p>
    <w:p w14:paraId="7B23FB75"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Raleigh and Wake County</w:t>
      </w:r>
    </w:p>
    <w:p w14:paraId="2E72AAD2"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Hickory</w:t>
      </w:r>
    </w:p>
    <w:p w14:paraId="001002C0"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Buncombe County</w:t>
      </w:r>
    </w:p>
    <w:p w14:paraId="014625AB"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Henderson County</w:t>
      </w:r>
    </w:p>
    <w:p w14:paraId="7B1FC126"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Madison County</w:t>
      </w:r>
    </w:p>
    <w:p w14:paraId="0C41C6DC"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Transylvania County</w:t>
      </w:r>
    </w:p>
    <w:p w14:paraId="5276ABFB"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Plymouth (Washington County)</w:t>
      </w:r>
    </w:p>
    <w:p w14:paraId="2DB08FA8"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Jonesville (Yadkin County)</w:t>
      </w:r>
    </w:p>
    <w:p w14:paraId="6983E0D8"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Person County</w:t>
      </w:r>
    </w:p>
    <w:p w14:paraId="03559CE2"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Aulander (Bertie County)</w:t>
      </w:r>
    </w:p>
    <w:p w14:paraId="0670387C"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Lumberton (Robeson County)</w:t>
      </w:r>
    </w:p>
    <w:p w14:paraId="1A33B13C"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Robbins (Moore County)</w:t>
      </w:r>
    </w:p>
    <w:p w14:paraId="4C230983"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Sanford (Lee County)</w:t>
      </w:r>
    </w:p>
    <w:p w14:paraId="7730C1B3"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Concord (Cabarrus County)</w:t>
      </w:r>
    </w:p>
    <w:p w14:paraId="2483EB70"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Cabarrus County</w:t>
      </w:r>
    </w:p>
    <w:p w14:paraId="73EBE174"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Statesville (Iredell County)</w:t>
      </w:r>
    </w:p>
    <w:p w14:paraId="3B352111"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Iredell County</w:t>
      </w:r>
    </w:p>
    <w:p w14:paraId="004261D2"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Mooresville (Rowan County)</w:t>
      </w:r>
    </w:p>
    <w:p w14:paraId="0DAF6433"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Kannapolis (Rowan County)</w:t>
      </w:r>
    </w:p>
    <w:p w14:paraId="1CA3A0C5"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Fayetteville (Cumberland County)</w:t>
      </w:r>
    </w:p>
    <w:p w14:paraId="4C5B55CD"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lastRenderedPageBreak/>
        <w:t>Cumberland County</w:t>
      </w:r>
    </w:p>
    <w:p w14:paraId="66F77A47"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High Point (Guilford County)</w:t>
      </w:r>
    </w:p>
    <w:p w14:paraId="3F1AE9B5"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Guilford County</w:t>
      </w:r>
    </w:p>
    <w:p w14:paraId="06849E86" w14:textId="77777777" w:rsidR="00F318FA" w:rsidRPr="0016700C" w:rsidRDefault="00F318FA" w:rsidP="0016700C">
      <w:pPr>
        <w:pStyle w:val="ListParagraph"/>
        <w:numPr>
          <w:ilvl w:val="0"/>
          <w:numId w:val="25"/>
        </w:numPr>
        <w:rPr>
          <w:rFonts w:eastAsiaTheme="minorEastAsia"/>
          <w:sz w:val="24"/>
        </w:rPr>
      </w:pPr>
      <w:r w:rsidRPr="0016700C">
        <w:rPr>
          <w:rFonts w:eastAsiaTheme="minorEastAsia"/>
          <w:sz w:val="24"/>
        </w:rPr>
        <w:t>City of Burlington (Alamance County)</w:t>
      </w:r>
    </w:p>
    <w:p w14:paraId="15314510" w14:textId="77C00831" w:rsidR="00D400BA" w:rsidRDefault="00D400BA">
      <w:pPr>
        <w:spacing w:after="160" w:line="259" w:lineRule="auto"/>
        <w:rPr>
          <w:rFonts w:asciiTheme="majorHAnsi" w:eastAsiaTheme="majorEastAsia" w:hAnsiTheme="majorHAnsi" w:cstheme="majorBidi"/>
          <w:color w:val="ED7D31" w:themeColor="accent2"/>
          <w:sz w:val="36"/>
          <w:szCs w:val="36"/>
        </w:rPr>
      </w:pPr>
    </w:p>
    <w:p w14:paraId="65DB71F5" w14:textId="0D4B1A01" w:rsidR="003F5EBB" w:rsidRDefault="003F5EBB" w:rsidP="00602471">
      <w:pPr>
        <w:pStyle w:val="Heading2"/>
      </w:pPr>
      <w:bookmarkStart w:id="73" w:name="_Toc66807936"/>
      <w:r w:rsidRPr="00BA4ED4">
        <w:t>Progress Achieved since Previous AI</w:t>
      </w:r>
      <w:bookmarkEnd w:id="73"/>
    </w:p>
    <w:p w14:paraId="5BA0F064" w14:textId="74345073" w:rsidR="006515AE" w:rsidRDefault="00C51AE6" w:rsidP="000750BC">
      <w:r>
        <w:t>The in</w:t>
      </w:r>
      <w:r w:rsidR="00DE377B">
        <w:t xml:space="preserve">formation provided </w:t>
      </w:r>
      <w:r w:rsidR="006515AE">
        <w:t>below</w:t>
      </w:r>
      <w:r w:rsidR="00B23A2C">
        <w:t xml:space="preserve"> is</w:t>
      </w:r>
      <w:r w:rsidR="00DE377B">
        <w:t xml:space="preserve"> taken from the </w:t>
      </w:r>
      <w:r w:rsidR="00D21112">
        <w:t>Consolidated Annual Performance &amp; Evaluation Reports (CAPER</w:t>
      </w:r>
      <w:r w:rsidR="00281F7A">
        <w:t xml:space="preserve">s) submitted </w:t>
      </w:r>
      <w:r w:rsidR="00D75671">
        <w:t xml:space="preserve">to HUD </w:t>
      </w:r>
      <w:r w:rsidR="00281F7A">
        <w:t>by DOC annually. Information provided in each CAPER</w:t>
      </w:r>
      <w:r w:rsidR="00D75671">
        <w:t xml:space="preserve"> is </w:t>
      </w:r>
      <w:r w:rsidR="009A7236">
        <w:t xml:space="preserve">from the Con Plan partners, which consists of the state agencies responsible for </w:t>
      </w:r>
      <w:r w:rsidR="00032897">
        <w:t xml:space="preserve">the administration and management of </w:t>
      </w:r>
      <w:r w:rsidR="00415648">
        <w:t>HUD funding in North Carolina.</w:t>
      </w:r>
    </w:p>
    <w:p w14:paraId="733E881B" w14:textId="77777777" w:rsidR="002E66D0" w:rsidRDefault="002E66D0" w:rsidP="00BA1677">
      <w:pPr>
        <w:ind w:left="2160" w:hanging="2160"/>
      </w:pPr>
    </w:p>
    <w:tbl>
      <w:tblPr>
        <w:tblStyle w:val="TableGrid"/>
        <w:tblW w:w="0" w:type="auto"/>
        <w:tblInd w:w="-5" w:type="dxa"/>
        <w:tblLook w:val="04A0" w:firstRow="1" w:lastRow="0" w:firstColumn="1" w:lastColumn="0" w:noHBand="0" w:noVBand="1"/>
      </w:tblPr>
      <w:tblGrid>
        <w:gridCol w:w="3309"/>
        <w:gridCol w:w="6046"/>
      </w:tblGrid>
      <w:tr w:rsidR="000C5095" w14:paraId="40A7B871" w14:textId="77777777" w:rsidTr="000C5095">
        <w:tc>
          <w:tcPr>
            <w:tcW w:w="9355" w:type="dxa"/>
            <w:gridSpan w:val="2"/>
            <w:shd w:val="clear" w:color="auto" w:fill="2F5496" w:themeFill="accent1" w:themeFillShade="BF"/>
          </w:tcPr>
          <w:p w14:paraId="114935F5" w14:textId="1C49D605" w:rsidR="000C5095" w:rsidRPr="000C5095" w:rsidRDefault="000C5095" w:rsidP="00BA1677">
            <w:pP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Private Sector Impediments, Suggested Actions and Measurable Objectives</w:t>
            </w:r>
          </w:p>
        </w:tc>
      </w:tr>
      <w:tr w:rsidR="002E66D0" w14:paraId="745FF13B" w14:textId="77777777" w:rsidTr="004B7058">
        <w:tc>
          <w:tcPr>
            <w:tcW w:w="3309" w:type="dxa"/>
            <w:shd w:val="clear" w:color="auto" w:fill="D9E2F3" w:themeFill="accent1" w:themeFillTint="33"/>
          </w:tcPr>
          <w:p w14:paraId="7C5C7728" w14:textId="681F1B1A" w:rsidR="002E66D0" w:rsidRPr="00C34124" w:rsidRDefault="002E66D0" w:rsidP="00BA1677">
            <w:pPr>
              <w:rPr>
                <w:rFonts w:asciiTheme="majorHAnsi" w:hAnsiTheme="majorHAnsi" w:cstheme="majorHAnsi"/>
                <w:b/>
                <w:bCs/>
                <w:sz w:val="22"/>
                <w:szCs w:val="22"/>
              </w:rPr>
            </w:pPr>
            <w:r w:rsidRPr="00C34124">
              <w:rPr>
                <w:rFonts w:asciiTheme="majorHAnsi" w:hAnsiTheme="majorHAnsi" w:cstheme="majorHAnsi"/>
                <w:b/>
                <w:bCs/>
                <w:sz w:val="22"/>
                <w:szCs w:val="22"/>
              </w:rPr>
              <w:t>Impediment 1:</w:t>
            </w:r>
          </w:p>
        </w:tc>
        <w:tc>
          <w:tcPr>
            <w:tcW w:w="6046" w:type="dxa"/>
            <w:shd w:val="clear" w:color="auto" w:fill="D9E2F3" w:themeFill="accent1" w:themeFillTint="33"/>
          </w:tcPr>
          <w:p w14:paraId="02543AC9" w14:textId="68A71258" w:rsidR="002E66D0" w:rsidRPr="00C34124" w:rsidRDefault="002E66D0" w:rsidP="00BA1677">
            <w:pPr>
              <w:rPr>
                <w:rFonts w:asciiTheme="majorHAnsi" w:hAnsiTheme="majorHAnsi" w:cstheme="majorHAnsi"/>
                <w:b/>
                <w:bCs/>
                <w:sz w:val="22"/>
                <w:szCs w:val="22"/>
              </w:rPr>
            </w:pPr>
            <w:r w:rsidRPr="000750BC">
              <w:rPr>
                <w:rFonts w:asciiTheme="majorHAnsi" w:hAnsiTheme="majorHAnsi" w:cstheme="majorHAnsi"/>
                <w:b/>
                <w:bCs/>
                <w:sz w:val="22"/>
                <w:szCs w:val="22"/>
              </w:rPr>
              <w:t xml:space="preserve">Discrimination in the rental housing market </w:t>
            </w:r>
            <w:proofErr w:type="gramStart"/>
            <w:r w:rsidRPr="000750BC">
              <w:rPr>
                <w:rFonts w:asciiTheme="majorHAnsi" w:hAnsiTheme="majorHAnsi" w:cstheme="majorHAnsi"/>
                <w:b/>
                <w:bCs/>
                <w:sz w:val="22"/>
                <w:szCs w:val="22"/>
              </w:rPr>
              <w:t>on the basis of</w:t>
            </w:r>
            <w:proofErr w:type="gramEnd"/>
            <w:r w:rsidRPr="000750BC">
              <w:rPr>
                <w:rFonts w:asciiTheme="majorHAnsi" w:hAnsiTheme="majorHAnsi" w:cstheme="majorHAnsi"/>
                <w:b/>
                <w:bCs/>
                <w:sz w:val="22"/>
                <w:szCs w:val="22"/>
              </w:rPr>
              <w:t xml:space="preserve"> race and disability.</w:t>
            </w:r>
          </w:p>
        </w:tc>
      </w:tr>
      <w:tr w:rsidR="002E66D0" w14:paraId="035F84B9" w14:textId="77777777" w:rsidTr="004B7058">
        <w:tc>
          <w:tcPr>
            <w:tcW w:w="3309" w:type="dxa"/>
          </w:tcPr>
          <w:p w14:paraId="1FB657D4" w14:textId="683CEE6B" w:rsidR="002E66D0" w:rsidRPr="00C34124" w:rsidRDefault="002E66D0" w:rsidP="00BA1677">
            <w:pPr>
              <w:rPr>
                <w:rFonts w:asciiTheme="majorHAnsi" w:hAnsiTheme="majorHAnsi" w:cstheme="majorHAnsi"/>
                <w:b/>
                <w:bCs/>
                <w:sz w:val="22"/>
                <w:szCs w:val="22"/>
              </w:rPr>
            </w:pPr>
            <w:r w:rsidRPr="00C34124">
              <w:rPr>
                <w:rFonts w:asciiTheme="majorHAnsi" w:hAnsiTheme="majorHAnsi" w:cstheme="majorHAnsi"/>
                <w:b/>
                <w:bCs/>
                <w:sz w:val="22"/>
                <w:szCs w:val="22"/>
              </w:rPr>
              <w:t>Action 1.1:</w:t>
            </w:r>
          </w:p>
        </w:tc>
        <w:tc>
          <w:tcPr>
            <w:tcW w:w="6046" w:type="dxa"/>
          </w:tcPr>
          <w:p w14:paraId="31542015" w14:textId="6CA5C94B" w:rsidR="002E66D0" w:rsidRPr="00670815" w:rsidRDefault="002E66D0" w:rsidP="00BA1677">
            <w:pPr>
              <w:rPr>
                <w:rFonts w:asciiTheme="majorHAnsi" w:hAnsiTheme="majorHAnsi" w:cstheme="majorHAnsi"/>
                <w:sz w:val="22"/>
                <w:szCs w:val="22"/>
              </w:rPr>
            </w:pPr>
            <w:r w:rsidRPr="000750BC">
              <w:rPr>
                <w:rFonts w:asciiTheme="majorHAnsi" w:hAnsiTheme="majorHAnsi" w:cstheme="majorHAnsi"/>
                <w:sz w:val="22"/>
                <w:szCs w:val="22"/>
              </w:rPr>
              <w:t>In partnership with the Housing Finance Agency (HFA), enhance education and outreach efforts targeting consumers and providers of housing in the state’s non-entitlement areas.</w:t>
            </w:r>
          </w:p>
        </w:tc>
      </w:tr>
      <w:tr w:rsidR="002E66D0" w14:paraId="121D4090" w14:textId="77777777" w:rsidTr="004B7058">
        <w:tc>
          <w:tcPr>
            <w:tcW w:w="3309" w:type="dxa"/>
          </w:tcPr>
          <w:p w14:paraId="173E2303" w14:textId="22194F5C" w:rsidR="002E66D0" w:rsidRPr="00C34124" w:rsidRDefault="002E66D0" w:rsidP="002E66D0">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Measurable Objective 1.1:</w:t>
            </w:r>
          </w:p>
          <w:p w14:paraId="02735E70" w14:textId="77777777" w:rsidR="002E66D0" w:rsidRPr="00C34124" w:rsidRDefault="002E66D0" w:rsidP="00BA1677">
            <w:pPr>
              <w:rPr>
                <w:rFonts w:asciiTheme="majorHAnsi" w:hAnsiTheme="majorHAnsi" w:cstheme="majorHAnsi"/>
                <w:b/>
                <w:bCs/>
                <w:sz w:val="22"/>
                <w:szCs w:val="22"/>
              </w:rPr>
            </w:pPr>
          </w:p>
        </w:tc>
        <w:tc>
          <w:tcPr>
            <w:tcW w:w="6046" w:type="dxa"/>
          </w:tcPr>
          <w:p w14:paraId="1EFAAF21" w14:textId="0F44481F" w:rsidR="002E66D0" w:rsidRPr="00670815" w:rsidRDefault="002E66D0" w:rsidP="00BA1677">
            <w:pPr>
              <w:rPr>
                <w:rFonts w:asciiTheme="majorHAnsi" w:hAnsiTheme="majorHAnsi" w:cstheme="majorHAnsi"/>
                <w:sz w:val="22"/>
                <w:szCs w:val="22"/>
              </w:rPr>
            </w:pPr>
            <w:r w:rsidRPr="000750BC">
              <w:rPr>
                <w:rFonts w:asciiTheme="majorHAnsi" w:hAnsiTheme="majorHAnsi" w:cstheme="majorHAnsi"/>
                <w:sz w:val="22"/>
                <w:szCs w:val="22"/>
              </w:rPr>
              <w:t>The number of outreach and education sessions offered and the number of participants.</w:t>
            </w:r>
          </w:p>
        </w:tc>
      </w:tr>
      <w:tr w:rsidR="000B3CB7" w14:paraId="40346BF0" w14:textId="77777777" w:rsidTr="00841CDA">
        <w:tc>
          <w:tcPr>
            <w:tcW w:w="3309" w:type="dxa"/>
            <w:shd w:val="clear" w:color="auto" w:fill="D9E2F3" w:themeFill="accent1" w:themeFillTint="33"/>
          </w:tcPr>
          <w:p w14:paraId="742FCFAF" w14:textId="6AA80173"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Impediment 2:</w:t>
            </w:r>
          </w:p>
        </w:tc>
        <w:tc>
          <w:tcPr>
            <w:tcW w:w="6046" w:type="dxa"/>
            <w:shd w:val="clear" w:color="auto" w:fill="D9E2F3" w:themeFill="accent1" w:themeFillTint="33"/>
          </w:tcPr>
          <w:p w14:paraId="693F65E2" w14:textId="4A4C8E57" w:rsidR="000B3CB7" w:rsidRPr="000750BC" w:rsidRDefault="000B3CB7" w:rsidP="000B3CB7">
            <w:pPr>
              <w:rPr>
                <w:rFonts w:asciiTheme="majorHAnsi" w:hAnsiTheme="majorHAnsi" w:cstheme="majorHAnsi"/>
                <w:sz w:val="22"/>
                <w:szCs w:val="22"/>
              </w:rPr>
            </w:pPr>
            <w:r w:rsidRPr="000750BC">
              <w:rPr>
                <w:rFonts w:asciiTheme="majorHAnsi" w:eastAsiaTheme="minorHAnsi" w:hAnsiTheme="majorHAnsi" w:cstheme="majorHAnsi"/>
                <w:b/>
                <w:bCs/>
                <w:sz w:val="22"/>
                <w:szCs w:val="22"/>
              </w:rPr>
              <w:t>Lack of reasonable accommodation and modification.</w:t>
            </w:r>
          </w:p>
        </w:tc>
      </w:tr>
      <w:tr w:rsidR="000B3CB7" w14:paraId="27025E47" w14:textId="77777777" w:rsidTr="004B7058">
        <w:tc>
          <w:tcPr>
            <w:tcW w:w="3309" w:type="dxa"/>
          </w:tcPr>
          <w:p w14:paraId="79638618" w14:textId="75FD7937"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Action 2.1:</w:t>
            </w:r>
          </w:p>
        </w:tc>
        <w:tc>
          <w:tcPr>
            <w:tcW w:w="6046" w:type="dxa"/>
          </w:tcPr>
          <w:p w14:paraId="7A1C33F6" w14:textId="18203C7A" w:rsidR="000B3CB7" w:rsidRPr="000750BC" w:rsidRDefault="000B3CB7" w:rsidP="000B3CB7">
            <w:pPr>
              <w:rPr>
                <w:rFonts w:asciiTheme="majorHAnsi" w:hAnsiTheme="majorHAnsi" w:cstheme="majorHAnsi"/>
                <w:sz w:val="22"/>
                <w:szCs w:val="22"/>
              </w:rPr>
            </w:pPr>
            <w:r w:rsidRPr="000750BC">
              <w:rPr>
                <w:rFonts w:asciiTheme="majorHAnsi" w:hAnsiTheme="majorHAnsi" w:cstheme="majorHAnsi"/>
                <w:sz w:val="22"/>
                <w:szCs w:val="22"/>
              </w:rPr>
              <w:t>In partnership with the HFA, enhance targeted outreach and education efforts for housing providers, highlighting legal rights and obligations relating to reasonable accommodation and modification.</w:t>
            </w:r>
          </w:p>
        </w:tc>
      </w:tr>
      <w:tr w:rsidR="000B3CB7" w14:paraId="6EC00B44" w14:textId="77777777" w:rsidTr="004B7058">
        <w:tc>
          <w:tcPr>
            <w:tcW w:w="3309" w:type="dxa"/>
          </w:tcPr>
          <w:p w14:paraId="27BCD3C9" w14:textId="77777777"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Measurable Objective 2.1:</w:t>
            </w:r>
          </w:p>
          <w:p w14:paraId="0D5D5B50" w14:textId="77777777" w:rsidR="000B3CB7" w:rsidRPr="00C34124" w:rsidRDefault="000B3CB7" w:rsidP="000B3CB7">
            <w:pPr>
              <w:ind w:left="2160" w:hanging="2160"/>
              <w:rPr>
                <w:rFonts w:asciiTheme="majorHAnsi" w:hAnsiTheme="majorHAnsi" w:cstheme="majorHAnsi"/>
                <w:b/>
                <w:bCs/>
                <w:sz w:val="22"/>
                <w:szCs w:val="22"/>
              </w:rPr>
            </w:pPr>
          </w:p>
        </w:tc>
        <w:tc>
          <w:tcPr>
            <w:tcW w:w="6046" w:type="dxa"/>
          </w:tcPr>
          <w:p w14:paraId="5184CD2D" w14:textId="12159A18" w:rsidR="000B3CB7" w:rsidRPr="000750BC" w:rsidRDefault="000B3CB7" w:rsidP="000B3CB7">
            <w:pPr>
              <w:rPr>
                <w:rFonts w:asciiTheme="majorHAnsi" w:hAnsiTheme="majorHAnsi" w:cstheme="majorHAnsi"/>
                <w:sz w:val="22"/>
                <w:szCs w:val="22"/>
              </w:rPr>
            </w:pPr>
            <w:r w:rsidRPr="000750BC">
              <w:rPr>
                <w:rFonts w:asciiTheme="majorHAnsi" w:eastAsiaTheme="minorHAnsi" w:hAnsiTheme="majorHAnsi" w:cstheme="majorHAnsi"/>
                <w:sz w:val="22"/>
                <w:szCs w:val="22"/>
              </w:rPr>
              <w:t>The number of outreach and education and action sessions offered and the number of participants.</w:t>
            </w:r>
          </w:p>
        </w:tc>
      </w:tr>
      <w:tr w:rsidR="000B3CB7" w14:paraId="7012C050" w14:textId="77777777" w:rsidTr="00841CDA">
        <w:tc>
          <w:tcPr>
            <w:tcW w:w="3309" w:type="dxa"/>
            <w:shd w:val="clear" w:color="auto" w:fill="D9E2F3" w:themeFill="accent1" w:themeFillTint="33"/>
          </w:tcPr>
          <w:p w14:paraId="550583B3" w14:textId="65CAA306"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Impediment 3:</w:t>
            </w:r>
          </w:p>
        </w:tc>
        <w:tc>
          <w:tcPr>
            <w:tcW w:w="6046" w:type="dxa"/>
            <w:shd w:val="clear" w:color="auto" w:fill="D9E2F3" w:themeFill="accent1" w:themeFillTint="33"/>
          </w:tcPr>
          <w:p w14:paraId="4F9A5DF1" w14:textId="29DD1B49" w:rsidR="000B3CB7" w:rsidRPr="000750BC" w:rsidRDefault="000B3CB7" w:rsidP="000B3CB7">
            <w:pPr>
              <w:rPr>
                <w:rFonts w:asciiTheme="majorHAnsi" w:hAnsiTheme="majorHAnsi" w:cstheme="majorHAnsi"/>
                <w:sz w:val="22"/>
                <w:szCs w:val="22"/>
              </w:rPr>
            </w:pPr>
            <w:r w:rsidRPr="000750BC">
              <w:rPr>
                <w:rFonts w:asciiTheme="majorHAnsi" w:eastAsiaTheme="minorHAnsi" w:hAnsiTheme="majorHAnsi" w:cstheme="majorHAnsi"/>
                <w:b/>
                <w:bCs/>
                <w:sz w:val="22"/>
                <w:szCs w:val="22"/>
              </w:rPr>
              <w:t>Lack of understanding of fair housing law in rural areas of the state, both among housing consumers and housing providers.</w:t>
            </w:r>
          </w:p>
        </w:tc>
      </w:tr>
      <w:tr w:rsidR="000B3CB7" w14:paraId="46DF8EF4" w14:textId="77777777" w:rsidTr="004B7058">
        <w:tc>
          <w:tcPr>
            <w:tcW w:w="3309" w:type="dxa"/>
          </w:tcPr>
          <w:p w14:paraId="6BFBAD38" w14:textId="226C8DE6"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Action 3.1:</w:t>
            </w:r>
          </w:p>
        </w:tc>
        <w:tc>
          <w:tcPr>
            <w:tcW w:w="6046" w:type="dxa"/>
          </w:tcPr>
          <w:p w14:paraId="31312EDD" w14:textId="398C63E2" w:rsidR="000B3CB7" w:rsidRPr="000750BC" w:rsidRDefault="000B3CB7" w:rsidP="000B3CB7">
            <w:pPr>
              <w:rPr>
                <w:rFonts w:asciiTheme="majorHAnsi" w:hAnsiTheme="majorHAnsi" w:cstheme="majorHAnsi"/>
                <w:sz w:val="22"/>
                <w:szCs w:val="22"/>
              </w:rPr>
            </w:pPr>
            <w:r w:rsidRPr="001A3C03">
              <w:rPr>
                <w:rFonts w:asciiTheme="majorHAnsi" w:hAnsiTheme="majorHAnsi" w:cstheme="majorHAnsi"/>
                <w:sz w:val="22"/>
                <w:szCs w:val="22"/>
              </w:rPr>
              <w:t xml:space="preserve">In partnership with the HFA, enhance outreach and education efforts targeting consumers and providers of housing in rural areas of the state, focusing on rights and obligations under the Federal Fair Housing Act and the North Carolina Fair Housing Act. </w:t>
            </w:r>
          </w:p>
        </w:tc>
      </w:tr>
      <w:tr w:rsidR="000B3CB7" w14:paraId="1FBA8C61" w14:textId="77777777" w:rsidTr="004B7058">
        <w:tc>
          <w:tcPr>
            <w:tcW w:w="3309" w:type="dxa"/>
          </w:tcPr>
          <w:p w14:paraId="59E098D6" w14:textId="77777777"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Measurable Objective 3.1:</w:t>
            </w:r>
          </w:p>
          <w:p w14:paraId="57BF186B" w14:textId="77777777" w:rsidR="000B3CB7" w:rsidRPr="00C34124" w:rsidRDefault="000B3CB7" w:rsidP="000B3CB7">
            <w:pPr>
              <w:ind w:left="2160" w:hanging="2160"/>
              <w:rPr>
                <w:rFonts w:asciiTheme="majorHAnsi" w:hAnsiTheme="majorHAnsi" w:cstheme="majorHAnsi"/>
                <w:b/>
                <w:bCs/>
                <w:sz w:val="22"/>
                <w:szCs w:val="22"/>
              </w:rPr>
            </w:pPr>
          </w:p>
        </w:tc>
        <w:tc>
          <w:tcPr>
            <w:tcW w:w="6046" w:type="dxa"/>
          </w:tcPr>
          <w:p w14:paraId="59189936" w14:textId="18542B60" w:rsidR="000B3CB7" w:rsidRPr="000750BC" w:rsidRDefault="000B3CB7" w:rsidP="000B3CB7">
            <w:pPr>
              <w:rPr>
                <w:rFonts w:asciiTheme="majorHAnsi" w:hAnsiTheme="majorHAnsi" w:cstheme="majorHAnsi"/>
                <w:sz w:val="22"/>
                <w:szCs w:val="22"/>
              </w:rPr>
            </w:pPr>
            <w:r w:rsidRPr="000750BC">
              <w:rPr>
                <w:rFonts w:asciiTheme="majorHAnsi" w:hAnsiTheme="majorHAnsi" w:cstheme="majorHAnsi"/>
                <w:sz w:val="22"/>
                <w:szCs w:val="22"/>
              </w:rPr>
              <w:t>The number of outreach and education and action sessions offered and the number of participants.</w:t>
            </w:r>
          </w:p>
        </w:tc>
      </w:tr>
      <w:tr w:rsidR="000B3CB7" w14:paraId="2FAA4F66" w14:textId="77777777" w:rsidTr="000B3CB7">
        <w:tc>
          <w:tcPr>
            <w:tcW w:w="9355" w:type="dxa"/>
            <w:gridSpan w:val="2"/>
            <w:shd w:val="clear" w:color="auto" w:fill="D9E2F3" w:themeFill="accent1" w:themeFillTint="33"/>
          </w:tcPr>
          <w:p w14:paraId="62E6146C" w14:textId="17B88C5C" w:rsidR="000B3CB7" w:rsidRPr="000B3CB7" w:rsidRDefault="000B3CB7" w:rsidP="000B3CB7">
            <w:pPr>
              <w:rPr>
                <w:rFonts w:asciiTheme="majorHAnsi" w:hAnsiTheme="majorHAnsi" w:cstheme="majorHAnsi"/>
                <w:b/>
                <w:bCs/>
                <w:sz w:val="22"/>
                <w:szCs w:val="22"/>
              </w:rPr>
            </w:pPr>
            <w:r w:rsidRPr="000B3CB7">
              <w:rPr>
                <w:rFonts w:asciiTheme="majorHAnsi" w:hAnsiTheme="majorHAnsi" w:cstheme="majorHAnsi"/>
                <w:b/>
                <w:bCs/>
                <w:sz w:val="22"/>
                <w:szCs w:val="22"/>
              </w:rPr>
              <w:t xml:space="preserve">Progress Achieved </w:t>
            </w:r>
            <w:r w:rsidR="00AB772E">
              <w:rPr>
                <w:rFonts w:asciiTheme="majorHAnsi" w:hAnsiTheme="majorHAnsi" w:cstheme="majorHAnsi"/>
                <w:b/>
                <w:bCs/>
                <w:sz w:val="22"/>
                <w:szCs w:val="22"/>
              </w:rPr>
              <w:t>on</w:t>
            </w:r>
            <w:r w:rsidRPr="000B3CB7">
              <w:rPr>
                <w:rFonts w:asciiTheme="majorHAnsi" w:hAnsiTheme="majorHAnsi" w:cstheme="majorHAnsi"/>
                <w:b/>
                <w:bCs/>
                <w:sz w:val="22"/>
                <w:szCs w:val="22"/>
              </w:rPr>
              <w:t xml:space="preserve"> Impediments 1-3:</w:t>
            </w:r>
          </w:p>
        </w:tc>
      </w:tr>
      <w:tr w:rsidR="000B3CB7" w14:paraId="08EB5DB3" w14:textId="77777777" w:rsidTr="00841CDA">
        <w:tc>
          <w:tcPr>
            <w:tcW w:w="9355" w:type="dxa"/>
            <w:gridSpan w:val="2"/>
          </w:tcPr>
          <w:p w14:paraId="69C60022" w14:textId="77777777" w:rsidR="000B3CB7" w:rsidRPr="00007B2D" w:rsidRDefault="000B3CB7" w:rsidP="000B3CB7">
            <w:pPr>
              <w:rPr>
                <w:rFonts w:asciiTheme="majorHAnsi" w:hAnsiTheme="majorHAnsi" w:cstheme="majorHAnsi"/>
                <w:sz w:val="22"/>
                <w:szCs w:val="22"/>
                <w:u w:val="single"/>
              </w:rPr>
            </w:pPr>
            <w:r w:rsidRPr="00007B2D">
              <w:rPr>
                <w:rFonts w:asciiTheme="majorHAnsi" w:hAnsiTheme="majorHAnsi" w:cstheme="majorHAnsi"/>
                <w:sz w:val="22"/>
                <w:szCs w:val="22"/>
                <w:u w:val="single"/>
              </w:rPr>
              <w:t>2016</w:t>
            </w:r>
          </w:p>
          <w:p w14:paraId="6C000D50" w14:textId="77777777" w:rsidR="000B3CB7" w:rsidRPr="00007B2D" w:rsidRDefault="000B3CB7" w:rsidP="000B3CB7">
            <w:pPr>
              <w:rPr>
                <w:rFonts w:asciiTheme="majorHAnsi" w:hAnsiTheme="majorHAnsi" w:cstheme="majorHAnsi"/>
                <w:sz w:val="22"/>
                <w:szCs w:val="22"/>
              </w:rPr>
            </w:pPr>
            <w:r w:rsidRPr="00007B2D">
              <w:rPr>
                <w:rFonts w:asciiTheme="majorHAnsi" w:hAnsiTheme="majorHAnsi" w:cstheme="majorHAnsi"/>
                <w:sz w:val="22"/>
                <w:szCs w:val="22"/>
              </w:rPr>
              <w:t>NCHFA sponsored 14 fair housing trainings in partnership with the NC Fair Housing Project. The half-day trainings were offered to service providers and property owners and/or managers. Each day</w:t>
            </w:r>
            <w:r>
              <w:rPr>
                <w:rFonts w:asciiTheme="majorHAnsi" w:hAnsiTheme="majorHAnsi" w:cstheme="majorHAnsi"/>
                <w:sz w:val="22"/>
                <w:szCs w:val="22"/>
              </w:rPr>
              <w:t xml:space="preserve"> </w:t>
            </w:r>
            <w:r w:rsidRPr="00007B2D">
              <w:rPr>
                <w:rFonts w:asciiTheme="majorHAnsi" w:hAnsiTheme="majorHAnsi" w:cstheme="majorHAnsi"/>
                <w:sz w:val="22"/>
                <w:szCs w:val="22"/>
              </w:rPr>
              <w:t xml:space="preserve">included a session tailored for service providers in the morning and a session tailored for property owners and/or managers in the afternoon. Fair housing trainings were offered in Wilmington, Greensboro, Goldsboro, Statesville, Charlotte, Raleigh, and Asheville. Over 250 service providers and property owners and/or managers attended these trainings. In addition to these publicly offered fair housing training sessions, HOME-funded partners for the SFR program were required to attend a fair housing and LEP training in the summer. </w:t>
            </w:r>
          </w:p>
          <w:p w14:paraId="590BA4A8" w14:textId="77777777" w:rsidR="000B3CB7" w:rsidRDefault="000B3CB7" w:rsidP="000B3CB7">
            <w:pPr>
              <w:rPr>
                <w:rFonts w:asciiTheme="majorHAnsi" w:hAnsiTheme="majorHAnsi" w:cstheme="majorHAnsi"/>
                <w:sz w:val="22"/>
                <w:szCs w:val="22"/>
              </w:rPr>
            </w:pPr>
          </w:p>
          <w:p w14:paraId="6E89FD41" w14:textId="77777777" w:rsidR="00F56CDF" w:rsidRDefault="00F56CDF" w:rsidP="000B3CB7">
            <w:pPr>
              <w:rPr>
                <w:rFonts w:asciiTheme="majorHAnsi" w:hAnsiTheme="majorHAnsi" w:cstheme="majorHAnsi"/>
                <w:sz w:val="22"/>
                <w:szCs w:val="22"/>
                <w:u w:val="single"/>
              </w:rPr>
            </w:pPr>
          </w:p>
          <w:p w14:paraId="2EB89EC5" w14:textId="3EC593EF" w:rsidR="000B3CB7" w:rsidRPr="00300678" w:rsidRDefault="000B3CB7" w:rsidP="000B3CB7">
            <w:pPr>
              <w:rPr>
                <w:rFonts w:asciiTheme="majorHAnsi" w:hAnsiTheme="majorHAnsi" w:cstheme="majorHAnsi"/>
                <w:sz w:val="22"/>
                <w:szCs w:val="22"/>
                <w:u w:val="single"/>
              </w:rPr>
            </w:pPr>
            <w:r w:rsidRPr="00300678">
              <w:rPr>
                <w:rFonts w:asciiTheme="majorHAnsi" w:hAnsiTheme="majorHAnsi" w:cstheme="majorHAnsi"/>
                <w:sz w:val="22"/>
                <w:szCs w:val="22"/>
                <w:u w:val="single"/>
              </w:rPr>
              <w:t>2017</w:t>
            </w:r>
          </w:p>
          <w:p w14:paraId="7BAFA7F5" w14:textId="77777777" w:rsidR="000B3CB7" w:rsidRPr="00300678" w:rsidRDefault="000B3CB7" w:rsidP="000B3CB7">
            <w:pPr>
              <w:rPr>
                <w:rFonts w:asciiTheme="majorHAnsi" w:hAnsiTheme="majorHAnsi" w:cstheme="majorHAnsi"/>
                <w:sz w:val="22"/>
                <w:szCs w:val="22"/>
              </w:rPr>
            </w:pPr>
            <w:r w:rsidRPr="00300678">
              <w:rPr>
                <w:rFonts w:asciiTheme="majorHAnsi" w:hAnsiTheme="majorHAnsi" w:cstheme="majorHAnsi"/>
                <w:sz w:val="22"/>
                <w:szCs w:val="22"/>
              </w:rPr>
              <w:t>NCHFA sponsored 28 fair housing trainings in partnership with the NC Fair Housing Project. The half-day trainings were offered to service providers and property owners and/or managers. Each day included a session tailored for service providers in the morning and a session tailored for property owners and/or managers in the afternoon.</w:t>
            </w:r>
            <w:r>
              <w:rPr>
                <w:rFonts w:asciiTheme="majorHAnsi" w:hAnsiTheme="majorHAnsi" w:cstheme="majorHAnsi"/>
                <w:sz w:val="22"/>
                <w:szCs w:val="22"/>
              </w:rPr>
              <w:t xml:space="preserve"> </w:t>
            </w:r>
            <w:r w:rsidRPr="00300678">
              <w:rPr>
                <w:rFonts w:asciiTheme="majorHAnsi" w:hAnsiTheme="majorHAnsi" w:cstheme="majorHAnsi"/>
                <w:sz w:val="22"/>
                <w:szCs w:val="22"/>
              </w:rPr>
              <w:t>NCHFA also provides fair housing information to property owners and/or managers through resources posted on NCHFA’s website and circulated to NCHFA partners across the state, such as the “Reasonable Accommodation Quick Guide for Property Owners and Managers” and the “Fair Housing and Tenant Selection” memo from June 2016. HOME-funded partners who assist homeowners and homebuyers must create and implement a Marketing</w:t>
            </w:r>
            <w:r>
              <w:rPr>
                <w:rFonts w:asciiTheme="majorHAnsi" w:hAnsiTheme="majorHAnsi" w:cstheme="majorHAnsi"/>
                <w:sz w:val="22"/>
                <w:szCs w:val="22"/>
              </w:rPr>
              <w:t xml:space="preserve"> </w:t>
            </w:r>
            <w:r w:rsidRPr="00300678">
              <w:rPr>
                <w:rFonts w:asciiTheme="majorHAnsi" w:hAnsiTheme="majorHAnsi" w:cstheme="majorHAnsi"/>
                <w:sz w:val="22"/>
                <w:szCs w:val="22"/>
              </w:rPr>
              <w:t>/</w:t>
            </w:r>
            <w:r>
              <w:rPr>
                <w:rFonts w:asciiTheme="majorHAnsi" w:hAnsiTheme="majorHAnsi" w:cstheme="majorHAnsi"/>
                <w:sz w:val="22"/>
                <w:szCs w:val="22"/>
              </w:rPr>
              <w:t xml:space="preserve"> </w:t>
            </w:r>
            <w:r w:rsidRPr="00300678">
              <w:rPr>
                <w:rFonts w:asciiTheme="majorHAnsi" w:hAnsiTheme="majorHAnsi" w:cstheme="majorHAnsi"/>
                <w:sz w:val="22"/>
                <w:szCs w:val="22"/>
              </w:rPr>
              <w:t>Outreach Plan. </w:t>
            </w:r>
            <w:r>
              <w:rPr>
                <w:rFonts w:asciiTheme="majorHAnsi" w:hAnsiTheme="majorHAnsi" w:cstheme="majorHAnsi"/>
                <w:sz w:val="22"/>
                <w:szCs w:val="22"/>
              </w:rPr>
              <w:t>T</w:t>
            </w:r>
            <w:r w:rsidRPr="00300678">
              <w:rPr>
                <w:rFonts w:asciiTheme="majorHAnsi" w:hAnsiTheme="majorHAnsi" w:cstheme="majorHAnsi"/>
                <w:sz w:val="22"/>
                <w:szCs w:val="22"/>
              </w:rPr>
              <w:t xml:space="preserve">he HOPWA program provided </w:t>
            </w:r>
            <w:r>
              <w:rPr>
                <w:rFonts w:asciiTheme="majorHAnsi" w:hAnsiTheme="majorHAnsi" w:cstheme="majorHAnsi"/>
                <w:sz w:val="22"/>
                <w:szCs w:val="22"/>
              </w:rPr>
              <w:t>one</w:t>
            </w:r>
            <w:r w:rsidRPr="00300678">
              <w:rPr>
                <w:rFonts w:asciiTheme="majorHAnsi" w:hAnsiTheme="majorHAnsi" w:cstheme="majorHAnsi"/>
                <w:sz w:val="22"/>
                <w:szCs w:val="22"/>
              </w:rPr>
              <w:t xml:space="preserve"> Fair Housing raining to Ryan White Part B and HOPWA monitoring staff and </w:t>
            </w:r>
            <w:r>
              <w:rPr>
                <w:rFonts w:asciiTheme="majorHAnsi" w:hAnsiTheme="majorHAnsi" w:cstheme="majorHAnsi"/>
                <w:sz w:val="22"/>
                <w:szCs w:val="22"/>
              </w:rPr>
              <w:t>one</w:t>
            </w:r>
            <w:r w:rsidRPr="00300678">
              <w:rPr>
                <w:rFonts w:asciiTheme="majorHAnsi" w:hAnsiTheme="majorHAnsi" w:cstheme="majorHAnsi"/>
                <w:sz w:val="22"/>
                <w:szCs w:val="22"/>
              </w:rPr>
              <w:t xml:space="preserve"> Fair Housing training to the 10 HOPWA sub-recipients that did not attend the NCHFA sponsored Fair Housing training.</w:t>
            </w:r>
          </w:p>
          <w:p w14:paraId="1CCB4B48" w14:textId="77777777" w:rsidR="000B3CB7" w:rsidRDefault="000B3CB7" w:rsidP="000B3CB7">
            <w:pPr>
              <w:rPr>
                <w:rFonts w:asciiTheme="majorHAnsi" w:hAnsiTheme="majorHAnsi" w:cstheme="majorHAnsi"/>
                <w:sz w:val="22"/>
                <w:szCs w:val="22"/>
              </w:rPr>
            </w:pPr>
          </w:p>
          <w:p w14:paraId="3E13C493" w14:textId="77777777" w:rsidR="000B3CB7" w:rsidRPr="00DE1B39" w:rsidRDefault="000B3CB7" w:rsidP="000B3CB7">
            <w:pPr>
              <w:rPr>
                <w:rFonts w:asciiTheme="majorHAnsi" w:hAnsiTheme="majorHAnsi" w:cstheme="majorHAnsi"/>
                <w:sz w:val="22"/>
                <w:szCs w:val="22"/>
                <w:u w:val="single"/>
              </w:rPr>
            </w:pPr>
            <w:r w:rsidRPr="00DE1B39">
              <w:rPr>
                <w:rFonts w:asciiTheme="majorHAnsi" w:hAnsiTheme="majorHAnsi" w:cstheme="majorHAnsi"/>
                <w:sz w:val="22"/>
                <w:szCs w:val="22"/>
                <w:u w:val="single"/>
              </w:rPr>
              <w:t>2018</w:t>
            </w:r>
          </w:p>
          <w:p w14:paraId="176916D1" w14:textId="37199C0E" w:rsidR="000B3CB7" w:rsidRPr="00FE61EA" w:rsidRDefault="000B3CB7" w:rsidP="000B3CB7">
            <w:pPr>
              <w:rPr>
                <w:rFonts w:asciiTheme="majorHAnsi" w:hAnsiTheme="majorHAnsi" w:cstheme="majorHAnsi"/>
                <w:sz w:val="22"/>
                <w:szCs w:val="22"/>
              </w:rPr>
            </w:pPr>
            <w:r w:rsidRPr="00FE61EA">
              <w:rPr>
                <w:rFonts w:asciiTheme="majorHAnsi" w:hAnsiTheme="majorHAnsi" w:cstheme="majorHAnsi"/>
                <w:sz w:val="22"/>
                <w:szCs w:val="22"/>
              </w:rPr>
              <w:t xml:space="preserve">NCHFA sponsored </w:t>
            </w:r>
            <w:proofErr w:type="gramStart"/>
            <w:r w:rsidRPr="00FE61EA">
              <w:rPr>
                <w:rFonts w:asciiTheme="majorHAnsi" w:hAnsiTheme="majorHAnsi" w:cstheme="majorHAnsi"/>
                <w:sz w:val="22"/>
                <w:szCs w:val="22"/>
              </w:rPr>
              <w:t>a number of</w:t>
            </w:r>
            <w:proofErr w:type="gramEnd"/>
            <w:r w:rsidRPr="00FE61EA">
              <w:rPr>
                <w:rFonts w:asciiTheme="majorHAnsi" w:hAnsiTheme="majorHAnsi" w:cstheme="majorHAnsi"/>
                <w:sz w:val="22"/>
                <w:szCs w:val="22"/>
              </w:rPr>
              <w:t xml:space="preserve"> fair housing trainings across the state in partnership with the NC Fair Housing Project. The half-day trainings were offered to service providers and property owners and/or managers. Each day included a session tailored for service providers in the morning and a session tailored for property owners and/or managers in the afternoon. In addition to these publicly offered fair housing training sessions, HOME-funded partners for the SFRLP, CPLP, and SHLP programs (single-family rehab and home buyer assistance programs) were required to attend fair housing and LEP trainings in the spring/summer of 2018.NCHFA also provides fair housing information to property owners and/or managers through resources posted on NCHFA’s website and circulated to NCHFA partners across the state, such as the “Reasonable Accommodation Quick Guide for Property Owners and Managers”</w:t>
            </w:r>
            <w:r>
              <w:rPr>
                <w:rFonts w:asciiTheme="majorHAnsi" w:hAnsiTheme="majorHAnsi" w:cstheme="majorHAnsi"/>
                <w:sz w:val="22"/>
                <w:szCs w:val="22"/>
              </w:rPr>
              <w:t xml:space="preserve"> </w:t>
            </w:r>
            <w:r w:rsidRPr="00FE61EA">
              <w:rPr>
                <w:rFonts w:asciiTheme="majorHAnsi" w:hAnsiTheme="majorHAnsi" w:cstheme="majorHAnsi"/>
                <w:sz w:val="22"/>
                <w:szCs w:val="22"/>
              </w:rPr>
              <w:t>and the “Fair Housing and Tenant Selection” memo from June 2016. NCHFA reviews properties’ tenant selection plans to ensure conformity to the memo and fair housing laws and regulations. HOME-funded partners who assist homeowners and homebuyers must create and implement a Marketing/Outreach Plan. The Marketing/Outreach Plan helps the partners effectively market the availability of housing opportunities to individuals of both minority and non-minority groups that are least likely to apply for assistance. The Marketing/Outreach Plan includes strategies designed to attract homeowners and homebuyers regardless of race, color, religion, sex, familial status, or disability, and describes initial advertising, outreach, and other marketing activities to inform potential homeowners and homebuyers of available assistance. HOME-funded rental developments must create and implement an AFHMP. The AFHMP helps owners/agents effectively market the availability of housing opportunities to individuals of both minority and non-minority groups that are least likely to apply for occupancy. The AFHMP assists marketing strategies designed to attract renters regardless of race, color, religion, sex, familial status, or disability, and describes initial advertising, outreach (community contacts) and other marketing activities which inform potential renters of the existence of units. CDBG continues to ensure the provision of services to underserved households by providing economic opportunity through job creation and the installation of systems that provide clean water and environmentally sound sewer systems.  HOPWA continues to serve underserved households by providing permanent housing options, supportive services and leveraging with Ryan White Part B for HIV care and support and CDC HIV/STD Prevention funded services.</w:t>
            </w:r>
          </w:p>
          <w:p w14:paraId="359D1A7B" w14:textId="77777777" w:rsidR="000B3CB7" w:rsidRDefault="000B3CB7" w:rsidP="000B3CB7">
            <w:pPr>
              <w:rPr>
                <w:rFonts w:asciiTheme="majorHAnsi" w:hAnsiTheme="majorHAnsi" w:cstheme="majorHAnsi"/>
                <w:sz w:val="22"/>
                <w:szCs w:val="22"/>
              </w:rPr>
            </w:pPr>
          </w:p>
          <w:p w14:paraId="132FAA12" w14:textId="77777777" w:rsidR="000B3CB7" w:rsidRPr="00DE1B39" w:rsidRDefault="000B3CB7" w:rsidP="000B3CB7">
            <w:pPr>
              <w:rPr>
                <w:rFonts w:asciiTheme="majorHAnsi" w:hAnsiTheme="majorHAnsi" w:cstheme="majorHAnsi"/>
                <w:sz w:val="22"/>
                <w:szCs w:val="22"/>
                <w:u w:val="single"/>
              </w:rPr>
            </w:pPr>
            <w:r w:rsidRPr="00DE1B39">
              <w:rPr>
                <w:rFonts w:asciiTheme="majorHAnsi" w:hAnsiTheme="majorHAnsi" w:cstheme="majorHAnsi"/>
                <w:sz w:val="22"/>
                <w:szCs w:val="22"/>
                <w:u w:val="single"/>
              </w:rPr>
              <w:t>2019</w:t>
            </w:r>
          </w:p>
          <w:p w14:paraId="269C4311" w14:textId="77777777" w:rsidR="000B3CB7" w:rsidRPr="00564EA5" w:rsidRDefault="000B3CB7" w:rsidP="000B3CB7">
            <w:pPr>
              <w:rPr>
                <w:rFonts w:asciiTheme="majorHAnsi" w:hAnsiTheme="majorHAnsi" w:cstheme="majorHAnsi"/>
                <w:sz w:val="22"/>
                <w:szCs w:val="22"/>
              </w:rPr>
            </w:pPr>
            <w:r w:rsidRPr="00564EA5">
              <w:rPr>
                <w:rFonts w:asciiTheme="majorHAnsi" w:hAnsiTheme="majorHAnsi" w:cstheme="majorHAnsi"/>
                <w:sz w:val="22"/>
                <w:szCs w:val="22"/>
              </w:rPr>
              <w:t xml:space="preserve">NCHFA sponsored </w:t>
            </w:r>
            <w:proofErr w:type="gramStart"/>
            <w:r w:rsidRPr="00564EA5">
              <w:rPr>
                <w:rFonts w:asciiTheme="majorHAnsi" w:hAnsiTheme="majorHAnsi" w:cstheme="majorHAnsi"/>
                <w:sz w:val="22"/>
                <w:szCs w:val="22"/>
              </w:rPr>
              <w:t>a number of</w:t>
            </w:r>
            <w:proofErr w:type="gramEnd"/>
            <w:r w:rsidRPr="00564EA5">
              <w:rPr>
                <w:rFonts w:asciiTheme="majorHAnsi" w:hAnsiTheme="majorHAnsi" w:cstheme="majorHAnsi"/>
                <w:sz w:val="22"/>
                <w:szCs w:val="22"/>
              </w:rPr>
              <w:t xml:space="preserve"> fair housing trainings across the state in partnership with the NC Fair Housing Project. The half-day trainings were offered to service providers and property owners and/or managers. Each day included a session tailored for service providers in the morning and a session </w:t>
            </w:r>
            <w:r w:rsidRPr="00564EA5">
              <w:rPr>
                <w:rFonts w:asciiTheme="majorHAnsi" w:hAnsiTheme="majorHAnsi" w:cstheme="majorHAnsi"/>
                <w:sz w:val="22"/>
                <w:szCs w:val="22"/>
              </w:rPr>
              <w:lastRenderedPageBreak/>
              <w:t>tailored for property owners and/or managers in the afternoon. NCHFA is continuing to partner with the NC Fair Housing Project in 2020. In addition to these publicly offered fair housing training sessions, HOME-funded partners for the SFRLP, CPLP, and SHLP programs (single-family rehab and home buyer assistance programs) were required to attend fair housing and LEP trainings in the spring/summer of 2019. NCHFA also provides fair housing information to property owners and/or managers through resources posted on NCHFA’s website and circulated to NCHFA partners across the state, such as the “Reasonable Accommodation Quick Guide for Property Owners and Managers” and the “Fair Housing and Tenant Selection” policy (both updated in 2018). NCHFA reviews properties’ tenant selection plans to ensure conformity to the memo and fair housing laws and regulations. HOME-funded partners who assist homeowners and homebuyers must create and implement a Marketing/Outreach Plan. The Marketing/Outreach Plan helps the partners effectively market the availability of housing opportunities to individuals of both minority and non-minority groups that are least likely to apply for assistance. The Marketing/Outreach Plan includes strategies designed to attract homeowners and homebuyers regardless of race, color, religion, sex, familial status, or disability, and describes initial advertising, outreach, and other marketing activities to inform potential homeowners and homebuyers of available assistance. HOME-funded rental developments must create and implement an Affirmative Fair Housing Marketing Plan (AFHMP). The AFHMP helps owners/agents effectively market the availability of housing opportunities to individuals of both minority and non-minority groups that are least likely to apply for occupancy. The AFHMP assists marketing strategies designed to attract renters regardless of race, color, religion, sex, familial status, or disability, and describes initial advertising, outreach (community contacts) and other marketing activities which inform potential renters of the existence of units. </w:t>
            </w:r>
          </w:p>
          <w:p w14:paraId="50B9F4A6" w14:textId="77777777" w:rsidR="000B3CB7" w:rsidRPr="000750BC" w:rsidRDefault="000B3CB7" w:rsidP="000B3CB7">
            <w:pPr>
              <w:rPr>
                <w:rFonts w:asciiTheme="majorHAnsi" w:hAnsiTheme="majorHAnsi" w:cstheme="majorHAnsi"/>
                <w:sz w:val="22"/>
                <w:szCs w:val="22"/>
              </w:rPr>
            </w:pPr>
          </w:p>
        </w:tc>
      </w:tr>
      <w:tr w:rsidR="000B3CB7" w14:paraId="17C3972E" w14:textId="77777777" w:rsidTr="001A3C03">
        <w:tc>
          <w:tcPr>
            <w:tcW w:w="3309" w:type="dxa"/>
            <w:shd w:val="clear" w:color="auto" w:fill="D9E2F3" w:themeFill="accent1" w:themeFillTint="33"/>
          </w:tcPr>
          <w:p w14:paraId="57BDF29F" w14:textId="544C3F79" w:rsidR="000B3CB7" w:rsidRPr="00C34124" w:rsidRDefault="000B3CB7" w:rsidP="000B3CB7">
            <w:pPr>
              <w:rPr>
                <w:rFonts w:asciiTheme="majorHAnsi" w:hAnsiTheme="majorHAnsi" w:cstheme="majorHAnsi"/>
                <w:b/>
                <w:bCs/>
                <w:sz w:val="22"/>
                <w:szCs w:val="22"/>
              </w:rPr>
            </w:pPr>
            <w:r w:rsidRPr="00C34124">
              <w:rPr>
                <w:rFonts w:asciiTheme="majorHAnsi" w:hAnsiTheme="majorHAnsi" w:cstheme="majorHAnsi"/>
                <w:b/>
                <w:bCs/>
                <w:sz w:val="22"/>
                <w:szCs w:val="22"/>
              </w:rPr>
              <w:lastRenderedPageBreak/>
              <w:t>Impediment 4:</w:t>
            </w:r>
          </w:p>
        </w:tc>
        <w:tc>
          <w:tcPr>
            <w:tcW w:w="6046" w:type="dxa"/>
            <w:shd w:val="clear" w:color="auto" w:fill="D9E2F3" w:themeFill="accent1" w:themeFillTint="33"/>
          </w:tcPr>
          <w:p w14:paraId="2D119D12" w14:textId="17453833" w:rsidR="000B3CB7" w:rsidRPr="00670815" w:rsidRDefault="000B3CB7" w:rsidP="000B3CB7">
            <w:pPr>
              <w:rPr>
                <w:rFonts w:asciiTheme="majorHAnsi" w:hAnsiTheme="majorHAnsi" w:cstheme="majorHAnsi"/>
                <w:sz w:val="22"/>
                <w:szCs w:val="22"/>
              </w:rPr>
            </w:pPr>
            <w:r w:rsidRPr="000750BC">
              <w:rPr>
                <w:rFonts w:asciiTheme="majorHAnsi" w:eastAsiaTheme="minorHAnsi" w:hAnsiTheme="majorHAnsi" w:cstheme="majorHAnsi"/>
                <w:b/>
                <w:bCs/>
                <w:sz w:val="22"/>
                <w:szCs w:val="22"/>
              </w:rPr>
              <w:t>Black and Hispanic residents experience higher rates of home purchase loan denials than white and non-Hispanic residents, leading to lower rates of homeownership.</w:t>
            </w:r>
          </w:p>
        </w:tc>
      </w:tr>
      <w:tr w:rsidR="000B3CB7" w14:paraId="4F7D880F" w14:textId="77777777" w:rsidTr="004B7058">
        <w:tc>
          <w:tcPr>
            <w:tcW w:w="3309" w:type="dxa"/>
          </w:tcPr>
          <w:p w14:paraId="197A5400" w14:textId="0D67A33F" w:rsidR="000B3CB7" w:rsidRPr="00C34124" w:rsidRDefault="000B3CB7" w:rsidP="000B3CB7">
            <w:pPr>
              <w:rPr>
                <w:rFonts w:asciiTheme="majorHAnsi" w:hAnsiTheme="majorHAnsi" w:cstheme="majorHAnsi"/>
                <w:b/>
                <w:bCs/>
                <w:sz w:val="22"/>
                <w:szCs w:val="22"/>
              </w:rPr>
            </w:pPr>
            <w:r w:rsidRPr="00C34124">
              <w:rPr>
                <w:rFonts w:asciiTheme="majorHAnsi" w:hAnsiTheme="majorHAnsi" w:cstheme="majorHAnsi"/>
                <w:b/>
                <w:bCs/>
                <w:sz w:val="22"/>
                <w:szCs w:val="22"/>
              </w:rPr>
              <w:t>Action 4.1:</w:t>
            </w:r>
          </w:p>
        </w:tc>
        <w:tc>
          <w:tcPr>
            <w:tcW w:w="6046" w:type="dxa"/>
          </w:tcPr>
          <w:p w14:paraId="04F53EF9" w14:textId="3E02EC57" w:rsidR="000B3CB7" w:rsidRPr="00670815" w:rsidRDefault="000B3CB7" w:rsidP="000B3CB7">
            <w:pPr>
              <w:rPr>
                <w:rFonts w:asciiTheme="majorHAnsi" w:hAnsiTheme="majorHAnsi" w:cstheme="majorHAnsi"/>
                <w:sz w:val="22"/>
                <w:szCs w:val="22"/>
              </w:rPr>
            </w:pPr>
            <w:r w:rsidRPr="000750BC">
              <w:rPr>
                <w:rFonts w:asciiTheme="majorHAnsi" w:eastAsiaTheme="minorHAnsi" w:hAnsiTheme="majorHAnsi" w:cstheme="majorHAnsi"/>
                <w:color w:val="000000"/>
                <w:sz w:val="22"/>
                <w:szCs w:val="22"/>
              </w:rPr>
              <w:t xml:space="preserve">In partnership with the HFA, and with the participation of the Department of Commerce, convene a homeownership workgroup to identify ways to </w:t>
            </w:r>
            <w:r w:rsidRPr="000750BC">
              <w:rPr>
                <w:rFonts w:asciiTheme="majorHAnsi" w:eastAsiaTheme="minorHAnsi" w:hAnsiTheme="majorHAnsi" w:cstheme="majorHAnsi"/>
                <w:sz w:val="22"/>
                <w:szCs w:val="22"/>
              </w:rPr>
              <w:t>overcome disproportionately low homeownership rates among black and Hispanic residents. Task the workgroup with the identification of potential avenues to improve financial literacy, address lack of understanding of credit, loans, and lending, and any other challenges the workgroup may uncover.</w:t>
            </w:r>
          </w:p>
        </w:tc>
      </w:tr>
      <w:tr w:rsidR="000B3CB7" w14:paraId="0355A29C" w14:textId="77777777" w:rsidTr="004B7058">
        <w:tc>
          <w:tcPr>
            <w:tcW w:w="3309" w:type="dxa"/>
          </w:tcPr>
          <w:p w14:paraId="5CE33B21" w14:textId="62115202"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Measurable Objective 4.1:</w:t>
            </w:r>
          </w:p>
          <w:p w14:paraId="08ECD034" w14:textId="77777777" w:rsidR="000B3CB7" w:rsidRPr="00C34124" w:rsidRDefault="000B3CB7" w:rsidP="000B3CB7">
            <w:pPr>
              <w:rPr>
                <w:rFonts w:asciiTheme="majorHAnsi" w:hAnsiTheme="majorHAnsi" w:cstheme="majorHAnsi"/>
                <w:b/>
                <w:bCs/>
                <w:sz w:val="22"/>
                <w:szCs w:val="22"/>
              </w:rPr>
            </w:pPr>
          </w:p>
        </w:tc>
        <w:tc>
          <w:tcPr>
            <w:tcW w:w="6046" w:type="dxa"/>
          </w:tcPr>
          <w:p w14:paraId="7FFC0B97" w14:textId="635EEEC6" w:rsidR="000B3CB7" w:rsidRPr="00670815" w:rsidRDefault="000B3CB7" w:rsidP="000B3CB7">
            <w:pPr>
              <w:rPr>
                <w:rFonts w:asciiTheme="majorHAnsi" w:hAnsiTheme="majorHAnsi" w:cstheme="majorHAnsi"/>
                <w:sz w:val="22"/>
                <w:szCs w:val="22"/>
              </w:rPr>
            </w:pPr>
            <w:r w:rsidRPr="000750BC">
              <w:rPr>
                <w:rFonts w:asciiTheme="majorHAnsi" w:hAnsiTheme="majorHAnsi" w:cstheme="majorHAnsi"/>
                <w:sz w:val="22"/>
                <w:szCs w:val="22"/>
              </w:rPr>
              <w:t>The establishment of the homeownership workgroup, the identification of challenges to homeownership, and suggestions of ways to improve homeownership rates among black and Hispanic residents.</w:t>
            </w:r>
          </w:p>
        </w:tc>
      </w:tr>
      <w:tr w:rsidR="0079319D" w14:paraId="1293E115" w14:textId="77777777" w:rsidTr="001F4654">
        <w:tc>
          <w:tcPr>
            <w:tcW w:w="9355" w:type="dxa"/>
            <w:gridSpan w:val="2"/>
            <w:shd w:val="clear" w:color="auto" w:fill="D9E2F3" w:themeFill="accent1" w:themeFillTint="33"/>
          </w:tcPr>
          <w:p w14:paraId="22AAEEB2" w14:textId="2A3AE74D" w:rsidR="0079319D" w:rsidRPr="00670815" w:rsidRDefault="0079319D" w:rsidP="000B3CB7">
            <w:pPr>
              <w:rPr>
                <w:rFonts w:asciiTheme="majorHAnsi" w:hAnsiTheme="majorHAnsi" w:cstheme="majorHAnsi"/>
                <w:sz w:val="22"/>
                <w:szCs w:val="22"/>
              </w:rPr>
            </w:pPr>
            <w:r w:rsidRPr="00C34124">
              <w:rPr>
                <w:rFonts w:asciiTheme="majorHAnsi" w:hAnsiTheme="majorHAnsi" w:cstheme="majorHAnsi"/>
                <w:b/>
                <w:bCs/>
                <w:sz w:val="22"/>
                <w:szCs w:val="22"/>
              </w:rPr>
              <w:t>Progress Achieved</w:t>
            </w:r>
            <w:r w:rsidR="001F4654">
              <w:rPr>
                <w:rFonts w:asciiTheme="majorHAnsi" w:hAnsiTheme="majorHAnsi" w:cstheme="majorHAnsi"/>
                <w:b/>
                <w:bCs/>
                <w:sz w:val="22"/>
                <w:szCs w:val="22"/>
              </w:rPr>
              <w:t xml:space="preserve"> on Impediment 4</w:t>
            </w:r>
            <w:r w:rsidRPr="00C34124">
              <w:rPr>
                <w:rFonts w:asciiTheme="majorHAnsi" w:hAnsiTheme="majorHAnsi" w:cstheme="majorHAnsi"/>
                <w:b/>
                <w:bCs/>
                <w:sz w:val="22"/>
                <w:szCs w:val="22"/>
              </w:rPr>
              <w:t>:</w:t>
            </w:r>
          </w:p>
        </w:tc>
      </w:tr>
      <w:tr w:rsidR="0079319D" w14:paraId="19347030" w14:textId="77777777" w:rsidTr="0002552E">
        <w:tc>
          <w:tcPr>
            <w:tcW w:w="9355" w:type="dxa"/>
            <w:gridSpan w:val="2"/>
            <w:shd w:val="clear" w:color="auto" w:fill="auto"/>
          </w:tcPr>
          <w:p w14:paraId="5D9C2419" w14:textId="77777777" w:rsidR="0079319D" w:rsidRPr="0082606D" w:rsidRDefault="00600641" w:rsidP="008C537F">
            <w:pPr>
              <w:rPr>
                <w:rFonts w:asciiTheme="majorHAnsi" w:hAnsiTheme="majorHAnsi" w:cstheme="majorHAnsi"/>
                <w:sz w:val="22"/>
                <w:szCs w:val="22"/>
              </w:rPr>
            </w:pPr>
            <w:r w:rsidRPr="0082606D">
              <w:rPr>
                <w:rFonts w:asciiTheme="majorHAnsi" w:hAnsiTheme="majorHAnsi" w:cstheme="majorHAnsi"/>
                <w:sz w:val="22"/>
                <w:szCs w:val="22"/>
              </w:rPr>
              <w:t>No progress was made</w:t>
            </w:r>
            <w:r w:rsidR="008C537F" w:rsidRPr="0082606D">
              <w:rPr>
                <w:rFonts w:asciiTheme="majorHAnsi" w:hAnsiTheme="majorHAnsi" w:cstheme="majorHAnsi"/>
                <w:sz w:val="22"/>
                <w:szCs w:val="22"/>
              </w:rPr>
              <w:t>.</w:t>
            </w:r>
          </w:p>
          <w:p w14:paraId="5B564F7E" w14:textId="7A3BA7AA" w:rsidR="00DA0748" w:rsidRPr="0082606D" w:rsidRDefault="00DA0748" w:rsidP="008C537F">
            <w:pPr>
              <w:rPr>
                <w:rFonts w:asciiTheme="majorHAnsi" w:hAnsiTheme="majorHAnsi" w:cstheme="majorHAnsi"/>
                <w:sz w:val="22"/>
                <w:szCs w:val="22"/>
              </w:rPr>
            </w:pPr>
          </w:p>
        </w:tc>
      </w:tr>
      <w:tr w:rsidR="00DA0748" w14:paraId="09FB3F29" w14:textId="77777777" w:rsidTr="00DA0748">
        <w:tc>
          <w:tcPr>
            <w:tcW w:w="9355" w:type="dxa"/>
            <w:gridSpan w:val="2"/>
            <w:shd w:val="clear" w:color="auto" w:fill="2F5496" w:themeFill="accent1" w:themeFillShade="BF"/>
          </w:tcPr>
          <w:p w14:paraId="7ED9F0E3" w14:textId="7C0728E1" w:rsidR="00DA0748" w:rsidRPr="00DA0748" w:rsidRDefault="00DA0748" w:rsidP="000B3CB7">
            <w:pPr>
              <w:rPr>
                <w:rFonts w:asciiTheme="majorHAnsi" w:eastAsiaTheme="minorHAnsi" w:hAnsiTheme="majorHAnsi" w:cstheme="majorHAnsi"/>
                <w:b/>
                <w:bCs/>
                <w:color w:val="FFFFFF" w:themeColor="background1"/>
                <w:sz w:val="22"/>
                <w:szCs w:val="22"/>
              </w:rPr>
            </w:pPr>
            <w:r>
              <w:rPr>
                <w:rFonts w:asciiTheme="majorHAnsi" w:eastAsiaTheme="minorHAnsi" w:hAnsiTheme="majorHAnsi" w:cstheme="majorHAnsi"/>
                <w:b/>
                <w:bCs/>
                <w:color w:val="FFFFFF" w:themeColor="background1"/>
                <w:sz w:val="22"/>
                <w:szCs w:val="22"/>
              </w:rPr>
              <w:t>Public Sector Impediments, Suggested Actions and Measurable Objectives</w:t>
            </w:r>
          </w:p>
        </w:tc>
      </w:tr>
      <w:tr w:rsidR="000B3CB7" w14:paraId="1C4B8C6B" w14:textId="77777777" w:rsidTr="002A4378">
        <w:tc>
          <w:tcPr>
            <w:tcW w:w="3309" w:type="dxa"/>
            <w:shd w:val="clear" w:color="auto" w:fill="D9E2F3" w:themeFill="accent1" w:themeFillTint="33"/>
          </w:tcPr>
          <w:p w14:paraId="438E47E8" w14:textId="6C48F492" w:rsidR="000B3CB7" w:rsidRPr="00C34124" w:rsidRDefault="000B3CB7" w:rsidP="000B3CB7">
            <w:pPr>
              <w:rPr>
                <w:rFonts w:asciiTheme="majorHAnsi" w:hAnsiTheme="majorHAnsi" w:cstheme="majorHAnsi"/>
                <w:b/>
                <w:bCs/>
                <w:sz w:val="22"/>
                <w:szCs w:val="22"/>
              </w:rPr>
            </w:pPr>
            <w:r w:rsidRPr="00C34124">
              <w:rPr>
                <w:rFonts w:asciiTheme="majorHAnsi" w:hAnsiTheme="majorHAnsi" w:cstheme="majorHAnsi"/>
                <w:b/>
                <w:bCs/>
                <w:sz w:val="22"/>
                <w:szCs w:val="22"/>
              </w:rPr>
              <w:t xml:space="preserve">Impediment </w:t>
            </w:r>
            <w:r w:rsidR="00DA0748">
              <w:rPr>
                <w:rFonts w:asciiTheme="majorHAnsi" w:hAnsiTheme="majorHAnsi" w:cstheme="majorHAnsi"/>
                <w:b/>
                <w:bCs/>
                <w:sz w:val="22"/>
                <w:szCs w:val="22"/>
              </w:rPr>
              <w:t>1</w:t>
            </w:r>
            <w:r w:rsidRPr="00C34124">
              <w:rPr>
                <w:rFonts w:asciiTheme="majorHAnsi" w:hAnsiTheme="majorHAnsi" w:cstheme="majorHAnsi"/>
                <w:b/>
                <w:bCs/>
                <w:sz w:val="22"/>
                <w:szCs w:val="22"/>
              </w:rPr>
              <w:t>:</w:t>
            </w:r>
          </w:p>
        </w:tc>
        <w:tc>
          <w:tcPr>
            <w:tcW w:w="6046" w:type="dxa"/>
            <w:shd w:val="clear" w:color="auto" w:fill="D9E2F3" w:themeFill="accent1" w:themeFillTint="33"/>
          </w:tcPr>
          <w:p w14:paraId="4469721D" w14:textId="2CFCA8EC" w:rsidR="000B3CB7" w:rsidRPr="00C34124" w:rsidRDefault="000B3CB7" w:rsidP="000B3CB7">
            <w:pPr>
              <w:rPr>
                <w:rFonts w:asciiTheme="majorHAnsi" w:hAnsiTheme="majorHAnsi" w:cstheme="majorHAnsi"/>
                <w:b/>
                <w:bCs/>
                <w:sz w:val="22"/>
                <w:szCs w:val="22"/>
              </w:rPr>
            </w:pPr>
            <w:r w:rsidRPr="000750BC">
              <w:rPr>
                <w:rFonts w:asciiTheme="majorHAnsi" w:eastAsiaTheme="minorHAnsi" w:hAnsiTheme="majorHAnsi" w:cstheme="majorHAnsi"/>
                <w:b/>
                <w:bCs/>
                <w:sz w:val="22"/>
                <w:szCs w:val="22"/>
              </w:rPr>
              <w:t>Limited fair housing infrastructure serving rural state residents.</w:t>
            </w:r>
          </w:p>
        </w:tc>
      </w:tr>
      <w:tr w:rsidR="000B3CB7" w14:paraId="69258AA1" w14:textId="77777777" w:rsidTr="004B7058">
        <w:tc>
          <w:tcPr>
            <w:tcW w:w="3309" w:type="dxa"/>
          </w:tcPr>
          <w:p w14:paraId="58B1F14E" w14:textId="2AD3C333" w:rsidR="000B3CB7" w:rsidRPr="00C34124" w:rsidRDefault="000B3CB7" w:rsidP="000B3CB7">
            <w:pPr>
              <w:rPr>
                <w:rFonts w:asciiTheme="majorHAnsi" w:hAnsiTheme="majorHAnsi" w:cstheme="majorHAnsi"/>
                <w:b/>
                <w:bCs/>
                <w:sz w:val="22"/>
                <w:szCs w:val="22"/>
              </w:rPr>
            </w:pPr>
            <w:r w:rsidRPr="00C34124">
              <w:rPr>
                <w:rFonts w:asciiTheme="majorHAnsi" w:hAnsiTheme="majorHAnsi" w:cstheme="majorHAnsi"/>
                <w:b/>
                <w:bCs/>
                <w:sz w:val="22"/>
                <w:szCs w:val="22"/>
              </w:rPr>
              <w:t xml:space="preserve">Action </w:t>
            </w:r>
            <w:r w:rsidR="00A074E9">
              <w:rPr>
                <w:rFonts w:asciiTheme="majorHAnsi" w:hAnsiTheme="majorHAnsi" w:cstheme="majorHAnsi"/>
                <w:b/>
                <w:bCs/>
                <w:sz w:val="22"/>
                <w:szCs w:val="22"/>
              </w:rPr>
              <w:t>1</w:t>
            </w:r>
            <w:r w:rsidRPr="00C34124">
              <w:rPr>
                <w:rFonts w:asciiTheme="majorHAnsi" w:hAnsiTheme="majorHAnsi" w:cstheme="majorHAnsi"/>
                <w:b/>
                <w:bCs/>
                <w:sz w:val="22"/>
                <w:szCs w:val="22"/>
              </w:rPr>
              <w:t>.1:</w:t>
            </w:r>
          </w:p>
        </w:tc>
        <w:tc>
          <w:tcPr>
            <w:tcW w:w="6046" w:type="dxa"/>
          </w:tcPr>
          <w:p w14:paraId="3D831766" w14:textId="62FFFE43" w:rsidR="000B3CB7" w:rsidRPr="00670815" w:rsidRDefault="000B3CB7" w:rsidP="000B3CB7">
            <w:pPr>
              <w:rPr>
                <w:rFonts w:asciiTheme="majorHAnsi" w:hAnsiTheme="majorHAnsi" w:cstheme="majorHAnsi"/>
                <w:sz w:val="22"/>
                <w:szCs w:val="22"/>
              </w:rPr>
            </w:pPr>
            <w:r w:rsidRPr="000750BC">
              <w:rPr>
                <w:rFonts w:asciiTheme="majorHAnsi" w:eastAsiaTheme="minorHAnsi" w:hAnsiTheme="majorHAnsi" w:cstheme="majorHAnsi"/>
                <w:color w:val="000000"/>
                <w:sz w:val="22"/>
                <w:szCs w:val="22"/>
              </w:rPr>
              <w:t>In partnership with the HFA and Department of Commerce, contract with state and local Fair Housing Initiative Program (FHIP) participants to conduct outreach and education activities in rural areas of the state.</w:t>
            </w:r>
          </w:p>
        </w:tc>
      </w:tr>
      <w:tr w:rsidR="000B3CB7" w14:paraId="08141C1B" w14:textId="77777777" w:rsidTr="004B7058">
        <w:tc>
          <w:tcPr>
            <w:tcW w:w="3309" w:type="dxa"/>
          </w:tcPr>
          <w:p w14:paraId="42B40BA4" w14:textId="6D28EF19"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lastRenderedPageBreak/>
              <w:t xml:space="preserve">Measurable Objective </w:t>
            </w:r>
            <w:r w:rsidR="00A074E9">
              <w:rPr>
                <w:rFonts w:asciiTheme="majorHAnsi" w:hAnsiTheme="majorHAnsi" w:cstheme="majorHAnsi"/>
                <w:b/>
                <w:bCs/>
                <w:sz w:val="22"/>
                <w:szCs w:val="22"/>
              </w:rPr>
              <w:t>1</w:t>
            </w:r>
            <w:r w:rsidRPr="00C34124">
              <w:rPr>
                <w:rFonts w:asciiTheme="majorHAnsi" w:hAnsiTheme="majorHAnsi" w:cstheme="majorHAnsi"/>
                <w:b/>
                <w:bCs/>
                <w:sz w:val="22"/>
                <w:szCs w:val="22"/>
              </w:rPr>
              <w:t>.1:</w:t>
            </w:r>
          </w:p>
          <w:p w14:paraId="5EAFDB8B" w14:textId="77777777" w:rsidR="000B3CB7" w:rsidRPr="00C34124" w:rsidRDefault="000B3CB7" w:rsidP="000B3CB7">
            <w:pPr>
              <w:rPr>
                <w:rFonts w:asciiTheme="majorHAnsi" w:hAnsiTheme="majorHAnsi" w:cstheme="majorHAnsi"/>
                <w:b/>
                <w:bCs/>
                <w:sz w:val="22"/>
                <w:szCs w:val="22"/>
              </w:rPr>
            </w:pPr>
          </w:p>
        </w:tc>
        <w:tc>
          <w:tcPr>
            <w:tcW w:w="6046" w:type="dxa"/>
          </w:tcPr>
          <w:p w14:paraId="1B863E63" w14:textId="39FF28AD" w:rsidR="000B3CB7" w:rsidRPr="00670815" w:rsidRDefault="000B3CB7" w:rsidP="000B3CB7">
            <w:pPr>
              <w:rPr>
                <w:rFonts w:asciiTheme="majorHAnsi" w:hAnsiTheme="majorHAnsi" w:cstheme="majorHAnsi"/>
                <w:sz w:val="22"/>
                <w:szCs w:val="22"/>
              </w:rPr>
            </w:pPr>
            <w:r w:rsidRPr="000750BC">
              <w:rPr>
                <w:rFonts w:asciiTheme="majorHAnsi" w:hAnsiTheme="majorHAnsi" w:cstheme="majorHAnsi"/>
                <w:sz w:val="22"/>
                <w:szCs w:val="22"/>
              </w:rPr>
              <w:t>The hiring of FHIP organizations and the number of outreach and education sessions that they conduct.</w:t>
            </w:r>
          </w:p>
        </w:tc>
      </w:tr>
      <w:tr w:rsidR="00BA68B3" w14:paraId="0E9567CF" w14:textId="77777777" w:rsidTr="008C537F">
        <w:tc>
          <w:tcPr>
            <w:tcW w:w="9355" w:type="dxa"/>
            <w:gridSpan w:val="2"/>
            <w:shd w:val="clear" w:color="auto" w:fill="D9E2F3" w:themeFill="accent1" w:themeFillTint="33"/>
          </w:tcPr>
          <w:p w14:paraId="69B98E4F" w14:textId="29E19A7E" w:rsidR="00BA68B3" w:rsidRPr="00670815" w:rsidRDefault="00BA68B3" w:rsidP="000B3CB7">
            <w:pPr>
              <w:rPr>
                <w:rFonts w:asciiTheme="majorHAnsi" w:hAnsiTheme="majorHAnsi" w:cstheme="majorHAnsi"/>
                <w:sz w:val="22"/>
                <w:szCs w:val="22"/>
              </w:rPr>
            </w:pPr>
            <w:r w:rsidRPr="00C34124">
              <w:rPr>
                <w:rFonts w:asciiTheme="majorHAnsi" w:hAnsiTheme="majorHAnsi" w:cstheme="majorHAnsi"/>
                <w:b/>
                <w:bCs/>
                <w:sz w:val="22"/>
                <w:szCs w:val="22"/>
              </w:rPr>
              <w:t>Progress Achieved</w:t>
            </w:r>
            <w:r w:rsidR="008C537F">
              <w:rPr>
                <w:rFonts w:asciiTheme="majorHAnsi" w:hAnsiTheme="majorHAnsi" w:cstheme="majorHAnsi"/>
                <w:b/>
                <w:bCs/>
                <w:sz w:val="22"/>
                <w:szCs w:val="22"/>
              </w:rPr>
              <w:t xml:space="preserve"> on Impediment 5</w:t>
            </w:r>
            <w:r w:rsidR="00A074E9">
              <w:rPr>
                <w:rFonts w:asciiTheme="majorHAnsi" w:hAnsiTheme="majorHAnsi" w:cstheme="majorHAnsi"/>
                <w:b/>
                <w:bCs/>
                <w:sz w:val="22"/>
                <w:szCs w:val="22"/>
              </w:rPr>
              <w:t>.1</w:t>
            </w:r>
            <w:r w:rsidRPr="00C34124">
              <w:rPr>
                <w:rFonts w:asciiTheme="majorHAnsi" w:hAnsiTheme="majorHAnsi" w:cstheme="majorHAnsi"/>
                <w:b/>
                <w:bCs/>
                <w:sz w:val="22"/>
                <w:szCs w:val="22"/>
              </w:rPr>
              <w:t>:</w:t>
            </w:r>
          </w:p>
        </w:tc>
      </w:tr>
      <w:tr w:rsidR="00BA68B3" w14:paraId="6F6727A1" w14:textId="77777777" w:rsidTr="00A074E9">
        <w:tc>
          <w:tcPr>
            <w:tcW w:w="9355" w:type="dxa"/>
            <w:gridSpan w:val="2"/>
            <w:shd w:val="clear" w:color="auto" w:fill="FFFFFF" w:themeFill="background1"/>
          </w:tcPr>
          <w:p w14:paraId="18089F4F" w14:textId="77777777" w:rsidR="00BA68B3" w:rsidRPr="0082606D" w:rsidRDefault="008C537F" w:rsidP="000B3CB7">
            <w:pPr>
              <w:rPr>
                <w:rFonts w:asciiTheme="majorHAnsi" w:hAnsiTheme="majorHAnsi" w:cstheme="majorHAnsi"/>
                <w:sz w:val="22"/>
                <w:szCs w:val="22"/>
              </w:rPr>
            </w:pPr>
            <w:r w:rsidRPr="0082606D">
              <w:rPr>
                <w:rFonts w:asciiTheme="majorHAnsi" w:hAnsiTheme="majorHAnsi" w:cstheme="majorHAnsi"/>
                <w:sz w:val="22"/>
                <w:szCs w:val="22"/>
              </w:rPr>
              <w:t>No progress made.</w:t>
            </w:r>
          </w:p>
          <w:p w14:paraId="50A1EF53" w14:textId="74666A4A" w:rsidR="00A074E9" w:rsidRPr="0082606D" w:rsidRDefault="00A074E9" w:rsidP="000B3CB7">
            <w:pPr>
              <w:rPr>
                <w:rFonts w:asciiTheme="majorHAnsi" w:hAnsiTheme="majorHAnsi" w:cstheme="majorHAnsi"/>
                <w:sz w:val="22"/>
                <w:szCs w:val="22"/>
              </w:rPr>
            </w:pPr>
          </w:p>
        </w:tc>
      </w:tr>
      <w:tr w:rsidR="000B3CB7" w14:paraId="7D68660E" w14:textId="77777777" w:rsidTr="006B1C4E">
        <w:tc>
          <w:tcPr>
            <w:tcW w:w="3309" w:type="dxa"/>
            <w:shd w:val="clear" w:color="auto" w:fill="D9E2F3" w:themeFill="accent1" w:themeFillTint="33"/>
          </w:tcPr>
          <w:p w14:paraId="69C1EB47" w14:textId="285DD871" w:rsidR="000B3CB7" w:rsidRPr="00C34124" w:rsidRDefault="000B3CB7" w:rsidP="000B3CB7">
            <w:pPr>
              <w:rPr>
                <w:rFonts w:asciiTheme="majorHAnsi" w:hAnsiTheme="majorHAnsi" w:cstheme="majorHAnsi"/>
                <w:b/>
                <w:bCs/>
                <w:sz w:val="22"/>
                <w:szCs w:val="22"/>
              </w:rPr>
            </w:pPr>
            <w:r w:rsidRPr="00C34124">
              <w:rPr>
                <w:rFonts w:asciiTheme="majorHAnsi" w:hAnsiTheme="majorHAnsi" w:cstheme="majorHAnsi"/>
                <w:b/>
                <w:bCs/>
                <w:sz w:val="22"/>
                <w:szCs w:val="22"/>
              </w:rPr>
              <w:t xml:space="preserve">Impediment </w:t>
            </w:r>
            <w:r w:rsidR="00763A0F">
              <w:rPr>
                <w:rFonts w:asciiTheme="majorHAnsi" w:hAnsiTheme="majorHAnsi" w:cstheme="majorHAnsi"/>
                <w:b/>
                <w:bCs/>
                <w:sz w:val="22"/>
                <w:szCs w:val="22"/>
              </w:rPr>
              <w:t>2</w:t>
            </w:r>
            <w:r w:rsidRPr="00C34124">
              <w:rPr>
                <w:rFonts w:asciiTheme="majorHAnsi" w:hAnsiTheme="majorHAnsi" w:cstheme="majorHAnsi"/>
                <w:b/>
                <w:bCs/>
                <w:sz w:val="22"/>
                <w:szCs w:val="22"/>
              </w:rPr>
              <w:t>:</w:t>
            </w:r>
          </w:p>
        </w:tc>
        <w:tc>
          <w:tcPr>
            <w:tcW w:w="6046" w:type="dxa"/>
            <w:shd w:val="clear" w:color="auto" w:fill="D9E2F3" w:themeFill="accent1" w:themeFillTint="33"/>
          </w:tcPr>
          <w:p w14:paraId="4F6C00D2" w14:textId="4E478BA0" w:rsidR="000B3CB7" w:rsidRPr="00670815" w:rsidRDefault="000B3CB7" w:rsidP="000B3CB7">
            <w:pPr>
              <w:rPr>
                <w:rFonts w:asciiTheme="majorHAnsi" w:hAnsiTheme="majorHAnsi" w:cstheme="majorHAnsi"/>
                <w:sz w:val="22"/>
                <w:szCs w:val="22"/>
              </w:rPr>
            </w:pPr>
            <w:r w:rsidRPr="000750BC">
              <w:rPr>
                <w:rFonts w:asciiTheme="majorHAnsi" w:eastAsiaTheme="minorHAnsi" w:hAnsiTheme="majorHAnsi" w:cstheme="majorHAnsi"/>
                <w:b/>
                <w:bCs/>
                <w:sz w:val="22"/>
                <w:szCs w:val="22"/>
              </w:rPr>
              <w:t>Limited understanding of duty to affirmatively further fair housing.</w:t>
            </w:r>
          </w:p>
        </w:tc>
      </w:tr>
      <w:tr w:rsidR="000B3CB7" w14:paraId="05BF960F" w14:textId="77777777" w:rsidTr="004B7058">
        <w:tc>
          <w:tcPr>
            <w:tcW w:w="3309" w:type="dxa"/>
          </w:tcPr>
          <w:p w14:paraId="531D0E9D" w14:textId="7F4DC53C" w:rsidR="000B3CB7" w:rsidRPr="00C34124" w:rsidRDefault="000B3CB7" w:rsidP="000B3CB7">
            <w:pPr>
              <w:rPr>
                <w:rFonts w:asciiTheme="majorHAnsi" w:hAnsiTheme="majorHAnsi" w:cstheme="majorHAnsi"/>
                <w:b/>
                <w:bCs/>
                <w:sz w:val="22"/>
                <w:szCs w:val="22"/>
              </w:rPr>
            </w:pPr>
            <w:r w:rsidRPr="00C34124">
              <w:rPr>
                <w:rFonts w:asciiTheme="majorHAnsi" w:hAnsiTheme="majorHAnsi" w:cstheme="majorHAnsi"/>
                <w:b/>
                <w:bCs/>
                <w:sz w:val="22"/>
                <w:szCs w:val="22"/>
              </w:rPr>
              <w:t xml:space="preserve">Action </w:t>
            </w:r>
            <w:r w:rsidR="00763A0F">
              <w:rPr>
                <w:rFonts w:asciiTheme="majorHAnsi" w:hAnsiTheme="majorHAnsi" w:cstheme="majorHAnsi"/>
                <w:b/>
                <w:bCs/>
                <w:sz w:val="22"/>
                <w:szCs w:val="22"/>
              </w:rPr>
              <w:t>2</w:t>
            </w:r>
            <w:r w:rsidRPr="00C34124">
              <w:rPr>
                <w:rFonts w:asciiTheme="majorHAnsi" w:hAnsiTheme="majorHAnsi" w:cstheme="majorHAnsi"/>
                <w:b/>
                <w:bCs/>
                <w:sz w:val="22"/>
                <w:szCs w:val="22"/>
              </w:rPr>
              <w:t>.1:</w:t>
            </w:r>
          </w:p>
        </w:tc>
        <w:tc>
          <w:tcPr>
            <w:tcW w:w="6046" w:type="dxa"/>
          </w:tcPr>
          <w:p w14:paraId="1CC67D3F" w14:textId="5FE020A6" w:rsidR="000B3CB7" w:rsidRPr="00670815" w:rsidRDefault="000B3CB7" w:rsidP="000B3CB7">
            <w:pPr>
              <w:rPr>
                <w:rFonts w:asciiTheme="majorHAnsi" w:hAnsiTheme="majorHAnsi" w:cstheme="majorHAnsi"/>
                <w:sz w:val="22"/>
                <w:szCs w:val="22"/>
              </w:rPr>
            </w:pPr>
            <w:r w:rsidRPr="000750BC">
              <w:rPr>
                <w:rFonts w:asciiTheme="majorHAnsi" w:eastAsiaTheme="minorHAnsi" w:hAnsiTheme="majorHAnsi" w:cstheme="majorHAnsi"/>
                <w:color w:val="000000"/>
                <w:sz w:val="22"/>
                <w:szCs w:val="22"/>
              </w:rPr>
              <w:t>Require prospective sub-grantees of Community Development Block Grant (CDBG) funding to complete fair housing training. As funding applications from local jurisdictions are considered and scored, award additional points to those whose officials have completed fair housing training.</w:t>
            </w:r>
          </w:p>
        </w:tc>
      </w:tr>
      <w:tr w:rsidR="000B3CB7" w14:paraId="5C0E7153" w14:textId="77777777" w:rsidTr="004B7058">
        <w:tc>
          <w:tcPr>
            <w:tcW w:w="3309" w:type="dxa"/>
          </w:tcPr>
          <w:p w14:paraId="2369AC81" w14:textId="0E3EF056" w:rsidR="000B3CB7" w:rsidRPr="00C34124" w:rsidRDefault="000B3CB7" w:rsidP="000B3CB7">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 xml:space="preserve">Measurable Objective </w:t>
            </w:r>
            <w:r w:rsidR="00763A0F">
              <w:rPr>
                <w:rFonts w:asciiTheme="majorHAnsi" w:hAnsiTheme="majorHAnsi" w:cstheme="majorHAnsi"/>
                <w:b/>
                <w:bCs/>
                <w:sz w:val="22"/>
                <w:szCs w:val="22"/>
              </w:rPr>
              <w:t>2</w:t>
            </w:r>
            <w:r w:rsidRPr="00C34124">
              <w:rPr>
                <w:rFonts w:asciiTheme="majorHAnsi" w:hAnsiTheme="majorHAnsi" w:cstheme="majorHAnsi"/>
                <w:b/>
                <w:bCs/>
                <w:sz w:val="22"/>
                <w:szCs w:val="22"/>
              </w:rPr>
              <w:t>.1:</w:t>
            </w:r>
          </w:p>
          <w:p w14:paraId="7796FDEF" w14:textId="77777777" w:rsidR="000B3CB7" w:rsidRPr="00C34124" w:rsidRDefault="000B3CB7" w:rsidP="000B3CB7">
            <w:pPr>
              <w:rPr>
                <w:rFonts w:asciiTheme="majorHAnsi" w:hAnsiTheme="majorHAnsi" w:cstheme="majorHAnsi"/>
                <w:b/>
                <w:bCs/>
                <w:sz w:val="22"/>
                <w:szCs w:val="22"/>
              </w:rPr>
            </w:pPr>
          </w:p>
        </w:tc>
        <w:tc>
          <w:tcPr>
            <w:tcW w:w="6046" w:type="dxa"/>
          </w:tcPr>
          <w:p w14:paraId="7698B96D" w14:textId="4DAE0EBF" w:rsidR="000B3CB7" w:rsidRPr="00670815" w:rsidRDefault="000B3CB7" w:rsidP="000B3CB7">
            <w:pPr>
              <w:rPr>
                <w:rFonts w:asciiTheme="majorHAnsi" w:hAnsiTheme="majorHAnsi" w:cstheme="majorHAnsi"/>
                <w:sz w:val="22"/>
                <w:szCs w:val="22"/>
              </w:rPr>
            </w:pPr>
            <w:r w:rsidRPr="000750BC">
              <w:rPr>
                <w:rFonts w:asciiTheme="majorHAnsi" w:eastAsiaTheme="minorHAnsi" w:hAnsiTheme="majorHAnsi" w:cstheme="majorHAnsi"/>
                <w:sz w:val="22"/>
                <w:szCs w:val="22"/>
              </w:rPr>
              <w:t>The establishment of a fair housing training requirement for local CDBG sub-grantees and the development of additional scoring criteria for local jurisdictions whose officials complete fair housing training.</w:t>
            </w:r>
          </w:p>
        </w:tc>
      </w:tr>
      <w:tr w:rsidR="007D1DDE" w14:paraId="07E9DBD8" w14:textId="77777777" w:rsidTr="007D1DDE">
        <w:tc>
          <w:tcPr>
            <w:tcW w:w="9355" w:type="dxa"/>
            <w:gridSpan w:val="2"/>
            <w:shd w:val="clear" w:color="auto" w:fill="D9E2F3" w:themeFill="accent1" w:themeFillTint="33"/>
          </w:tcPr>
          <w:p w14:paraId="4FDA61E1" w14:textId="75D0F855" w:rsidR="007D1DDE" w:rsidRPr="00FF39F3" w:rsidRDefault="007D1DDE" w:rsidP="00EF71D6">
            <w:pPr>
              <w:rPr>
                <w:rFonts w:asciiTheme="majorHAnsi" w:hAnsiTheme="majorHAnsi" w:cstheme="majorHAnsi"/>
                <w:sz w:val="22"/>
                <w:szCs w:val="22"/>
              </w:rPr>
            </w:pPr>
            <w:r w:rsidRPr="00FF39F3">
              <w:rPr>
                <w:rFonts w:asciiTheme="majorHAnsi" w:hAnsiTheme="majorHAnsi" w:cstheme="majorHAnsi"/>
                <w:b/>
                <w:bCs/>
                <w:sz w:val="22"/>
                <w:szCs w:val="22"/>
              </w:rPr>
              <w:t>Progress Achieved</w:t>
            </w:r>
            <w:r>
              <w:rPr>
                <w:rFonts w:asciiTheme="majorHAnsi" w:hAnsiTheme="majorHAnsi" w:cstheme="majorHAnsi"/>
                <w:b/>
                <w:bCs/>
                <w:sz w:val="22"/>
                <w:szCs w:val="22"/>
              </w:rPr>
              <w:t xml:space="preserve"> on Impediment </w:t>
            </w:r>
            <w:r w:rsidR="00763A0F">
              <w:rPr>
                <w:rFonts w:asciiTheme="majorHAnsi" w:hAnsiTheme="majorHAnsi" w:cstheme="majorHAnsi"/>
                <w:b/>
                <w:bCs/>
                <w:sz w:val="22"/>
                <w:szCs w:val="22"/>
              </w:rPr>
              <w:t>2</w:t>
            </w:r>
            <w:r w:rsidR="00D31C88">
              <w:rPr>
                <w:rFonts w:asciiTheme="majorHAnsi" w:hAnsiTheme="majorHAnsi" w:cstheme="majorHAnsi"/>
                <w:b/>
                <w:bCs/>
                <w:sz w:val="22"/>
                <w:szCs w:val="22"/>
              </w:rPr>
              <w:t>.1</w:t>
            </w:r>
            <w:r w:rsidRPr="00FF39F3">
              <w:rPr>
                <w:rFonts w:asciiTheme="majorHAnsi" w:hAnsiTheme="majorHAnsi" w:cstheme="majorHAnsi"/>
                <w:b/>
                <w:bCs/>
                <w:sz w:val="22"/>
                <w:szCs w:val="22"/>
              </w:rPr>
              <w:t>:</w:t>
            </w:r>
          </w:p>
        </w:tc>
      </w:tr>
      <w:tr w:rsidR="00EF71D6" w14:paraId="64FB48D0" w14:textId="77777777" w:rsidTr="00763A0F">
        <w:tc>
          <w:tcPr>
            <w:tcW w:w="9355" w:type="dxa"/>
            <w:gridSpan w:val="2"/>
            <w:shd w:val="clear" w:color="auto" w:fill="FFFFFF" w:themeFill="background1"/>
          </w:tcPr>
          <w:p w14:paraId="149CC413" w14:textId="77777777" w:rsidR="00EF71D6" w:rsidRPr="0082606D" w:rsidRDefault="00EF71D6" w:rsidP="00EF71D6">
            <w:pPr>
              <w:rPr>
                <w:rFonts w:asciiTheme="majorHAnsi" w:hAnsiTheme="majorHAnsi" w:cstheme="majorHAnsi"/>
                <w:sz w:val="22"/>
                <w:szCs w:val="22"/>
              </w:rPr>
            </w:pPr>
            <w:r w:rsidRPr="0082606D">
              <w:rPr>
                <w:rFonts w:asciiTheme="majorHAnsi" w:hAnsiTheme="majorHAnsi" w:cstheme="majorHAnsi"/>
                <w:sz w:val="22"/>
                <w:szCs w:val="22"/>
              </w:rPr>
              <w:t xml:space="preserve">No progress </w:t>
            </w:r>
            <w:r w:rsidR="000B6CF1" w:rsidRPr="0082606D">
              <w:rPr>
                <w:rFonts w:asciiTheme="majorHAnsi" w:hAnsiTheme="majorHAnsi" w:cstheme="majorHAnsi"/>
                <w:sz w:val="22"/>
                <w:szCs w:val="22"/>
              </w:rPr>
              <w:t xml:space="preserve">was </w:t>
            </w:r>
            <w:r w:rsidRPr="0082606D">
              <w:rPr>
                <w:rFonts w:asciiTheme="majorHAnsi" w:hAnsiTheme="majorHAnsi" w:cstheme="majorHAnsi"/>
                <w:sz w:val="22"/>
                <w:szCs w:val="22"/>
              </w:rPr>
              <w:t>made.</w:t>
            </w:r>
          </w:p>
          <w:p w14:paraId="4F720A20" w14:textId="6CD3CE43" w:rsidR="00763A0F" w:rsidRPr="0082606D" w:rsidRDefault="00763A0F" w:rsidP="00EF71D6">
            <w:pPr>
              <w:rPr>
                <w:rFonts w:asciiTheme="majorHAnsi" w:hAnsiTheme="majorHAnsi" w:cstheme="majorHAnsi"/>
                <w:b/>
                <w:bCs/>
                <w:sz w:val="22"/>
                <w:szCs w:val="22"/>
              </w:rPr>
            </w:pPr>
          </w:p>
        </w:tc>
      </w:tr>
      <w:tr w:rsidR="00EF71D6" w14:paraId="6FD40654" w14:textId="77777777" w:rsidTr="004B7058">
        <w:tc>
          <w:tcPr>
            <w:tcW w:w="3309" w:type="dxa"/>
          </w:tcPr>
          <w:p w14:paraId="22E15862" w14:textId="64FA2A6D" w:rsidR="00EF71D6" w:rsidRPr="00C34124" w:rsidRDefault="00EF71D6" w:rsidP="00EF71D6">
            <w:pPr>
              <w:rPr>
                <w:rFonts w:asciiTheme="majorHAnsi" w:hAnsiTheme="majorHAnsi" w:cstheme="majorHAnsi"/>
                <w:b/>
                <w:bCs/>
                <w:sz w:val="22"/>
                <w:szCs w:val="22"/>
              </w:rPr>
            </w:pPr>
            <w:r w:rsidRPr="00C34124">
              <w:rPr>
                <w:rFonts w:asciiTheme="majorHAnsi" w:hAnsiTheme="majorHAnsi" w:cstheme="majorHAnsi"/>
                <w:b/>
                <w:bCs/>
                <w:sz w:val="22"/>
                <w:szCs w:val="22"/>
              </w:rPr>
              <w:t xml:space="preserve">Action </w:t>
            </w:r>
            <w:r w:rsidR="00763A0F">
              <w:rPr>
                <w:rFonts w:asciiTheme="majorHAnsi" w:hAnsiTheme="majorHAnsi" w:cstheme="majorHAnsi"/>
                <w:b/>
                <w:bCs/>
                <w:sz w:val="22"/>
                <w:szCs w:val="22"/>
              </w:rPr>
              <w:t>2</w:t>
            </w:r>
            <w:r w:rsidRPr="00C34124">
              <w:rPr>
                <w:rFonts w:asciiTheme="majorHAnsi" w:hAnsiTheme="majorHAnsi" w:cstheme="majorHAnsi"/>
                <w:b/>
                <w:bCs/>
                <w:sz w:val="22"/>
                <w:szCs w:val="22"/>
              </w:rPr>
              <w:t>.2:</w:t>
            </w:r>
          </w:p>
        </w:tc>
        <w:tc>
          <w:tcPr>
            <w:tcW w:w="6046" w:type="dxa"/>
          </w:tcPr>
          <w:p w14:paraId="3A0869EA" w14:textId="72A7954C" w:rsidR="00EF71D6" w:rsidRPr="00670815" w:rsidRDefault="00EF71D6" w:rsidP="00EF71D6">
            <w:pPr>
              <w:rPr>
                <w:rFonts w:asciiTheme="majorHAnsi" w:hAnsiTheme="majorHAnsi" w:cstheme="majorHAnsi"/>
                <w:sz w:val="22"/>
                <w:szCs w:val="22"/>
              </w:rPr>
            </w:pPr>
            <w:r w:rsidRPr="000750BC">
              <w:rPr>
                <w:rFonts w:asciiTheme="majorHAnsi" w:eastAsiaTheme="minorHAnsi" w:hAnsiTheme="majorHAnsi" w:cstheme="majorHAnsi"/>
                <w:color w:val="000000"/>
                <w:sz w:val="22"/>
                <w:szCs w:val="22"/>
              </w:rPr>
              <w:t>Require a letter from sub-grantees certifying that they will administer CDBG funding in a manner consistent with the findings and objectives of the state AI.</w:t>
            </w:r>
          </w:p>
        </w:tc>
      </w:tr>
      <w:tr w:rsidR="00EF71D6" w14:paraId="17611BFD" w14:textId="77777777" w:rsidTr="004B7058">
        <w:tc>
          <w:tcPr>
            <w:tcW w:w="3309" w:type="dxa"/>
          </w:tcPr>
          <w:p w14:paraId="41CCAB22" w14:textId="575C7430" w:rsidR="00EF71D6" w:rsidRPr="00C34124" w:rsidRDefault="00EF71D6" w:rsidP="00EF71D6">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 xml:space="preserve">Measurable Objective </w:t>
            </w:r>
            <w:r w:rsidR="008B5334">
              <w:rPr>
                <w:rFonts w:asciiTheme="majorHAnsi" w:hAnsiTheme="majorHAnsi" w:cstheme="majorHAnsi"/>
                <w:b/>
                <w:bCs/>
                <w:sz w:val="22"/>
                <w:szCs w:val="22"/>
              </w:rPr>
              <w:t>2</w:t>
            </w:r>
            <w:r w:rsidRPr="00C34124">
              <w:rPr>
                <w:rFonts w:asciiTheme="majorHAnsi" w:hAnsiTheme="majorHAnsi" w:cstheme="majorHAnsi"/>
                <w:b/>
                <w:bCs/>
                <w:sz w:val="22"/>
                <w:szCs w:val="22"/>
              </w:rPr>
              <w:t>.2:</w:t>
            </w:r>
          </w:p>
          <w:p w14:paraId="4AB528F5" w14:textId="77777777" w:rsidR="00EF71D6" w:rsidRPr="00C34124" w:rsidRDefault="00EF71D6" w:rsidP="00EF71D6">
            <w:pPr>
              <w:rPr>
                <w:rFonts w:asciiTheme="majorHAnsi" w:hAnsiTheme="majorHAnsi" w:cstheme="majorHAnsi"/>
                <w:b/>
                <w:bCs/>
                <w:sz w:val="22"/>
                <w:szCs w:val="22"/>
              </w:rPr>
            </w:pPr>
          </w:p>
        </w:tc>
        <w:tc>
          <w:tcPr>
            <w:tcW w:w="6046" w:type="dxa"/>
          </w:tcPr>
          <w:p w14:paraId="22F11FE3" w14:textId="45912220" w:rsidR="00EF71D6" w:rsidRPr="00670815" w:rsidRDefault="00EF71D6" w:rsidP="00EF71D6">
            <w:pPr>
              <w:rPr>
                <w:rFonts w:asciiTheme="majorHAnsi" w:hAnsiTheme="majorHAnsi" w:cstheme="majorHAnsi"/>
                <w:sz w:val="22"/>
                <w:szCs w:val="22"/>
              </w:rPr>
            </w:pPr>
            <w:r w:rsidRPr="000750BC">
              <w:rPr>
                <w:rFonts w:asciiTheme="majorHAnsi" w:eastAsiaTheme="minorHAnsi" w:hAnsiTheme="majorHAnsi" w:cstheme="majorHAnsi"/>
                <w:sz w:val="22"/>
                <w:szCs w:val="22"/>
              </w:rPr>
              <w:t>The number of letters received from CDBG sub-grantees.</w:t>
            </w:r>
          </w:p>
        </w:tc>
      </w:tr>
      <w:tr w:rsidR="00D31C88" w14:paraId="336483DC" w14:textId="77777777" w:rsidTr="00D31C88">
        <w:tc>
          <w:tcPr>
            <w:tcW w:w="9355" w:type="dxa"/>
            <w:gridSpan w:val="2"/>
            <w:shd w:val="clear" w:color="auto" w:fill="D9E2F3" w:themeFill="accent1" w:themeFillTint="33"/>
          </w:tcPr>
          <w:p w14:paraId="152B262F" w14:textId="54589921" w:rsidR="00D31C88" w:rsidRPr="00D31C88" w:rsidRDefault="00D31C88" w:rsidP="00EF71D6">
            <w:pPr>
              <w:rPr>
                <w:rFonts w:asciiTheme="majorHAnsi" w:hAnsiTheme="majorHAnsi" w:cstheme="majorHAnsi"/>
                <w:b/>
                <w:bCs/>
                <w:sz w:val="22"/>
                <w:szCs w:val="22"/>
              </w:rPr>
            </w:pPr>
            <w:r w:rsidRPr="00FF39F3">
              <w:rPr>
                <w:rFonts w:asciiTheme="majorHAnsi" w:hAnsiTheme="majorHAnsi" w:cstheme="majorHAnsi"/>
                <w:b/>
                <w:bCs/>
                <w:sz w:val="22"/>
                <w:szCs w:val="22"/>
              </w:rPr>
              <w:t>Progress Achieved</w:t>
            </w:r>
            <w:r>
              <w:rPr>
                <w:rFonts w:asciiTheme="majorHAnsi" w:hAnsiTheme="majorHAnsi" w:cstheme="majorHAnsi"/>
                <w:b/>
                <w:bCs/>
                <w:sz w:val="22"/>
                <w:szCs w:val="22"/>
              </w:rPr>
              <w:t xml:space="preserve"> on Impediment </w:t>
            </w:r>
            <w:r w:rsidR="008B5334">
              <w:rPr>
                <w:rFonts w:asciiTheme="majorHAnsi" w:hAnsiTheme="majorHAnsi" w:cstheme="majorHAnsi"/>
                <w:b/>
                <w:bCs/>
                <w:sz w:val="22"/>
                <w:szCs w:val="22"/>
              </w:rPr>
              <w:t>2</w:t>
            </w:r>
            <w:r>
              <w:rPr>
                <w:rFonts w:asciiTheme="majorHAnsi" w:hAnsiTheme="majorHAnsi" w:cstheme="majorHAnsi"/>
                <w:b/>
                <w:bCs/>
                <w:sz w:val="22"/>
                <w:szCs w:val="22"/>
              </w:rPr>
              <w:t>.2</w:t>
            </w:r>
            <w:r w:rsidRPr="00FF39F3">
              <w:rPr>
                <w:rFonts w:asciiTheme="majorHAnsi" w:hAnsiTheme="majorHAnsi" w:cstheme="majorHAnsi"/>
                <w:b/>
                <w:bCs/>
                <w:sz w:val="22"/>
                <w:szCs w:val="22"/>
              </w:rPr>
              <w:t>:</w:t>
            </w:r>
          </w:p>
        </w:tc>
      </w:tr>
      <w:tr w:rsidR="00D31C88" w14:paraId="79ACD56F" w14:textId="77777777" w:rsidTr="008B5334">
        <w:tc>
          <w:tcPr>
            <w:tcW w:w="9355" w:type="dxa"/>
            <w:gridSpan w:val="2"/>
            <w:shd w:val="clear" w:color="auto" w:fill="FFFFFF" w:themeFill="background1"/>
          </w:tcPr>
          <w:p w14:paraId="62274A33" w14:textId="77777777" w:rsidR="00D31C88" w:rsidRPr="0082606D" w:rsidRDefault="00623A21" w:rsidP="00EF71D6">
            <w:pPr>
              <w:rPr>
                <w:rFonts w:asciiTheme="majorHAnsi" w:eastAsiaTheme="minorHAnsi" w:hAnsiTheme="majorHAnsi" w:cstheme="majorHAnsi"/>
                <w:color w:val="000000"/>
                <w:sz w:val="22"/>
                <w:szCs w:val="22"/>
              </w:rPr>
            </w:pPr>
            <w:r w:rsidRPr="0082606D">
              <w:rPr>
                <w:rFonts w:asciiTheme="majorHAnsi" w:eastAsiaTheme="minorHAnsi" w:hAnsiTheme="majorHAnsi" w:cstheme="majorHAnsi"/>
                <w:color w:val="000000"/>
                <w:sz w:val="22"/>
                <w:szCs w:val="22"/>
              </w:rPr>
              <w:t xml:space="preserve">No progress </w:t>
            </w:r>
            <w:r w:rsidR="001B3578" w:rsidRPr="0082606D">
              <w:rPr>
                <w:rFonts w:asciiTheme="majorHAnsi" w:eastAsiaTheme="minorHAnsi" w:hAnsiTheme="majorHAnsi" w:cstheme="majorHAnsi"/>
                <w:color w:val="000000"/>
                <w:sz w:val="22"/>
                <w:szCs w:val="22"/>
              </w:rPr>
              <w:t xml:space="preserve">was </w:t>
            </w:r>
            <w:r w:rsidRPr="0082606D">
              <w:rPr>
                <w:rFonts w:asciiTheme="majorHAnsi" w:eastAsiaTheme="minorHAnsi" w:hAnsiTheme="majorHAnsi" w:cstheme="majorHAnsi"/>
                <w:color w:val="000000"/>
                <w:sz w:val="22"/>
                <w:szCs w:val="22"/>
              </w:rPr>
              <w:t>made.</w:t>
            </w:r>
          </w:p>
          <w:p w14:paraId="463EFE41" w14:textId="65F77A9A" w:rsidR="008B5334" w:rsidRPr="0082606D" w:rsidRDefault="008B5334" w:rsidP="00EF71D6">
            <w:pPr>
              <w:rPr>
                <w:rFonts w:asciiTheme="majorHAnsi" w:eastAsiaTheme="minorHAnsi" w:hAnsiTheme="majorHAnsi" w:cstheme="majorHAnsi"/>
                <w:color w:val="000000"/>
                <w:sz w:val="22"/>
                <w:szCs w:val="22"/>
              </w:rPr>
            </w:pPr>
          </w:p>
        </w:tc>
      </w:tr>
      <w:tr w:rsidR="00EF71D6" w14:paraId="4F294E64" w14:textId="77777777" w:rsidTr="004B7058">
        <w:tc>
          <w:tcPr>
            <w:tcW w:w="3309" w:type="dxa"/>
          </w:tcPr>
          <w:p w14:paraId="5A94CAD5" w14:textId="44EF857E" w:rsidR="00EF71D6" w:rsidRPr="00C34124" w:rsidRDefault="00EF71D6" w:rsidP="00EF71D6">
            <w:pPr>
              <w:rPr>
                <w:rFonts w:asciiTheme="majorHAnsi" w:hAnsiTheme="majorHAnsi" w:cstheme="majorHAnsi"/>
                <w:b/>
                <w:bCs/>
                <w:sz w:val="22"/>
                <w:szCs w:val="22"/>
              </w:rPr>
            </w:pPr>
            <w:r w:rsidRPr="00C34124">
              <w:rPr>
                <w:rFonts w:asciiTheme="majorHAnsi" w:hAnsiTheme="majorHAnsi" w:cstheme="majorHAnsi"/>
                <w:b/>
                <w:bCs/>
                <w:sz w:val="22"/>
                <w:szCs w:val="22"/>
              </w:rPr>
              <w:t xml:space="preserve">Action </w:t>
            </w:r>
            <w:r w:rsidR="008B5334">
              <w:rPr>
                <w:rFonts w:asciiTheme="majorHAnsi" w:hAnsiTheme="majorHAnsi" w:cstheme="majorHAnsi"/>
                <w:b/>
                <w:bCs/>
                <w:sz w:val="22"/>
                <w:szCs w:val="22"/>
              </w:rPr>
              <w:t>2</w:t>
            </w:r>
            <w:r w:rsidRPr="00C34124">
              <w:rPr>
                <w:rFonts w:asciiTheme="majorHAnsi" w:hAnsiTheme="majorHAnsi" w:cstheme="majorHAnsi"/>
                <w:b/>
                <w:bCs/>
                <w:sz w:val="22"/>
                <w:szCs w:val="22"/>
              </w:rPr>
              <w:t>.3:</w:t>
            </w:r>
          </w:p>
        </w:tc>
        <w:tc>
          <w:tcPr>
            <w:tcW w:w="6046" w:type="dxa"/>
          </w:tcPr>
          <w:p w14:paraId="19363203" w14:textId="6B78ED73" w:rsidR="00EF71D6" w:rsidRPr="00670815" w:rsidRDefault="00EF71D6" w:rsidP="00EF71D6">
            <w:pPr>
              <w:rPr>
                <w:rFonts w:asciiTheme="majorHAnsi" w:hAnsiTheme="majorHAnsi" w:cstheme="majorHAnsi"/>
                <w:sz w:val="22"/>
                <w:szCs w:val="22"/>
              </w:rPr>
            </w:pPr>
            <w:r w:rsidRPr="000750BC">
              <w:rPr>
                <w:rFonts w:asciiTheme="majorHAnsi" w:eastAsiaTheme="minorHAnsi" w:hAnsiTheme="majorHAnsi" w:cstheme="majorHAnsi"/>
                <w:color w:val="000000"/>
                <w:sz w:val="22"/>
                <w:szCs w:val="22"/>
              </w:rPr>
              <w:t>In lieu of requiring local jurisdictions to complete an AI, employ resources to conduct fair housing activities, including outreach, education, and training.</w:t>
            </w:r>
          </w:p>
        </w:tc>
      </w:tr>
      <w:tr w:rsidR="00EF71D6" w14:paraId="5DC152E6" w14:textId="77777777" w:rsidTr="004B7058">
        <w:tc>
          <w:tcPr>
            <w:tcW w:w="3309" w:type="dxa"/>
          </w:tcPr>
          <w:p w14:paraId="4E39BEC8" w14:textId="5BFE3116" w:rsidR="00EF71D6" w:rsidRPr="00C34124" w:rsidRDefault="00EF71D6" w:rsidP="00EF71D6">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 xml:space="preserve">Measurable Objective </w:t>
            </w:r>
            <w:r w:rsidR="008B5334">
              <w:rPr>
                <w:rFonts w:asciiTheme="majorHAnsi" w:hAnsiTheme="majorHAnsi" w:cstheme="majorHAnsi"/>
                <w:b/>
                <w:bCs/>
                <w:sz w:val="22"/>
                <w:szCs w:val="22"/>
              </w:rPr>
              <w:t>2</w:t>
            </w:r>
            <w:r w:rsidRPr="00C34124">
              <w:rPr>
                <w:rFonts w:asciiTheme="majorHAnsi" w:hAnsiTheme="majorHAnsi" w:cstheme="majorHAnsi"/>
                <w:b/>
                <w:bCs/>
                <w:sz w:val="22"/>
                <w:szCs w:val="22"/>
              </w:rPr>
              <w:t>.3:</w:t>
            </w:r>
          </w:p>
          <w:p w14:paraId="7CCB008C" w14:textId="77777777" w:rsidR="00EF71D6" w:rsidRPr="00C34124" w:rsidRDefault="00EF71D6" w:rsidP="00EF71D6">
            <w:pPr>
              <w:rPr>
                <w:rFonts w:asciiTheme="majorHAnsi" w:hAnsiTheme="majorHAnsi" w:cstheme="majorHAnsi"/>
                <w:b/>
                <w:bCs/>
                <w:sz w:val="22"/>
                <w:szCs w:val="22"/>
              </w:rPr>
            </w:pPr>
          </w:p>
        </w:tc>
        <w:tc>
          <w:tcPr>
            <w:tcW w:w="6046" w:type="dxa"/>
          </w:tcPr>
          <w:p w14:paraId="12E10674" w14:textId="31641888" w:rsidR="00EF71D6" w:rsidRPr="00670815" w:rsidRDefault="00EF71D6" w:rsidP="00EF71D6">
            <w:pPr>
              <w:rPr>
                <w:rFonts w:asciiTheme="majorHAnsi" w:hAnsiTheme="majorHAnsi" w:cstheme="majorHAnsi"/>
                <w:sz w:val="22"/>
                <w:szCs w:val="22"/>
              </w:rPr>
            </w:pPr>
            <w:r w:rsidRPr="000750BC">
              <w:rPr>
                <w:rFonts w:asciiTheme="majorHAnsi" w:eastAsiaTheme="minorHAnsi" w:hAnsiTheme="majorHAnsi" w:cstheme="majorHAnsi"/>
                <w:sz w:val="22"/>
                <w:szCs w:val="22"/>
              </w:rPr>
              <w:t>The amount of money and other resources dedicated to providing fair housing outreach, education, and training.</w:t>
            </w:r>
          </w:p>
        </w:tc>
      </w:tr>
      <w:tr w:rsidR="001B3578" w14:paraId="5BD0E744" w14:textId="77777777" w:rsidTr="00F35A14">
        <w:tc>
          <w:tcPr>
            <w:tcW w:w="9355" w:type="dxa"/>
            <w:gridSpan w:val="2"/>
            <w:shd w:val="clear" w:color="auto" w:fill="D9E2F3" w:themeFill="accent1" w:themeFillTint="33"/>
          </w:tcPr>
          <w:p w14:paraId="483CB3F7" w14:textId="492CE858" w:rsidR="001B3578" w:rsidRPr="001B3578" w:rsidRDefault="001B3578" w:rsidP="00EF71D6">
            <w:pPr>
              <w:rPr>
                <w:rFonts w:asciiTheme="majorHAnsi" w:hAnsiTheme="majorHAnsi" w:cstheme="majorHAnsi"/>
                <w:b/>
                <w:bCs/>
                <w:sz w:val="22"/>
                <w:szCs w:val="22"/>
              </w:rPr>
            </w:pPr>
            <w:r w:rsidRPr="00D274F6">
              <w:rPr>
                <w:rFonts w:asciiTheme="majorHAnsi" w:hAnsiTheme="majorHAnsi" w:cstheme="majorHAnsi"/>
                <w:b/>
                <w:bCs/>
                <w:sz w:val="22"/>
                <w:szCs w:val="22"/>
              </w:rPr>
              <w:t>Progress Achieved</w:t>
            </w:r>
            <w:r>
              <w:rPr>
                <w:rFonts w:asciiTheme="majorHAnsi" w:hAnsiTheme="majorHAnsi" w:cstheme="majorHAnsi"/>
                <w:b/>
                <w:bCs/>
                <w:sz w:val="22"/>
                <w:szCs w:val="22"/>
              </w:rPr>
              <w:t xml:space="preserve"> on Impediment </w:t>
            </w:r>
            <w:r w:rsidR="008B5334">
              <w:rPr>
                <w:rFonts w:asciiTheme="majorHAnsi" w:hAnsiTheme="majorHAnsi" w:cstheme="majorHAnsi"/>
                <w:b/>
                <w:bCs/>
                <w:sz w:val="22"/>
                <w:szCs w:val="22"/>
              </w:rPr>
              <w:t>2</w:t>
            </w:r>
            <w:r>
              <w:rPr>
                <w:rFonts w:asciiTheme="majorHAnsi" w:hAnsiTheme="majorHAnsi" w:cstheme="majorHAnsi"/>
                <w:b/>
                <w:bCs/>
                <w:sz w:val="22"/>
                <w:szCs w:val="22"/>
              </w:rPr>
              <w:t>.3</w:t>
            </w:r>
            <w:r w:rsidRPr="00D274F6">
              <w:rPr>
                <w:rFonts w:asciiTheme="majorHAnsi" w:hAnsiTheme="majorHAnsi" w:cstheme="majorHAnsi"/>
                <w:b/>
                <w:bCs/>
                <w:sz w:val="22"/>
                <w:szCs w:val="22"/>
              </w:rPr>
              <w:t>:</w:t>
            </w:r>
          </w:p>
        </w:tc>
      </w:tr>
      <w:tr w:rsidR="001B3578" w14:paraId="5D7D1FD3" w14:textId="77777777" w:rsidTr="00AF1DC6">
        <w:tc>
          <w:tcPr>
            <w:tcW w:w="9355" w:type="dxa"/>
            <w:gridSpan w:val="2"/>
          </w:tcPr>
          <w:p w14:paraId="04DD3FBD" w14:textId="77777777" w:rsidR="001B3578" w:rsidRPr="0082606D" w:rsidRDefault="000C4992" w:rsidP="00EF71D6">
            <w:pPr>
              <w:rPr>
                <w:rFonts w:asciiTheme="majorHAnsi" w:eastAsiaTheme="minorHAnsi" w:hAnsiTheme="majorHAnsi" w:cstheme="majorHAnsi"/>
                <w:color w:val="000000"/>
                <w:sz w:val="22"/>
                <w:szCs w:val="22"/>
              </w:rPr>
            </w:pPr>
            <w:r w:rsidRPr="0082606D">
              <w:rPr>
                <w:rFonts w:asciiTheme="majorHAnsi" w:eastAsiaTheme="minorHAnsi" w:hAnsiTheme="majorHAnsi" w:cstheme="majorHAnsi"/>
                <w:color w:val="000000"/>
                <w:sz w:val="22"/>
                <w:szCs w:val="22"/>
              </w:rPr>
              <w:t xml:space="preserve">Partial progress was made. </w:t>
            </w:r>
            <w:r w:rsidR="00E90840" w:rsidRPr="0082606D">
              <w:rPr>
                <w:rFonts w:asciiTheme="majorHAnsi" w:eastAsiaTheme="minorHAnsi" w:hAnsiTheme="majorHAnsi" w:cstheme="majorHAnsi"/>
                <w:color w:val="000000"/>
                <w:sz w:val="22"/>
                <w:szCs w:val="22"/>
              </w:rPr>
              <w:t xml:space="preserve">The </w:t>
            </w:r>
            <w:r w:rsidR="000415A4" w:rsidRPr="0082606D">
              <w:rPr>
                <w:rFonts w:asciiTheme="majorHAnsi" w:eastAsiaTheme="minorHAnsi" w:hAnsiTheme="majorHAnsi" w:cstheme="majorHAnsi"/>
                <w:color w:val="000000"/>
                <w:sz w:val="22"/>
                <w:szCs w:val="22"/>
              </w:rPr>
              <w:t>Department of Environmental Quality, Division of Water Infrastructure</w:t>
            </w:r>
            <w:r w:rsidR="00297DA3" w:rsidRPr="0082606D">
              <w:rPr>
                <w:rFonts w:asciiTheme="majorHAnsi" w:eastAsiaTheme="minorHAnsi" w:hAnsiTheme="majorHAnsi" w:cstheme="majorHAnsi"/>
                <w:color w:val="000000"/>
                <w:sz w:val="22"/>
                <w:szCs w:val="22"/>
              </w:rPr>
              <w:t xml:space="preserve">, instituted in 2020 a requirement that its CDBG subrecipients </w:t>
            </w:r>
            <w:r w:rsidR="00E2430B" w:rsidRPr="0082606D">
              <w:rPr>
                <w:rFonts w:asciiTheme="majorHAnsi" w:eastAsiaTheme="minorHAnsi" w:hAnsiTheme="majorHAnsi" w:cstheme="majorHAnsi"/>
                <w:color w:val="000000"/>
                <w:sz w:val="22"/>
                <w:szCs w:val="22"/>
              </w:rPr>
              <w:t xml:space="preserve">complete </w:t>
            </w:r>
            <w:r w:rsidR="004669B0" w:rsidRPr="0082606D">
              <w:rPr>
                <w:rFonts w:asciiTheme="majorHAnsi" w:eastAsiaTheme="minorHAnsi" w:hAnsiTheme="majorHAnsi" w:cstheme="majorHAnsi"/>
                <w:color w:val="000000"/>
                <w:sz w:val="22"/>
                <w:szCs w:val="22"/>
              </w:rPr>
              <w:t>an Affirmatively Furthering Fair Housing Plan as part of the</w:t>
            </w:r>
            <w:r w:rsidR="0031477F" w:rsidRPr="0082606D">
              <w:rPr>
                <w:rFonts w:asciiTheme="majorHAnsi" w:eastAsiaTheme="minorHAnsi" w:hAnsiTheme="majorHAnsi" w:cstheme="majorHAnsi"/>
                <w:color w:val="000000"/>
                <w:sz w:val="22"/>
                <w:szCs w:val="22"/>
              </w:rPr>
              <w:t>ir contractual agreements.</w:t>
            </w:r>
          </w:p>
          <w:p w14:paraId="4E7E472B" w14:textId="5ADA5434" w:rsidR="008B5334" w:rsidRPr="0082606D" w:rsidRDefault="008B5334" w:rsidP="00EF71D6">
            <w:pPr>
              <w:rPr>
                <w:rFonts w:asciiTheme="majorHAnsi" w:eastAsiaTheme="minorHAnsi" w:hAnsiTheme="majorHAnsi" w:cstheme="majorHAnsi"/>
                <w:color w:val="000000"/>
                <w:sz w:val="22"/>
                <w:szCs w:val="22"/>
              </w:rPr>
            </w:pPr>
          </w:p>
        </w:tc>
      </w:tr>
      <w:tr w:rsidR="00EF71D6" w14:paraId="4F7E9AB1" w14:textId="77777777" w:rsidTr="004B7058">
        <w:tc>
          <w:tcPr>
            <w:tcW w:w="3309" w:type="dxa"/>
          </w:tcPr>
          <w:p w14:paraId="06E509D4" w14:textId="37819322" w:rsidR="00EF71D6" w:rsidRPr="00C34124" w:rsidRDefault="00EF71D6" w:rsidP="00EF71D6">
            <w:pPr>
              <w:rPr>
                <w:rFonts w:asciiTheme="majorHAnsi" w:hAnsiTheme="majorHAnsi" w:cstheme="majorHAnsi"/>
                <w:b/>
                <w:bCs/>
                <w:sz w:val="22"/>
                <w:szCs w:val="22"/>
              </w:rPr>
            </w:pPr>
            <w:r w:rsidRPr="00C34124">
              <w:rPr>
                <w:rFonts w:asciiTheme="majorHAnsi" w:hAnsiTheme="majorHAnsi" w:cstheme="majorHAnsi"/>
                <w:b/>
                <w:bCs/>
                <w:sz w:val="22"/>
                <w:szCs w:val="22"/>
              </w:rPr>
              <w:t xml:space="preserve">Action </w:t>
            </w:r>
            <w:r w:rsidR="008B5334">
              <w:rPr>
                <w:rFonts w:asciiTheme="majorHAnsi" w:hAnsiTheme="majorHAnsi" w:cstheme="majorHAnsi"/>
                <w:b/>
                <w:bCs/>
                <w:sz w:val="22"/>
                <w:szCs w:val="22"/>
              </w:rPr>
              <w:t>2</w:t>
            </w:r>
            <w:r w:rsidRPr="00C34124">
              <w:rPr>
                <w:rFonts w:asciiTheme="majorHAnsi" w:hAnsiTheme="majorHAnsi" w:cstheme="majorHAnsi"/>
                <w:b/>
                <w:bCs/>
                <w:sz w:val="22"/>
                <w:szCs w:val="22"/>
              </w:rPr>
              <w:t>.4:</w:t>
            </w:r>
          </w:p>
        </w:tc>
        <w:tc>
          <w:tcPr>
            <w:tcW w:w="6046" w:type="dxa"/>
          </w:tcPr>
          <w:p w14:paraId="1BB6D10D" w14:textId="0003F8D5" w:rsidR="00EF71D6" w:rsidRPr="00670815" w:rsidRDefault="00EF71D6" w:rsidP="00EF71D6">
            <w:pPr>
              <w:rPr>
                <w:rFonts w:asciiTheme="majorHAnsi" w:hAnsiTheme="majorHAnsi" w:cstheme="majorHAnsi"/>
                <w:sz w:val="22"/>
                <w:szCs w:val="22"/>
              </w:rPr>
            </w:pPr>
            <w:r w:rsidRPr="000750BC">
              <w:rPr>
                <w:rFonts w:asciiTheme="majorHAnsi" w:eastAsiaTheme="minorHAnsi" w:hAnsiTheme="majorHAnsi" w:cstheme="majorHAnsi"/>
                <w:color w:val="000000"/>
                <w:sz w:val="22"/>
                <w:szCs w:val="22"/>
              </w:rPr>
              <w:t>The DOC will continue to monitor fair housing activities for grantees.</w:t>
            </w:r>
          </w:p>
        </w:tc>
      </w:tr>
      <w:tr w:rsidR="00EF71D6" w14:paraId="313FD1DD" w14:textId="77777777" w:rsidTr="004B7058">
        <w:tc>
          <w:tcPr>
            <w:tcW w:w="3309" w:type="dxa"/>
          </w:tcPr>
          <w:p w14:paraId="6F2DA9B4" w14:textId="040812A7" w:rsidR="00EF71D6" w:rsidRPr="00C34124" w:rsidRDefault="00EF71D6" w:rsidP="00EF71D6">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 xml:space="preserve">Measurable Objective </w:t>
            </w:r>
            <w:r w:rsidR="008B5334">
              <w:rPr>
                <w:rFonts w:asciiTheme="majorHAnsi" w:hAnsiTheme="majorHAnsi" w:cstheme="majorHAnsi"/>
                <w:b/>
                <w:bCs/>
                <w:sz w:val="22"/>
                <w:szCs w:val="22"/>
              </w:rPr>
              <w:t>2</w:t>
            </w:r>
            <w:r w:rsidRPr="00C34124">
              <w:rPr>
                <w:rFonts w:asciiTheme="majorHAnsi" w:hAnsiTheme="majorHAnsi" w:cstheme="majorHAnsi"/>
                <w:b/>
                <w:bCs/>
                <w:sz w:val="22"/>
                <w:szCs w:val="22"/>
              </w:rPr>
              <w:t>.4:</w:t>
            </w:r>
          </w:p>
          <w:p w14:paraId="477E47DF" w14:textId="77777777" w:rsidR="00EF71D6" w:rsidRPr="00C34124" w:rsidRDefault="00EF71D6" w:rsidP="00EF71D6">
            <w:pPr>
              <w:rPr>
                <w:rFonts w:asciiTheme="majorHAnsi" w:hAnsiTheme="majorHAnsi" w:cstheme="majorHAnsi"/>
                <w:b/>
                <w:bCs/>
                <w:sz w:val="22"/>
                <w:szCs w:val="22"/>
              </w:rPr>
            </w:pPr>
          </w:p>
        </w:tc>
        <w:tc>
          <w:tcPr>
            <w:tcW w:w="6046" w:type="dxa"/>
          </w:tcPr>
          <w:p w14:paraId="5298213C" w14:textId="569B72AE" w:rsidR="00EF71D6" w:rsidRPr="00670815" w:rsidRDefault="00EF71D6" w:rsidP="00EF71D6">
            <w:pPr>
              <w:rPr>
                <w:rFonts w:asciiTheme="majorHAnsi" w:hAnsiTheme="majorHAnsi" w:cstheme="majorHAnsi"/>
                <w:sz w:val="22"/>
                <w:szCs w:val="22"/>
              </w:rPr>
            </w:pPr>
            <w:r w:rsidRPr="000750BC">
              <w:rPr>
                <w:rFonts w:asciiTheme="majorHAnsi" w:hAnsiTheme="majorHAnsi" w:cstheme="majorHAnsi"/>
                <w:sz w:val="22"/>
                <w:szCs w:val="22"/>
              </w:rPr>
              <w:t>Records of fair housing activities conducted by local jurisdictions.</w:t>
            </w:r>
          </w:p>
        </w:tc>
      </w:tr>
      <w:tr w:rsidR="0031477F" w14:paraId="489DD85E" w14:textId="77777777" w:rsidTr="008B5334">
        <w:tc>
          <w:tcPr>
            <w:tcW w:w="9355" w:type="dxa"/>
            <w:gridSpan w:val="2"/>
            <w:shd w:val="clear" w:color="auto" w:fill="D9E2F3" w:themeFill="accent1" w:themeFillTint="33"/>
          </w:tcPr>
          <w:p w14:paraId="3C9F5C1F" w14:textId="3E6C7DD2" w:rsidR="0031477F" w:rsidRPr="00D274F6" w:rsidRDefault="0031477F" w:rsidP="0031477F">
            <w:pPr>
              <w:rPr>
                <w:rFonts w:asciiTheme="majorHAnsi" w:hAnsiTheme="majorHAnsi" w:cstheme="majorHAnsi"/>
                <w:sz w:val="22"/>
                <w:szCs w:val="22"/>
              </w:rPr>
            </w:pPr>
            <w:r w:rsidRPr="00D274F6">
              <w:rPr>
                <w:rFonts w:asciiTheme="majorHAnsi" w:hAnsiTheme="majorHAnsi" w:cstheme="majorHAnsi"/>
                <w:b/>
                <w:bCs/>
                <w:sz w:val="22"/>
                <w:szCs w:val="22"/>
              </w:rPr>
              <w:t>Progress Achieved</w:t>
            </w:r>
            <w:r w:rsidR="008B5334">
              <w:rPr>
                <w:rFonts w:asciiTheme="majorHAnsi" w:hAnsiTheme="majorHAnsi" w:cstheme="majorHAnsi"/>
                <w:b/>
                <w:bCs/>
                <w:sz w:val="22"/>
                <w:szCs w:val="22"/>
              </w:rPr>
              <w:t xml:space="preserve"> on Impediment 2.4</w:t>
            </w:r>
            <w:r w:rsidRPr="00D274F6">
              <w:rPr>
                <w:rFonts w:asciiTheme="majorHAnsi" w:hAnsiTheme="majorHAnsi" w:cstheme="majorHAnsi"/>
                <w:b/>
                <w:bCs/>
                <w:sz w:val="22"/>
                <w:szCs w:val="22"/>
              </w:rPr>
              <w:t>:</w:t>
            </w:r>
          </w:p>
        </w:tc>
      </w:tr>
      <w:tr w:rsidR="00C83B94" w14:paraId="77A63DE2" w14:textId="77777777" w:rsidTr="00C83B94">
        <w:tc>
          <w:tcPr>
            <w:tcW w:w="9355" w:type="dxa"/>
            <w:gridSpan w:val="2"/>
            <w:shd w:val="clear" w:color="auto" w:fill="auto"/>
          </w:tcPr>
          <w:p w14:paraId="30F374BB" w14:textId="77777777" w:rsidR="00C83B94" w:rsidRPr="0082606D" w:rsidRDefault="00C83B94" w:rsidP="00EF71D6">
            <w:pPr>
              <w:rPr>
                <w:rFonts w:asciiTheme="majorHAnsi" w:eastAsiaTheme="minorHAnsi" w:hAnsiTheme="majorHAnsi" w:cstheme="majorHAnsi"/>
                <w:sz w:val="22"/>
                <w:szCs w:val="22"/>
              </w:rPr>
            </w:pPr>
            <w:r w:rsidRPr="0082606D">
              <w:rPr>
                <w:rFonts w:asciiTheme="majorHAnsi" w:eastAsiaTheme="minorHAnsi" w:hAnsiTheme="majorHAnsi" w:cstheme="majorHAnsi"/>
                <w:sz w:val="22"/>
                <w:szCs w:val="22"/>
              </w:rPr>
              <w:t>No progress was made.</w:t>
            </w:r>
          </w:p>
          <w:p w14:paraId="7FC9B15D" w14:textId="55FEF46A" w:rsidR="00C83B94" w:rsidRPr="0082606D" w:rsidRDefault="00C83B94" w:rsidP="00EF71D6">
            <w:pPr>
              <w:rPr>
                <w:rFonts w:asciiTheme="majorHAnsi" w:eastAsiaTheme="minorHAnsi" w:hAnsiTheme="majorHAnsi" w:cstheme="majorHAnsi"/>
                <w:b/>
                <w:bCs/>
                <w:sz w:val="22"/>
                <w:szCs w:val="22"/>
              </w:rPr>
            </w:pPr>
          </w:p>
        </w:tc>
      </w:tr>
      <w:tr w:rsidR="00EF71D6" w14:paraId="73DEF42D" w14:textId="77777777" w:rsidTr="00670815">
        <w:tc>
          <w:tcPr>
            <w:tcW w:w="3309" w:type="dxa"/>
            <w:shd w:val="clear" w:color="auto" w:fill="D9E2F3" w:themeFill="accent1" w:themeFillTint="33"/>
          </w:tcPr>
          <w:p w14:paraId="29202B43" w14:textId="3D446A03" w:rsidR="00EF71D6" w:rsidRPr="00C34124" w:rsidRDefault="00EF71D6" w:rsidP="00EF71D6">
            <w:pPr>
              <w:rPr>
                <w:rFonts w:asciiTheme="majorHAnsi" w:hAnsiTheme="majorHAnsi" w:cstheme="majorHAnsi"/>
                <w:b/>
                <w:bCs/>
                <w:sz w:val="22"/>
                <w:szCs w:val="22"/>
              </w:rPr>
            </w:pPr>
            <w:r w:rsidRPr="00C34124">
              <w:rPr>
                <w:rFonts w:asciiTheme="majorHAnsi" w:hAnsiTheme="majorHAnsi" w:cstheme="majorHAnsi"/>
                <w:b/>
                <w:bCs/>
                <w:sz w:val="22"/>
                <w:szCs w:val="22"/>
              </w:rPr>
              <w:t xml:space="preserve">Impediment </w:t>
            </w:r>
            <w:r w:rsidR="00C83B94">
              <w:rPr>
                <w:rFonts w:asciiTheme="majorHAnsi" w:hAnsiTheme="majorHAnsi" w:cstheme="majorHAnsi"/>
                <w:b/>
                <w:bCs/>
                <w:sz w:val="22"/>
                <w:szCs w:val="22"/>
              </w:rPr>
              <w:t>3</w:t>
            </w:r>
            <w:r w:rsidRPr="00C34124">
              <w:rPr>
                <w:rFonts w:asciiTheme="majorHAnsi" w:hAnsiTheme="majorHAnsi" w:cstheme="majorHAnsi"/>
                <w:b/>
                <w:bCs/>
                <w:sz w:val="22"/>
                <w:szCs w:val="22"/>
              </w:rPr>
              <w:t>:</w:t>
            </w:r>
          </w:p>
        </w:tc>
        <w:tc>
          <w:tcPr>
            <w:tcW w:w="6046" w:type="dxa"/>
            <w:shd w:val="clear" w:color="auto" w:fill="D9E2F3" w:themeFill="accent1" w:themeFillTint="33"/>
          </w:tcPr>
          <w:p w14:paraId="52286CB3" w14:textId="618CDF4F" w:rsidR="00EF71D6" w:rsidRPr="00670815" w:rsidRDefault="00EF71D6" w:rsidP="00EF71D6">
            <w:pPr>
              <w:rPr>
                <w:rFonts w:asciiTheme="majorHAnsi" w:hAnsiTheme="majorHAnsi" w:cstheme="majorHAnsi"/>
                <w:sz w:val="22"/>
                <w:szCs w:val="22"/>
              </w:rPr>
            </w:pPr>
            <w:r w:rsidRPr="000750BC">
              <w:rPr>
                <w:rFonts w:asciiTheme="majorHAnsi" w:eastAsiaTheme="minorHAnsi" w:hAnsiTheme="majorHAnsi" w:cstheme="majorHAnsi"/>
                <w:b/>
                <w:bCs/>
                <w:sz w:val="22"/>
                <w:szCs w:val="22"/>
              </w:rPr>
              <w:t>Lack of understanding of fair housing law by units of local government in non-entitlement areas.</w:t>
            </w:r>
          </w:p>
        </w:tc>
      </w:tr>
      <w:tr w:rsidR="00EF71D6" w14:paraId="5A8961F9" w14:textId="77777777" w:rsidTr="004B7058">
        <w:tc>
          <w:tcPr>
            <w:tcW w:w="3309" w:type="dxa"/>
          </w:tcPr>
          <w:p w14:paraId="5F1F990F" w14:textId="06D53687" w:rsidR="00EF71D6" w:rsidRPr="00C34124" w:rsidRDefault="00EF71D6" w:rsidP="00EF71D6">
            <w:pPr>
              <w:rPr>
                <w:rFonts w:asciiTheme="majorHAnsi" w:hAnsiTheme="majorHAnsi" w:cstheme="majorHAnsi"/>
                <w:b/>
                <w:bCs/>
                <w:sz w:val="22"/>
                <w:szCs w:val="22"/>
              </w:rPr>
            </w:pPr>
            <w:r w:rsidRPr="00C34124">
              <w:rPr>
                <w:rFonts w:asciiTheme="majorHAnsi" w:hAnsiTheme="majorHAnsi" w:cstheme="majorHAnsi"/>
                <w:b/>
                <w:bCs/>
                <w:sz w:val="22"/>
                <w:szCs w:val="22"/>
              </w:rPr>
              <w:lastRenderedPageBreak/>
              <w:t xml:space="preserve">Action </w:t>
            </w:r>
            <w:r w:rsidR="00422A2C">
              <w:rPr>
                <w:rFonts w:asciiTheme="majorHAnsi" w:hAnsiTheme="majorHAnsi" w:cstheme="majorHAnsi"/>
                <w:b/>
                <w:bCs/>
                <w:sz w:val="22"/>
                <w:szCs w:val="22"/>
              </w:rPr>
              <w:t>3</w:t>
            </w:r>
            <w:r w:rsidRPr="00C34124">
              <w:rPr>
                <w:rFonts w:asciiTheme="majorHAnsi" w:hAnsiTheme="majorHAnsi" w:cstheme="majorHAnsi"/>
                <w:b/>
                <w:bCs/>
                <w:sz w:val="22"/>
                <w:szCs w:val="22"/>
              </w:rPr>
              <w:t>.1:</w:t>
            </w:r>
          </w:p>
        </w:tc>
        <w:tc>
          <w:tcPr>
            <w:tcW w:w="6046" w:type="dxa"/>
          </w:tcPr>
          <w:p w14:paraId="5A3FBED9" w14:textId="238B39F4" w:rsidR="00EF71D6" w:rsidRPr="00670815" w:rsidRDefault="00EF71D6" w:rsidP="00EF71D6">
            <w:pPr>
              <w:rPr>
                <w:rFonts w:asciiTheme="majorHAnsi" w:hAnsiTheme="majorHAnsi" w:cstheme="majorHAnsi"/>
                <w:sz w:val="22"/>
                <w:szCs w:val="22"/>
              </w:rPr>
            </w:pPr>
            <w:r w:rsidRPr="000750BC">
              <w:rPr>
                <w:rFonts w:asciiTheme="majorHAnsi" w:hAnsiTheme="majorHAnsi" w:cstheme="majorHAnsi"/>
                <w:sz w:val="22"/>
                <w:szCs w:val="22"/>
              </w:rPr>
              <w:t>The Department of Commerce will contract with state and local FHIP organizations to provide fair housing outreach, education, and training to local government officials.</w:t>
            </w:r>
          </w:p>
        </w:tc>
      </w:tr>
      <w:tr w:rsidR="00EF71D6" w14:paraId="7F030F9B" w14:textId="77777777" w:rsidTr="004B7058">
        <w:tc>
          <w:tcPr>
            <w:tcW w:w="3309" w:type="dxa"/>
          </w:tcPr>
          <w:p w14:paraId="1D05567C" w14:textId="698E1D8A" w:rsidR="00EF71D6" w:rsidRPr="00C34124" w:rsidRDefault="00EF71D6" w:rsidP="00EF71D6">
            <w:pPr>
              <w:ind w:left="2160" w:hanging="2160"/>
              <w:rPr>
                <w:rFonts w:asciiTheme="majorHAnsi" w:hAnsiTheme="majorHAnsi" w:cstheme="majorHAnsi"/>
                <w:b/>
                <w:bCs/>
                <w:sz w:val="22"/>
                <w:szCs w:val="22"/>
              </w:rPr>
            </w:pPr>
            <w:r w:rsidRPr="00C34124">
              <w:rPr>
                <w:rFonts w:asciiTheme="majorHAnsi" w:hAnsiTheme="majorHAnsi" w:cstheme="majorHAnsi"/>
                <w:b/>
                <w:bCs/>
                <w:sz w:val="22"/>
                <w:szCs w:val="22"/>
              </w:rPr>
              <w:t xml:space="preserve">Measurable Objective </w:t>
            </w:r>
            <w:r w:rsidR="00422A2C">
              <w:rPr>
                <w:rFonts w:asciiTheme="majorHAnsi" w:hAnsiTheme="majorHAnsi" w:cstheme="majorHAnsi"/>
                <w:b/>
                <w:bCs/>
                <w:sz w:val="22"/>
                <w:szCs w:val="22"/>
              </w:rPr>
              <w:t>3</w:t>
            </w:r>
            <w:r w:rsidRPr="00C34124">
              <w:rPr>
                <w:rFonts w:asciiTheme="majorHAnsi" w:hAnsiTheme="majorHAnsi" w:cstheme="majorHAnsi"/>
                <w:b/>
                <w:bCs/>
                <w:sz w:val="22"/>
                <w:szCs w:val="22"/>
              </w:rPr>
              <w:t>.1:</w:t>
            </w:r>
          </w:p>
          <w:p w14:paraId="048B4BAA" w14:textId="77777777" w:rsidR="00EF71D6" w:rsidRPr="00C34124" w:rsidRDefault="00EF71D6" w:rsidP="00EF71D6">
            <w:pPr>
              <w:rPr>
                <w:rFonts w:asciiTheme="majorHAnsi" w:hAnsiTheme="majorHAnsi" w:cstheme="majorHAnsi"/>
                <w:b/>
                <w:bCs/>
                <w:sz w:val="22"/>
                <w:szCs w:val="22"/>
              </w:rPr>
            </w:pPr>
          </w:p>
        </w:tc>
        <w:tc>
          <w:tcPr>
            <w:tcW w:w="6046" w:type="dxa"/>
          </w:tcPr>
          <w:p w14:paraId="6EE269D5" w14:textId="64C972A7" w:rsidR="00EF71D6" w:rsidRPr="00670815" w:rsidRDefault="00EF71D6" w:rsidP="00EF71D6">
            <w:pPr>
              <w:rPr>
                <w:rFonts w:asciiTheme="majorHAnsi" w:hAnsiTheme="majorHAnsi" w:cstheme="majorHAnsi"/>
                <w:sz w:val="22"/>
                <w:szCs w:val="22"/>
              </w:rPr>
            </w:pPr>
            <w:r w:rsidRPr="000750BC">
              <w:rPr>
                <w:rFonts w:asciiTheme="majorHAnsi" w:hAnsiTheme="majorHAnsi" w:cstheme="majorHAnsi"/>
                <w:sz w:val="22"/>
                <w:szCs w:val="22"/>
              </w:rPr>
              <w:t>The number of FHIP organizations hired, the number of fair housing outreach, education, and training sessions conducted, and the number of units of local government whose officials participate in those sessions.</w:t>
            </w:r>
          </w:p>
        </w:tc>
      </w:tr>
      <w:tr w:rsidR="00422A2C" w14:paraId="31025F9B" w14:textId="77777777" w:rsidTr="00422A2C">
        <w:tc>
          <w:tcPr>
            <w:tcW w:w="9355" w:type="dxa"/>
            <w:gridSpan w:val="2"/>
            <w:shd w:val="clear" w:color="auto" w:fill="D9E2F3" w:themeFill="accent1" w:themeFillTint="33"/>
          </w:tcPr>
          <w:p w14:paraId="0154E5D9" w14:textId="68D1C955" w:rsidR="00422A2C" w:rsidRPr="00D274F6" w:rsidRDefault="00422A2C" w:rsidP="00422A2C">
            <w:r w:rsidRPr="00D274F6">
              <w:rPr>
                <w:rFonts w:asciiTheme="majorHAnsi" w:hAnsiTheme="majorHAnsi" w:cstheme="majorHAnsi"/>
                <w:b/>
                <w:bCs/>
                <w:sz w:val="22"/>
                <w:szCs w:val="22"/>
              </w:rPr>
              <w:t>Progress Achieved</w:t>
            </w:r>
            <w:r>
              <w:rPr>
                <w:rFonts w:asciiTheme="majorHAnsi" w:hAnsiTheme="majorHAnsi" w:cstheme="majorHAnsi"/>
                <w:b/>
                <w:bCs/>
                <w:sz w:val="22"/>
                <w:szCs w:val="22"/>
              </w:rPr>
              <w:t xml:space="preserve"> on Impediment 3.1</w:t>
            </w:r>
            <w:r w:rsidRPr="00D274F6">
              <w:rPr>
                <w:rFonts w:asciiTheme="majorHAnsi" w:hAnsiTheme="majorHAnsi" w:cstheme="majorHAnsi"/>
                <w:b/>
                <w:bCs/>
                <w:sz w:val="22"/>
                <w:szCs w:val="22"/>
              </w:rPr>
              <w:t>:</w:t>
            </w:r>
          </w:p>
        </w:tc>
      </w:tr>
      <w:tr w:rsidR="00422A2C" w14:paraId="7941AF4F" w14:textId="77777777" w:rsidTr="00422A2C">
        <w:tc>
          <w:tcPr>
            <w:tcW w:w="9355" w:type="dxa"/>
            <w:gridSpan w:val="2"/>
            <w:shd w:val="clear" w:color="auto" w:fill="FFFFFF" w:themeFill="background1"/>
          </w:tcPr>
          <w:p w14:paraId="6557ED91" w14:textId="31F2F831" w:rsidR="00422A2C" w:rsidRPr="002328A7" w:rsidRDefault="002328A7" w:rsidP="00422A2C">
            <w:pPr>
              <w:rPr>
                <w:rFonts w:asciiTheme="majorHAnsi" w:hAnsiTheme="majorHAnsi" w:cstheme="majorHAnsi"/>
                <w:sz w:val="22"/>
                <w:szCs w:val="22"/>
              </w:rPr>
            </w:pPr>
            <w:r w:rsidRPr="0082606D">
              <w:rPr>
                <w:rFonts w:asciiTheme="majorHAnsi" w:hAnsiTheme="majorHAnsi" w:cstheme="majorHAnsi"/>
                <w:sz w:val="22"/>
                <w:szCs w:val="22"/>
              </w:rPr>
              <w:t>No progress was made.</w:t>
            </w:r>
          </w:p>
        </w:tc>
      </w:tr>
    </w:tbl>
    <w:p w14:paraId="15177965" w14:textId="2C08EA6F" w:rsidR="00670815" w:rsidRDefault="00670815" w:rsidP="00BA1677">
      <w:pPr>
        <w:ind w:left="2160" w:hanging="2160"/>
      </w:pPr>
    </w:p>
    <w:p w14:paraId="6D1677A4" w14:textId="2B1974AF" w:rsidR="00670815" w:rsidRDefault="002328A7">
      <w:pPr>
        <w:spacing w:after="160" w:line="259" w:lineRule="auto"/>
      </w:pPr>
      <w:r w:rsidRPr="0082606D">
        <w:t xml:space="preserve">As part of </w:t>
      </w:r>
      <w:r w:rsidR="005B763E" w:rsidRPr="0082606D">
        <w:t>completi</w:t>
      </w:r>
      <w:r w:rsidRPr="0082606D">
        <w:t>ng</w:t>
      </w:r>
      <w:r w:rsidR="005B763E" w:rsidRPr="0082606D">
        <w:t xml:space="preserve"> future CAPERs, </w:t>
      </w:r>
      <w:r w:rsidR="008D6946" w:rsidRPr="0082606D">
        <w:t xml:space="preserve">NCDOC and its partner agencies will include </w:t>
      </w:r>
      <w:r w:rsidR="007C2488" w:rsidRPr="0082606D">
        <w:t>this same</w:t>
      </w:r>
      <w:r w:rsidR="008D6946" w:rsidRPr="0082606D">
        <w:t xml:space="preserve"> list of impediments identified in the AI </w:t>
      </w:r>
      <w:r w:rsidR="007C2488" w:rsidRPr="0082606D">
        <w:t>and provide update</w:t>
      </w:r>
      <w:r w:rsidR="004D2B58" w:rsidRPr="0082606D">
        <w:t xml:space="preserve">s </w:t>
      </w:r>
      <w:r w:rsidR="007C2488" w:rsidRPr="0082606D">
        <w:t>on their collective progress annually.</w:t>
      </w:r>
      <w:r w:rsidR="00670815">
        <w:br w:type="page"/>
      </w:r>
    </w:p>
    <w:p w14:paraId="2360EC78" w14:textId="5DDE2235" w:rsidR="003F5EBB" w:rsidRPr="003F5EBB" w:rsidRDefault="003F5EBB" w:rsidP="009B28C6">
      <w:pPr>
        <w:pStyle w:val="Heading1"/>
      </w:pPr>
      <w:bookmarkStart w:id="74" w:name="_Toc66807937"/>
      <w:r w:rsidRPr="003F5EBB">
        <w:lastRenderedPageBreak/>
        <w:t>Public Sector Policy Review</w:t>
      </w:r>
      <w:bookmarkEnd w:id="70"/>
      <w:bookmarkEnd w:id="74"/>
    </w:p>
    <w:p w14:paraId="585C7CC0" w14:textId="4D01EC1F" w:rsidR="003F5EBB" w:rsidRPr="003F5EBB" w:rsidRDefault="00D274F6" w:rsidP="0039740D">
      <w:pPr>
        <w:spacing w:after="240"/>
        <w:rPr>
          <w:rFonts w:eastAsiaTheme="minorEastAsia"/>
        </w:rPr>
      </w:pPr>
      <w:bookmarkStart w:id="75" w:name="_Toc109809369"/>
      <w:bookmarkStart w:id="76" w:name="_Toc243125973"/>
      <w:bookmarkStart w:id="77" w:name="_Toc254091002"/>
      <w:bookmarkStart w:id="78" w:name="_Toc269131584"/>
      <w:r>
        <w:rPr>
          <w:rFonts w:eastAsiaTheme="minorEastAsia"/>
        </w:rPr>
        <w:t>The AI</w:t>
      </w:r>
      <w:r w:rsidR="003F5EBB" w:rsidRPr="003F5EBB">
        <w:rPr>
          <w:rFonts w:eastAsiaTheme="minorEastAsia"/>
        </w:rPr>
        <w:t xml:space="preserve"> is a review of impediments to fair housing choice in the public and private sector.  Impediments to fair housing choice are any actions, omissions, or decisions taken because of race, color, religion, sex, disability, familial </w:t>
      </w:r>
      <w:proofErr w:type="gramStart"/>
      <w:r w:rsidR="003F5EBB" w:rsidRPr="003F5EBB">
        <w:rPr>
          <w:rFonts w:eastAsiaTheme="minorEastAsia"/>
        </w:rPr>
        <w:t>status</w:t>
      </w:r>
      <w:proofErr w:type="gramEnd"/>
      <w:r w:rsidR="003F5EBB" w:rsidRPr="003F5EBB">
        <w:rPr>
          <w:rFonts w:eastAsiaTheme="minorEastAsia"/>
        </w:rPr>
        <w:t xml:space="preserve"> or national origin that restrict housing choices or the availability of housing choices, or any actions, omissions or decisions that have the effect of restricting housing choices or the availability of housing choices on the basis of race, color, religion, sex, disability, familial status or national origin. Policies, practices or procedures that appear neutral on their </w:t>
      </w:r>
      <w:proofErr w:type="gramStart"/>
      <w:r w:rsidR="003F5EBB" w:rsidRPr="003F5EBB">
        <w:rPr>
          <w:rFonts w:eastAsiaTheme="minorEastAsia"/>
        </w:rPr>
        <w:t>face</w:t>
      </w:r>
      <w:proofErr w:type="gramEnd"/>
      <w:r w:rsidR="003F5EBB" w:rsidRPr="003F5EBB">
        <w:rPr>
          <w:rFonts w:eastAsiaTheme="minorEastAsia"/>
        </w:rPr>
        <w:t xml:space="preserve"> but which operate to deny or adversely affect the provision of housing to persons of a particular race, color, religion, sex, disability, familial status or national origin may constitute such impediments.</w:t>
      </w:r>
    </w:p>
    <w:p w14:paraId="6F2AC4B0" w14:textId="77777777" w:rsidR="003F5EBB" w:rsidRPr="003F5EBB" w:rsidRDefault="003F5EBB" w:rsidP="0039740D">
      <w:pPr>
        <w:spacing w:after="240"/>
        <w:rPr>
          <w:rFonts w:eastAsiaTheme="minorEastAsia"/>
        </w:rPr>
      </w:pPr>
      <w:r w:rsidRPr="003F5EBB">
        <w:rPr>
          <w:rFonts w:eastAsiaTheme="minorEastAsia"/>
        </w:rPr>
        <w:t>An important element of the AI includes an examination of public policy in terms of its impact on housing choice. This section evaluates the public policies in North Carolina to determine opportunities for furthering the expansion of fair housing choice.</w:t>
      </w:r>
    </w:p>
    <w:p w14:paraId="6419D54D" w14:textId="77777777" w:rsidR="003E4A89" w:rsidRDefault="0019212C" w:rsidP="009B28C6">
      <w:pPr>
        <w:pStyle w:val="Heading2"/>
        <w:rPr>
          <w:rFonts w:eastAsiaTheme="minorEastAsia"/>
        </w:rPr>
      </w:pPr>
      <w:bookmarkStart w:id="79" w:name="_Toc66807938"/>
      <w:bookmarkEnd w:id="75"/>
      <w:bookmarkEnd w:id="76"/>
      <w:bookmarkEnd w:id="77"/>
      <w:bookmarkEnd w:id="78"/>
      <w:r>
        <w:rPr>
          <w:rFonts w:eastAsiaTheme="minorEastAsia"/>
        </w:rPr>
        <w:t>State Building</w:t>
      </w:r>
      <w:r w:rsidR="003E4A89">
        <w:rPr>
          <w:rFonts w:eastAsiaTheme="minorEastAsia"/>
        </w:rPr>
        <w:t>, Occupancy, Health and Safety Codes</w:t>
      </w:r>
      <w:bookmarkEnd w:id="79"/>
    </w:p>
    <w:p w14:paraId="0E614568" w14:textId="730220F3" w:rsidR="00E45868" w:rsidRDefault="00E45868" w:rsidP="0039740D">
      <w:pPr>
        <w:rPr>
          <w:rFonts w:eastAsiaTheme="minorEastAsia"/>
        </w:rPr>
      </w:pPr>
      <w:r w:rsidRPr="00E45868">
        <w:rPr>
          <w:rFonts w:eastAsiaTheme="minorEastAsia"/>
        </w:rPr>
        <w:t xml:space="preserve">Accessible design and construction requirements are necessary to make public and common use spaces and facilities accessible </w:t>
      </w:r>
      <w:r>
        <w:rPr>
          <w:rFonts w:eastAsiaTheme="minorEastAsia"/>
        </w:rPr>
        <w:t xml:space="preserve">and safe </w:t>
      </w:r>
      <w:r w:rsidRPr="00E45868">
        <w:rPr>
          <w:rFonts w:eastAsiaTheme="minorEastAsia"/>
        </w:rPr>
        <w:t>to everyone. This gives people with disabilities greater freedom of choice to choose where they live. The Fair Housing Act requires all “covered multifamily dwellings” to be accessible to and usable by people with disabilities. Here, covered multifamily dwellings are defined as buildings containing four or more units, either with all ground floor units or at least one elevator. The following seven accessibility standards are required by the Fair Housing Act for these dwelling units:</w:t>
      </w:r>
    </w:p>
    <w:p w14:paraId="33B6F1AE" w14:textId="77777777" w:rsidR="0039740D" w:rsidRPr="00E45868" w:rsidRDefault="0039740D" w:rsidP="0039740D">
      <w:pPr>
        <w:rPr>
          <w:rFonts w:eastAsiaTheme="minorEastAsia"/>
        </w:rPr>
      </w:pPr>
    </w:p>
    <w:p w14:paraId="44B066FF" w14:textId="0AD20431" w:rsidR="00E45868" w:rsidRPr="007F3B15" w:rsidRDefault="00E45868" w:rsidP="007A55D1">
      <w:pPr>
        <w:pStyle w:val="ListParagraph"/>
        <w:numPr>
          <w:ilvl w:val="0"/>
          <w:numId w:val="7"/>
        </w:numPr>
        <w:rPr>
          <w:rFonts w:eastAsiaTheme="minorEastAsia"/>
        </w:rPr>
      </w:pPr>
      <w:r w:rsidRPr="007F3B15">
        <w:rPr>
          <w:rFonts w:eastAsiaTheme="minorEastAsia"/>
        </w:rPr>
        <w:t>An accessible building entrance on an accessible route.</w:t>
      </w:r>
    </w:p>
    <w:p w14:paraId="3E6C11AA" w14:textId="6EF929FD" w:rsidR="00E45868" w:rsidRPr="007F3B15" w:rsidRDefault="00E45868" w:rsidP="007A55D1">
      <w:pPr>
        <w:pStyle w:val="ListParagraph"/>
        <w:numPr>
          <w:ilvl w:val="0"/>
          <w:numId w:val="7"/>
        </w:numPr>
        <w:rPr>
          <w:rFonts w:eastAsiaTheme="minorEastAsia"/>
        </w:rPr>
      </w:pPr>
      <w:r w:rsidRPr="007F3B15">
        <w:rPr>
          <w:rFonts w:eastAsiaTheme="minorEastAsia"/>
        </w:rPr>
        <w:t>Accessible common and public use areas</w:t>
      </w:r>
    </w:p>
    <w:p w14:paraId="52EE761B" w14:textId="0440D47C" w:rsidR="00E45868" w:rsidRPr="007F3B15" w:rsidRDefault="00E45868" w:rsidP="007A55D1">
      <w:pPr>
        <w:pStyle w:val="ListParagraph"/>
        <w:numPr>
          <w:ilvl w:val="0"/>
          <w:numId w:val="7"/>
        </w:numPr>
        <w:rPr>
          <w:rFonts w:eastAsiaTheme="minorEastAsia"/>
        </w:rPr>
      </w:pPr>
      <w:r w:rsidRPr="007F3B15">
        <w:rPr>
          <w:rFonts w:eastAsiaTheme="minorEastAsia"/>
        </w:rPr>
        <w:t>Usable doors (usable by a person in a wheelchair)</w:t>
      </w:r>
    </w:p>
    <w:p w14:paraId="2135D15D" w14:textId="1138A9DD" w:rsidR="00E45868" w:rsidRPr="007F3B15" w:rsidRDefault="00E45868" w:rsidP="007A55D1">
      <w:pPr>
        <w:pStyle w:val="ListParagraph"/>
        <w:numPr>
          <w:ilvl w:val="0"/>
          <w:numId w:val="7"/>
        </w:numPr>
        <w:rPr>
          <w:rFonts w:eastAsiaTheme="minorEastAsia"/>
        </w:rPr>
      </w:pPr>
      <w:r w:rsidRPr="007F3B15">
        <w:rPr>
          <w:rFonts w:eastAsiaTheme="minorEastAsia"/>
        </w:rPr>
        <w:t>Accessible route into and through the dwelling unit</w:t>
      </w:r>
    </w:p>
    <w:p w14:paraId="28AD9150" w14:textId="3FE86C81" w:rsidR="00E45868" w:rsidRPr="007F3B15" w:rsidRDefault="00E45868" w:rsidP="007A55D1">
      <w:pPr>
        <w:pStyle w:val="ListParagraph"/>
        <w:numPr>
          <w:ilvl w:val="0"/>
          <w:numId w:val="7"/>
        </w:numPr>
        <w:rPr>
          <w:rFonts w:eastAsiaTheme="minorEastAsia"/>
        </w:rPr>
      </w:pPr>
      <w:r w:rsidRPr="007F3B15">
        <w:rPr>
          <w:rFonts w:eastAsiaTheme="minorEastAsia"/>
        </w:rPr>
        <w:t>Light switches, electrical outlets, thermostats, and other environmental controls in accessible locations</w:t>
      </w:r>
    </w:p>
    <w:p w14:paraId="25AC6A34" w14:textId="6E9F5646" w:rsidR="00E45868" w:rsidRPr="007F3B15" w:rsidRDefault="00E45868" w:rsidP="007A55D1">
      <w:pPr>
        <w:pStyle w:val="ListParagraph"/>
        <w:numPr>
          <w:ilvl w:val="0"/>
          <w:numId w:val="7"/>
        </w:numPr>
        <w:rPr>
          <w:rFonts w:eastAsiaTheme="minorEastAsia"/>
        </w:rPr>
      </w:pPr>
      <w:r w:rsidRPr="007F3B15">
        <w:rPr>
          <w:rFonts w:eastAsiaTheme="minorEastAsia"/>
        </w:rPr>
        <w:t>Reinforced walls in bathrooms for later installation of grab bars</w:t>
      </w:r>
    </w:p>
    <w:p w14:paraId="627312F2" w14:textId="48A7782C" w:rsidR="00E45868" w:rsidRPr="007F3B15" w:rsidRDefault="00E45868" w:rsidP="007A55D1">
      <w:pPr>
        <w:pStyle w:val="ListParagraph"/>
        <w:numPr>
          <w:ilvl w:val="0"/>
          <w:numId w:val="7"/>
        </w:numPr>
        <w:rPr>
          <w:rFonts w:eastAsiaTheme="minorEastAsia"/>
        </w:rPr>
      </w:pPr>
      <w:r w:rsidRPr="007F3B15">
        <w:rPr>
          <w:rFonts w:eastAsiaTheme="minorEastAsia"/>
        </w:rPr>
        <w:t>Usable kitchens and bathrooms</w:t>
      </w:r>
    </w:p>
    <w:p w14:paraId="3702ACA4" w14:textId="77777777" w:rsidR="0039740D" w:rsidRDefault="0039740D" w:rsidP="0039740D">
      <w:pPr>
        <w:rPr>
          <w:rFonts w:eastAsiaTheme="minorEastAsia"/>
        </w:rPr>
      </w:pPr>
    </w:p>
    <w:p w14:paraId="1990042F" w14:textId="0C626D2A" w:rsidR="00B978BF" w:rsidRDefault="00E45868" w:rsidP="0039740D">
      <w:pPr>
        <w:rPr>
          <w:rFonts w:eastAsiaTheme="minorEastAsia"/>
        </w:rPr>
      </w:pPr>
      <w:r w:rsidRPr="00E45868">
        <w:rPr>
          <w:rFonts w:eastAsiaTheme="minorEastAsia"/>
        </w:rPr>
        <w:t xml:space="preserve">Additionally, it is unlawful to refuse to make reasonable accommodations that allow for a person with a disability equal opportunity </w:t>
      </w:r>
      <w:r w:rsidR="00E138BA">
        <w:rPr>
          <w:rFonts w:eastAsiaTheme="minorEastAsia"/>
        </w:rPr>
        <w:t>to</w:t>
      </w:r>
      <w:r w:rsidRPr="00E45868">
        <w:rPr>
          <w:rFonts w:eastAsiaTheme="minorEastAsia"/>
        </w:rPr>
        <w:t xml:space="preserve"> use and enjoy their home.</w:t>
      </w:r>
    </w:p>
    <w:p w14:paraId="00E4E2FB" w14:textId="77777777" w:rsidR="0039740D" w:rsidRDefault="0039740D" w:rsidP="0039740D">
      <w:pPr>
        <w:rPr>
          <w:rFonts w:eastAsiaTheme="minorEastAsia"/>
        </w:rPr>
      </w:pPr>
    </w:p>
    <w:p w14:paraId="2D3FCF47" w14:textId="7CA5D4E2" w:rsidR="00D177B8" w:rsidRPr="00B61D76" w:rsidRDefault="00D177B8" w:rsidP="0039740D">
      <w:pPr>
        <w:rPr>
          <w:rFonts w:eastAsiaTheme="minorEastAsia"/>
        </w:rPr>
      </w:pPr>
      <w:r w:rsidRPr="00B61D76">
        <w:rPr>
          <w:rFonts w:eastAsiaTheme="minorEastAsia"/>
        </w:rPr>
        <w:t xml:space="preserve">Building design and construction standards in North Carolina more than adequately implements accessible measures for people with disabilities by utilizing </w:t>
      </w:r>
      <w:r w:rsidR="008E5749">
        <w:rPr>
          <w:rFonts w:eastAsiaTheme="minorEastAsia"/>
        </w:rPr>
        <w:t>the North Carolina Building Code, which also</w:t>
      </w:r>
      <w:r w:rsidRPr="00B61D76">
        <w:rPr>
          <w:rFonts w:eastAsiaTheme="minorEastAsia"/>
        </w:rPr>
        <w:t xml:space="preserve"> incorporates </w:t>
      </w:r>
      <w:r w:rsidR="003E5FEF" w:rsidRPr="00B61D76">
        <w:rPr>
          <w:rFonts w:eastAsiaTheme="minorEastAsia"/>
        </w:rPr>
        <w:t>International Building Code 2015</w:t>
      </w:r>
      <w:r w:rsidR="008E5749">
        <w:rPr>
          <w:rFonts w:eastAsiaTheme="minorEastAsia"/>
        </w:rPr>
        <w:t>,</w:t>
      </w:r>
      <w:r w:rsidRPr="00B61D76">
        <w:rPr>
          <w:rFonts w:eastAsiaTheme="minorEastAsia"/>
        </w:rPr>
        <w:t xml:space="preserve"> for their construction, </w:t>
      </w:r>
      <w:r w:rsidR="009819AE" w:rsidRPr="00B61D76">
        <w:rPr>
          <w:rFonts w:eastAsiaTheme="minorEastAsia"/>
        </w:rPr>
        <w:t>rehabilitation,</w:t>
      </w:r>
      <w:r w:rsidRPr="00B61D76">
        <w:rPr>
          <w:rFonts w:eastAsiaTheme="minorEastAsia"/>
        </w:rPr>
        <w:t xml:space="preserve"> and maintenance regulations. </w:t>
      </w:r>
      <w:r w:rsidR="003E5FEF" w:rsidRPr="00B61D76">
        <w:rPr>
          <w:rFonts w:eastAsiaTheme="minorEastAsia"/>
        </w:rPr>
        <w:t>State</w:t>
      </w:r>
      <w:r w:rsidRPr="00B61D76">
        <w:rPr>
          <w:rFonts w:eastAsiaTheme="minorEastAsia"/>
        </w:rPr>
        <w:t xml:space="preserve"> </w:t>
      </w:r>
      <w:r w:rsidR="002B0DD6" w:rsidRPr="00B61D76">
        <w:rPr>
          <w:rFonts w:eastAsiaTheme="minorEastAsia"/>
        </w:rPr>
        <w:t xml:space="preserve">building </w:t>
      </w:r>
      <w:r w:rsidRPr="00B61D76">
        <w:rPr>
          <w:rFonts w:eastAsiaTheme="minorEastAsia"/>
        </w:rPr>
        <w:t xml:space="preserve">regulations were last updated in 2018. </w:t>
      </w:r>
      <w:r w:rsidR="00421868" w:rsidRPr="00B61D76">
        <w:rPr>
          <w:rFonts w:eastAsiaTheme="minorEastAsia"/>
        </w:rPr>
        <w:t>Chapter 11 determines the design and construction of facilities for accessibility for individuals with disabilities</w:t>
      </w:r>
      <w:r w:rsidR="006D0878" w:rsidRPr="00B61D76">
        <w:rPr>
          <w:rFonts w:eastAsiaTheme="minorEastAsia"/>
        </w:rPr>
        <w:t xml:space="preserve">. These standards almost </w:t>
      </w:r>
      <w:r w:rsidR="00421868" w:rsidRPr="00B61D76">
        <w:rPr>
          <w:rFonts w:eastAsiaTheme="minorEastAsia"/>
        </w:rPr>
        <w:t>meet</w:t>
      </w:r>
      <w:r w:rsidR="006D0878" w:rsidRPr="00B61D76">
        <w:rPr>
          <w:rFonts w:eastAsiaTheme="minorEastAsia"/>
        </w:rPr>
        <w:t xml:space="preserve"> all</w:t>
      </w:r>
      <w:r w:rsidRPr="00B61D76">
        <w:rPr>
          <w:rFonts w:eastAsiaTheme="minorEastAsia"/>
        </w:rPr>
        <w:t xml:space="preserve"> the accessibility requirements outlined by the Fair Housing Act</w:t>
      </w:r>
      <w:r w:rsidR="003C7FA6">
        <w:rPr>
          <w:rFonts w:eastAsiaTheme="minorEastAsia"/>
        </w:rPr>
        <w:t>.</w:t>
      </w:r>
      <w:r w:rsidR="006D0878" w:rsidRPr="00B61D76">
        <w:rPr>
          <w:rFonts w:eastAsiaTheme="minorEastAsia"/>
        </w:rPr>
        <w:t xml:space="preserve"> </w:t>
      </w:r>
      <w:r w:rsidR="003C7FA6">
        <w:rPr>
          <w:rFonts w:eastAsiaTheme="minorEastAsia"/>
        </w:rPr>
        <w:t>While all toilet and bathing facilities are required to be accessible, there is not a clear provision for requiring r</w:t>
      </w:r>
      <w:r w:rsidR="003C7FA6" w:rsidRPr="003C7FA6">
        <w:rPr>
          <w:rFonts w:eastAsiaTheme="minorEastAsia"/>
        </w:rPr>
        <w:t>einforced walls in bathrooms for later installation of grab bars</w:t>
      </w:r>
      <w:r w:rsidR="00AB4D8D">
        <w:rPr>
          <w:rFonts w:eastAsiaTheme="minorEastAsia"/>
        </w:rPr>
        <w:t>.</w:t>
      </w:r>
    </w:p>
    <w:p w14:paraId="79320B3D" w14:textId="044DAD82" w:rsidR="002B0DD6" w:rsidRDefault="002B0DD6" w:rsidP="0039740D">
      <w:pPr>
        <w:rPr>
          <w:rFonts w:eastAsiaTheme="minorEastAsia"/>
        </w:rPr>
      </w:pPr>
      <w:r w:rsidRPr="00C31F05">
        <w:rPr>
          <w:rFonts w:eastAsiaTheme="minorEastAsia"/>
        </w:rPr>
        <w:t xml:space="preserve">Section </w:t>
      </w:r>
      <w:r w:rsidR="00E90967" w:rsidRPr="00C31F05">
        <w:rPr>
          <w:rFonts w:eastAsiaTheme="minorEastAsia"/>
        </w:rPr>
        <w:t>1104 and</w:t>
      </w:r>
      <w:r w:rsidR="00755426" w:rsidRPr="00C31F05">
        <w:rPr>
          <w:rFonts w:eastAsiaTheme="minorEastAsia"/>
        </w:rPr>
        <w:t xml:space="preserve"> 1105 </w:t>
      </w:r>
      <w:r w:rsidRPr="00C31F05">
        <w:rPr>
          <w:rFonts w:eastAsiaTheme="minorEastAsia"/>
        </w:rPr>
        <w:t>details requirements for accessible routes</w:t>
      </w:r>
      <w:r w:rsidR="00755426" w:rsidRPr="00C31F05">
        <w:rPr>
          <w:rFonts w:eastAsiaTheme="minorEastAsia"/>
        </w:rPr>
        <w:t xml:space="preserve"> entrances</w:t>
      </w:r>
      <w:r w:rsidR="00C31F05">
        <w:rPr>
          <w:rFonts w:eastAsiaTheme="minorEastAsia"/>
        </w:rPr>
        <w:t>, including access to common and public use areas</w:t>
      </w:r>
      <w:r w:rsidRPr="00C31F05">
        <w:rPr>
          <w:rFonts w:eastAsiaTheme="minorEastAsia"/>
        </w:rPr>
        <w:t>.</w:t>
      </w:r>
      <w:r w:rsidR="00755426" w:rsidRPr="00C31F05">
        <w:rPr>
          <w:rFonts w:eastAsiaTheme="minorEastAsia"/>
        </w:rPr>
        <w:t xml:space="preserve"> At least one accessible route within the site shall be provided from </w:t>
      </w:r>
      <w:r w:rsidR="00755426" w:rsidRPr="00C31F05">
        <w:rPr>
          <w:rFonts w:eastAsiaTheme="minorEastAsia"/>
        </w:rPr>
        <w:lastRenderedPageBreak/>
        <w:t>public transportation stops, accessible parking, accessible passenger loading zones, and public streets or sidewalks to the accessible building entrance served. The minimum width of the accessible path must be 48 inches minimum. Accessible routes are required with in and between almost all sites</w:t>
      </w:r>
      <w:r w:rsidR="009413D4" w:rsidRPr="00C31F05">
        <w:rPr>
          <w:rFonts w:eastAsiaTheme="minorEastAsia"/>
        </w:rPr>
        <w:t>, including commercial buildings with five or more tenants, healthcare providers, transportation facilities, airports, and any government building</w:t>
      </w:r>
      <w:r w:rsidR="00755426" w:rsidRPr="00C31F05">
        <w:rPr>
          <w:rFonts w:eastAsiaTheme="minorEastAsia"/>
        </w:rPr>
        <w:t xml:space="preserve">. Exceptions </w:t>
      </w:r>
      <w:r w:rsidR="00EE5574" w:rsidRPr="00C31F05">
        <w:rPr>
          <w:rFonts w:eastAsiaTheme="minorEastAsia"/>
        </w:rPr>
        <w:t>to providing accessible routes are provided if the site</w:t>
      </w:r>
      <w:r w:rsidR="00755426" w:rsidRPr="00C31F05">
        <w:rPr>
          <w:rFonts w:eastAsiaTheme="minorEastAsia"/>
        </w:rPr>
        <w:t xml:space="preserve"> does not provide any pedestrian access</w:t>
      </w:r>
      <w:r w:rsidR="009413D4" w:rsidRPr="00C31F05">
        <w:rPr>
          <w:rFonts w:eastAsiaTheme="minorEastAsia"/>
        </w:rPr>
        <w:t xml:space="preserve"> or if the area of a floor or mezzanine is below 3,000 square feet.</w:t>
      </w:r>
      <w:r w:rsidR="00C31F05">
        <w:rPr>
          <w:rFonts w:eastAsiaTheme="minorEastAsia"/>
        </w:rPr>
        <w:t xml:space="preserve"> Recreational facilities must also provide accessible features to all spaces except for swimming pools. </w:t>
      </w:r>
    </w:p>
    <w:p w14:paraId="43498B22" w14:textId="77777777" w:rsidR="0039740D" w:rsidRDefault="0039740D" w:rsidP="0039740D">
      <w:pPr>
        <w:rPr>
          <w:rFonts w:eastAsiaTheme="minorEastAsia"/>
        </w:rPr>
      </w:pPr>
    </w:p>
    <w:p w14:paraId="66ECDB4F" w14:textId="67E47AD7" w:rsidR="00C31F05" w:rsidRDefault="00C31F05" w:rsidP="0039740D">
      <w:pPr>
        <w:rPr>
          <w:rFonts w:eastAsiaTheme="minorEastAsia"/>
        </w:rPr>
      </w:pPr>
      <w:r>
        <w:rPr>
          <w:rFonts w:eastAsiaTheme="minorEastAsia"/>
        </w:rPr>
        <w:t>Section 1107 describes accessibility requirements for dwelling units and sleeping units. All public spaces serving dwelling units shall be accessible, including bathrooms, kitchens, living and dining areas, and any connected exterior spaces.</w:t>
      </w:r>
      <w:r w:rsidR="00EA2153">
        <w:rPr>
          <w:rFonts w:eastAsiaTheme="minorEastAsia"/>
        </w:rPr>
        <w:t xml:space="preserve"> The following table describes the minimum required number of accessible units and features required based on the number of dwelling units a building provides:</w:t>
      </w:r>
    </w:p>
    <w:p w14:paraId="705DD0E9" w14:textId="77777777" w:rsidR="0039740D" w:rsidRDefault="0039740D" w:rsidP="00EA2153">
      <w:pPr>
        <w:pStyle w:val="Caption"/>
      </w:pPr>
    </w:p>
    <w:p w14:paraId="796D88A8" w14:textId="274ECDED" w:rsidR="00EA2153" w:rsidRDefault="00EA2153" w:rsidP="00EA2153">
      <w:pPr>
        <w:pStyle w:val="Caption"/>
        <w:rPr>
          <w:rFonts w:asciiTheme="minorHAnsi" w:eastAsiaTheme="minorEastAsia" w:hAnsiTheme="minorHAnsi" w:cstheme="minorBidi"/>
          <w:sz w:val="22"/>
          <w:szCs w:val="21"/>
        </w:rPr>
      </w:pPr>
      <w:r>
        <w:t xml:space="preserve">Table </w:t>
      </w:r>
      <w:fldSimple w:instr=" SEQ Table \* ARABIC ">
        <w:r w:rsidR="0055251A">
          <w:rPr>
            <w:noProof/>
          </w:rPr>
          <w:t>26</w:t>
        </w:r>
      </w:fldSimple>
      <w:r>
        <w:t xml:space="preserve"> Accessible </w:t>
      </w:r>
      <w:r w:rsidR="0039740D">
        <w:t>D</w:t>
      </w:r>
      <w:r>
        <w:t xml:space="preserve">welling </w:t>
      </w:r>
      <w:r w:rsidR="0039740D">
        <w:t>U</w:t>
      </w:r>
      <w:r>
        <w:t xml:space="preserve">nit and </w:t>
      </w:r>
      <w:r w:rsidR="0039740D">
        <w:t>S</w:t>
      </w:r>
      <w:r>
        <w:t xml:space="preserve">leeping </w:t>
      </w:r>
      <w:r w:rsidR="0039740D">
        <w:t>U</w:t>
      </w:r>
      <w:r>
        <w:t xml:space="preserve">nit </w:t>
      </w:r>
      <w:r w:rsidR="0039740D">
        <w:t>R</w:t>
      </w:r>
      <w:r>
        <w:t>equirements in North Carolina</w:t>
      </w:r>
    </w:p>
    <w:tbl>
      <w:tblPr>
        <w:tblW w:w="8720" w:type="dxa"/>
        <w:tblLook w:val="04A0" w:firstRow="1" w:lastRow="0" w:firstColumn="1" w:lastColumn="0" w:noHBand="0" w:noVBand="1"/>
      </w:tblPr>
      <w:tblGrid>
        <w:gridCol w:w="2180"/>
        <w:gridCol w:w="2180"/>
        <w:gridCol w:w="2180"/>
        <w:gridCol w:w="2180"/>
      </w:tblGrid>
      <w:tr w:rsidR="00EA2153" w14:paraId="6AE23331" w14:textId="77777777" w:rsidTr="009819AE">
        <w:trPr>
          <w:trHeight w:val="1200"/>
        </w:trPr>
        <w:tc>
          <w:tcPr>
            <w:tcW w:w="2180"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722E4655" w14:textId="77777777" w:rsidR="00EA2153" w:rsidRPr="009819AE" w:rsidRDefault="00EA2153">
            <w:pPr>
              <w:jc w:val="center"/>
              <w:rPr>
                <w:rFonts w:ascii="Calibri" w:hAnsi="Calibri" w:cs="Calibri"/>
                <w:b/>
                <w:bCs/>
                <w:color w:val="FFFFFF" w:themeColor="background1"/>
                <w:sz w:val="22"/>
                <w:szCs w:val="22"/>
              </w:rPr>
            </w:pPr>
            <w:r w:rsidRPr="009819AE">
              <w:rPr>
                <w:rFonts w:ascii="Calibri" w:hAnsi="Calibri" w:cs="Calibri"/>
                <w:b/>
                <w:bCs/>
                <w:color w:val="FFFFFF" w:themeColor="background1"/>
                <w:sz w:val="22"/>
                <w:szCs w:val="22"/>
              </w:rPr>
              <w:t>Total number of units provided</w:t>
            </w:r>
          </w:p>
        </w:tc>
        <w:tc>
          <w:tcPr>
            <w:tcW w:w="2180" w:type="dxa"/>
            <w:tcBorders>
              <w:top w:val="single" w:sz="4" w:space="0" w:color="auto"/>
              <w:left w:val="nil"/>
              <w:bottom w:val="single" w:sz="4" w:space="0" w:color="auto"/>
              <w:right w:val="single" w:sz="4" w:space="0" w:color="auto"/>
            </w:tcBorders>
            <w:shd w:val="clear" w:color="auto" w:fill="4472C4"/>
            <w:vAlign w:val="center"/>
            <w:hideMark/>
          </w:tcPr>
          <w:p w14:paraId="744D2E27" w14:textId="77777777" w:rsidR="00EA2153" w:rsidRPr="009819AE" w:rsidRDefault="00EA2153">
            <w:pPr>
              <w:jc w:val="center"/>
              <w:rPr>
                <w:rFonts w:ascii="Calibri" w:hAnsi="Calibri" w:cs="Calibri"/>
                <w:b/>
                <w:bCs/>
                <w:color w:val="FFFFFF" w:themeColor="background1"/>
                <w:sz w:val="22"/>
                <w:szCs w:val="22"/>
              </w:rPr>
            </w:pPr>
            <w:r w:rsidRPr="009819AE">
              <w:rPr>
                <w:rFonts w:ascii="Calibri" w:hAnsi="Calibri" w:cs="Calibri"/>
                <w:b/>
                <w:bCs/>
                <w:color w:val="FFFFFF" w:themeColor="background1"/>
                <w:sz w:val="22"/>
                <w:szCs w:val="22"/>
              </w:rPr>
              <w:t>Minimum required number of accessible units without roll-in showers</w:t>
            </w:r>
          </w:p>
        </w:tc>
        <w:tc>
          <w:tcPr>
            <w:tcW w:w="2180" w:type="dxa"/>
            <w:tcBorders>
              <w:top w:val="single" w:sz="4" w:space="0" w:color="auto"/>
              <w:left w:val="nil"/>
              <w:bottom w:val="single" w:sz="4" w:space="0" w:color="auto"/>
              <w:right w:val="single" w:sz="4" w:space="0" w:color="auto"/>
            </w:tcBorders>
            <w:shd w:val="clear" w:color="auto" w:fill="4472C4"/>
            <w:vAlign w:val="center"/>
            <w:hideMark/>
          </w:tcPr>
          <w:p w14:paraId="4FF070FF" w14:textId="77777777" w:rsidR="00EA2153" w:rsidRPr="009819AE" w:rsidRDefault="00EA2153">
            <w:pPr>
              <w:jc w:val="center"/>
              <w:rPr>
                <w:rFonts w:ascii="Calibri" w:hAnsi="Calibri" w:cs="Calibri"/>
                <w:b/>
                <w:bCs/>
                <w:color w:val="FFFFFF" w:themeColor="background1"/>
                <w:sz w:val="22"/>
                <w:szCs w:val="22"/>
              </w:rPr>
            </w:pPr>
            <w:r w:rsidRPr="009819AE">
              <w:rPr>
                <w:rFonts w:ascii="Calibri" w:hAnsi="Calibri" w:cs="Calibri"/>
                <w:b/>
                <w:bCs/>
                <w:color w:val="FFFFFF" w:themeColor="background1"/>
                <w:sz w:val="22"/>
                <w:szCs w:val="22"/>
              </w:rPr>
              <w:t>Minimum number of accessible units with roll-in showers</w:t>
            </w:r>
          </w:p>
        </w:tc>
        <w:tc>
          <w:tcPr>
            <w:tcW w:w="2180" w:type="dxa"/>
            <w:tcBorders>
              <w:top w:val="single" w:sz="4" w:space="0" w:color="auto"/>
              <w:left w:val="nil"/>
              <w:bottom w:val="single" w:sz="4" w:space="0" w:color="auto"/>
              <w:right w:val="single" w:sz="4" w:space="0" w:color="auto"/>
            </w:tcBorders>
            <w:shd w:val="clear" w:color="auto" w:fill="4472C4"/>
            <w:vAlign w:val="center"/>
            <w:hideMark/>
          </w:tcPr>
          <w:p w14:paraId="562BD6F4" w14:textId="77777777" w:rsidR="00EA2153" w:rsidRPr="009819AE" w:rsidRDefault="00EA2153">
            <w:pPr>
              <w:jc w:val="center"/>
              <w:rPr>
                <w:rFonts w:ascii="Calibri" w:hAnsi="Calibri" w:cs="Calibri"/>
                <w:b/>
                <w:bCs/>
                <w:color w:val="FFFFFF" w:themeColor="background1"/>
                <w:sz w:val="22"/>
                <w:szCs w:val="22"/>
              </w:rPr>
            </w:pPr>
            <w:r w:rsidRPr="009819AE">
              <w:rPr>
                <w:rFonts w:ascii="Calibri" w:hAnsi="Calibri" w:cs="Calibri"/>
                <w:b/>
                <w:bCs/>
                <w:color w:val="FFFFFF" w:themeColor="background1"/>
                <w:sz w:val="22"/>
                <w:szCs w:val="22"/>
              </w:rPr>
              <w:t>Total number of required accessible units</w:t>
            </w:r>
          </w:p>
        </w:tc>
      </w:tr>
      <w:tr w:rsidR="00EA2153" w14:paraId="1CF0CADF"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02D2D5DE" w14:textId="77777777" w:rsidR="00EA2153" w:rsidRDefault="00EA2153">
            <w:pPr>
              <w:rPr>
                <w:rFonts w:ascii="Calibri" w:hAnsi="Calibri" w:cs="Calibri"/>
                <w:color w:val="000000"/>
                <w:sz w:val="22"/>
                <w:szCs w:val="22"/>
              </w:rPr>
            </w:pPr>
            <w:r>
              <w:rPr>
                <w:rFonts w:ascii="Calibri" w:hAnsi="Calibri" w:cs="Calibri"/>
                <w:color w:val="000000"/>
                <w:sz w:val="22"/>
                <w:szCs w:val="22"/>
              </w:rPr>
              <w:t>1 to 25</w:t>
            </w:r>
          </w:p>
        </w:tc>
        <w:tc>
          <w:tcPr>
            <w:tcW w:w="2180" w:type="dxa"/>
            <w:tcBorders>
              <w:top w:val="nil"/>
              <w:left w:val="nil"/>
              <w:bottom w:val="single" w:sz="4" w:space="0" w:color="auto"/>
              <w:right w:val="single" w:sz="4" w:space="0" w:color="auto"/>
            </w:tcBorders>
            <w:shd w:val="clear" w:color="auto" w:fill="auto"/>
            <w:vAlign w:val="bottom"/>
            <w:hideMark/>
          </w:tcPr>
          <w:p w14:paraId="6D634AE3"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w:t>
            </w:r>
          </w:p>
        </w:tc>
        <w:tc>
          <w:tcPr>
            <w:tcW w:w="2180" w:type="dxa"/>
            <w:tcBorders>
              <w:top w:val="nil"/>
              <w:left w:val="nil"/>
              <w:bottom w:val="single" w:sz="4" w:space="0" w:color="auto"/>
              <w:right w:val="single" w:sz="4" w:space="0" w:color="auto"/>
            </w:tcBorders>
            <w:shd w:val="clear" w:color="auto" w:fill="auto"/>
            <w:vAlign w:val="bottom"/>
            <w:hideMark/>
          </w:tcPr>
          <w:p w14:paraId="153CCAE0"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0</w:t>
            </w:r>
          </w:p>
        </w:tc>
        <w:tc>
          <w:tcPr>
            <w:tcW w:w="2180" w:type="dxa"/>
            <w:tcBorders>
              <w:top w:val="nil"/>
              <w:left w:val="nil"/>
              <w:bottom w:val="single" w:sz="4" w:space="0" w:color="auto"/>
              <w:right w:val="single" w:sz="4" w:space="0" w:color="auto"/>
            </w:tcBorders>
            <w:shd w:val="clear" w:color="auto" w:fill="auto"/>
            <w:vAlign w:val="bottom"/>
            <w:hideMark/>
          </w:tcPr>
          <w:p w14:paraId="583FA6D9"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w:t>
            </w:r>
          </w:p>
        </w:tc>
      </w:tr>
      <w:tr w:rsidR="00EA2153" w14:paraId="68DD7389"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5CA38009" w14:textId="77777777" w:rsidR="00EA2153" w:rsidRDefault="00EA2153">
            <w:pPr>
              <w:rPr>
                <w:rFonts w:ascii="Calibri" w:hAnsi="Calibri" w:cs="Calibri"/>
                <w:color w:val="000000"/>
                <w:sz w:val="22"/>
                <w:szCs w:val="22"/>
              </w:rPr>
            </w:pPr>
            <w:r>
              <w:rPr>
                <w:rFonts w:ascii="Calibri" w:hAnsi="Calibri" w:cs="Calibri"/>
                <w:color w:val="000000"/>
                <w:sz w:val="22"/>
                <w:szCs w:val="22"/>
              </w:rPr>
              <w:t>26 to 50</w:t>
            </w:r>
          </w:p>
        </w:tc>
        <w:tc>
          <w:tcPr>
            <w:tcW w:w="2180" w:type="dxa"/>
            <w:tcBorders>
              <w:top w:val="nil"/>
              <w:left w:val="nil"/>
              <w:bottom w:val="single" w:sz="4" w:space="0" w:color="auto"/>
              <w:right w:val="single" w:sz="4" w:space="0" w:color="auto"/>
            </w:tcBorders>
            <w:shd w:val="clear" w:color="auto" w:fill="auto"/>
            <w:vAlign w:val="bottom"/>
            <w:hideMark/>
          </w:tcPr>
          <w:p w14:paraId="0773CDDD"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2</w:t>
            </w:r>
          </w:p>
        </w:tc>
        <w:tc>
          <w:tcPr>
            <w:tcW w:w="2180" w:type="dxa"/>
            <w:tcBorders>
              <w:top w:val="nil"/>
              <w:left w:val="nil"/>
              <w:bottom w:val="single" w:sz="4" w:space="0" w:color="auto"/>
              <w:right w:val="single" w:sz="4" w:space="0" w:color="auto"/>
            </w:tcBorders>
            <w:shd w:val="clear" w:color="auto" w:fill="auto"/>
            <w:vAlign w:val="bottom"/>
            <w:hideMark/>
          </w:tcPr>
          <w:p w14:paraId="00AD3CAE"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0</w:t>
            </w:r>
          </w:p>
        </w:tc>
        <w:tc>
          <w:tcPr>
            <w:tcW w:w="2180" w:type="dxa"/>
            <w:tcBorders>
              <w:top w:val="nil"/>
              <w:left w:val="nil"/>
              <w:bottom w:val="single" w:sz="4" w:space="0" w:color="auto"/>
              <w:right w:val="single" w:sz="4" w:space="0" w:color="auto"/>
            </w:tcBorders>
            <w:shd w:val="clear" w:color="auto" w:fill="auto"/>
            <w:vAlign w:val="bottom"/>
            <w:hideMark/>
          </w:tcPr>
          <w:p w14:paraId="10FD84D4"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2</w:t>
            </w:r>
          </w:p>
        </w:tc>
      </w:tr>
      <w:tr w:rsidR="00EA2153" w14:paraId="170179E7"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12A62ECB" w14:textId="77777777" w:rsidR="00EA2153" w:rsidRDefault="00EA2153">
            <w:pPr>
              <w:rPr>
                <w:rFonts w:ascii="Calibri" w:hAnsi="Calibri" w:cs="Calibri"/>
                <w:color w:val="000000"/>
                <w:sz w:val="22"/>
                <w:szCs w:val="22"/>
              </w:rPr>
            </w:pPr>
            <w:r>
              <w:rPr>
                <w:rFonts w:ascii="Calibri" w:hAnsi="Calibri" w:cs="Calibri"/>
                <w:color w:val="000000"/>
                <w:sz w:val="22"/>
                <w:szCs w:val="22"/>
              </w:rPr>
              <w:t>51 to 75</w:t>
            </w:r>
          </w:p>
        </w:tc>
        <w:tc>
          <w:tcPr>
            <w:tcW w:w="2180" w:type="dxa"/>
            <w:tcBorders>
              <w:top w:val="nil"/>
              <w:left w:val="nil"/>
              <w:bottom w:val="single" w:sz="4" w:space="0" w:color="auto"/>
              <w:right w:val="single" w:sz="4" w:space="0" w:color="auto"/>
            </w:tcBorders>
            <w:shd w:val="clear" w:color="auto" w:fill="auto"/>
            <w:vAlign w:val="bottom"/>
            <w:hideMark/>
          </w:tcPr>
          <w:p w14:paraId="0C5DDFA4"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3</w:t>
            </w:r>
          </w:p>
        </w:tc>
        <w:tc>
          <w:tcPr>
            <w:tcW w:w="2180" w:type="dxa"/>
            <w:tcBorders>
              <w:top w:val="nil"/>
              <w:left w:val="nil"/>
              <w:bottom w:val="single" w:sz="4" w:space="0" w:color="auto"/>
              <w:right w:val="single" w:sz="4" w:space="0" w:color="auto"/>
            </w:tcBorders>
            <w:shd w:val="clear" w:color="auto" w:fill="auto"/>
            <w:vAlign w:val="bottom"/>
            <w:hideMark/>
          </w:tcPr>
          <w:p w14:paraId="08594B68"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w:t>
            </w:r>
          </w:p>
        </w:tc>
        <w:tc>
          <w:tcPr>
            <w:tcW w:w="2180" w:type="dxa"/>
            <w:tcBorders>
              <w:top w:val="nil"/>
              <w:left w:val="nil"/>
              <w:bottom w:val="single" w:sz="4" w:space="0" w:color="auto"/>
              <w:right w:val="single" w:sz="4" w:space="0" w:color="auto"/>
            </w:tcBorders>
            <w:shd w:val="clear" w:color="auto" w:fill="auto"/>
            <w:vAlign w:val="bottom"/>
            <w:hideMark/>
          </w:tcPr>
          <w:p w14:paraId="64AE8A6E"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4</w:t>
            </w:r>
          </w:p>
        </w:tc>
      </w:tr>
      <w:tr w:rsidR="00EA2153" w14:paraId="2337BB2C"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2EAE4186" w14:textId="77777777" w:rsidR="00EA2153" w:rsidRDefault="00EA2153">
            <w:pPr>
              <w:rPr>
                <w:rFonts w:ascii="Calibri" w:hAnsi="Calibri" w:cs="Calibri"/>
                <w:color w:val="000000"/>
                <w:sz w:val="22"/>
                <w:szCs w:val="22"/>
              </w:rPr>
            </w:pPr>
            <w:r>
              <w:rPr>
                <w:rFonts w:ascii="Calibri" w:hAnsi="Calibri" w:cs="Calibri"/>
                <w:color w:val="000000"/>
                <w:sz w:val="22"/>
                <w:szCs w:val="22"/>
              </w:rPr>
              <w:t>76 to 100</w:t>
            </w:r>
          </w:p>
        </w:tc>
        <w:tc>
          <w:tcPr>
            <w:tcW w:w="2180" w:type="dxa"/>
            <w:tcBorders>
              <w:top w:val="nil"/>
              <w:left w:val="nil"/>
              <w:bottom w:val="single" w:sz="4" w:space="0" w:color="auto"/>
              <w:right w:val="single" w:sz="4" w:space="0" w:color="auto"/>
            </w:tcBorders>
            <w:shd w:val="clear" w:color="auto" w:fill="auto"/>
            <w:vAlign w:val="bottom"/>
            <w:hideMark/>
          </w:tcPr>
          <w:p w14:paraId="6E148AC4"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4</w:t>
            </w:r>
          </w:p>
        </w:tc>
        <w:tc>
          <w:tcPr>
            <w:tcW w:w="2180" w:type="dxa"/>
            <w:tcBorders>
              <w:top w:val="nil"/>
              <w:left w:val="nil"/>
              <w:bottom w:val="single" w:sz="4" w:space="0" w:color="auto"/>
              <w:right w:val="single" w:sz="4" w:space="0" w:color="auto"/>
            </w:tcBorders>
            <w:shd w:val="clear" w:color="auto" w:fill="auto"/>
            <w:vAlign w:val="bottom"/>
            <w:hideMark/>
          </w:tcPr>
          <w:p w14:paraId="251C8049"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w:t>
            </w:r>
          </w:p>
        </w:tc>
        <w:tc>
          <w:tcPr>
            <w:tcW w:w="2180" w:type="dxa"/>
            <w:tcBorders>
              <w:top w:val="nil"/>
              <w:left w:val="nil"/>
              <w:bottom w:val="single" w:sz="4" w:space="0" w:color="auto"/>
              <w:right w:val="single" w:sz="4" w:space="0" w:color="auto"/>
            </w:tcBorders>
            <w:shd w:val="clear" w:color="auto" w:fill="auto"/>
            <w:vAlign w:val="bottom"/>
            <w:hideMark/>
          </w:tcPr>
          <w:p w14:paraId="51722664"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5</w:t>
            </w:r>
          </w:p>
        </w:tc>
      </w:tr>
      <w:tr w:rsidR="00EA2153" w14:paraId="274AC118"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2C144F97" w14:textId="77777777" w:rsidR="00EA2153" w:rsidRDefault="00EA2153">
            <w:pPr>
              <w:rPr>
                <w:rFonts w:ascii="Calibri" w:hAnsi="Calibri" w:cs="Calibri"/>
                <w:color w:val="000000"/>
                <w:sz w:val="22"/>
                <w:szCs w:val="22"/>
              </w:rPr>
            </w:pPr>
            <w:r>
              <w:rPr>
                <w:rFonts w:ascii="Calibri" w:hAnsi="Calibri" w:cs="Calibri"/>
                <w:color w:val="000000"/>
                <w:sz w:val="22"/>
                <w:szCs w:val="22"/>
              </w:rPr>
              <w:t>101 to 150</w:t>
            </w:r>
          </w:p>
        </w:tc>
        <w:tc>
          <w:tcPr>
            <w:tcW w:w="2180" w:type="dxa"/>
            <w:tcBorders>
              <w:top w:val="nil"/>
              <w:left w:val="nil"/>
              <w:bottom w:val="single" w:sz="4" w:space="0" w:color="auto"/>
              <w:right w:val="single" w:sz="4" w:space="0" w:color="auto"/>
            </w:tcBorders>
            <w:shd w:val="clear" w:color="auto" w:fill="auto"/>
            <w:vAlign w:val="bottom"/>
            <w:hideMark/>
          </w:tcPr>
          <w:p w14:paraId="223E2E12"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5</w:t>
            </w:r>
          </w:p>
        </w:tc>
        <w:tc>
          <w:tcPr>
            <w:tcW w:w="2180" w:type="dxa"/>
            <w:tcBorders>
              <w:top w:val="nil"/>
              <w:left w:val="nil"/>
              <w:bottom w:val="single" w:sz="4" w:space="0" w:color="auto"/>
              <w:right w:val="single" w:sz="4" w:space="0" w:color="auto"/>
            </w:tcBorders>
            <w:shd w:val="clear" w:color="auto" w:fill="auto"/>
            <w:vAlign w:val="bottom"/>
            <w:hideMark/>
          </w:tcPr>
          <w:p w14:paraId="467A36B0"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2</w:t>
            </w:r>
          </w:p>
        </w:tc>
        <w:tc>
          <w:tcPr>
            <w:tcW w:w="2180" w:type="dxa"/>
            <w:tcBorders>
              <w:top w:val="nil"/>
              <w:left w:val="nil"/>
              <w:bottom w:val="single" w:sz="4" w:space="0" w:color="auto"/>
              <w:right w:val="single" w:sz="4" w:space="0" w:color="auto"/>
            </w:tcBorders>
            <w:shd w:val="clear" w:color="auto" w:fill="auto"/>
            <w:vAlign w:val="bottom"/>
            <w:hideMark/>
          </w:tcPr>
          <w:p w14:paraId="5990E915"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7</w:t>
            </w:r>
          </w:p>
        </w:tc>
      </w:tr>
      <w:tr w:rsidR="00EA2153" w14:paraId="46AC9840"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79DE6FDC" w14:textId="77777777" w:rsidR="00EA2153" w:rsidRDefault="00EA2153">
            <w:pPr>
              <w:rPr>
                <w:rFonts w:ascii="Calibri" w:hAnsi="Calibri" w:cs="Calibri"/>
                <w:color w:val="000000"/>
                <w:sz w:val="22"/>
                <w:szCs w:val="22"/>
              </w:rPr>
            </w:pPr>
            <w:r>
              <w:rPr>
                <w:rFonts w:ascii="Calibri" w:hAnsi="Calibri" w:cs="Calibri"/>
                <w:color w:val="000000"/>
                <w:sz w:val="22"/>
                <w:szCs w:val="22"/>
              </w:rPr>
              <w:t>151 to 200</w:t>
            </w:r>
          </w:p>
        </w:tc>
        <w:tc>
          <w:tcPr>
            <w:tcW w:w="2180" w:type="dxa"/>
            <w:tcBorders>
              <w:top w:val="nil"/>
              <w:left w:val="nil"/>
              <w:bottom w:val="single" w:sz="4" w:space="0" w:color="auto"/>
              <w:right w:val="single" w:sz="4" w:space="0" w:color="auto"/>
            </w:tcBorders>
            <w:shd w:val="clear" w:color="auto" w:fill="auto"/>
            <w:vAlign w:val="bottom"/>
            <w:hideMark/>
          </w:tcPr>
          <w:p w14:paraId="65764953"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6</w:t>
            </w:r>
          </w:p>
        </w:tc>
        <w:tc>
          <w:tcPr>
            <w:tcW w:w="2180" w:type="dxa"/>
            <w:tcBorders>
              <w:top w:val="nil"/>
              <w:left w:val="nil"/>
              <w:bottom w:val="single" w:sz="4" w:space="0" w:color="auto"/>
              <w:right w:val="single" w:sz="4" w:space="0" w:color="auto"/>
            </w:tcBorders>
            <w:shd w:val="clear" w:color="auto" w:fill="auto"/>
            <w:vAlign w:val="bottom"/>
            <w:hideMark/>
          </w:tcPr>
          <w:p w14:paraId="05E7DF7B"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2</w:t>
            </w:r>
          </w:p>
        </w:tc>
        <w:tc>
          <w:tcPr>
            <w:tcW w:w="2180" w:type="dxa"/>
            <w:tcBorders>
              <w:top w:val="nil"/>
              <w:left w:val="nil"/>
              <w:bottom w:val="single" w:sz="4" w:space="0" w:color="auto"/>
              <w:right w:val="single" w:sz="4" w:space="0" w:color="auto"/>
            </w:tcBorders>
            <w:shd w:val="clear" w:color="auto" w:fill="auto"/>
            <w:vAlign w:val="bottom"/>
            <w:hideMark/>
          </w:tcPr>
          <w:p w14:paraId="2B751B7F"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8</w:t>
            </w:r>
          </w:p>
        </w:tc>
      </w:tr>
      <w:tr w:rsidR="00EA2153" w14:paraId="0D4D2567"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6659A32B" w14:textId="77777777" w:rsidR="00EA2153" w:rsidRDefault="00EA2153">
            <w:pPr>
              <w:rPr>
                <w:rFonts w:ascii="Calibri" w:hAnsi="Calibri" w:cs="Calibri"/>
                <w:color w:val="000000"/>
                <w:sz w:val="22"/>
                <w:szCs w:val="22"/>
              </w:rPr>
            </w:pPr>
            <w:r>
              <w:rPr>
                <w:rFonts w:ascii="Calibri" w:hAnsi="Calibri" w:cs="Calibri"/>
                <w:color w:val="000000"/>
                <w:sz w:val="22"/>
                <w:szCs w:val="22"/>
              </w:rPr>
              <w:t>201 to 300</w:t>
            </w:r>
          </w:p>
        </w:tc>
        <w:tc>
          <w:tcPr>
            <w:tcW w:w="2180" w:type="dxa"/>
            <w:tcBorders>
              <w:top w:val="nil"/>
              <w:left w:val="nil"/>
              <w:bottom w:val="single" w:sz="4" w:space="0" w:color="auto"/>
              <w:right w:val="single" w:sz="4" w:space="0" w:color="auto"/>
            </w:tcBorders>
            <w:shd w:val="clear" w:color="auto" w:fill="auto"/>
            <w:vAlign w:val="bottom"/>
            <w:hideMark/>
          </w:tcPr>
          <w:p w14:paraId="17D5933F"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7</w:t>
            </w:r>
          </w:p>
        </w:tc>
        <w:tc>
          <w:tcPr>
            <w:tcW w:w="2180" w:type="dxa"/>
            <w:tcBorders>
              <w:top w:val="nil"/>
              <w:left w:val="nil"/>
              <w:bottom w:val="single" w:sz="4" w:space="0" w:color="auto"/>
              <w:right w:val="single" w:sz="4" w:space="0" w:color="auto"/>
            </w:tcBorders>
            <w:shd w:val="clear" w:color="auto" w:fill="auto"/>
            <w:vAlign w:val="bottom"/>
            <w:hideMark/>
          </w:tcPr>
          <w:p w14:paraId="777E9D91"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3</w:t>
            </w:r>
          </w:p>
        </w:tc>
        <w:tc>
          <w:tcPr>
            <w:tcW w:w="2180" w:type="dxa"/>
            <w:tcBorders>
              <w:top w:val="nil"/>
              <w:left w:val="nil"/>
              <w:bottom w:val="single" w:sz="4" w:space="0" w:color="auto"/>
              <w:right w:val="single" w:sz="4" w:space="0" w:color="auto"/>
            </w:tcBorders>
            <w:shd w:val="clear" w:color="auto" w:fill="auto"/>
            <w:vAlign w:val="bottom"/>
            <w:hideMark/>
          </w:tcPr>
          <w:p w14:paraId="4F6FC108"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10</w:t>
            </w:r>
          </w:p>
        </w:tc>
      </w:tr>
      <w:tr w:rsidR="00EA2153" w14:paraId="501AB654"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63A09D8F" w14:textId="77777777" w:rsidR="00EA2153" w:rsidRDefault="00EA2153">
            <w:pPr>
              <w:rPr>
                <w:rFonts w:ascii="Calibri" w:hAnsi="Calibri" w:cs="Calibri"/>
                <w:color w:val="000000"/>
                <w:sz w:val="22"/>
                <w:szCs w:val="22"/>
              </w:rPr>
            </w:pPr>
            <w:r>
              <w:rPr>
                <w:rFonts w:ascii="Calibri" w:hAnsi="Calibri" w:cs="Calibri"/>
                <w:color w:val="000000"/>
                <w:sz w:val="22"/>
                <w:szCs w:val="22"/>
              </w:rPr>
              <w:t>301 to 400</w:t>
            </w:r>
          </w:p>
        </w:tc>
        <w:tc>
          <w:tcPr>
            <w:tcW w:w="2180" w:type="dxa"/>
            <w:tcBorders>
              <w:top w:val="nil"/>
              <w:left w:val="nil"/>
              <w:bottom w:val="single" w:sz="4" w:space="0" w:color="auto"/>
              <w:right w:val="single" w:sz="4" w:space="0" w:color="auto"/>
            </w:tcBorders>
            <w:shd w:val="clear" w:color="auto" w:fill="auto"/>
            <w:vAlign w:val="bottom"/>
            <w:hideMark/>
          </w:tcPr>
          <w:p w14:paraId="23C9592F"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8</w:t>
            </w:r>
          </w:p>
        </w:tc>
        <w:tc>
          <w:tcPr>
            <w:tcW w:w="2180" w:type="dxa"/>
            <w:tcBorders>
              <w:top w:val="nil"/>
              <w:left w:val="nil"/>
              <w:bottom w:val="single" w:sz="4" w:space="0" w:color="auto"/>
              <w:right w:val="single" w:sz="4" w:space="0" w:color="auto"/>
            </w:tcBorders>
            <w:shd w:val="clear" w:color="auto" w:fill="auto"/>
            <w:vAlign w:val="bottom"/>
            <w:hideMark/>
          </w:tcPr>
          <w:p w14:paraId="7E6F1891"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4</w:t>
            </w:r>
          </w:p>
        </w:tc>
        <w:tc>
          <w:tcPr>
            <w:tcW w:w="2180" w:type="dxa"/>
            <w:tcBorders>
              <w:top w:val="nil"/>
              <w:left w:val="nil"/>
              <w:bottom w:val="single" w:sz="4" w:space="0" w:color="auto"/>
              <w:right w:val="single" w:sz="4" w:space="0" w:color="auto"/>
            </w:tcBorders>
            <w:shd w:val="clear" w:color="auto" w:fill="auto"/>
            <w:vAlign w:val="bottom"/>
            <w:hideMark/>
          </w:tcPr>
          <w:p w14:paraId="070E713C"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12</w:t>
            </w:r>
          </w:p>
        </w:tc>
      </w:tr>
      <w:tr w:rsidR="00EA2153" w14:paraId="4915CFBA"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2BD1A2D0" w14:textId="77777777" w:rsidR="00EA2153" w:rsidRDefault="00EA2153">
            <w:pPr>
              <w:rPr>
                <w:rFonts w:ascii="Calibri" w:hAnsi="Calibri" w:cs="Calibri"/>
                <w:color w:val="000000"/>
                <w:sz w:val="22"/>
                <w:szCs w:val="22"/>
              </w:rPr>
            </w:pPr>
            <w:r>
              <w:rPr>
                <w:rFonts w:ascii="Calibri" w:hAnsi="Calibri" w:cs="Calibri"/>
                <w:color w:val="000000"/>
                <w:sz w:val="22"/>
                <w:szCs w:val="22"/>
              </w:rPr>
              <w:t>401 to 500</w:t>
            </w:r>
          </w:p>
        </w:tc>
        <w:tc>
          <w:tcPr>
            <w:tcW w:w="2180" w:type="dxa"/>
            <w:tcBorders>
              <w:top w:val="nil"/>
              <w:left w:val="nil"/>
              <w:bottom w:val="single" w:sz="4" w:space="0" w:color="auto"/>
              <w:right w:val="single" w:sz="4" w:space="0" w:color="auto"/>
            </w:tcBorders>
            <w:shd w:val="clear" w:color="auto" w:fill="auto"/>
            <w:vAlign w:val="bottom"/>
            <w:hideMark/>
          </w:tcPr>
          <w:p w14:paraId="245FC76D"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9</w:t>
            </w:r>
          </w:p>
        </w:tc>
        <w:tc>
          <w:tcPr>
            <w:tcW w:w="2180" w:type="dxa"/>
            <w:tcBorders>
              <w:top w:val="nil"/>
              <w:left w:val="nil"/>
              <w:bottom w:val="single" w:sz="4" w:space="0" w:color="auto"/>
              <w:right w:val="single" w:sz="4" w:space="0" w:color="auto"/>
            </w:tcBorders>
            <w:shd w:val="clear" w:color="auto" w:fill="auto"/>
            <w:vAlign w:val="bottom"/>
            <w:hideMark/>
          </w:tcPr>
          <w:p w14:paraId="09726D7A"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4</w:t>
            </w:r>
          </w:p>
        </w:tc>
        <w:tc>
          <w:tcPr>
            <w:tcW w:w="2180" w:type="dxa"/>
            <w:tcBorders>
              <w:top w:val="nil"/>
              <w:left w:val="nil"/>
              <w:bottom w:val="single" w:sz="4" w:space="0" w:color="auto"/>
              <w:right w:val="single" w:sz="4" w:space="0" w:color="auto"/>
            </w:tcBorders>
            <w:shd w:val="clear" w:color="auto" w:fill="auto"/>
            <w:vAlign w:val="bottom"/>
            <w:hideMark/>
          </w:tcPr>
          <w:p w14:paraId="05DEA2BD" w14:textId="77777777" w:rsidR="00EA2153" w:rsidRDefault="00EA2153">
            <w:pPr>
              <w:jc w:val="right"/>
              <w:rPr>
                <w:rFonts w:ascii="Calibri" w:hAnsi="Calibri" w:cs="Calibri"/>
                <w:color w:val="000000"/>
                <w:sz w:val="22"/>
                <w:szCs w:val="22"/>
              </w:rPr>
            </w:pPr>
            <w:r>
              <w:rPr>
                <w:rFonts w:ascii="Calibri" w:hAnsi="Calibri" w:cs="Calibri"/>
                <w:color w:val="000000"/>
                <w:sz w:val="22"/>
                <w:szCs w:val="22"/>
              </w:rPr>
              <w:t>13</w:t>
            </w:r>
          </w:p>
        </w:tc>
      </w:tr>
      <w:tr w:rsidR="00EA2153" w14:paraId="6287CCC4" w14:textId="77777777" w:rsidTr="00EA2153">
        <w:trPr>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64CEECB5" w14:textId="77777777" w:rsidR="00EA2153" w:rsidRDefault="00EA2153">
            <w:pPr>
              <w:rPr>
                <w:rFonts w:ascii="Calibri" w:hAnsi="Calibri" w:cs="Calibri"/>
                <w:color w:val="000000"/>
                <w:sz w:val="22"/>
                <w:szCs w:val="22"/>
              </w:rPr>
            </w:pPr>
            <w:r>
              <w:rPr>
                <w:rFonts w:ascii="Calibri" w:hAnsi="Calibri" w:cs="Calibri"/>
                <w:color w:val="000000"/>
                <w:sz w:val="22"/>
                <w:szCs w:val="22"/>
              </w:rPr>
              <w:t>501 to 1,000</w:t>
            </w:r>
          </w:p>
        </w:tc>
        <w:tc>
          <w:tcPr>
            <w:tcW w:w="2180" w:type="dxa"/>
            <w:tcBorders>
              <w:top w:val="nil"/>
              <w:left w:val="nil"/>
              <w:bottom w:val="single" w:sz="4" w:space="0" w:color="auto"/>
              <w:right w:val="single" w:sz="4" w:space="0" w:color="auto"/>
            </w:tcBorders>
            <w:shd w:val="clear" w:color="auto" w:fill="auto"/>
            <w:vAlign w:val="bottom"/>
            <w:hideMark/>
          </w:tcPr>
          <w:p w14:paraId="715BC94C" w14:textId="77777777" w:rsidR="00EA2153" w:rsidRDefault="00EA2153">
            <w:pPr>
              <w:rPr>
                <w:rFonts w:ascii="Calibri" w:hAnsi="Calibri" w:cs="Calibri"/>
                <w:color w:val="000000"/>
                <w:sz w:val="22"/>
                <w:szCs w:val="22"/>
              </w:rPr>
            </w:pPr>
            <w:r>
              <w:rPr>
                <w:rFonts w:ascii="Calibri" w:hAnsi="Calibri" w:cs="Calibri"/>
                <w:color w:val="000000"/>
                <w:sz w:val="22"/>
                <w:szCs w:val="22"/>
              </w:rPr>
              <w:t>2% of total</w:t>
            </w:r>
          </w:p>
        </w:tc>
        <w:tc>
          <w:tcPr>
            <w:tcW w:w="2180" w:type="dxa"/>
            <w:tcBorders>
              <w:top w:val="nil"/>
              <w:left w:val="nil"/>
              <w:bottom w:val="single" w:sz="4" w:space="0" w:color="auto"/>
              <w:right w:val="single" w:sz="4" w:space="0" w:color="auto"/>
            </w:tcBorders>
            <w:shd w:val="clear" w:color="auto" w:fill="auto"/>
            <w:vAlign w:val="bottom"/>
            <w:hideMark/>
          </w:tcPr>
          <w:p w14:paraId="694657E0" w14:textId="77777777" w:rsidR="00EA2153" w:rsidRDefault="00EA2153">
            <w:pPr>
              <w:rPr>
                <w:rFonts w:ascii="Calibri" w:hAnsi="Calibri" w:cs="Calibri"/>
                <w:color w:val="000000"/>
                <w:sz w:val="22"/>
                <w:szCs w:val="22"/>
              </w:rPr>
            </w:pPr>
            <w:r>
              <w:rPr>
                <w:rFonts w:ascii="Calibri" w:hAnsi="Calibri" w:cs="Calibri"/>
                <w:color w:val="000000"/>
                <w:sz w:val="22"/>
                <w:szCs w:val="22"/>
              </w:rPr>
              <w:t>1% of total</w:t>
            </w:r>
          </w:p>
        </w:tc>
        <w:tc>
          <w:tcPr>
            <w:tcW w:w="2180" w:type="dxa"/>
            <w:tcBorders>
              <w:top w:val="nil"/>
              <w:left w:val="nil"/>
              <w:bottom w:val="single" w:sz="4" w:space="0" w:color="auto"/>
              <w:right w:val="single" w:sz="4" w:space="0" w:color="auto"/>
            </w:tcBorders>
            <w:shd w:val="clear" w:color="auto" w:fill="auto"/>
            <w:vAlign w:val="bottom"/>
            <w:hideMark/>
          </w:tcPr>
          <w:p w14:paraId="4AA62289" w14:textId="77777777" w:rsidR="00EA2153" w:rsidRDefault="00EA2153">
            <w:pPr>
              <w:rPr>
                <w:rFonts w:ascii="Calibri" w:hAnsi="Calibri" w:cs="Calibri"/>
                <w:color w:val="000000"/>
                <w:sz w:val="22"/>
                <w:szCs w:val="22"/>
              </w:rPr>
            </w:pPr>
            <w:r>
              <w:rPr>
                <w:rFonts w:ascii="Calibri" w:hAnsi="Calibri" w:cs="Calibri"/>
                <w:color w:val="000000"/>
                <w:sz w:val="22"/>
                <w:szCs w:val="22"/>
              </w:rPr>
              <w:t>3% of total</w:t>
            </w:r>
          </w:p>
        </w:tc>
      </w:tr>
      <w:tr w:rsidR="00EA2153" w14:paraId="264D0E01" w14:textId="77777777" w:rsidTr="00EA2153">
        <w:trPr>
          <w:trHeight w:val="9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0EC763BB" w14:textId="77777777" w:rsidR="00EA2153" w:rsidRDefault="00EA2153">
            <w:pPr>
              <w:rPr>
                <w:rFonts w:ascii="Calibri" w:hAnsi="Calibri" w:cs="Calibri"/>
                <w:color w:val="000000"/>
                <w:sz w:val="22"/>
                <w:szCs w:val="22"/>
              </w:rPr>
            </w:pPr>
            <w:r>
              <w:rPr>
                <w:rFonts w:ascii="Calibri" w:hAnsi="Calibri" w:cs="Calibri"/>
                <w:color w:val="000000"/>
                <w:sz w:val="22"/>
                <w:szCs w:val="22"/>
              </w:rPr>
              <w:t>Over 1,000</w:t>
            </w:r>
          </w:p>
        </w:tc>
        <w:tc>
          <w:tcPr>
            <w:tcW w:w="2180" w:type="dxa"/>
            <w:tcBorders>
              <w:top w:val="nil"/>
              <w:left w:val="nil"/>
              <w:bottom w:val="single" w:sz="4" w:space="0" w:color="auto"/>
              <w:right w:val="single" w:sz="4" w:space="0" w:color="auto"/>
            </w:tcBorders>
            <w:shd w:val="clear" w:color="auto" w:fill="auto"/>
            <w:vAlign w:val="bottom"/>
            <w:hideMark/>
          </w:tcPr>
          <w:p w14:paraId="1249BF53" w14:textId="77777777" w:rsidR="00EA2153" w:rsidRDefault="00EA2153">
            <w:pPr>
              <w:rPr>
                <w:rFonts w:ascii="Calibri" w:hAnsi="Calibri" w:cs="Calibri"/>
                <w:color w:val="000000"/>
                <w:sz w:val="22"/>
                <w:szCs w:val="22"/>
              </w:rPr>
            </w:pPr>
            <w:r>
              <w:rPr>
                <w:rFonts w:ascii="Calibri" w:hAnsi="Calibri" w:cs="Calibri"/>
                <w:color w:val="000000"/>
                <w:sz w:val="22"/>
                <w:szCs w:val="22"/>
              </w:rPr>
              <w:t>20, plus 1 for each 100, or fraction thereof, over 1,000</w:t>
            </w:r>
          </w:p>
        </w:tc>
        <w:tc>
          <w:tcPr>
            <w:tcW w:w="2180" w:type="dxa"/>
            <w:tcBorders>
              <w:top w:val="nil"/>
              <w:left w:val="nil"/>
              <w:bottom w:val="single" w:sz="4" w:space="0" w:color="auto"/>
              <w:right w:val="single" w:sz="4" w:space="0" w:color="auto"/>
            </w:tcBorders>
            <w:shd w:val="clear" w:color="auto" w:fill="auto"/>
            <w:vAlign w:val="bottom"/>
            <w:hideMark/>
          </w:tcPr>
          <w:p w14:paraId="323D8415" w14:textId="77777777" w:rsidR="00EA2153" w:rsidRDefault="00EA2153">
            <w:pPr>
              <w:rPr>
                <w:rFonts w:ascii="Calibri" w:hAnsi="Calibri" w:cs="Calibri"/>
                <w:color w:val="000000"/>
                <w:sz w:val="22"/>
                <w:szCs w:val="22"/>
              </w:rPr>
            </w:pPr>
            <w:r>
              <w:rPr>
                <w:rFonts w:ascii="Calibri" w:hAnsi="Calibri" w:cs="Calibri"/>
                <w:color w:val="000000"/>
                <w:sz w:val="22"/>
                <w:szCs w:val="22"/>
              </w:rPr>
              <w:t>10, plus 1 for each 100, or fraction thereof, over 1,000</w:t>
            </w:r>
          </w:p>
        </w:tc>
        <w:tc>
          <w:tcPr>
            <w:tcW w:w="2180" w:type="dxa"/>
            <w:tcBorders>
              <w:top w:val="nil"/>
              <w:left w:val="nil"/>
              <w:bottom w:val="single" w:sz="4" w:space="0" w:color="auto"/>
              <w:right w:val="single" w:sz="4" w:space="0" w:color="auto"/>
            </w:tcBorders>
            <w:shd w:val="clear" w:color="auto" w:fill="auto"/>
            <w:vAlign w:val="bottom"/>
            <w:hideMark/>
          </w:tcPr>
          <w:p w14:paraId="7D00E48E" w14:textId="77777777" w:rsidR="00EA2153" w:rsidRDefault="00EA2153">
            <w:pPr>
              <w:rPr>
                <w:rFonts w:ascii="Calibri" w:hAnsi="Calibri" w:cs="Calibri"/>
                <w:color w:val="000000"/>
                <w:sz w:val="22"/>
                <w:szCs w:val="22"/>
              </w:rPr>
            </w:pPr>
            <w:r>
              <w:rPr>
                <w:rFonts w:ascii="Calibri" w:hAnsi="Calibri" w:cs="Calibri"/>
                <w:color w:val="000000"/>
                <w:sz w:val="22"/>
                <w:szCs w:val="22"/>
              </w:rPr>
              <w:t>300, plus 2 for each 100, or fraction thereof, over 1,000</w:t>
            </w:r>
          </w:p>
        </w:tc>
      </w:tr>
    </w:tbl>
    <w:p w14:paraId="117D0EA8" w14:textId="326C1415" w:rsidR="00EA2153" w:rsidRPr="007D0D36" w:rsidRDefault="00EA2153" w:rsidP="00D177B8">
      <w:pPr>
        <w:spacing w:after="160" w:line="276" w:lineRule="auto"/>
        <w:rPr>
          <w:rFonts w:eastAsiaTheme="minorEastAsia"/>
          <w:sz w:val="16"/>
          <w:szCs w:val="16"/>
        </w:rPr>
      </w:pPr>
      <w:r w:rsidRPr="007D0D36">
        <w:rPr>
          <w:rFonts w:eastAsiaTheme="minorEastAsia"/>
          <w:sz w:val="16"/>
          <w:szCs w:val="16"/>
        </w:rPr>
        <w:t>Source: 2018 North Carolina Building Code</w:t>
      </w:r>
    </w:p>
    <w:p w14:paraId="774B2678" w14:textId="17AB2F4A" w:rsidR="00EA2153" w:rsidRDefault="00EA2153" w:rsidP="0039740D">
      <w:pPr>
        <w:rPr>
          <w:rFonts w:eastAsiaTheme="minorEastAsia"/>
        </w:rPr>
      </w:pPr>
      <w:r>
        <w:rPr>
          <w:rFonts w:eastAsiaTheme="minorEastAsia"/>
        </w:rPr>
        <w:t xml:space="preserve">General exceptions </w:t>
      </w:r>
      <w:r w:rsidR="006666F3">
        <w:rPr>
          <w:rFonts w:eastAsiaTheme="minorEastAsia"/>
        </w:rPr>
        <w:t>to providing accessible units include structures without elevator services for units on upper floors, site impracticality (</w:t>
      </w:r>
      <w:proofErr w:type="gramStart"/>
      <w:r w:rsidR="006666F3">
        <w:rPr>
          <w:rFonts w:eastAsiaTheme="minorEastAsia"/>
        </w:rPr>
        <w:t>e.g.</w:t>
      </w:r>
      <w:proofErr w:type="gramEnd"/>
      <w:r w:rsidR="006666F3">
        <w:rPr>
          <w:rFonts w:eastAsiaTheme="minorEastAsia"/>
        </w:rPr>
        <w:t xml:space="preserve"> high grade slopes), or structures where the lowest floor of a building without elevator service are at or above design flood elevation.</w:t>
      </w:r>
    </w:p>
    <w:p w14:paraId="1D41DC2A" w14:textId="5B538156" w:rsidR="006666F3" w:rsidRDefault="006666F3" w:rsidP="0039740D">
      <w:pPr>
        <w:rPr>
          <w:rFonts w:eastAsiaTheme="minorEastAsia"/>
        </w:rPr>
      </w:pPr>
      <w:r>
        <w:rPr>
          <w:rFonts w:eastAsiaTheme="minorEastAsia"/>
        </w:rPr>
        <w:t>Section 1109.13 describes controls, operating mechanisms, and hardware such as switches that control lighting and ventilation and electrical convenience outlets. These features are required to be accessible with some exception:</w:t>
      </w:r>
    </w:p>
    <w:p w14:paraId="2D95B090" w14:textId="77777777" w:rsidR="0039740D" w:rsidRDefault="0039740D" w:rsidP="0039740D">
      <w:pPr>
        <w:rPr>
          <w:rFonts w:eastAsiaTheme="minorEastAsia"/>
        </w:rPr>
      </w:pPr>
    </w:p>
    <w:p w14:paraId="0EB70FFC" w14:textId="3BEFC7AB" w:rsidR="006666F3" w:rsidRPr="001E5BCF" w:rsidRDefault="006666F3"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If the operable parts are intended for use only by service or maintenance personnel</w:t>
      </w:r>
    </w:p>
    <w:p w14:paraId="78CBC0E9" w14:textId="724F42F7" w:rsidR="006666F3" w:rsidRPr="001E5BCF" w:rsidRDefault="006666F3" w:rsidP="001E5BCF">
      <w:pPr>
        <w:pStyle w:val="ListParagraph"/>
        <w:numPr>
          <w:ilvl w:val="0"/>
          <w:numId w:val="8"/>
        </w:numPr>
        <w:spacing w:before="60" w:after="60"/>
        <w:contextualSpacing w:val="0"/>
        <w:rPr>
          <w:rFonts w:eastAsiaTheme="minorEastAsia"/>
          <w:sz w:val="24"/>
        </w:rPr>
      </w:pPr>
      <w:r w:rsidRPr="001E5BCF">
        <w:rPr>
          <w:rFonts w:eastAsiaTheme="minorEastAsia"/>
          <w:sz w:val="24"/>
        </w:rPr>
        <w:lastRenderedPageBreak/>
        <w:t>Receptacles serving a dedicated use</w:t>
      </w:r>
      <w:r w:rsidRPr="001E5BCF">
        <w:rPr>
          <w:sz w:val="24"/>
        </w:rPr>
        <w:t xml:space="preserve"> </w:t>
      </w:r>
      <w:r w:rsidRPr="001E5BCF">
        <w:rPr>
          <w:rFonts w:eastAsiaTheme="minorEastAsia"/>
          <w:sz w:val="24"/>
        </w:rPr>
        <w:t xml:space="preserve">Where two or more outlets are provided in a kitchen above a length of </w:t>
      </w:r>
      <w:r w:rsidR="009819AE" w:rsidRPr="001E5BCF">
        <w:rPr>
          <w:rFonts w:eastAsiaTheme="minorEastAsia"/>
          <w:sz w:val="24"/>
        </w:rPr>
        <w:t>countertop</w:t>
      </w:r>
      <w:r w:rsidRPr="001E5BCF">
        <w:rPr>
          <w:rFonts w:eastAsiaTheme="minorEastAsia"/>
          <w:sz w:val="24"/>
        </w:rPr>
        <w:t xml:space="preserve"> that is uninterrupted by a sink or appliance, one outlet shall not be required to be accessible.</w:t>
      </w:r>
    </w:p>
    <w:p w14:paraId="69D9A63D" w14:textId="7D8BA51B" w:rsidR="006666F3" w:rsidRPr="001E5BCF" w:rsidRDefault="006666F3"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Floor electrical receptables</w:t>
      </w:r>
    </w:p>
    <w:p w14:paraId="7149F969" w14:textId="42B45871" w:rsidR="006666F3" w:rsidRPr="001E5BCF" w:rsidRDefault="006666F3"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HVAC diffusers</w:t>
      </w:r>
    </w:p>
    <w:p w14:paraId="66EBFA2F" w14:textId="7BD1D7F5" w:rsidR="006666F3" w:rsidRPr="001E5BCF" w:rsidRDefault="006666F3"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 xml:space="preserve">For redundant light switches, one control is not required to be </w:t>
      </w:r>
      <w:proofErr w:type="gramStart"/>
      <w:r w:rsidRPr="001E5BCF">
        <w:rPr>
          <w:rFonts w:eastAsiaTheme="minorEastAsia"/>
          <w:sz w:val="24"/>
        </w:rPr>
        <w:t>accessible</w:t>
      </w:r>
      <w:proofErr w:type="gramEnd"/>
      <w:r w:rsidRPr="001E5BCF">
        <w:rPr>
          <w:sz w:val="24"/>
        </w:rPr>
        <w:t xml:space="preserve"> </w:t>
      </w:r>
    </w:p>
    <w:p w14:paraId="1BB1B880" w14:textId="1F8B7156" w:rsidR="006666F3" w:rsidRPr="001E5BCF" w:rsidRDefault="006666F3"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 xml:space="preserve">Access doors or gates in barrier walls and fences protecting pools, spas and hot </w:t>
      </w:r>
      <w:proofErr w:type="gramStart"/>
      <w:r w:rsidRPr="001E5BCF">
        <w:rPr>
          <w:rFonts w:eastAsiaTheme="minorEastAsia"/>
          <w:sz w:val="24"/>
        </w:rPr>
        <w:t>tubs</w:t>
      </w:r>
      <w:proofErr w:type="gramEnd"/>
    </w:p>
    <w:p w14:paraId="4387C429" w14:textId="70FF31B9" w:rsidR="006D0878" w:rsidRPr="001E5BCF" w:rsidRDefault="006D0878"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Section 1109.2 requires toilet room and bathing rooms to be accessible</w:t>
      </w:r>
      <w:r w:rsidR="00E73735" w:rsidRPr="001E5BCF">
        <w:rPr>
          <w:rFonts w:eastAsiaTheme="minorEastAsia"/>
          <w:sz w:val="24"/>
        </w:rPr>
        <w:t xml:space="preserve">. </w:t>
      </w:r>
      <w:r w:rsidRPr="001E5BCF">
        <w:rPr>
          <w:rFonts w:eastAsiaTheme="minorEastAsia"/>
          <w:sz w:val="24"/>
        </w:rPr>
        <w:t>Exceptions</w:t>
      </w:r>
      <w:r w:rsidR="00AB4D8D" w:rsidRPr="001E5BCF">
        <w:rPr>
          <w:rFonts w:eastAsiaTheme="minorEastAsia"/>
          <w:sz w:val="24"/>
        </w:rPr>
        <w:t xml:space="preserve"> to providing accessible bathrooms</w:t>
      </w:r>
      <w:r w:rsidRPr="001E5BCF">
        <w:rPr>
          <w:rFonts w:eastAsiaTheme="minorEastAsia"/>
          <w:sz w:val="24"/>
        </w:rPr>
        <w:t xml:space="preserve"> include:</w:t>
      </w:r>
    </w:p>
    <w:p w14:paraId="39BC97D8" w14:textId="456D945C" w:rsidR="006D0878" w:rsidRPr="001E5BCF" w:rsidRDefault="006D0878"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 xml:space="preserve">Toilet rooms or bathing rooms accessed only through a private office, not for common or public use and intended for use by a single </w:t>
      </w:r>
      <w:proofErr w:type="gramStart"/>
      <w:r w:rsidRPr="001E5BCF">
        <w:rPr>
          <w:rFonts w:eastAsiaTheme="minorEastAsia"/>
          <w:sz w:val="24"/>
        </w:rPr>
        <w:t>occupant</w:t>
      </w:r>
      <w:proofErr w:type="gramEnd"/>
    </w:p>
    <w:p w14:paraId="17E17054" w14:textId="48F8C944" w:rsidR="006D0878" w:rsidRPr="001E5BCF" w:rsidRDefault="006D0878"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 xml:space="preserve">Where multiple single-user toilet rooms or bathing rooms are clustered at a single location, at least 50 percent must be </w:t>
      </w:r>
      <w:proofErr w:type="gramStart"/>
      <w:r w:rsidRPr="001E5BCF">
        <w:rPr>
          <w:rFonts w:eastAsiaTheme="minorEastAsia"/>
          <w:sz w:val="24"/>
        </w:rPr>
        <w:t>accessible</w:t>
      </w:r>
      <w:proofErr w:type="gramEnd"/>
    </w:p>
    <w:p w14:paraId="0B4E0462" w14:textId="42C88AFD" w:rsidR="006D0878" w:rsidRPr="001E5BCF" w:rsidRDefault="006D0878"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Where no more than one urinal is provided in a toilet room or bathing room, the urinal is not required to be accessible.</w:t>
      </w:r>
    </w:p>
    <w:p w14:paraId="2288D112" w14:textId="37D4FE35" w:rsidR="006D0878" w:rsidRPr="001E5BCF" w:rsidRDefault="006D0878" w:rsidP="001E5BCF">
      <w:pPr>
        <w:pStyle w:val="ListParagraph"/>
        <w:numPr>
          <w:ilvl w:val="0"/>
          <w:numId w:val="8"/>
        </w:numPr>
        <w:spacing w:before="60" w:after="60"/>
        <w:contextualSpacing w:val="0"/>
        <w:rPr>
          <w:rFonts w:eastAsiaTheme="minorEastAsia"/>
          <w:sz w:val="24"/>
        </w:rPr>
      </w:pPr>
      <w:r w:rsidRPr="001E5BCF">
        <w:rPr>
          <w:rFonts w:eastAsiaTheme="minorEastAsia"/>
          <w:sz w:val="24"/>
        </w:rPr>
        <w:t xml:space="preserve">Toilet rooms or bathing rooms that are part of critical care or intensive care patient sleeping rooms serving </w:t>
      </w:r>
      <w:r w:rsidR="009819AE" w:rsidRPr="001E5BCF">
        <w:rPr>
          <w:rFonts w:eastAsiaTheme="minorEastAsia"/>
          <w:sz w:val="24"/>
        </w:rPr>
        <w:t>a</w:t>
      </w:r>
      <w:r w:rsidRPr="001E5BCF">
        <w:rPr>
          <w:rFonts w:eastAsiaTheme="minorEastAsia"/>
          <w:sz w:val="24"/>
        </w:rPr>
        <w:t>ccessible units are not required to be accessible.</w:t>
      </w:r>
    </w:p>
    <w:p w14:paraId="0F784166" w14:textId="77777777" w:rsidR="007F3B15" w:rsidRDefault="007F3B15" w:rsidP="0039740D">
      <w:pPr>
        <w:rPr>
          <w:rFonts w:eastAsiaTheme="minorEastAsia"/>
        </w:rPr>
      </w:pPr>
    </w:p>
    <w:p w14:paraId="2C3B1F90" w14:textId="66FBDBC5" w:rsidR="0039740D" w:rsidRPr="00323D43" w:rsidRDefault="00E73735" w:rsidP="00323D43">
      <w:pPr>
        <w:rPr>
          <w:rFonts w:eastAsiaTheme="minorEastAsia"/>
        </w:rPr>
      </w:pPr>
      <w:r>
        <w:rPr>
          <w:rFonts w:eastAsiaTheme="minorEastAsia"/>
        </w:rPr>
        <w:t xml:space="preserve">While it may be implied, there is not a clear requirement for providing reinforced walls for reasonable accommodation installations. Clarity on reasonable accommodation requirements may </w:t>
      </w:r>
      <w:r w:rsidR="008904CD">
        <w:rPr>
          <w:rFonts w:eastAsiaTheme="minorEastAsia"/>
        </w:rPr>
        <w:t>provide</w:t>
      </w:r>
      <w:r>
        <w:rPr>
          <w:rFonts w:eastAsiaTheme="minorEastAsia"/>
        </w:rPr>
        <w:t xml:space="preserve"> greater housing opportunities for persons with disabilities.</w:t>
      </w:r>
    </w:p>
    <w:p w14:paraId="69F9D75B" w14:textId="62A34280" w:rsidR="00A424E5" w:rsidRDefault="00A424E5" w:rsidP="00AB1749">
      <w:pPr>
        <w:pStyle w:val="Heading2"/>
        <w:spacing w:before="240"/>
        <w:rPr>
          <w:rFonts w:eastAsiaTheme="minorEastAsia"/>
        </w:rPr>
      </w:pPr>
      <w:bookmarkStart w:id="80" w:name="_Toc66807939"/>
      <w:r w:rsidRPr="002C4089">
        <w:rPr>
          <w:rFonts w:eastAsiaTheme="minorEastAsia"/>
        </w:rPr>
        <w:t>State Policies</w:t>
      </w:r>
      <w:r w:rsidR="001E74F7" w:rsidRPr="002C4089">
        <w:rPr>
          <w:rFonts w:eastAsiaTheme="minorEastAsia"/>
        </w:rPr>
        <w:t xml:space="preserve"> </w:t>
      </w:r>
      <w:r w:rsidR="00313D8E" w:rsidRPr="002C4089">
        <w:rPr>
          <w:rFonts w:eastAsiaTheme="minorEastAsia"/>
        </w:rPr>
        <w:t>on Community Development and Housing Activities</w:t>
      </w:r>
      <w:bookmarkEnd w:id="80"/>
    </w:p>
    <w:p w14:paraId="5A9E7243" w14:textId="295AAE10" w:rsidR="005E3505" w:rsidRPr="005E3505" w:rsidRDefault="005E3505" w:rsidP="000415E7">
      <w:pPr>
        <w:rPr>
          <w:rFonts w:eastAsiaTheme="minorHAnsi"/>
          <w:lang w:bidi="en-US"/>
        </w:rPr>
      </w:pPr>
      <w:bookmarkStart w:id="81" w:name="_Toc34317008"/>
      <w:r w:rsidRPr="005E3505">
        <w:rPr>
          <w:rFonts w:eastAsiaTheme="minorHAnsi"/>
          <w:lang w:bidi="en-US"/>
        </w:rPr>
        <w:t xml:space="preserve">Collectively, the Community Development Block Grant (CDBG), HOME Investment Partnerships, Emergency Solutions Grant (ESG) and Housing Opportunities for Persons </w:t>
      </w:r>
      <w:proofErr w:type="gramStart"/>
      <w:r w:rsidRPr="005E3505">
        <w:rPr>
          <w:rFonts w:eastAsiaTheme="minorHAnsi"/>
          <w:lang w:bidi="en-US"/>
        </w:rPr>
        <w:t>With</w:t>
      </w:r>
      <w:proofErr w:type="gramEnd"/>
      <w:r w:rsidRPr="005E3505">
        <w:rPr>
          <w:rFonts w:eastAsiaTheme="minorHAnsi"/>
          <w:lang w:bidi="en-US"/>
        </w:rPr>
        <w:t xml:space="preserve"> AIDS (HOPWA) programs are under the authority of the Community Planning and Development (CPD) division of the U.S. Department of Housing &amp; Urban Development (HUD). In addition, since 2016, North Carolina has received an annual allocation from the Housing Trust Fund (HTF), also under the authority of HUD. In 2020, the state received $7.2 million in HTF funding. The state also receives approximately $29 million </w:t>
      </w:r>
      <w:r w:rsidR="00FE4F16">
        <w:rPr>
          <w:rFonts w:eastAsiaTheme="minorHAnsi"/>
          <w:lang w:bidi="en-US"/>
        </w:rPr>
        <w:t xml:space="preserve">annually </w:t>
      </w:r>
      <w:r w:rsidRPr="005E3505">
        <w:rPr>
          <w:rFonts w:eastAsiaTheme="minorHAnsi"/>
          <w:lang w:bidi="en-US"/>
        </w:rPr>
        <w:t xml:space="preserve">in </w:t>
      </w:r>
      <w:r w:rsidR="00D60E93">
        <w:rPr>
          <w:rFonts w:eastAsiaTheme="minorHAnsi"/>
          <w:lang w:bidi="en-US"/>
        </w:rPr>
        <w:t xml:space="preserve">tax credits provided </w:t>
      </w:r>
      <w:r w:rsidRPr="005E3505">
        <w:rPr>
          <w:rFonts w:eastAsiaTheme="minorHAnsi"/>
          <w:lang w:bidi="en-US"/>
        </w:rPr>
        <w:t>through the federal Low-Income Housing Tax Credit (LIHTC) program administered by the Internal Revenue Service.</w:t>
      </w:r>
    </w:p>
    <w:p w14:paraId="32F4D11A" w14:textId="77777777" w:rsidR="000415E7" w:rsidRDefault="000415E7" w:rsidP="000415E7">
      <w:pPr>
        <w:rPr>
          <w:rFonts w:eastAsiaTheme="minorHAnsi"/>
          <w:lang w:bidi="en-US"/>
        </w:rPr>
      </w:pPr>
    </w:p>
    <w:p w14:paraId="0B926C4E" w14:textId="4FDD4B2F" w:rsidR="005E3505" w:rsidRPr="005E3505" w:rsidRDefault="005E3505" w:rsidP="000415E7">
      <w:pPr>
        <w:rPr>
          <w:rFonts w:eastAsiaTheme="minorHAnsi"/>
          <w:lang w:bidi="en-US"/>
        </w:rPr>
      </w:pPr>
      <w:r w:rsidRPr="005E3505">
        <w:rPr>
          <w:rFonts w:eastAsiaTheme="minorHAnsi"/>
          <w:lang w:bidi="en-US"/>
        </w:rPr>
        <w:t xml:space="preserve">Annually, the state is required to engage the public and stakeholders in the development of its Annual Action Plan to identify the eligible activities it will fund and implement with CDBG, HOME, ESG, HOPWA and HTF funds. In addition, the </w:t>
      </w:r>
      <w:r w:rsidR="00A03732">
        <w:rPr>
          <w:rFonts w:eastAsiaTheme="minorHAnsi"/>
          <w:lang w:bidi="en-US"/>
        </w:rPr>
        <w:t>s</w:t>
      </w:r>
      <w:r w:rsidRPr="005E3505">
        <w:rPr>
          <w:rFonts w:eastAsiaTheme="minorHAnsi"/>
          <w:lang w:bidi="en-US"/>
        </w:rPr>
        <w:t xml:space="preserve">tate </w:t>
      </w:r>
      <w:r w:rsidR="00A03732">
        <w:rPr>
          <w:rFonts w:eastAsiaTheme="minorHAnsi"/>
          <w:lang w:bidi="en-US"/>
        </w:rPr>
        <w:t>prepare</w:t>
      </w:r>
      <w:r w:rsidRPr="005E3505">
        <w:rPr>
          <w:rFonts w:eastAsiaTheme="minorHAnsi"/>
          <w:lang w:bidi="en-US"/>
        </w:rPr>
        <w:t>s a Consolidated Plan every five years to set priorities and goals for upcoming Annual Action Plans.</w:t>
      </w:r>
    </w:p>
    <w:p w14:paraId="1D1A720A" w14:textId="77777777" w:rsidR="000415E7" w:rsidRDefault="000415E7" w:rsidP="000415E7">
      <w:pPr>
        <w:rPr>
          <w:rFonts w:eastAsiaTheme="minorHAnsi"/>
          <w:lang w:bidi="en-US"/>
        </w:rPr>
      </w:pPr>
    </w:p>
    <w:p w14:paraId="0B519866" w14:textId="7506B353" w:rsidR="005E3505" w:rsidRPr="005E3505" w:rsidRDefault="005E3505" w:rsidP="000415E7">
      <w:pPr>
        <w:rPr>
          <w:rFonts w:eastAsiaTheme="minorHAnsi"/>
          <w:lang w:bidi="en-US"/>
        </w:rPr>
      </w:pPr>
      <w:r w:rsidRPr="005E3505">
        <w:rPr>
          <w:rFonts w:eastAsiaTheme="minorHAnsi"/>
          <w:lang w:bidi="en-US"/>
        </w:rPr>
        <w:t>This section analyzes the state-level policies in place that guide how North Carolina affirmatively furthers fair housing as part of its planning process and in the implementation of its federal funding programs.</w:t>
      </w:r>
    </w:p>
    <w:p w14:paraId="54502D09" w14:textId="77777777" w:rsidR="005E3505" w:rsidRPr="005E3505" w:rsidRDefault="005E3505" w:rsidP="009B28C6">
      <w:pPr>
        <w:pStyle w:val="Heading3"/>
        <w:rPr>
          <w:lang w:bidi="en-US"/>
        </w:rPr>
      </w:pPr>
      <w:bookmarkStart w:id="82" w:name="_bookmark96"/>
      <w:bookmarkStart w:id="83" w:name="_Toc34317005"/>
      <w:bookmarkStart w:id="84" w:name="_Toc66807940"/>
      <w:bookmarkEnd w:id="82"/>
      <w:r w:rsidRPr="005E3505">
        <w:rPr>
          <w:lang w:bidi="en-US"/>
        </w:rPr>
        <w:lastRenderedPageBreak/>
        <w:t>Community Development Block Grant Program</w:t>
      </w:r>
      <w:bookmarkEnd w:id="83"/>
      <w:bookmarkEnd w:id="84"/>
    </w:p>
    <w:p w14:paraId="15B0D8D3" w14:textId="6DEA0296" w:rsidR="00D22349" w:rsidRDefault="00D22349" w:rsidP="00D22349">
      <w:pPr>
        <w:spacing w:after="240"/>
      </w:pPr>
      <w:bookmarkStart w:id="85" w:name="_Hlk54944864"/>
      <w:r>
        <w:t>The North Carolina Division of Water Infrastructure</w:t>
      </w:r>
      <w:r w:rsidR="00216410">
        <w:t xml:space="preserve">, a division within the Department of Environmental Quality (DEQ), </w:t>
      </w:r>
      <w:r>
        <w:t>administers CDBG funds for projects that improve water quality, including treatment plants, sewer and water line extensions, and line replacements and rehabilitation. While funding has fluctuated between program years, the D</w:t>
      </w:r>
      <w:r w:rsidR="00F40CFA">
        <w:t>EQ</w:t>
      </w:r>
      <w:r>
        <w:t xml:space="preserve"> received $28,014,788 in 2019, the </w:t>
      </w:r>
      <w:r w:rsidR="00B31D9A">
        <w:t>high</w:t>
      </w:r>
      <w:r>
        <w:t>est amount received within the past seven years.</w:t>
      </w:r>
    </w:p>
    <w:p w14:paraId="4A5F7CFC" w14:textId="48F2A7BE" w:rsidR="00B31D9A" w:rsidRDefault="00A645E5" w:rsidP="00B31D9A">
      <w:pPr>
        <w:pStyle w:val="Caption"/>
      </w:pPr>
      <w:r>
        <w:rPr>
          <w:noProof/>
        </w:rPr>
        <w:drawing>
          <wp:anchor distT="0" distB="0" distL="114300" distR="114300" simplePos="0" relativeHeight="251697152" behindDoc="0" locked="0" layoutInCell="1" allowOverlap="1" wp14:anchorId="60DE7464" wp14:editId="79F8B796">
            <wp:simplePos x="0" y="0"/>
            <wp:positionH relativeFrom="margin">
              <wp:align>left</wp:align>
            </wp:positionH>
            <wp:positionV relativeFrom="paragraph">
              <wp:posOffset>160020</wp:posOffset>
            </wp:positionV>
            <wp:extent cx="5794375" cy="2762250"/>
            <wp:effectExtent l="0" t="0" r="15875" b="0"/>
            <wp:wrapTopAndBottom/>
            <wp:docPr id="35" name="Chart 35">
              <a:extLst xmlns:a="http://schemas.openxmlformats.org/drawingml/2006/main">
                <a:ext uri="{FF2B5EF4-FFF2-40B4-BE49-F238E27FC236}">
                  <a16:creationId xmlns:a16="http://schemas.microsoft.com/office/drawing/2014/main" id="{83A50EFB-E3D2-40B8-ADE3-47571DA4A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D22349">
        <w:t xml:space="preserve">Figure </w:t>
      </w:r>
      <w:fldSimple w:instr=" SEQ Figure \* ARABIC ">
        <w:r w:rsidR="0055251A">
          <w:rPr>
            <w:noProof/>
          </w:rPr>
          <w:t>4</w:t>
        </w:r>
      </w:fldSimple>
      <w:r w:rsidR="00D22349">
        <w:t xml:space="preserve"> CDBG Water Infrastructure Investment in North Carolina by Year, </w:t>
      </w:r>
      <w:bookmarkStart w:id="86" w:name="_Hlk54944698"/>
      <w:r w:rsidR="00D22349">
        <w:t>2013-2019</w:t>
      </w:r>
      <w:bookmarkEnd w:id="86"/>
    </w:p>
    <w:p w14:paraId="71FBDBD4" w14:textId="42C71E7E" w:rsidR="00280EC2" w:rsidRDefault="00280EC2" w:rsidP="00D22349">
      <w:pPr>
        <w:spacing w:after="240"/>
      </w:pPr>
      <w:r w:rsidRPr="00BC216F">
        <w:rPr>
          <w:i/>
          <w:iCs/>
          <w:sz w:val="16"/>
          <w:szCs w:val="16"/>
        </w:rPr>
        <w:t>Source: North Carolina Division of Water</w:t>
      </w:r>
    </w:p>
    <w:p w14:paraId="3A635839" w14:textId="77777777" w:rsidR="00005744" w:rsidRDefault="00005744" w:rsidP="00D22349">
      <w:pPr>
        <w:spacing w:after="240"/>
      </w:pPr>
    </w:p>
    <w:p w14:paraId="2D9D10EF" w14:textId="04F32AC8" w:rsidR="00D22349" w:rsidRDefault="00D22349" w:rsidP="00D22349">
      <w:pPr>
        <w:pStyle w:val="Caption"/>
      </w:pPr>
      <w:r>
        <w:rPr>
          <w:noProof/>
        </w:rPr>
        <w:drawing>
          <wp:anchor distT="0" distB="0" distL="114300" distR="114300" simplePos="0" relativeHeight="251696128" behindDoc="0" locked="0" layoutInCell="1" allowOverlap="1" wp14:anchorId="6E353ECA" wp14:editId="0BB6B09D">
            <wp:simplePos x="0" y="0"/>
            <wp:positionH relativeFrom="margin">
              <wp:align>right</wp:align>
            </wp:positionH>
            <wp:positionV relativeFrom="paragraph">
              <wp:posOffset>133350</wp:posOffset>
            </wp:positionV>
            <wp:extent cx="5934710" cy="2967355"/>
            <wp:effectExtent l="0" t="0" r="8890" b="444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 </w:t>
      </w:r>
      <w:fldSimple w:instr=" SEQ Map \* ARABIC ">
        <w:r w:rsidR="0055251A">
          <w:rPr>
            <w:noProof/>
          </w:rPr>
          <w:t>27</w:t>
        </w:r>
      </w:fldSimple>
      <w:r>
        <w:t xml:space="preserve"> CDBG Water Infrastructure Investment, 2013-2019</w:t>
      </w:r>
    </w:p>
    <w:p w14:paraId="7D9F67BE" w14:textId="77777777" w:rsidR="00D22349" w:rsidRPr="007D0D36" w:rsidRDefault="00D22349" w:rsidP="00D22349">
      <w:pPr>
        <w:spacing w:after="240"/>
        <w:rPr>
          <w:sz w:val="16"/>
          <w:szCs w:val="16"/>
        </w:rPr>
      </w:pPr>
      <w:r w:rsidRPr="007D0D36">
        <w:rPr>
          <w:sz w:val="16"/>
          <w:szCs w:val="16"/>
        </w:rPr>
        <w:t>Source: North Carolina Division of Water</w:t>
      </w:r>
    </w:p>
    <w:p w14:paraId="675BCE15" w14:textId="4C25E190" w:rsidR="00D22349" w:rsidRDefault="00D22349" w:rsidP="00D22349">
      <w:pPr>
        <w:pStyle w:val="Caption"/>
      </w:pPr>
      <w:r>
        <w:lastRenderedPageBreak/>
        <w:t xml:space="preserve">Table </w:t>
      </w:r>
      <w:fldSimple w:instr=" SEQ Table \* ARABIC ">
        <w:r w:rsidR="0055251A">
          <w:rPr>
            <w:noProof/>
          </w:rPr>
          <w:t>27</w:t>
        </w:r>
      </w:fldSimple>
      <w:r>
        <w:t xml:space="preserve"> CDBG Water Infrastructure Investment by County, 2013-2019</w:t>
      </w:r>
    </w:p>
    <w:tbl>
      <w:tblPr>
        <w:tblW w:w="9326" w:type="dxa"/>
        <w:tblLook w:val="04A0" w:firstRow="1" w:lastRow="0" w:firstColumn="1" w:lastColumn="0" w:noHBand="0" w:noVBand="1"/>
      </w:tblPr>
      <w:tblGrid>
        <w:gridCol w:w="2936"/>
        <w:gridCol w:w="2827"/>
        <w:gridCol w:w="1994"/>
        <w:gridCol w:w="1569"/>
      </w:tblGrid>
      <w:tr w:rsidR="00D22349" w:rsidRPr="000A1433" w14:paraId="53BDE767" w14:textId="77777777" w:rsidTr="006D5C05">
        <w:trPr>
          <w:trHeight w:val="257"/>
          <w:tblHeader/>
        </w:trPr>
        <w:tc>
          <w:tcPr>
            <w:tcW w:w="2936" w:type="dxa"/>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47FDECFF" w14:textId="77777777" w:rsidR="00D22349" w:rsidRPr="000A1433" w:rsidRDefault="00D22349" w:rsidP="006D5C05">
            <w:pPr>
              <w:rPr>
                <w:rFonts w:ascii="Calibri" w:hAnsi="Calibri" w:cs="Calibri"/>
                <w:b/>
                <w:bCs/>
                <w:color w:val="FFFFFF" w:themeColor="background1"/>
                <w:sz w:val="22"/>
                <w:szCs w:val="22"/>
              </w:rPr>
            </w:pPr>
            <w:r w:rsidRPr="000A1433">
              <w:rPr>
                <w:rFonts w:ascii="Calibri" w:hAnsi="Calibri" w:cs="Calibri"/>
                <w:b/>
                <w:bCs/>
                <w:color w:val="FFFFFF" w:themeColor="background1"/>
                <w:sz w:val="22"/>
                <w:szCs w:val="22"/>
              </w:rPr>
              <w:t>County</w:t>
            </w:r>
          </w:p>
        </w:tc>
        <w:tc>
          <w:tcPr>
            <w:tcW w:w="2827" w:type="dxa"/>
            <w:tcBorders>
              <w:top w:val="single" w:sz="4" w:space="0" w:color="auto"/>
              <w:left w:val="nil"/>
              <w:bottom w:val="single" w:sz="4" w:space="0" w:color="auto"/>
              <w:right w:val="single" w:sz="4" w:space="0" w:color="auto"/>
            </w:tcBorders>
            <w:shd w:val="clear" w:color="auto" w:fill="4472C4"/>
            <w:noWrap/>
            <w:vAlign w:val="bottom"/>
            <w:hideMark/>
          </w:tcPr>
          <w:p w14:paraId="7379C5A8" w14:textId="77777777" w:rsidR="00D22349" w:rsidRPr="000A1433" w:rsidRDefault="00D22349" w:rsidP="006D5C05">
            <w:pPr>
              <w:rPr>
                <w:rFonts w:ascii="Calibri" w:hAnsi="Calibri" w:cs="Calibri"/>
                <w:b/>
                <w:bCs/>
                <w:color w:val="FFFFFF" w:themeColor="background1"/>
                <w:sz w:val="22"/>
                <w:szCs w:val="22"/>
              </w:rPr>
            </w:pPr>
            <w:r w:rsidRPr="000A1433">
              <w:rPr>
                <w:rFonts w:ascii="Calibri" w:hAnsi="Calibri" w:cs="Calibri"/>
                <w:b/>
                <w:bCs/>
                <w:color w:val="FFFFFF" w:themeColor="background1"/>
                <w:sz w:val="22"/>
                <w:szCs w:val="22"/>
              </w:rPr>
              <w:t xml:space="preserve"> Funding </w:t>
            </w:r>
          </w:p>
        </w:tc>
        <w:tc>
          <w:tcPr>
            <w:tcW w:w="1994" w:type="dxa"/>
            <w:tcBorders>
              <w:top w:val="single" w:sz="4" w:space="0" w:color="auto"/>
              <w:left w:val="nil"/>
              <w:bottom w:val="single" w:sz="4" w:space="0" w:color="auto"/>
              <w:right w:val="single" w:sz="4" w:space="0" w:color="auto"/>
            </w:tcBorders>
            <w:shd w:val="clear" w:color="auto" w:fill="4472C4"/>
            <w:noWrap/>
            <w:vAlign w:val="bottom"/>
            <w:hideMark/>
          </w:tcPr>
          <w:p w14:paraId="21A0A1C3" w14:textId="77777777" w:rsidR="00D22349" w:rsidRPr="000A1433" w:rsidRDefault="00D22349" w:rsidP="006D5C05">
            <w:pPr>
              <w:rPr>
                <w:rFonts w:ascii="Calibri" w:hAnsi="Calibri" w:cs="Calibri"/>
                <w:b/>
                <w:bCs/>
                <w:color w:val="FFFFFF" w:themeColor="background1"/>
                <w:sz w:val="22"/>
                <w:szCs w:val="22"/>
              </w:rPr>
            </w:pPr>
            <w:r w:rsidRPr="000A1433">
              <w:rPr>
                <w:rFonts w:ascii="Calibri" w:hAnsi="Calibri" w:cs="Calibri"/>
                <w:b/>
                <w:bCs/>
                <w:color w:val="FFFFFF" w:themeColor="background1"/>
                <w:sz w:val="22"/>
                <w:szCs w:val="22"/>
              </w:rPr>
              <w:t xml:space="preserve"> MHI </w:t>
            </w:r>
          </w:p>
        </w:tc>
        <w:tc>
          <w:tcPr>
            <w:tcW w:w="1569" w:type="dxa"/>
            <w:tcBorders>
              <w:top w:val="single" w:sz="4" w:space="0" w:color="auto"/>
              <w:left w:val="nil"/>
              <w:bottom w:val="single" w:sz="4" w:space="0" w:color="auto"/>
              <w:right w:val="single" w:sz="4" w:space="0" w:color="auto"/>
            </w:tcBorders>
            <w:shd w:val="clear" w:color="auto" w:fill="4472C4"/>
            <w:noWrap/>
            <w:vAlign w:val="bottom"/>
            <w:hideMark/>
          </w:tcPr>
          <w:p w14:paraId="2A6A86B0" w14:textId="77777777" w:rsidR="00D22349" w:rsidRPr="000A1433" w:rsidRDefault="00D22349" w:rsidP="006D5C05">
            <w:pPr>
              <w:rPr>
                <w:rFonts w:ascii="Calibri" w:hAnsi="Calibri" w:cs="Calibri"/>
                <w:b/>
                <w:bCs/>
                <w:color w:val="FFFFFF" w:themeColor="background1"/>
                <w:sz w:val="22"/>
                <w:szCs w:val="22"/>
              </w:rPr>
            </w:pPr>
            <w:r w:rsidRPr="000A1433">
              <w:rPr>
                <w:rFonts w:ascii="Calibri" w:hAnsi="Calibri" w:cs="Calibri"/>
                <w:b/>
                <w:bCs/>
                <w:color w:val="FFFFFF" w:themeColor="background1"/>
                <w:sz w:val="22"/>
                <w:szCs w:val="22"/>
              </w:rPr>
              <w:t>Poverty Rate</w:t>
            </w:r>
          </w:p>
        </w:tc>
      </w:tr>
      <w:tr w:rsidR="00D22349" w:rsidRPr="000A1433" w14:paraId="00A73D94"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37632F9D" w14:textId="77777777" w:rsidR="00D22349" w:rsidRPr="000A1433" w:rsidRDefault="00D22349" w:rsidP="006D5C05">
            <w:pPr>
              <w:rPr>
                <w:rFonts w:ascii="Calibri" w:hAnsi="Calibri" w:cs="Calibri"/>
                <w:b/>
                <w:bCs/>
                <w:color w:val="000000"/>
                <w:sz w:val="22"/>
                <w:szCs w:val="22"/>
              </w:rPr>
            </w:pPr>
            <w:r w:rsidRPr="000A1433">
              <w:rPr>
                <w:rFonts w:ascii="Calibri" w:hAnsi="Calibri" w:cs="Calibri"/>
                <w:b/>
                <w:bCs/>
                <w:color w:val="000000"/>
                <w:sz w:val="22"/>
                <w:szCs w:val="22"/>
              </w:rPr>
              <w:t xml:space="preserve"> TOTAL </w:t>
            </w:r>
          </w:p>
        </w:tc>
        <w:tc>
          <w:tcPr>
            <w:tcW w:w="2827" w:type="dxa"/>
            <w:tcBorders>
              <w:top w:val="nil"/>
              <w:left w:val="nil"/>
              <w:bottom w:val="single" w:sz="4" w:space="0" w:color="auto"/>
              <w:right w:val="single" w:sz="4" w:space="0" w:color="auto"/>
            </w:tcBorders>
            <w:shd w:val="clear" w:color="auto" w:fill="D5DCE4" w:themeFill="text2" w:themeFillTint="33"/>
            <w:noWrap/>
            <w:vAlign w:val="bottom"/>
            <w:hideMark/>
          </w:tcPr>
          <w:p w14:paraId="732661AA" w14:textId="77777777" w:rsidR="00D22349" w:rsidRPr="000A1433" w:rsidRDefault="00D22349" w:rsidP="006D5C05">
            <w:pPr>
              <w:rPr>
                <w:rFonts w:ascii="Calibri" w:hAnsi="Calibri" w:cs="Calibri"/>
                <w:b/>
                <w:bCs/>
                <w:color w:val="000000"/>
                <w:sz w:val="22"/>
                <w:szCs w:val="22"/>
              </w:rPr>
            </w:pPr>
            <w:r w:rsidRPr="000A1433">
              <w:rPr>
                <w:rFonts w:ascii="Calibri" w:hAnsi="Calibri" w:cs="Calibri"/>
                <w:b/>
                <w:bCs/>
                <w:color w:val="000000"/>
                <w:sz w:val="22"/>
                <w:szCs w:val="22"/>
              </w:rPr>
              <w:t xml:space="preserve"> $        182,101,458 </w:t>
            </w:r>
          </w:p>
        </w:tc>
        <w:tc>
          <w:tcPr>
            <w:tcW w:w="1994" w:type="dxa"/>
            <w:tcBorders>
              <w:top w:val="nil"/>
              <w:left w:val="nil"/>
              <w:bottom w:val="single" w:sz="4" w:space="0" w:color="auto"/>
              <w:right w:val="single" w:sz="4" w:space="0" w:color="auto"/>
            </w:tcBorders>
            <w:shd w:val="clear" w:color="auto" w:fill="D5DCE4" w:themeFill="text2" w:themeFillTint="33"/>
            <w:noWrap/>
            <w:vAlign w:val="bottom"/>
            <w:hideMark/>
          </w:tcPr>
          <w:p w14:paraId="227DA97A" w14:textId="77777777" w:rsidR="00D22349" w:rsidRPr="000A1433" w:rsidRDefault="00D22349" w:rsidP="006D5C05">
            <w:pPr>
              <w:rPr>
                <w:rFonts w:ascii="Calibri" w:hAnsi="Calibri" w:cs="Calibri"/>
                <w:b/>
                <w:bCs/>
                <w:color w:val="000000"/>
                <w:sz w:val="22"/>
                <w:szCs w:val="22"/>
              </w:rPr>
            </w:pPr>
            <w:r w:rsidRPr="000A1433">
              <w:rPr>
                <w:rFonts w:ascii="Calibri" w:hAnsi="Calibri" w:cs="Calibri"/>
                <w:b/>
                <w:bCs/>
                <w:color w:val="000000"/>
                <w:sz w:val="22"/>
                <w:szCs w:val="22"/>
              </w:rPr>
              <w:t xml:space="preserve"> $        32,656 </w:t>
            </w:r>
          </w:p>
        </w:tc>
        <w:tc>
          <w:tcPr>
            <w:tcW w:w="1569" w:type="dxa"/>
            <w:tcBorders>
              <w:top w:val="nil"/>
              <w:left w:val="nil"/>
              <w:bottom w:val="single" w:sz="4" w:space="0" w:color="auto"/>
              <w:right w:val="single" w:sz="4" w:space="0" w:color="auto"/>
            </w:tcBorders>
            <w:shd w:val="clear" w:color="auto" w:fill="D5DCE4" w:themeFill="text2" w:themeFillTint="33"/>
            <w:noWrap/>
            <w:vAlign w:val="bottom"/>
            <w:hideMark/>
          </w:tcPr>
          <w:p w14:paraId="49DB6464" w14:textId="77777777" w:rsidR="00D22349" w:rsidRPr="000A1433" w:rsidRDefault="00D22349" w:rsidP="006D5C05">
            <w:pPr>
              <w:jc w:val="right"/>
              <w:rPr>
                <w:rFonts w:ascii="Calibri" w:hAnsi="Calibri" w:cs="Calibri"/>
                <w:b/>
                <w:bCs/>
                <w:color w:val="000000"/>
                <w:sz w:val="22"/>
                <w:szCs w:val="22"/>
              </w:rPr>
            </w:pPr>
            <w:r w:rsidRPr="000A1433">
              <w:rPr>
                <w:rFonts w:ascii="Calibri" w:hAnsi="Calibri" w:cs="Calibri"/>
                <w:b/>
                <w:bCs/>
                <w:color w:val="000000"/>
                <w:sz w:val="22"/>
                <w:szCs w:val="22"/>
              </w:rPr>
              <w:t>30.4%</w:t>
            </w:r>
          </w:p>
        </w:tc>
      </w:tr>
      <w:tr w:rsidR="00D22349" w:rsidRPr="000A1433" w14:paraId="2DFDC1CD"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2AF203C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Duplin</w:t>
            </w:r>
          </w:p>
        </w:tc>
        <w:tc>
          <w:tcPr>
            <w:tcW w:w="2827" w:type="dxa"/>
            <w:tcBorders>
              <w:top w:val="nil"/>
              <w:left w:val="nil"/>
              <w:bottom w:val="single" w:sz="4" w:space="0" w:color="auto"/>
              <w:right w:val="single" w:sz="4" w:space="0" w:color="auto"/>
            </w:tcBorders>
            <w:shd w:val="clear" w:color="auto" w:fill="auto"/>
            <w:noWrap/>
            <w:vAlign w:val="bottom"/>
            <w:hideMark/>
          </w:tcPr>
          <w:p w14:paraId="2188895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12,755,200 </w:t>
            </w:r>
          </w:p>
        </w:tc>
        <w:tc>
          <w:tcPr>
            <w:tcW w:w="1994" w:type="dxa"/>
            <w:tcBorders>
              <w:top w:val="nil"/>
              <w:left w:val="nil"/>
              <w:bottom w:val="single" w:sz="4" w:space="0" w:color="auto"/>
              <w:right w:val="single" w:sz="4" w:space="0" w:color="auto"/>
            </w:tcBorders>
            <w:shd w:val="clear" w:color="auto" w:fill="auto"/>
            <w:noWrap/>
            <w:vAlign w:val="bottom"/>
            <w:hideMark/>
          </w:tcPr>
          <w:p w14:paraId="0E08D67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34,475 </w:t>
            </w:r>
          </w:p>
        </w:tc>
        <w:tc>
          <w:tcPr>
            <w:tcW w:w="1569" w:type="dxa"/>
            <w:tcBorders>
              <w:top w:val="nil"/>
              <w:left w:val="nil"/>
              <w:bottom w:val="single" w:sz="4" w:space="0" w:color="auto"/>
              <w:right w:val="single" w:sz="4" w:space="0" w:color="auto"/>
            </w:tcBorders>
            <w:shd w:val="clear" w:color="auto" w:fill="auto"/>
            <w:noWrap/>
            <w:vAlign w:val="bottom"/>
            <w:hideMark/>
          </w:tcPr>
          <w:p w14:paraId="0418298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27.6%</w:t>
            </w:r>
          </w:p>
        </w:tc>
      </w:tr>
      <w:tr w:rsidR="00D22349" w:rsidRPr="000A1433" w14:paraId="25054299"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B00959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Pitt</w:t>
            </w:r>
          </w:p>
        </w:tc>
        <w:tc>
          <w:tcPr>
            <w:tcW w:w="2827" w:type="dxa"/>
            <w:tcBorders>
              <w:top w:val="nil"/>
              <w:left w:val="nil"/>
              <w:bottom w:val="single" w:sz="4" w:space="0" w:color="auto"/>
              <w:right w:val="single" w:sz="4" w:space="0" w:color="auto"/>
            </w:tcBorders>
            <w:shd w:val="clear" w:color="auto" w:fill="auto"/>
            <w:noWrap/>
            <w:vAlign w:val="bottom"/>
            <w:hideMark/>
          </w:tcPr>
          <w:p w14:paraId="6076FE28"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11,966,325 </w:t>
            </w:r>
          </w:p>
        </w:tc>
        <w:tc>
          <w:tcPr>
            <w:tcW w:w="1994" w:type="dxa"/>
            <w:tcBorders>
              <w:top w:val="nil"/>
              <w:left w:val="nil"/>
              <w:bottom w:val="single" w:sz="4" w:space="0" w:color="auto"/>
              <w:right w:val="single" w:sz="4" w:space="0" w:color="auto"/>
            </w:tcBorders>
            <w:shd w:val="clear" w:color="auto" w:fill="auto"/>
            <w:noWrap/>
            <w:vAlign w:val="bottom"/>
            <w:hideMark/>
          </w:tcPr>
          <w:p w14:paraId="50012D5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36,396 </w:t>
            </w:r>
          </w:p>
        </w:tc>
        <w:tc>
          <w:tcPr>
            <w:tcW w:w="1569" w:type="dxa"/>
            <w:tcBorders>
              <w:top w:val="nil"/>
              <w:left w:val="nil"/>
              <w:bottom w:val="single" w:sz="4" w:space="0" w:color="auto"/>
              <w:right w:val="single" w:sz="4" w:space="0" w:color="auto"/>
            </w:tcBorders>
            <w:shd w:val="clear" w:color="auto" w:fill="auto"/>
            <w:noWrap/>
            <w:vAlign w:val="bottom"/>
            <w:hideMark/>
          </w:tcPr>
          <w:p w14:paraId="5835DA5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26.4%</w:t>
            </w:r>
          </w:p>
        </w:tc>
      </w:tr>
      <w:tr w:rsidR="00D22349" w:rsidRPr="000A1433" w14:paraId="4D2BD48F"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55D8B40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Columbus</w:t>
            </w:r>
          </w:p>
        </w:tc>
        <w:tc>
          <w:tcPr>
            <w:tcW w:w="2827" w:type="dxa"/>
            <w:tcBorders>
              <w:top w:val="nil"/>
              <w:left w:val="nil"/>
              <w:bottom w:val="single" w:sz="4" w:space="0" w:color="auto"/>
              <w:right w:val="single" w:sz="4" w:space="0" w:color="auto"/>
            </w:tcBorders>
            <w:shd w:val="clear" w:color="auto" w:fill="auto"/>
            <w:noWrap/>
            <w:vAlign w:val="bottom"/>
            <w:hideMark/>
          </w:tcPr>
          <w:p w14:paraId="757E950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11,376,000 </w:t>
            </w:r>
          </w:p>
        </w:tc>
        <w:tc>
          <w:tcPr>
            <w:tcW w:w="1994" w:type="dxa"/>
            <w:tcBorders>
              <w:top w:val="nil"/>
              <w:left w:val="nil"/>
              <w:bottom w:val="single" w:sz="4" w:space="0" w:color="auto"/>
              <w:right w:val="single" w:sz="4" w:space="0" w:color="auto"/>
            </w:tcBorders>
            <w:shd w:val="clear" w:color="auto" w:fill="auto"/>
            <w:noWrap/>
            <w:vAlign w:val="bottom"/>
            <w:hideMark/>
          </w:tcPr>
          <w:p w14:paraId="14291C3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26,217 </w:t>
            </w:r>
          </w:p>
        </w:tc>
        <w:tc>
          <w:tcPr>
            <w:tcW w:w="1569" w:type="dxa"/>
            <w:tcBorders>
              <w:top w:val="nil"/>
              <w:left w:val="nil"/>
              <w:bottom w:val="single" w:sz="4" w:space="0" w:color="auto"/>
              <w:right w:val="single" w:sz="4" w:space="0" w:color="auto"/>
            </w:tcBorders>
            <w:shd w:val="clear" w:color="auto" w:fill="auto"/>
            <w:noWrap/>
            <w:vAlign w:val="bottom"/>
            <w:hideMark/>
          </w:tcPr>
          <w:p w14:paraId="082D4E9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31.5%</w:t>
            </w:r>
          </w:p>
        </w:tc>
      </w:tr>
      <w:tr w:rsidR="00D22349" w:rsidRPr="000A1433" w14:paraId="1BEA6DA0"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2586618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Robeson</w:t>
            </w:r>
          </w:p>
        </w:tc>
        <w:tc>
          <w:tcPr>
            <w:tcW w:w="2827" w:type="dxa"/>
            <w:tcBorders>
              <w:top w:val="nil"/>
              <w:left w:val="nil"/>
              <w:bottom w:val="single" w:sz="4" w:space="0" w:color="auto"/>
              <w:right w:val="single" w:sz="4" w:space="0" w:color="auto"/>
            </w:tcBorders>
            <w:shd w:val="clear" w:color="auto" w:fill="auto"/>
            <w:noWrap/>
            <w:vAlign w:val="bottom"/>
            <w:hideMark/>
          </w:tcPr>
          <w:p w14:paraId="2F57F08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10,376,241 </w:t>
            </w:r>
          </w:p>
        </w:tc>
        <w:tc>
          <w:tcPr>
            <w:tcW w:w="1994" w:type="dxa"/>
            <w:tcBorders>
              <w:top w:val="nil"/>
              <w:left w:val="nil"/>
              <w:bottom w:val="single" w:sz="4" w:space="0" w:color="auto"/>
              <w:right w:val="single" w:sz="4" w:space="0" w:color="auto"/>
            </w:tcBorders>
            <w:shd w:val="clear" w:color="auto" w:fill="auto"/>
            <w:noWrap/>
            <w:vAlign w:val="bottom"/>
            <w:hideMark/>
          </w:tcPr>
          <w:p w14:paraId="5BB424C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26,301 </w:t>
            </w:r>
          </w:p>
        </w:tc>
        <w:tc>
          <w:tcPr>
            <w:tcW w:w="1569" w:type="dxa"/>
            <w:tcBorders>
              <w:top w:val="nil"/>
              <w:left w:val="nil"/>
              <w:bottom w:val="single" w:sz="4" w:space="0" w:color="auto"/>
              <w:right w:val="single" w:sz="4" w:space="0" w:color="auto"/>
            </w:tcBorders>
            <w:shd w:val="clear" w:color="auto" w:fill="auto"/>
            <w:noWrap/>
            <w:vAlign w:val="bottom"/>
            <w:hideMark/>
          </w:tcPr>
          <w:p w14:paraId="28F36159"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40.1%</w:t>
            </w:r>
          </w:p>
        </w:tc>
      </w:tr>
      <w:tr w:rsidR="00D22349" w:rsidRPr="000A1433" w14:paraId="6FDCE82D"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B7C41E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Halifax</w:t>
            </w:r>
          </w:p>
        </w:tc>
        <w:tc>
          <w:tcPr>
            <w:tcW w:w="2827" w:type="dxa"/>
            <w:tcBorders>
              <w:top w:val="nil"/>
              <w:left w:val="nil"/>
              <w:bottom w:val="single" w:sz="4" w:space="0" w:color="auto"/>
              <w:right w:val="single" w:sz="4" w:space="0" w:color="auto"/>
            </w:tcBorders>
            <w:shd w:val="clear" w:color="auto" w:fill="auto"/>
            <w:noWrap/>
            <w:vAlign w:val="bottom"/>
            <w:hideMark/>
          </w:tcPr>
          <w:p w14:paraId="38F83BC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8,199,622 </w:t>
            </w:r>
          </w:p>
        </w:tc>
        <w:tc>
          <w:tcPr>
            <w:tcW w:w="1994" w:type="dxa"/>
            <w:tcBorders>
              <w:top w:val="nil"/>
              <w:left w:val="nil"/>
              <w:bottom w:val="single" w:sz="4" w:space="0" w:color="auto"/>
              <w:right w:val="single" w:sz="4" w:space="0" w:color="auto"/>
            </w:tcBorders>
            <w:shd w:val="clear" w:color="auto" w:fill="auto"/>
            <w:noWrap/>
            <w:vAlign w:val="bottom"/>
            <w:hideMark/>
          </w:tcPr>
          <w:p w14:paraId="26199EA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26,382 </w:t>
            </w:r>
          </w:p>
        </w:tc>
        <w:tc>
          <w:tcPr>
            <w:tcW w:w="1569" w:type="dxa"/>
            <w:tcBorders>
              <w:top w:val="nil"/>
              <w:left w:val="nil"/>
              <w:bottom w:val="single" w:sz="4" w:space="0" w:color="auto"/>
              <w:right w:val="single" w:sz="4" w:space="0" w:color="auto"/>
            </w:tcBorders>
            <w:shd w:val="clear" w:color="auto" w:fill="auto"/>
            <w:noWrap/>
            <w:vAlign w:val="bottom"/>
            <w:hideMark/>
          </w:tcPr>
          <w:p w14:paraId="3FE92FD6"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33.4%</w:t>
            </w:r>
          </w:p>
        </w:tc>
      </w:tr>
      <w:tr w:rsidR="00D22349" w:rsidRPr="000A1433" w14:paraId="0A0B3C20"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8C3F27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Gaston</w:t>
            </w:r>
          </w:p>
        </w:tc>
        <w:tc>
          <w:tcPr>
            <w:tcW w:w="2827" w:type="dxa"/>
            <w:tcBorders>
              <w:top w:val="nil"/>
              <w:left w:val="nil"/>
              <w:bottom w:val="single" w:sz="4" w:space="0" w:color="auto"/>
              <w:right w:val="single" w:sz="4" w:space="0" w:color="auto"/>
            </w:tcBorders>
            <w:shd w:val="clear" w:color="auto" w:fill="auto"/>
            <w:noWrap/>
            <w:vAlign w:val="bottom"/>
            <w:hideMark/>
          </w:tcPr>
          <w:p w14:paraId="6039C3A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7,572,682 </w:t>
            </w:r>
          </w:p>
        </w:tc>
        <w:tc>
          <w:tcPr>
            <w:tcW w:w="1994" w:type="dxa"/>
            <w:tcBorders>
              <w:top w:val="nil"/>
              <w:left w:val="nil"/>
              <w:bottom w:val="single" w:sz="4" w:space="0" w:color="auto"/>
              <w:right w:val="single" w:sz="4" w:space="0" w:color="auto"/>
            </w:tcBorders>
            <w:shd w:val="clear" w:color="auto" w:fill="auto"/>
            <w:noWrap/>
            <w:vAlign w:val="bottom"/>
            <w:hideMark/>
          </w:tcPr>
          <w:p w14:paraId="2312CFC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53,146 </w:t>
            </w:r>
          </w:p>
        </w:tc>
        <w:tc>
          <w:tcPr>
            <w:tcW w:w="1569" w:type="dxa"/>
            <w:tcBorders>
              <w:top w:val="nil"/>
              <w:left w:val="nil"/>
              <w:bottom w:val="single" w:sz="4" w:space="0" w:color="auto"/>
              <w:right w:val="single" w:sz="4" w:space="0" w:color="auto"/>
            </w:tcBorders>
            <w:shd w:val="clear" w:color="auto" w:fill="auto"/>
            <w:noWrap/>
            <w:vAlign w:val="bottom"/>
            <w:hideMark/>
          </w:tcPr>
          <w:p w14:paraId="23B8F7E8"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21.1%</w:t>
            </w:r>
          </w:p>
        </w:tc>
      </w:tr>
      <w:tr w:rsidR="00D22349" w:rsidRPr="000A1433" w14:paraId="5B5AC990"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C0E5DF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Cherokee</w:t>
            </w:r>
          </w:p>
        </w:tc>
        <w:tc>
          <w:tcPr>
            <w:tcW w:w="2827" w:type="dxa"/>
            <w:tcBorders>
              <w:top w:val="nil"/>
              <w:left w:val="nil"/>
              <w:bottom w:val="single" w:sz="4" w:space="0" w:color="auto"/>
              <w:right w:val="single" w:sz="4" w:space="0" w:color="auto"/>
            </w:tcBorders>
            <w:shd w:val="clear" w:color="auto" w:fill="auto"/>
            <w:noWrap/>
            <w:vAlign w:val="bottom"/>
            <w:hideMark/>
          </w:tcPr>
          <w:p w14:paraId="7E38558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5,816,925 </w:t>
            </w:r>
          </w:p>
        </w:tc>
        <w:tc>
          <w:tcPr>
            <w:tcW w:w="1994" w:type="dxa"/>
            <w:tcBorders>
              <w:top w:val="nil"/>
              <w:left w:val="nil"/>
              <w:bottom w:val="single" w:sz="4" w:space="0" w:color="auto"/>
              <w:right w:val="single" w:sz="4" w:space="0" w:color="auto"/>
            </w:tcBorders>
            <w:shd w:val="clear" w:color="auto" w:fill="auto"/>
            <w:noWrap/>
            <w:vAlign w:val="bottom"/>
            <w:hideMark/>
          </w:tcPr>
          <w:p w14:paraId="5235F2E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25,352 </w:t>
            </w:r>
          </w:p>
        </w:tc>
        <w:tc>
          <w:tcPr>
            <w:tcW w:w="1569" w:type="dxa"/>
            <w:tcBorders>
              <w:top w:val="nil"/>
              <w:left w:val="nil"/>
              <w:bottom w:val="single" w:sz="4" w:space="0" w:color="auto"/>
              <w:right w:val="single" w:sz="4" w:space="0" w:color="auto"/>
            </w:tcBorders>
            <w:shd w:val="clear" w:color="auto" w:fill="auto"/>
            <w:noWrap/>
            <w:vAlign w:val="bottom"/>
            <w:hideMark/>
          </w:tcPr>
          <w:p w14:paraId="7AB3B60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36.2%</w:t>
            </w:r>
          </w:p>
        </w:tc>
      </w:tr>
      <w:tr w:rsidR="00D22349" w:rsidRPr="000A1433" w14:paraId="302180EA"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4F37AF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Northampton</w:t>
            </w:r>
          </w:p>
        </w:tc>
        <w:tc>
          <w:tcPr>
            <w:tcW w:w="2827" w:type="dxa"/>
            <w:tcBorders>
              <w:top w:val="nil"/>
              <w:left w:val="nil"/>
              <w:bottom w:val="single" w:sz="4" w:space="0" w:color="auto"/>
              <w:right w:val="single" w:sz="4" w:space="0" w:color="auto"/>
            </w:tcBorders>
            <w:shd w:val="clear" w:color="auto" w:fill="auto"/>
            <w:noWrap/>
            <w:vAlign w:val="bottom"/>
            <w:hideMark/>
          </w:tcPr>
          <w:p w14:paraId="4BC0636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4,983,500 </w:t>
            </w:r>
          </w:p>
        </w:tc>
        <w:tc>
          <w:tcPr>
            <w:tcW w:w="1994" w:type="dxa"/>
            <w:tcBorders>
              <w:top w:val="nil"/>
              <w:left w:val="nil"/>
              <w:bottom w:val="single" w:sz="4" w:space="0" w:color="auto"/>
              <w:right w:val="single" w:sz="4" w:space="0" w:color="auto"/>
            </w:tcBorders>
            <w:shd w:val="clear" w:color="auto" w:fill="auto"/>
            <w:noWrap/>
            <w:vAlign w:val="bottom"/>
            <w:hideMark/>
          </w:tcPr>
          <w:p w14:paraId="2EB1C62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33,611 </w:t>
            </w:r>
          </w:p>
        </w:tc>
        <w:tc>
          <w:tcPr>
            <w:tcW w:w="1569" w:type="dxa"/>
            <w:tcBorders>
              <w:top w:val="nil"/>
              <w:left w:val="nil"/>
              <w:bottom w:val="single" w:sz="4" w:space="0" w:color="auto"/>
              <w:right w:val="single" w:sz="4" w:space="0" w:color="auto"/>
            </w:tcBorders>
            <w:shd w:val="clear" w:color="auto" w:fill="auto"/>
            <w:noWrap/>
            <w:vAlign w:val="bottom"/>
            <w:hideMark/>
          </w:tcPr>
          <w:p w14:paraId="750A8872"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27.2%</w:t>
            </w:r>
          </w:p>
        </w:tc>
      </w:tr>
      <w:tr w:rsidR="00D22349" w:rsidRPr="000A1433" w14:paraId="7C359F87"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05B627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Tyrrell</w:t>
            </w:r>
          </w:p>
        </w:tc>
        <w:tc>
          <w:tcPr>
            <w:tcW w:w="2827" w:type="dxa"/>
            <w:tcBorders>
              <w:top w:val="nil"/>
              <w:left w:val="nil"/>
              <w:bottom w:val="single" w:sz="4" w:space="0" w:color="auto"/>
              <w:right w:val="single" w:sz="4" w:space="0" w:color="auto"/>
            </w:tcBorders>
            <w:shd w:val="clear" w:color="auto" w:fill="auto"/>
            <w:noWrap/>
            <w:vAlign w:val="bottom"/>
            <w:hideMark/>
          </w:tcPr>
          <w:p w14:paraId="1CDCE6F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4,962,000 </w:t>
            </w:r>
          </w:p>
        </w:tc>
        <w:tc>
          <w:tcPr>
            <w:tcW w:w="1994" w:type="dxa"/>
            <w:tcBorders>
              <w:top w:val="nil"/>
              <w:left w:val="nil"/>
              <w:bottom w:val="single" w:sz="4" w:space="0" w:color="auto"/>
              <w:right w:val="single" w:sz="4" w:space="0" w:color="auto"/>
            </w:tcBorders>
            <w:shd w:val="clear" w:color="auto" w:fill="auto"/>
            <w:noWrap/>
            <w:vAlign w:val="bottom"/>
            <w:hideMark/>
          </w:tcPr>
          <w:p w14:paraId="6196527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28,752 </w:t>
            </w:r>
          </w:p>
        </w:tc>
        <w:tc>
          <w:tcPr>
            <w:tcW w:w="1569" w:type="dxa"/>
            <w:tcBorders>
              <w:top w:val="nil"/>
              <w:left w:val="nil"/>
              <w:bottom w:val="single" w:sz="4" w:space="0" w:color="auto"/>
              <w:right w:val="single" w:sz="4" w:space="0" w:color="auto"/>
            </w:tcBorders>
            <w:shd w:val="clear" w:color="auto" w:fill="auto"/>
            <w:noWrap/>
            <w:vAlign w:val="bottom"/>
            <w:hideMark/>
          </w:tcPr>
          <w:p w14:paraId="5EE7C32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33.1%</w:t>
            </w:r>
          </w:p>
        </w:tc>
      </w:tr>
      <w:tr w:rsidR="00D22349" w:rsidRPr="000A1433" w14:paraId="53B483CB"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035F66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Washington</w:t>
            </w:r>
          </w:p>
        </w:tc>
        <w:tc>
          <w:tcPr>
            <w:tcW w:w="2827" w:type="dxa"/>
            <w:tcBorders>
              <w:top w:val="nil"/>
              <w:left w:val="nil"/>
              <w:bottom w:val="single" w:sz="4" w:space="0" w:color="auto"/>
              <w:right w:val="single" w:sz="4" w:space="0" w:color="auto"/>
            </w:tcBorders>
            <w:shd w:val="clear" w:color="auto" w:fill="auto"/>
            <w:noWrap/>
            <w:vAlign w:val="bottom"/>
            <w:hideMark/>
          </w:tcPr>
          <w:p w14:paraId="2139B64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4,588,947 </w:t>
            </w:r>
          </w:p>
        </w:tc>
        <w:tc>
          <w:tcPr>
            <w:tcW w:w="1994" w:type="dxa"/>
            <w:tcBorders>
              <w:top w:val="nil"/>
              <w:left w:val="nil"/>
              <w:bottom w:val="single" w:sz="4" w:space="0" w:color="auto"/>
              <w:right w:val="single" w:sz="4" w:space="0" w:color="auto"/>
            </w:tcBorders>
            <w:shd w:val="clear" w:color="auto" w:fill="auto"/>
            <w:noWrap/>
            <w:vAlign w:val="bottom"/>
            <w:hideMark/>
          </w:tcPr>
          <w:p w14:paraId="3E13009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16,020 </w:t>
            </w:r>
          </w:p>
        </w:tc>
        <w:tc>
          <w:tcPr>
            <w:tcW w:w="1569" w:type="dxa"/>
            <w:tcBorders>
              <w:top w:val="nil"/>
              <w:left w:val="nil"/>
              <w:bottom w:val="single" w:sz="4" w:space="0" w:color="auto"/>
              <w:right w:val="single" w:sz="4" w:space="0" w:color="auto"/>
            </w:tcBorders>
            <w:shd w:val="clear" w:color="auto" w:fill="auto"/>
            <w:noWrap/>
            <w:vAlign w:val="bottom"/>
            <w:hideMark/>
          </w:tcPr>
          <w:p w14:paraId="7A09595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50.6%</w:t>
            </w:r>
          </w:p>
        </w:tc>
      </w:tr>
      <w:tr w:rsidR="00D22349" w:rsidRPr="000A1433" w14:paraId="65F8CF1D"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F30D6E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Rowan</w:t>
            </w:r>
          </w:p>
        </w:tc>
        <w:tc>
          <w:tcPr>
            <w:tcW w:w="2827" w:type="dxa"/>
            <w:tcBorders>
              <w:top w:val="nil"/>
              <w:left w:val="nil"/>
              <w:bottom w:val="single" w:sz="4" w:space="0" w:color="auto"/>
              <w:right w:val="single" w:sz="4" w:space="0" w:color="auto"/>
            </w:tcBorders>
            <w:shd w:val="clear" w:color="auto" w:fill="auto"/>
            <w:noWrap/>
            <w:vAlign w:val="bottom"/>
            <w:hideMark/>
          </w:tcPr>
          <w:p w14:paraId="1FB0C1F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4,402,649 </w:t>
            </w:r>
          </w:p>
        </w:tc>
        <w:tc>
          <w:tcPr>
            <w:tcW w:w="1994" w:type="dxa"/>
            <w:tcBorders>
              <w:top w:val="nil"/>
              <w:left w:val="nil"/>
              <w:bottom w:val="single" w:sz="4" w:space="0" w:color="auto"/>
              <w:right w:val="single" w:sz="4" w:space="0" w:color="auto"/>
            </w:tcBorders>
            <w:shd w:val="clear" w:color="auto" w:fill="auto"/>
            <w:noWrap/>
            <w:vAlign w:val="bottom"/>
            <w:hideMark/>
          </w:tcPr>
          <w:p w14:paraId="5B0F0CF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33,010 </w:t>
            </w:r>
          </w:p>
        </w:tc>
        <w:tc>
          <w:tcPr>
            <w:tcW w:w="1569" w:type="dxa"/>
            <w:tcBorders>
              <w:top w:val="nil"/>
              <w:left w:val="nil"/>
              <w:bottom w:val="single" w:sz="4" w:space="0" w:color="auto"/>
              <w:right w:val="single" w:sz="4" w:space="0" w:color="auto"/>
            </w:tcBorders>
            <w:shd w:val="clear" w:color="auto" w:fill="auto"/>
            <w:noWrap/>
            <w:vAlign w:val="bottom"/>
            <w:hideMark/>
          </w:tcPr>
          <w:p w14:paraId="6B70EB1E"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31.2%</w:t>
            </w:r>
          </w:p>
        </w:tc>
      </w:tr>
      <w:tr w:rsidR="00D22349" w:rsidRPr="000A1433" w14:paraId="0E453D29"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52E770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Richmond</w:t>
            </w:r>
          </w:p>
        </w:tc>
        <w:tc>
          <w:tcPr>
            <w:tcW w:w="2827" w:type="dxa"/>
            <w:tcBorders>
              <w:top w:val="nil"/>
              <w:left w:val="nil"/>
              <w:bottom w:val="single" w:sz="4" w:space="0" w:color="auto"/>
              <w:right w:val="single" w:sz="4" w:space="0" w:color="auto"/>
            </w:tcBorders>
            <w:shd w:val="clear" w:color="auto" w:fill="auto"/>
            <w:noWrap/>
            <w:vAlign w:val="bottom"/>
            <w:hideMark/>
          </w:tcPr>
          <w:p w14:paraId="329A470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4,350,000 </w:t>
            </w:r>
          </w:p>
        </w:tc>
        <w:tc>
          <w:tcPr>
            <w:tcW w:w="1994" w:type="dxa"/>
            <w:tcBorders>
              <w:top w:val="nil"/>
              <w:left w:val="nil"/>
              <w:bottom w:val="single" w:sz="4" w:space="0" w:color="auto"/>
              <w:right w:val="single" w:sz="4" w:space="0" w:color="auto"/>
            </w:tcBorders>
            <w:shd w:val="clear" w:color="auto" w:fill="auto"/>
            <w:noWrap/>
            <w:vAlign w:val="bottom"/>
            <w:hideMark/>
          </w:tcPr>
          <w:p w14:paraId="63A3A37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29,643 </w:t>
            </w:r>
          </w:p>
        </w:tc>
        <w:tc>
          <w:tcPr>
            <w:tcW w:w="1569" w:type="dxa"/>
            <w:tcBorders>
              <w:top w:val="nil"/>
              <w:left w:val="nil"/>
              <w:bottom w:val="single" w:sz="4" w:space="0" w:color="auto"/>
              <w:right w:val="single" w:sz="4" w:space="0" w:color="auto"/>
            </w:tcBorders>
            <w:shd w:val="clear" w:color="auto" w:fill="auto"/>
            <w:noWrap/>
            <w:vAlign w:val="bottom"/>
            <w:hideMark/>
          </w:tcPr>
          <w:p w14:paraId="17C2265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29.3%</w:t>
            </w:r>
          </w:p>
        </w:tc>
      </w:tr>
      <w:tr w:rsidR="00D22349" w:rsidRPr="000A1433" w14:paraId="63B754BF"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147FCC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Johnston</w:t>
            </w:r>
          </w:p>
        </w:tc>
        <w:tc>
          <w:tcPr>
            <w:tcW w:w="2827" w:type="dxa"/>
            <w:tcBorders>
              <w:top w:val="nil"/>
              <w:left w:val="nil"/>
              <w:bottom w:val="single" w:sz="4" w:space="0" w:color="auto"/>
              <w:right w:val="single" w:sz="4" w:space="0" w:color="auto"/>
            </w:tcBorders>
            <w:shd w:val="clear" w:color="auto" w:fill="auto"/>
            <w:noWrap/>
            <w:vAlign w:val="bottom"/>
            <w:hideMark/>
          </w:tcPr>
          <w:p w14:paraId="11BA1313"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4,348,572 </w:t>
            </w:r>
          </w:p>
        </w:tc>
        <w:tc>
          <w:tcPr>
            <w:tcW w:w="1994" w:type="dxa"/>
            <w:tcBorders>
              <w:top w:val="nil"/>
              <w:left w:val="nil"/>
              <w:bottom w:val="single" w:sz="4" w:space="0" w:color="auto"/>
              <w:right w:val="single" w:sz="4" w:space="0" w:color="auto"/>
            </w:tcBorders>
            <w:shd w:val="clear" w:color="auto" w:fill="auto"/>
            <w:noWrap/>
            <w:vAlign w:val="bottom"/>
            <w:hideMark/>
          </w:tcPr>
          <w:p w14:paraId="2A7A8823"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36,494 </w:t>
            </w:r>
          </w:p>
        </w:tc>
        <w:tc>
          <w:tcPr>
            <w:tcW w:w="1569" w:type="dxa"/>
            <w:tcBorders>
              <w:top w:val="nil"/>
              <w:left w:val="nil"/>
              <w:bottom w:val="single" w:sz="4" w:space="0" w:color="auto"/>
              <w:right w:val="single" w:sz="4" w:space="0" w:color="auto"/>
            </w:tcBorders>
            <w:shd w:val="clear" w:color="auto" w:fill="auto"/>
            <w:noWrap/>
            <w:vAlign w:val="bottom"/>
            <w:hideMark/>
          </w:tcPr>
          <w:p w14:paraId="39C55E16"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30.4%</w:t>
            </w:r>
          </w:p>
        </w:tc>
      </w:tr>
      <w:tr w:rsidR="00D22349" w:rsidRPr="000A1433" w14:paraId="110F8EF0"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B3B0CA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Chatham</w:t>
            </w:r>
          </w:p>
        </w:tc>
        <w:tc>
          <w:tcPr>
            <w:tcW w:w="2827" w:type="dxa"/>
            <w:tcBorders>
              <w:top w:val="nil"/>
              <w:left w:val="nil"/>
              <w:bottom w:val="single" w:sz="4" w:space="0" w:color="auto"/>
              <w:right w:val="single" w:sz="4" w:space="0" w:color="auto"/>
            </w:tcBorders>
            <w:shd w:val="clear" w:color="auto" w:fill="auto"/>
            <w:noWrap/>
            <w:vAlign w:val="bottom"/>
            <w:hideMark/>
          </w:tcPr>
          <w:p w14:paraId="7361911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3,999,550 </w:t>
            </w:r>
          </w:p>
        </w:tc>
        <w:tc>
          <w:tcPr>
            <w:tcW w:w="1994" w:type="dxa"/>
            <w:tcBorders>
              <w:top w:val="nil"/>
              <w:left w:val="nil"/>
              <w:bottom w:val="single" w:sz="4" w:space="0" w:color="auto"/>
              <w:right w:val="single" w:sz="4" w:space="0" w:color="auto"/>
            </w:tcBorders>
            <w:shd w:val="clear" w:color="auto" w:fill="auto"/>
            <w:noWrap/>
            <w:vAlign w:val="bottom"/>
            <w:hideMark/>
          </w:tcPr>
          <w:p w14:paraId="010866E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50,651 </w:t>
            </w:r>
          </w:p>
        </w:tc>
        <w:tc>
          <w:tcPr>
            <w:tcW w:w="1569" w:type="dxa"/>
            <w:tcBorders>
              <w:top w:val="nil"/>
              <w:left w:val="nil"/>
              <w:bottom w:val="single" w:sz="4" w:space="0" w:color="auto"/>
              <w:right w:val="single" w:sz="4" w:space="0" w:color="auto"/>
            </w:tcBorders>
            <w:shd w:val="clear" w:color="auto" w:fill="auto"/>
            <w:noWrap/>
            <w:vAlign w:val="bottom"/>
            <w:hideMark/>
          </w:tcPr>
          <w:p w14:paraId="3A600794"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22.9%</w:t>
            </w:r>
          </w:p>
        </w:tc>
      </w:tr>
      <w:tr w:rsidR="00D22349" w:rsidRPr="000A1433" w14:paraId="33586B8B"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CEB47C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Greene</w:t>
            </w:r>
          </w:p>
        </w:tc>
        <w:tc>
          <w:tcPr>
            <w:tcW w:w="2827" w:type="dxa"/>
            <w:tcBorders>
              <w:top w:val="nil"/>
              <w:left w:val="nil"/>
              <w:bottom w:val="single" w:sz="4" w:space="0" w:color="auto"/>
              <w:right w:val="single" w:sz="4" w:space="0" w:color="auto"/>
            </w:tcBorders>
            <w:shd w:val="clear" w:color="auto" w:fill="auto"/>
            <w:noWrap/>
            <w:vAlign w:val="bottom"/>
            <w:hideMark/>
          </w:tcPr>
          <w:p w14:paraId="092D9F2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3,999,466 </w:t>
            </w:r>
          </w:p>
        </w:tc>
        <w:tc>
          <w:tcPr>
            <w:tcW w:w="1994" w:type="dxa"/>
            <w:tcBorders>
              <w:top w:val="nil"/>
              <w:left w:val="nil"/>
              <w:bottom w:val="single" w:sz="4" w:space="0" w:color="auto"/>
              <w:right w:val="single" w:sz="4" w:space="0" w:color="auto"/>
            </w:tcBorders>
            <w:shd w:val="clear" w:color="auto" w:fill="auto"/>
            <w:noWrap/>
            <w:vAlign w:val="bottom"/>
            <w:hideMark/>
          </w:tcPr>
          <w:p w14:paraId="363F1FF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35,638 </w:t>
            </w:r>
          </w:p>
        </w:tc>
        <w:tc>
          <w:tcPr>
            <w:tcW w:w="1569" w:type="dxa"/>
            <w:tcBorders>
              <w:top w:val="nil"/>
              <w:left w:val="nil"/>
              <w:bottom w:val="single" w:sz="4" w:space="0" w:color="auto"/>
              <w:right w:val="single" w:sz="4" w:space="0" w:color="auto"/>
            </w:tcBorders>
            <w:shd w:val="clear" w:color="auto" w:fill="auto"/>
            <w:noWrap/>
            <w:vAlign w:val="bottom"/>
            <w:hideMark/>
          </w:tcPr>
          <w:p w14:paraId="2EBA122F"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24.7%</w:t>
            </w:r>
          </w:p>
        </w:tc>
      </w:tr>
      <w:tr w:rsidR="00D22349" w:rsidRPr="000A1433" w14:paraId="6AC0B8D8"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2227E7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Montgomery</w:t>
            </w:r>
          </w:p>
        </w:tc>
        <w:tc>
          <w:tcPr>
            <w:tcW w:w="2827" w:type="dxa"/>
            <w:tcBorders>
              <w:top w:val="nil"/>
              <w:left w:val="nil"/>
              <w:bottom w:val="single" w:sz="4" w:space="0" w:color="auto"/>
              <w:right w:val="single" w:sz="4" w:space="0" w:color="auto"/>
            </w:tcBorders>
            <w:shd w:val="clear" w:color="auto" w:fill="auto"/>
            <w:noWrap/>
            <w:vAlign w:val="bottom"/>
            <w:hideMark/>
          </w:tcPr>
          <w:p w14:paraId="605BC78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3,865,000 </w:t>
            </w:r>
          </w:p>
        </w:tc>
        <w:tc>
          <w:tcPr>
            <w:tcW w:w="1994" w:type="dxa"/>
            <w:tcBorders>
              <w:top w:val="nil"/>
              <w:left w:val="nil"/>
              <w:bottom w:val="single" w:sz="4" w:space="0" w:color="auto"/>
              <w:right w:val="single" w:sz="4" w:space="0" w:color="auto"/>
            </w:tcBorders>
            <w:shd w:val="clear" w:color="auto" w:fill="auto"/>
            <w:noWrap/>
            <w:vAlign w:val="bottom"/>
            <w:hideMark/>
          </w:tcPr>
          <w:p w14:paraId="3C021D0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30,195 </w:t>
            </w:r>
          </w:p>
        </w:tc>
        <w:tc>
          <w:tcPr>
            <w:tcW w:w="1569" w:type="dxa"/>
            <w:tcBorders>
              <w:top w:val="nil"/>
              <w:left w:val="nil"/>
              <w:bottom w:val="single" w:sz="4" w:space="0" w:color="auto"/>
              <w:right w:val="single" w:sz="4" w:space="0" w:color="auto"/>
            </w:tcBorders>
            <w:shd w:val="clear" w:color="auto" w:fill="auto"/>
            <w:noWrap/>
            <w:vAlign w:val="bottom"/>
            <w:hideMark/>
          </w:tcPr>
          <w:p w14:paraId="38212622"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35.0%</w:t>
            </w:r>
          </w:p>
        </w:tc>
      </w:tr>
      <w:tr w:rsidR="00D22349" w:rsidRPr="000A1433" w14:paraId="0860AB95"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E80362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Bertie</w:t>
            </w:r>
          </w:p>
        </w:tc>
        <w:tc>
          <w:tcPr>
            <w:tcW w:w="2827" w:type="dxa"/>
            <w:tcBorders>
              <w:top w:val="nil"/>
              <w:left w:val="nil"/>
              <w:bottom w:val="single" w:sz="4" w:space="0" w:color="auto"/>
              <w:right w:val="single" w:sz="4" w:space="0" w:color="auto"/>
            </w:tcBorders>
            <w:shd w:val="clear" w:color="auto" w:fill="auto"/>
            <w:noWrap/>
            <w:vAlign w:val="bottom"/>
            <w:hideMark/>
          </w:tcPr>
          <w:p w14:paraId="17AA171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3,741,549 </w:t>
            </w:r>
          </w:p>
        </w:tc>
        <w:tc>
          <w:tcPr>
            <w:tcW w:w="1994" w:type="dxa"/>
            <w:tcBorders>
              <w:top w:val="nil"/>
              <w:left w:val="nil"/>
              <w:bottom w:val="single" w:sz="4" w:space="0" w:color="auto"/>
              <w:right w:val="single" w:sz="4" w:space="0" w:color="auto"/>
            </w:tcBorders>
            <w:shd w:val="clear" w:color="auto" w:fill="auto"/>
            <w:noWrap/>
            <w:vAlign w:val="bottom"/>
            <w:hideMark/>
          </w:tcPr>
          <w:p w14:paraId="734390C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27,188 </w:t>
            </w:r>
          </w:p>
        </w:tc>
        <w:tc>
          <w:tcPr>
            <w:tcW w:w="1569" w:type="dxa"/>
            <w:tcBorders>
              <w:top w:val="nil"/>
              <w:left w:val="nil"/>
              <w:bottom w:val="single" w:sz="4" w:space="0" w:color="auto"/>
              <w:right w:val="single" w:sz="4" w:space="0" w:color="auto"/>
            </w:tcBorders>
            <w:shd w:val="clear" w:color="auto" w:fill="auto"/>
            <w:noWrap/>
            <w:vAlign w:val="bottom"/>
            <w:hideMark/>
          </w:tcPr>
          <w:p w14:paraId="02155B6A"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34.7%</w:t>
            </w:r>
          </w:p>
        </w:tc>
      </w:tr>
      <w:tr w:rsidR="00D22349" w:rsidRPr="000A1433" w14:paraId="71B9D25D"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FA31DD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Sampson</w:t>
            </w:r>
          </w:p>
        </w:tc>
        <w:tc>
          <w:tcPr>
            <w:tcW w:w="2827" w:type="dxa"/>
            <w:tcBorders>
              <w:top w:val="nil"/>
              <w:left w:val="nil"/>
              <w:bottom w:val="single" w:sz="4" w:space="0" w:color="auto"/>
              <w:right w:val="single" w:sz="4" w:space="0" w:color="auto"/>
            </w:tcBorders>
            <w:shd w:val="clear" w:color="auto" w:fill="auto"/>
            <w:noWrap/>
            <w:vAlign w:val="bottom"/>
            <w:hideMark/>
          </w:tcPr>
          <w:p w14:paraId="2FBCA01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3,563,000 </w:t>
            </w:r>
          </w:p>
        </w:tc>
        <w:tc>
          <w:tcPr>
            <w:tcW w:w="1994" w:type="dxa"/>
            <w:tcBorders>
              <w:top w:val="nil"/>
              <w:left w:val="nil"/>
              <w:bottom w:val="single" w:sz="4" w:space="0" w:color="auto"/>
              <w:right w:val="single" w:sz="4" w:space="0" w:color="auto"/>
            </w:tcBorders>
            <w:shd w:val="clear" w:color="auto" w:fill="auto"/>
            <w:noWrap/>
            <w:vAlign w:val="bottom"/>
            <w:hideMark/>
          </w:tcPr>
          <w:p w14:paraId="725702C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25,250 </w:t>
            </w:r>
          </w:p>
        </w:tc>
        <w:tc>
          <w:tcPr>
            <w:tcW w:w="1569" w:type="dxa"/>
            <w:tcBorders>
              <w:top w:val="nil"/>
              <w:left w:val="nil"/>
              <w:bottom w:val="single" w:sz="4" w:space="0" w:color="auto"/>
              <w:right w:val="single" w:sz="4" w:space="0" w:color="auto"/>
            </w:tcBorders>
            <w:shd w:val="clear" w:color="auto" w:fill="auto"/>
            <w:noWrap/>
            <w:vAlign w:val="bottom"/>
            <w:hideMark/>
          </w:tcPr>
          <w:p w14:paraId="0F1347E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53.6%</w:t>
            </w:r>
          </w:p>
        </w:tc>
      </w:tr>
      <w:tr w:rsidR="00D22349" w:rsidRPr="000A1433" w14:paraId="62D00F89"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0C8202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Rockingham</w:t>
            </w:r>
          </w:p>
        </w:tc>
        <w:tc>
          <w:tcPr>
            <w:tcW w:w="2827" w:type="dxa"/>
            <w:tcBorders>
              <w:top w:val="nil"/>
              <w:left w:val="nil"/>
              <w:bottom w:val="single" w:sz="4" w:space="0" w:color="auto"/>
              <w:right w:val="single" w:sz="4" w:space="0" w:color="auto"/>
            </w:tcBorders>
            <w:shd w:val="clear" w:color="auto" w:fill="auto"/>
            <w:noWrap/>
            <w:vAlign w:val="bottom"/>
            <w:hideMark/>
          </w:tcPr>
          <w:p w14:paraId="1885BD5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3,299,298 </w:t>
            </w:r>
          </w:p>
        </w:tc>
        <w:tc>
          <w:tcPr>
            <w:tcW w:w="1994" w:type="dxa"/>
            <w:tcBorders>
              <w:top w:val="nil"/>
              <w:left w:val="nil"/>
              <w:bottom w:val="single" w:sz="4" w:space="0" w:color="auto"/>
              <w:right w:val="single" w:sz="4" w:space="0" w:color="auto"/>
            </w:tcBorders>
            <w:shd w:val="clear" w:color="auto" w:fill="auto"/>
            <w:noWrap/>
            <w:vAlign w:val="bottom"/>
            <w:hideMark/>
          </w:tcPr>
          <w:p w14:paraId="5DBDE8F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35,926 </w:t>
            </w:r>
          </w:p>
        </w:tc>
        <w:tc>
          <w:tcPr>
            <w:tcW w:w="1569" w:type="dxa"/>
            <w:tcBorders>
              <w:top w:val="nil"/>
              <w:left w:val="nil"/>
              <w:bottom w:val="single" w:sz="4" w:space="0" w:color="auto"/>
              <w:right w:val="single" w:sz="4" w:space="0" w:color="auto"/>
            </w:tcBorders>
            <w:shd w:val="clear" w:color="auto" w:fill="auto"/>
            <w:noWrap/>
            <w:vAlign w:val="bottom"/>
            <w:hideMark/>
          </w:tcPr>
          <w:p w14:paraId="599FCEDE"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20.5%</w:t>
            </w:r>
          </w:p>
        </w:tc>
      </w:tr>
      <w:tr w:rsidR="00D22349" w:rsidRPr="000A1433" w14:paraId="119771F5"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2F0E26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Jones</w:t>
            </w:r>
          </w:p>
        </w:tc>
        <w:tc>
          <w:tcPr>
            <w:tcW w:w="2827" w:type="dxa"/>
            <w:tcBorders>
              <w:top w:val="nil"/>
              <w:left w:val="nil"/>
              <w:bottom w:val="single" w:sz="4" w:space="0" w:color="auto"/>
              <w:right w:val="single" w:sz="4" w:space="0" w:color="auto"/>
            </w:tcBorders>
            <w:shd w:val="clear" w:color="auto" w:fill="auto"/>
            <w:noWrap/>
            <w:vAlign w:val="bottom"/>
            <w:hideMark/>
          </w:tcPr>
          <w:p w14:paraId="4E2A1E8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3,209,131 </w:t>
            </w:r>
          </w:p>
        </w:tc>
        <w:tc>
          <w:tcPr>
            <w:tcW w:w="1994" w:type="dxa"/>
            <w:tcBorders>
              <w:top w:val="nil"/>
              <w:left w:val="nil"/>
              <w:bottom w:val="single" w:sz="4" w:space="0" w:color="auto"/>
              <w:right w:val="single" w:sz="4" w:space="0" w:color="auto"/>
            </w:tcBorders>
            <w:shd w:val="clear" w:color="auto" w:fill="auto"/>
            <w:noWrap/>
            <w:vAlign w:val="bottom"/>
            <w:hideMark/>
          </w:tcPr>
          <w:p w14:paraId="40E2C33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17,813 </w:t>
            </w:r>
          </w:p>
        </w:tc>
        <w:tc>
          <w:tcPr>
            <w:tcW w:w="1569" w:type="dxa"/>
            <w:tcBorders>
              <w:top w:val="nil"/>
              <w:left w:val="nil"/>
              <w:bottom w:val="single" w:sz="4" w:space="0" w:color="auto"/>
              <w:right w:val="single" w:sz="4" w:space="0" w:color="auto"/>
            </w:tcBorders>
            <w:shd w:val="clear" w:color="auto" w:fill="auto"/>
            <w:noWrap/>
            <w:vAlign w:val="bottom"/>
            <w:hideMark/>
          </w:tcPr>
          <w:p w14:paraId="5668E7F4"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60.2%</w:t>
            </w:r>
          </w:p>
        </w:tc>
      </w:tr>
      <w:tr w:rsidR="00D22349" w:rsidRPr="000A1433" w14:paraId="03E82638"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9FB703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Caldwell/Burke</w:t>
            </w:r>
          </w:p>
        </w:tc>
        <w:tc>
          <w:tcPr>
            <w:tcW w:w="2827" w:type="dxa"/>
            <w:tcBorders>
              <w:top w:val="nil"/>
              <w:left w:val="nil"/>
              <w:bottom w:val="single" w:sz="4" w:space="0" w:color="auto"/>
              <w:right w:val="single" w:sz="4" w:space="0" w:color="auto"/>
            </w:tcBorders>
            <w:shd w:val="clear" w:color="auto" w:fill="auto"/>
            <w:noWrap/>
            <w:vAlign w:val="bottom"/>
            <w:hideMark/>
          </w:tcPr>
          <w:p w14:paraId="3E0CA7E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3,000,000 </w:t>
            </w:r>
          </w:p>
        </w:tc>
        <w:tc>
          <w:tcPr>
            <w:tcW w:w="1994" w:type="dxa"/>
            <w:tcBorders>
              <w:top w:val="nil"/>
              <w:left w:val="nil"/>
              <w:bottom w:val="single" w:sz="4" w:space="0" w:color="auto"/>
              <w:right w:val="single" w:sz="4" w:space="0" w:color="auto"/>
            </w:tcBorders>
            <w:shd w:val="clear" w:color="auto" w:fill="auto"/>
            <w:noWrap/>
            <w:vAlign w:val="bottom"/>
            <w:hideMark/>
          </w:tcPr>
          <w:p w14:paraId="06920C2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37,283 </w:t>
            </w:r>
          </w:p>
        </w:tc>
        <w:tc>
          <w:tcPr>
            <w:tcW w:w="1569" w:type="dxa"/>
            <w:tcBorders>
              <w:top w:val="nil"/>
              <w:left w:val="nil"/>
              <w:bottom w:val="single" w:sz="4" w:space="0" w:color="auto"/>
              <w:right w:val="single" w:sz="4" w:space="0" w:color="auto"/>
            </w:tcBorders>
            <w:shd w:val="clear" w:color="auto" w:fill="auto"/>
            <w:noWrap/>
            <w:vAlign w:val="bottom"/>
            <w:hideMark/>
          </w:tcPr>
          <w:p w14:paraId="2BE8253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21.6%</w:t>
            </w:r>
          </w:p>
        </w:tc>
      </w:tr>
      <w:tr w:rsidR="00D22349" w:rsidRPr="000A1433" w14:paraId="516F506F"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C0EDC2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Graham</w:t>
            </w:r>
          </w:p>
        </w:tc>
        <w:tc>
          <w:tcPr>
            <w:tcW w:w="2827" w:type="dxa"/>
            <w:tcBorders>
              <w:top w:val="nil"/>
              <w:left w:val="nil"/>
              <w:bottom w:val="single" w:sz="4" w:space="0" w:color="auto"/>
              <w:right w:val="single" w:sz="4" w:space="0" w:color="auto"/>
            </w:tcBorders>
            <w:shd w:val="clear" w:color="auto" w:fill="auto"/>
            <w:noWrap/>
            <w:vAlign w:val="bottom"/>
            <w:hideMark/>
          </w:tcPr>
          <w:p w14:paraId="6120ABA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3,000,000 </w:t>
            </w:r>
          </w:p>
        </w:tc>
        <w:tc>
          <w:tcPr>
            <w:tcW w:w="1994" w:type="dxa"/>
            <w:tcBorders>
              <w:top w:val="nil"/>
              <w:left w:val="nil"/>
              <w:bottom w:val="single" w:sz="4" w:space="0" w:color="auto"/>
              <w:right w:val="single" w:sz="4" w:space="0" w:color="auto"/>
            </w:tcBorders>
            <w:shd w:val="clear" w:color="auto" w:fill="auto"/>
            <w:noWrap/>
            <w:vAlign w:val="bottom"/>
            <w:hideMark/>
          </w:tcPr>
          <w:p w14:paraId="3D65ACF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14,067 </w:t>
            </w:r>
          </w:p>
        </w:tc>
        <w:tc>
          <w:tcPr>
            <w:tcW w:w="1569" w:type="dxa"/>
            <w:tcBorders>
              <w:top w:val="nil"/>
              <w:left w:val="nil"/>
              <w:bottom w:val="single" w:sz="4" w:space="0" w:color="auto"/>
              <w:right w:val="single" w:sz="4" w:space="0" w:color="auto"/>
            </w:tcBorders>
            <w:shd w:val="clear" w:color="auto" w:fill="auto"/>
            <w:noWrap/>
            <w:vAlign w:val="bottom"/>
            <w:hideMark/>
          </w:tcPr>
          <w:p w14:paraId="00A83E6B"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47.7%</w:t>
            </w:r>
          </w:p>
        </w:tc>
      </w:tr>
      <w:tr w:rsidR="00D22349" w:rsidRPr="000A1433" w14:paraId="4B48CED5"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66D89B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Edgecombe </w:t>
            </w:r>
          </w:p>
        </w:tc>
        <w:tc>
          <w:tcPr>
            <w:tcW w:w="2827" w:type="dxa"/>
            <w:tcBorders>
              <w:top w:val="nil"/>
              <w:left w:val="nil"/>
              <w:bottom w:val="single" w:sz="4" w:space="0" w:color="auto"/>
              <w:right w:val="single" w:sz="4" w:space="0" w:color="auto"/>
            </w:tcBorders>
            <w:shd w:val="clear" w:color="auto" w:fill="auto"/>
            <w:noWrap/>
            <w:vAlign w:val="bottom"/>
            <w:hideMark/>
          </w:tcPr>
          <w:p w14:paraId="234828A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2,981,569 </w:t>
            </w:r>
          </w:p>
        </w:tc>
        <w:tc>
          <w:tcPr>
            <w:tcW w:w="1994" w:type="dxa"/>
            <w:tcBorders>
              <w:top w:val="nil"/>
              <w:left w:val="nil"/>
              <w:bottom w:val="single" w:sz="4" w:space="0" w:color="auto"/>
              <w:right w:val="single" w:sz="4" w:space="0" w:color="auto"/>
            </w:tcBorders>
            <w:shd w:val="clear" w:color="auto" w:fill="auto"/>
            <w:noWrap/>
            <w:vAlign w:val="bottom"/>
            <w:hideMark/>
          </w:tcPr>
          <w:p w14:paraId="224CC1A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35,516 </w:t>
            </w:r>
          </w:p>
        </w:tc>
        <w:tc>
          <w:tcPr>
            <w:tcW w:w="1569" w:type="dxa"/>
            <w:tcBorders>
              <w:top w:val="nil"/>
              <w:left w:val="nil"/>
              <w:bottom w:val="single" w:sz="4" w:space="0" w:color="auto"/>
              <w:right w:val="single" w:sz="4" w:space="0" w:color="auto"/>
            </w:tcBorders>
            <w:shd w:val="clear" w:color="auto" w:fill="auto"/>
            <w:noWrap/>
            <w:vAlign w:val="bottom"/>
            <w:hideMark/>
          </w:tcPr>
          <w:p w14:paraId="75AEBAFF"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23.6%</w:t>
            </w:r>
          </w:p>
        </w:tc>
      </w:tr>
      <w:tr w:rsidR="00D22349" w:rsidRPr="000A1433" w14:paraId="42F387EF"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333A78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Wayne</w:t>
            </w:r>
          </w:p>
        </w:tc>
        <w:tc>
          <w:tcPr>
            <w:tcW w:w="2827" w:type="dxa"/>
            <w:tcBorders>
              <w:top w:val="nil"/>
              <w:left w:val="nil"/>
              <w:bottom w:val="single" w:sz="4" w:space="0" w:color="auto"/>
              <w:right w:val="single" w:sz="4" w:space="0" w:color="auto"/>
            </w:tcBorders>
            <w:shd w:val="clear" w:color="auto" w:fill="auto"/>
            <w:noWrap/>
            <w:vAlign w:val="bottom"/>
            <w:hideMark/>
          </w:tcPr>
          <w:p w14:paraId="2FADEFC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2,781,618 </w:t>
            </w:r>
          </w:p>
        </w:tc>
        <w:tc>
          <w:tcPr>
            <w:tcW w:w="1994" w:type="dxa"/>
            <w:tcBorders>
              <w:top w:val="nil"/>
              <w:left w:val="nil"/>
              <w:bottom w:val="single" w:sz="4" w:space="0" w:color="auto"/>
              <w:right w:val="single" w:sz="4" w:space="0" w:color="auto"/>
            </w:tcBorders>
            <w:shd w:val="clear" w:color="auto" w:fill="auto"/>
            <w:noWrap/>
            <w:vAlign w:val="bottom"/>
            <w:hideMark/>
          </w:tcPr>
          <w:p w14:paraId="3ED599E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29,512 </w:t>
            </w:r>
          </w:p>
        </w:tc>
        <w:tc>
          <w:tcPr>
            <w:tcW w:w="1569" w:type="dxa"/>
            <w:tcBorders>
              <w:top w:val="nil"/>
              <w:left w:val="nil"/>
              <w:bottom w:val="single" w:sz="4" w:space="0" w:color="auto"/>
              <w:right w:val="single" w:sz="4" w:space="0" w:color="auto"/>
            </w:tcBorders>
            <w:shd w:val="clear" w:color="auto" w:fill="auto"/>
            <w:noWrap/>
            <w:vAlign w:val="bottom"/>
            <w:hideMark/>
          </w:tcPr>
          <w:p w14:paraId="237E64F3"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36.3%</w:t>
            </w:r>
          </w:p>
        </w:tc>
      </w:tr>
      <w:tr w:rsidR="00D22349" w:rsidRPr="000A1433" w14:paraId="28B15D10"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3B2A48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Wilson</w:t>
            </w:r>
          </w:p>
        </w:tc>
        <w:tc>
          <w:tcPr>
            <w:tcW w:w="2827" w:type="dxa"/>
            <w:tcBorders>
              <w:top w:val="nil"/>
              <w:left w:val="nil"/>
              <w:bottom w:val="single" w:sz="4" w:space="0" w:color="auto"/>
              <w:right w:val="single" w:sz="4" w:space="0" w:color="auto"/>
            </w:tcBorders>
            <w:shd w:val="clear" w:color="auto" w:fill="auto"/>
            <w:noWrap/>
            <w:vAlign w:val="bottom"/>
            <w:hideMark/>
          </w:tcPr>
          <w:p w14:paraId="475DCA0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2,664,062 </w:t>
            </w:r>
          </w:p>
        </w:tc>
        <w:tc>
          <w:tcPr>
            <w:tcW w:w="1994" w:type="dxa"/>
            <w:tcBorders>
              <w:top w:val="nil"/>
              <w:left w:val="nil"/>
              <w:bottom w:val="single" w:sz="4" w:space="0" w:color="auto"/>
              <w:right w:val="single" w:sz="4" w:space="0" w:color="auto"/>
            </w:tcBorders>
            <w:shd w:val="clear" w:color="auto" w:fill="auto"/>
            <w:noWrap/>
            <w:vAlign w:val="bottom"/>
            <w:hideMark/>
          </w:tcPr>
          <w:p w14:paraId="741CF863"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36,949 </w:t>
            </w:r>
          </w:p>
        </w:tc>
        <w:tc>
          <w:tcPr>
            <w:tcW w:w="1569" w:type="dxa"/>
            <w:tcBorders>
              <w:top w:val="nil"/>
              <w:left w:val="nil"/>
              <w:bottom w:val="single" w:sz="4" w:space="0" w:color="auto"/>
              <w:right w:val="single" w:sz="4" w:space="0" w:color="auto"/>
            </w:tcBorders>
            <w:shd w:val="clear" w:color="auto" w:fill="auto"/>
            <w:noWrap/>
            <w:vAlign w:val="bottom"/>
            <w:hideMark/>
          </w:tcPr>
          <w:p w14:paraId="1671D97D"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23.5%</w:t>
            </w:r>
          </w:p>
        </w:tc>
      </w:tr>
      <w:tr w:rsidR="00D22349" w:rsidRPr="000A1433" w14:paraId="04D452BA"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74C01A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Craven</w:t>
            </w:r>
          </w:p>
        </w:tc>
        <w:tc>
          <w:tcPr>
            <w:tcW w:w="2827" w:type="dxa"/>
            <w:tcBorders>
              <w:top w:val="nil"/>
              <w:left w:val="nil"/>
              <w:bottom w:val="single" w:sz="4" w:space="0" w:color="auto"/>
              <w:right w:val="single" w:sz="4" w:space="0" w:color="auto"/>
            </w:tcBorders>
            <w:shd w:val="clear" w:color="auto" w:fill="auto"/>
            <w:noWrap/>
            <w:vAlign w:val="bottom"/>
            <w:hideMark/>
          </w:tcPr>
          <w:p w14:paraId="79E96C5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2,584,331 </w:t>
            </w:r>
          </w:p>
        </w:tc>
        <w:tc>
          <w:tcPr>
            <w:tcW w:w="1994" w:type="dxa"/>
            <w:tcBorders>
              <w:top w:val="nil"/>
              <w:left w:val="nil"/>
              <w:bottom w:val="single" w:sz="4" w:space="0" w:color="auto"/>
              <w:right w:val="single" w:sz="4" w:space="0" w:color="auto"/>
            </w:tcBorders>
            <w:shd w:val="clear" w:color="auto" w:fill="auto"/>
            <w:noWrap/>
            <w:vAlign w:val="bottom"/>
            <w:hideMark/>
          </w:tcPr>
          <w:p w14:paraId="0AEF2B2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38,021 </w:t>
            </w:r>
          </w:p>
        </w:tc>
        <w:tc>
          <w:tcPr>
            <w:tcW w:w="1569" w:type="dxa"/>
            <w:tcBorders>
              <w:top w:val="nil"/>
              <w:left w:val="nil"/>
              <w:bottom w:val="single" w:sz="4" w:space="0" w:color="auto"/>
              <w:right w:val="single" w:sz="4" w:space="0" w:color="auto"/>
            </w:tcBorders>
            <w:shd w:val="clear" w:color="auto" w:fill="auto"/>
            <w:noWrap/>
            <w:vAlign w:val="bottom"/>
            <w:hideMark/>
          </w:tcPr>
          <w:p w14:paraId="1457BC02"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25.8%</w:t>
            </w:r>
          </w:p>
        </w:tc>
      </w:tr>
      <w:tr w:rsidR="00D22349" w:rsidRPr="000A1433" w14:paraId="57F56E01"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0764D4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Moore</w:t>
            </w:r>
          </w:p>
        </w:tc>
        <w:tc>
          <w:tcPr>
            <w:tcW w:w="2827" w:type="dxa"/>
            <w:tcBorders>
              <w:top w:val="nil"/>
              <w:left w:val="nil"/>
              <w:bottom w:val="single" w:sz="4" w:space="0" w:color="auto"/>
              <w:right w:val="single" w:sz="4" w:space="0" w:color="auto"/>
            </w:tcBorders>
            <w:shd w:val="clear" w:color="auto" w:fill="auto"/>
            <w:noWrap/>
            <w:vAlign w:val="bottom"/>
            <w:hideMark/>
          </w:tcPr>
          <w:p w14:paraId="3580C23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2,550,000 </w:t>
            </w:r>
          </w:p>
        </w:tc>
        <w:tc>
          <w:tcPr>
            <w:tcW w:w="1994" w:type="dxa"/>
            <w:tcBorders>
              <w:top w:val="nil"/>
              <w:left w:val="nil"/>
              <w:bottom w:val="single" w:sz="4" w:space="0" w:color="auto"/>
              <w:right w:val="single" w:sz="4" w:space="0" w:color="auto"/>
            </w:tcBorders>
            <w:shd w:val="clear" w:color="auto" w:fill="auto"/>
            <w:noWrap/>
            <w:vAlign w:val="bottom"/>
            <w:hideMark/>
          </w:tcPr>
          <w:p w14:paraId="27A69A4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32,332 </w:t>
            </w:r>
          </w:p>
        </w:tc>
        <w:tc>
          <w:tcPr>
            <w:tcW w:w="1569" w:type="dxa"/>
            <w:tcBorders>
              <w:top w:val="nil"/>
              <w:left w:val="nil"/>
              <w:bottom w:val="single" w:sz="4" w:space="0" w:color="auto"/>
              <w:right w:val="single" w:sz="4" w:space="0" w:color="auto"/>
            </w:tcBorders>
            <w:shd w:val="clear" w:color="auto" w:fill="auto"/>
            <w:noWrap/>
            <w:vAlign w:val="bottom"/>
            <w:hideMark/>
          </w:tcPr>
          <w:p w14:paraId="3D78A24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24.2%</w:t>
            </w:r>
          </w:p>
        </w:tc>
      </w:tr>
      <w:tr w:rsidR="00D22349" w:rsidRPr="000A1433" w14:paraId="07A59198"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D8A06C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Madison</w:t>
            </w:r>
          </w:p>
        </w:tc>
        <w:tc>
          <w:tcPr>
            <w:tcW w:w="2827" w:type="dxa"/>
            <w:tcBorders>
              <w:top w:val="nil"/>
              <w:left w:val="nil"/>
              <w:bottom w:val="single" w:sz="4" w:space="0" w:color="auto"/>
              <w:right w:val="single" w:sz="4" w:space="0" w:color="auto"/>
            </w:tcBorders>
            <w:shd w:val="clear" w:color="auto" w:fill="auto"/>
            <w:noWrap/>
            <w:vAlign w:val="bottom"/>
            <w:hideMark/>
          </w:tcPr>
          <w:p w14:paraId="33323DF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2,045,050 </w:t>
            </w:r>
          </w:p>
        </w:tc>
        <w:tc>
          <w:tcPr>
            <w:tcW w:w="1994" w:type="dxa"/>
            <w:tcBorders>
              <w:top w:val="nil"/>
              <w:left w:val="nil"/>
              <w:bottom w:val="single" w:sz="4" w:space="0" w:color="auto"/>
              <w:right w:val="single" w:sz="4" w:space="0" w:color="auto"/>
            </w:tcBorders>
            <w:shd w:val="clear" w:color="auto" w:fill="auto"/>
            <w:noWrap/>
            <w:vAlign w:val="bottom"/>
            <w:hideMark/>
          </w:tcPr>
          <w:p w14:paraId="2980A99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38,864 </w:t>
            </w:r>
          </w:p>
        </w:tc>
        <w:tc>
          <w:tcPr>
            <w:tcW w:w="1569" w:type="dxa"/>
            <w:tcBorders>
              <w:top w:val="nil"/>
              <w:left w:val="nil"/>
              <w:bottom w:val="single" w:sz="4" w:space="0" w:color="auto"/>
              <w:right w:val="single" w:sz="4" w:space="0" w:color="auto"/>
            </w:tcBorders>
            <w:shd w:val="clear" w:color="auto" w:fill="auto"/>
            <w:noWrap/>
            <w:vAlign w:val="bottom"/>
            <w:hideMark/>
          </w:tcPr>
          <w:p w14:paraId="47F7C74C"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7.4%</w:t>
            </w:r>
          </w:p>
        </w:tc>
      </w:tr>
      <w:tr w:rsidR="00D22349" w:rsidRPr="000A1433" w14:paraId="61FC07F2"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5CF25A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Burke</w:t>
            </w:r>
          </w:p>
        </w:tc>
        <w:tc>
          <w:tcPr>
            <w:tcW w:w="2827" w:type="dxa"/>
            <w:tcBorders>
              <w:top w:val="nil"/>
              <w:left w:val="nil"/>
              <w:bottom w:val="single" w:sz="4" w:space="0" w:color="auto"/>
              <w:right w:val="single" w:sz="4" w:space="0" w:color="auto"/>
            </w:tcBorders>
            <w:shd w:val="clear" w:color="auto" w:fill="auto"/>
            <w:noWrap/>
            <w:vAlign w:val="bottom"/>
            <w:hideMark/>
          </w:tcPr>
          <w:p w14:paraId="26E50CD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3C29F6A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42,516 </w:t>
            </w:r>
          </w:p>
        </w:tc>
        <w:tc>
          <w:tcPr>
            <w:tcW w:w="1569" w:type="dxa"/>
            <w:tcBorders>
              <w:top w:val="nil"/>
              <w:left w:val="nil"/>
              <w:bottom w:val="single" w:sz="4" w:space="0" w:color="auto"/>
              <w:right w:val="single" w:sz="4" w:space="0" w:color="auto"/>
            </w:tcBorders>
            <w:shd w:val="clear" w:color="auto" w:fill="auto"/>
            <w:noWrap/>
            <w:vAlign w:val="bottom"/>
            <w:hideMark/>
          </w:tcPr>
          <w:p w14:paraId="30E87C79"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18.1%</w:t>
            </w:r>
          </w:p>
        </w:tc>
      </w:tr>
      <w:tr w:rsidR="00D22349" w:rsidRPr="000A1433" w14:paraId="52DD9110"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CC9AE8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Caswell</w:t>
            </w:r>
          </w:p>
        </w:tc>
        <w:tc>
          <w:tcPr>
            <w:tcW w:w="2827" w:type="dxa"/>
            <w:tcBorders>
              <w:top w:val="nil"/>
              <w:left w:val="nil"/>
              <w:bottom w:val="single" w:sz="4" w:space="0" w:color="auto"/>
              <w:right w:val="single" w:sz="4" w:space="0" w:color="auto"/>
            </w:tcBorders>
            <w:shd w:val="clear" w:color="auto" w:fill="auto"/>
            <w:noWrap/>
            <w:vAlign w:val="bottom"/>
            <w:hideMark/>
          </w:tcPr>
          <w:p w14:paraId="00391BD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29ED62F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18,649 </w:t>
            </w:r>
          </w:p>
        </w:tc>
        <w:tc>
          <w:tcPr>
            <w:tcW w:w="1569" w:type="dxa"/>
            <w:tcBorders>
              <w:top w:val="nil"/>
              <w:left w:val="nil"/>
              <w:bottom w:val="single" w:sz="4" w:space="0" w:color="auto"/>
              <w:right w:val="single" w:sz="4" w:space="0" w:color="auto"/>
            </w:tcBorders>
            <w:shd w:val="clear" w:color="auto" w:fill="auto"/>
            <w:noWrap/>
            <w:vAlign w:val="bottom"/>
            <w:hideMark/>
          </w:tcPr>
          <w:p w14:paraId="12FB6EFD"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47.9%</w:t>
            </w:r>
          </w:p>
        </w:tc>
      </w:tr>
      <w:tr w:rsidR="00D22349" w:rsidRPr="000A1433" w14:paraId="58A2018E"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912F2A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Lee</w:t>
            </w:r>
          </w:p>
        </w:tc>
        <w:tc>
          <w:tcPr>
            <w:tcW w:w="2827" w:type="dxa"/>
            <w:tcBorders>
              <w:top w:val="nil"/>
              <w:left w:val="nil"/>
              <w:bottom w:val="single" w:sz="4" w:space="0" w:color="auto"/>
              <w:right w:val="single" w:sz="4" w:space="0" w:color="auto"/>
            </w:tcBorders>
            <w:shd w:val="clear" w:color="auto" w:fill="auto"/>
            <w:noWrap/>
            <w:vAlign w:val="bottom"/>
            <w:hideMark/>
          </w:tcPr>
          <w:p w14:paraId="06F389F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4801BE3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46,067 </w:t>
            </w:r>
          </w:p>
        </w:tc>
        <w:tc>
          <w:tcPr>
            <w:tcW w:w="1569" w:type="dxa"/>
            <w:tcBorders>
              <w:top w:val="nil"/>
              <w:left w:val="nil"/>
              <w:bottom w:val="single" w:sz="4" w:space="0" w:color="auto"/>
              <w:right w:val="single" w:sz="4" w:space="0" w:color="auto"/>
            </w:tcBorders>
            <w:shd w:val="clear" w:color="auto" w:fill="auto"/>
            <w:noWrap/>
            <w:vAlign w:val="bottom"/>
            <w:hideMark/>
          </w:tcPr>
          <w:p w14:paraId="05EC6316"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18.5%</w:t>
            </w:r>
          </w:p>
        </w:tc>
      </w:tr>
      <w:tr w:rsidR="00D22349" w:rsidRPr="000A1433" w14:paraId="34FBF041"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5A22982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Lenoir</w:t>
            </w:r>
          </w:p>
        </w:tc>
        <w:tc>
          <w:tcPr>
            <w:tcW w:w="2827" w:type="dxa"/>
            <w:tcBorders>
              <w:top w:val="nil"/>
              <w:left w:val="nil"/>
              <w:bottom w:val="single" w:sz="4" w:space="0" w:color="auto"/>
              <w:right w:val="single" w:sz="4" w:space="0" w:color="auto"/>
            </w:tcBorders>
            <w:shd w:val="clear" w:color="auto" w:fill="auto"/>
            <w:noWrap/>
            <w:vAlign w:val="bottom"/>
            <w:hideMark/>
          </w:tcPr>
          <w:p w14:paraId="7C32E0E8"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46EB29F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31,981 </w:t>
            </w:r>
          </w:p>
        </w:tc>
        <w:tc>
          <w:tcPr>
            <w:tcW w:w="1569" w:type="dxa"/>
            <w:tcBorders>
              <w:top w:val="nil"/>
              <w:left w:val="nil"/>
              <w:bottom w:val="single" w:sz="4" w:space="0" w:color="auto"/>
              <w:right w:val="single" w:sz="4" w:space="0" w:color="auto"/>
            </w:tcBorders>
            <w:shd w:val="clear" w:color="auto" w:fill="auto"/>
            <w:noWrap/>
            <w:vAlign w:val="bottom"/>
            <w:hideMark/>
          </w:tcPr>
          <w:p w14:paraId="46B5514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29.4%</w:t>
            </w:r>
          </w:p>
        </w:tc>
      </w:tr>
      <w:tr w:rsidR="00D22349" w:rsidRPr="000A1433" w14:paraId="3CF79ED6"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03CB0D3"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Pamlico</w:t>
            </w:r>
          </w:p>
        </w:tc>
        <w:tc>
          <w:tcPr>
            <w:tcW w:w="2827" w:type="dxa"/>
            <w:tcBorders>
              <w:top w:val="nil"/>
              <w:left w:val="nil"/>
              <w:bottom w:val="single" w:sz="4" w:space="0" w:color="auto"/>
              <w:right w:val="single" w:sz="4" w:space="0" w:color="auto"/>
            </w:tcBorders>
            <w:shd w:val="clear" w:color="auto" w:fill="auto"/>
            <w:noWrap/>
            <w:vAlign w:val="bottom"/>
            <w:hideMark/>
          </w:tcPr>
          <w:p w14:paraId="735865D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2148DFF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44,524 </w:t>
            </w:r>
          </w:p>
        </w:tc>
        <w:tc>
          <w:tcPr>
            <w:tcW w:w="1569" w:type="dxa"/>
            <w:tcBorders>
              <w:top w:val="nil"/>
              <w:left w:val="nil"/>
              <w:bottom w:val="single" w:sz="4" w:space="0" w:color="auto"/>
              <w:right w:val="single" w:sz="4" w:space="0" w:color="auto"/>
            </w:tcBorders>
            <w:shd w:val="clear" w:color="auto" w:fill="auto"/>
            <w:noWrap/>
            <w:vAlign w:val="bottom"/>
            <w:hideMark/>
          </w:tcPr>
          <w:p w14:paraId="03C523B6"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14.5%</w:t>
            </w:r>
          </w:p>
        </w:tc>
      </w:tr>
      <w:tr w:rsidR="00D22349" w:rsidRPr="000A1433" w14:paraId="50709931"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295478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Randolph</w:t>
            </w:r>
          </w:p>
        </w:tc>
        <w:tc>
          <w:tcPr>
            <w:tcW w:w="2827" w:type="dxa"/>
            <w:tcBorders>
              <w:top w:val="nil"/>
              <w:left w:val="nil"/>
              <w:bottom w:val="single" w:sz="4" w:space="0" w:color="auto"/>
              <w:right w:val="single" w:sz="4" w:space="0" w:color="auto"/>
            </w:tcBorders>
            <w:shd w:val="clear" w:color="auto" w:fill="auto"/>
            <w:noWrap/>
            <w:vAlign w:val="bottom"/>
            <w:hideMark/>
          </w:tcPr>
          <w:p w14:paraId="33E6642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289C2E8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39,665 </w:t>
            </w:r>
          </w:p>
        </w:tc>
        <w:tc>
          <w:tcPr>
            <w:tcW w:w="1569" w:type="dxa"/>
            <w:tcBorders>
              <w:top w:val="nil"/>
              <w:left w:val="nil"/>
              <w:bottom w:val="single" w:sz="4" w:space="0" w:color="auto"/>
              <w:right w:val="single" w:sz="4" w:space="0" w:color="auto"/>
            </w:tcBorders>
            <w:shd w:val="clear" w:color="auto" w:fill="auto"/>
            <w:noWrap/>
            <w:vAlign w:val="bottom"/>
            <w:hideMark/>
          </w:tcPr>
          <w:p w14:paraId="0AB15759"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27.8%</w:t>
            </w:r>
          </w:p>
        </w:tc>
      </w:tr>
      <w:tr w:rsidR="00D22349" w:rsidRPr="000A1433" w14:paraId="4C740A25"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0AB1DEE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Scotland</w:t>
            </w:r>
          </w:p>
        </w:tc>
        <w:tc>
          <w:tcPr>
            <w:tcW w:w="2827" w:type="dxa"/>
            <w:tcBorders>
              <w:top w:val="nil"/>
              <w:left w:val="nil"/>
              <w:bottom w:val="single" w:sz="4" w:space="0" w:color="auto"/>
              <w:right w:val="single" w:sz="4" w:space="0" w:color="auto"/>
            </w:tcBorders>
            <w:shd w:val="clear" w:color="auto" w:fill="auto"/>
            <w:noWrap/>
            <w:vAlign w:val="bottom"/>
            <w:hideMark/>
          </w:tcPr>
          <w:p w14:paraId="64C1A95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748A9C3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29,388 </w:t>
            </w:r>
          </w:p>
        </w:tc>
        <w:tc>
          <w:tcPr>
            <w:tcW w:w="1569" w:type="dxa"/>
            <w:tcBorders>
              <w:top w:val="nil"/>
              <w:left w:val="nil"/>
              <w:bottom w:val="single" w:sz="4" w:space="0" w:color="auto"/>
              <w:right w:val="single" w:sz="4" w:space="0" w:color="auto"/>
            </w:tcBorders>
            <w:shd w:val="clear" w:color="auto" w:fill="auto"/>
            <w:noWrap/>
            <w:vAlign w:val="bottom"/>
            <w:hideMark/>
          </w:tcPr>
          <w:p w14:paraId="0497BE8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34.0%</w:t>
            </w:r>
          </w:p>
        </w:tc>
      </w:tr>
      <w:tr w:rsidR="00D22349" w:rsidRPr="000A1433" w14:paraId="5F187CC9"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AB5F88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Watauga</w:t>
            </w:r>
          </w:p>
        </w:tc>
        <w:tc>
          <w:tcPr>
            <w:tcW w:w="2827" w:type="dxa"/>
            <w:tcBorders>
              <w:top w:val="nil"/>
              <w:left w:val="nil"/>
              <w:bottom w:val="single" w:sz="4" w:space="0" w:color="auto"/>
              <w:right w:val="single" w:sz="4" w:space="0" w:color="auto"/>
            </w:tcBorders>
            <w:shd w:val="clear" w:color="auto" w:fill="auto"/>
            <w:noWrap/>
            <w:vAlign w:val="bottom"/>
            <w:hideMark/>
          </w:tcPr>
          <w:p w14:paraId="520BE04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2CA8EFF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19,574 </w:t>
            </w:r>
          </w:p>
        </w:tc>
        <w:tc>
          <w:tcPr>
            <w:tcW w:w="1569" w:type="dxa"/>
            <w:tcBorders>
              <w:top w:val="nil"/>
              <w:left w:val="nil"/>
              <w:bottom w:val="single" w:sz="4" w:space="0" w:color="auto"/>
              <w:right w:val="single" w:sz="4" w:space="0" w:color="auto"/>
            </w:tcBorders>
            <w:shd w:val="clear" w:color="auto" w:fill="auto"/>
            <w:noWrap/>
            <w:vAlign w:val="bottom"/>
            <w:hideMark/>
          </w:tcPr>
          <w:p w14:paraId="6809E80F"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56.1%</w:t>
            </w:r>
          </w:p>
        </w:tc>
      </w:tr>
      <w:tr w:rsidR="00D22349" w:rsidRPr="000A1433" w14:paraId="0346492E"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9781618"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Yadkin </w:t>
            </w:r>
          </w:p>
        </w:tc>
        <w:tc>
          <w:tcPr>
            <w:tcW w:w="2827" w:type="dxa"/>
            <w:tcBorders>
              <w:top w:val="nil"/>
              <w:left w:val="nil"/>
              <w:bottom w:val="single" w:sz="4" w:space="0" w:color="auto"/>
              <w:right w:val="single" w:sz="4" w:space="0" w:color="auto"/>
            </w:tcBorders>
            <w:shd w:val="clear" w:color="auto" w:fill="auto"/>
            <w:noWrap/>
            <w:vAlign w:val="bottom"/>
            <w:hideMark/>
          </w:tcPr>
          <w:p w14:paraId="1EF45FD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200DEC7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28,456 </w:t>
            </w:r>
          </w:p>
        </w:tc>
        <w:tc>
          <w:tcPr>
            <w:tcW w:w="1569" w:type="dxa"/>
            <w:tcBorders>
              <w:top w:val="nil"/>
              <w:left w:val="nil"/>
              <w:bottom w:val="single" w:sz="4" w:space="0" w:color="auto"/>
              <w:right w:val="single" w:sz="4" w:space="0" w:color="auto"/>
            </w:tcBorders>
            <w:shd w:val="clear" w:color="auto" w:fill="auto"/>
            <w:noWrap/>
            <w:vAlign w:val="bottom"/>
            <w:hideMark/>
          </w:tcPr>
          <w:p w14:paraId="51354288"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31.6%</w:t>
            </w:r>
          </w:p>
        </w:tc>
      </w:tr>
      <w:tr w:rsidR="00D22349" w:rsidRPr="000A1433" w14:paraId="1CFA05E1"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A72212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Yancey </w:t>
            </w:r>
          </w:p>
        </w:tc>
        <w:tc>
          <w:tcPr>
            <w:tcW w:w="2827" w:type="dxa"/>
            <w:tcBorders>
              <w:top w:val="nil"/>
              <w:left w:val="nil"/>
              <w:bottom w:val="single" w:sz="4" w:space="0" w:color="auto"/>
              <w:right w:val="single" w:sz="4" w:space="0" w:color="auto"/>
            </w:tcBorders>
            <w:shd w:val="clear" w:color="auto" w:fill="auto"/>
            <w:noWrap/>
            <w:vAlign w:val="bottom"/>
            <w:hideMark/>
          </w:tcPr>
          <w:p w14:paraId="476EE54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2,000,000 </w:t>
            </w:r>
          </w:p>
        </w:tc>
        <w:tc>
          <w:tcPr>
            <w:tcW w:w="1994" w:type="dxa"/>
            <w:tcBorders>
              <w:top w:val="nil"/>
              <w:left w:val="nil"/>
              <w:bottom w:val="single" w:sz="4" w:space="0" w:color="auto"/>
              <w:right w:val="single" w:sz="4" w:space="0" w:color="auto"/>
            </w:tcBorders>
            <w:shd w:val="clear" w:color="auto" w:fill="auto"/>
            <w:noWrap/>
            <w:vAlign w:val="bottom"/>
            <w:hideMark/>
          </w:tcPr>
          <w:p w14:paraId="045DEAC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36,310 </w:t>
            </w:r>
          </w:p>
        </w:tc>
        <w:tc>
          <w:tcPr>
            <w:tcW w:w="1569" w:type="dxa"/>
            <w:tcBorders>
              <w:top w:val="nil"/>
              <w:left w:val="nil"/>
              <w:bottom w:val="single" w:sz="4" w:space="0" w:color="auto"/>
              <w:right w:val="single" w:sz="4" w:space="0" w:color="auto"/>
            </w:tcBorders>
            <w:shd w:val="clear" w:color="auto" w:fill="auto"/>
            <w:noWrap/>
            <w:vAlign w:val="bottom"/>
            <w:hideMark/>
          </w:tcPr>
          <w:p w14:paraId="2204609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25.7%</w:t>
            </w:r>
          </w:p>
        </w:tc>
      </w:tr>
      <w:tr w:rsidR="00D22349" w:rsidRPr="000A1433" w14:paraId="3E88C9B4"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EC042B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Mitchell</w:t>
            </w:r>
          </w:p>
        </w:tc>
        <w:tc>
          <w:tcPr>
            <w:tcW w:w="2827" w:type="dxa"/>
            <w:tcBorders>
              <w:top w:val="nil"/>
              <w:left w:val="nil"/>
              <w:bottom w:val="single" w:sz="4" w:space="0" w:color="auto"/>
              <w:right w:val="single" w:sz="4" w:space="0" w:color="auto"/>
            </w:tcBorders>
            <w:shd w:val="clear" w:color="auto" w:fill="auto"/>
            <w:noWrap/>
            <w:vAlign w:val="bottom"/>
            <w:hideMark/>
          </w:tcPr>
          <w:p w14:paraId="70CCF06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1,999,500 </w:t>
            </w:r>
          </w:p>
        </w:tc>
        <w:tc>
          <w:tcPr>
            <w:tcW w:w="1994" w:type="dxa"/>
            <w:tcBorders>
              <w:top w:val="nil"/>
              <w:left w:val="nil"/>
              <w:bottom w:val="single" w:sz="4" w:space="0" w:color="auto"/>
              <w:right w:val="single" w:sz="4" w:space="0" w:color="auto"/>
            </w:tcBorders>
            <w:shd w:val="clear" w:color="auto" w:fill="auto"/>
            <w:noWrap/>
            <w:vAlign w:val="bottom"/>
            <w:hideMark/>
          </w:tcPr>
          <w:p w14:paraId="012F6B8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30,000 </w:t>
            </w:r>
          </w:p>
        </w:tc>
        <w:tc>
          <w:tcPr>
            <w:tcW w:w="1569" w:type="dxa"/>
            <w:tcBorders>
              <w:top w:val="nil"/>
              <w:left w:val="nil"/>
              <w:bottom w:val="single" w:sz="4" w:space="0" w:color="auto"/>
              <w:right w:val="single" w:sz="4" w:space="0" w:color="auto"/>
            </w:tcBorders>
            <w:shd w:val="clear" w:color="auto" w:fill="auto"/>
            <w:noWrap/>
            <w:vAlign w:val="bottom"/>
            <w:hideMark/>
          </w:tcPr>
          <w:p w14:paraId="133DA25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37.2%</w:t>
            </w:r>
          </w:p>
        </w:tc>
      </w:tr>
      <w:tr w:rsidR="00D22349" w:rsidRPr="000A1433" w14:paraId="5F260C01"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20AEE04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Catawba/Burke</w:t>
            </w:r>
          </w:p>
        </w:tc>
        <w:tc>
          <w:tcPr>
            <w:tcW w:w="2827" w:type="dxa"/>
            <w:tcBorders>
              <w:top w:val="nil"/>
              <w:left w:val="nil"/>
              <w:bottom w:val="single" w:sz="4" w:space="0" w:color="auto"/>
              <w:right w:val="single" w:sz="4" w:space="0" w:color="auto"/>
            </w:tcBorders>
            <w:shd w:val="clear" w:color="auto" w:fill="auto"/>
            <w:noWrap/>
            <w:vAlign w:val="bottom"/>
            <w:hideMark/>
          </w:tcPr>
          <w:p w14:paraId="6FDF233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1,965,700 </w:t>
            </w:r>
          </w:p>
        </w:tc>
        <w:tc>
          <w:tcPr>
            <w:tcW w:w="1994" w:type="dxa"/>
            <w:tcBorders>
              <w:top w:val="nil"/>
              <w:left w:val="nil"/>
              <w:bottom w:val="single" w:sz="4" w:space="0" w:color="auto"/>
              <w:right w:val="single" w:sz="4" w:space="0" w:color="auto"/>
            </w:tcBorders>
            <w:shd w:val="clear" w:color="auto" w:fill="auto"/>
            <w:noWrap/>
            <w:vAlign w:val="bottom"/>
            <w:hideMark/>
          </w:tcPr>
          <w:p w14:paraId="5E57C96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35,987 </w:t>
            </w:r>
          </w:p>
        </w:tc>
        <w:tc>
          <w:tcPr>
            <w:tcW w:w="1569" w:type="dxa"/>
            <w:tcBorders>
              <w:top w:val="nil"/>
              <w:left w:val="nil"/>
              <w:bottom w:val="single" w:sz="4" w:space="0" w:color="auto"/>
              <w:right w:val="single" w:sz="4" w:space="0" w:color="auto"/>
            </w:tcBorders>
            <w:shd w:val="clear" w:color="auto" w:fill="auto"/>
            <w:noWrap/>
            <w:vAlign w:val="bottom"/>
            <w:hideMark/>
          </w:tcPr>
          <w:p w14:paraId="68D56F9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19.6%</w:t>
            </w:r>
          </w:p>
        </w:tc>
      </w:tr>
      <w:tr w:rsidR="00D22349" w:rsidRPr="000A1433" w14:paraId="63B981A4"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51A765A4"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Nash/Edgecombe</w:t>
            </w:r>
          </w:p>
        </w:tc>
        <w:tc>
          <w:tcPr>
            <w:tcW w:w="2827" w:type="dxa"/>
            <w:tcBorders>
              <w:top w:val="nil"/>
              <w:left w:val="nil"/>
              <w:bottom w:val="single" w:sz="4" w:space="0" w:color="auto"/>
              <w:right w:val="single" w:sz="4" w:space="0" w:color="auto"/>
            </w:tcBorders>
            <w:shd w:val="clear" w:color="auto" w:fill="auto"/>
            <w:noWrap/>
            <w:vAlign w:val="bottom"/>
            <w:hideMark/>
          </w:tcPr>
          <w:p w14:paraId="1DF33845"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1,789,530 </w:t>
            </w:r>
          </w:p>
        </w:tc>
        <w:tc>
          <w:tcPr>
            <w:tcW w:w="1994" w:type="dxa"/>
            <w:tcBorders>
              <w:top w:val="nil"/>
              <w:left w:val="nil"/>
              <w:bottom w:val="single" w:sz="4" w:space="0" w:color="auto"/>
              <w:right w:val="single" w:sz="4" w:space="0" w:color="auto"/>
            </w:tcBorders>
            <w:shd w:val="clear" w:color="auto" w:fill="auto"/>
            <w:noWrap/>
            <w:vAlign w:val="bottom"/>
            <w:hideMark/>
          </w:tcPr>
          <w:p w14:paraId="16C273E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32,361 </w:t>
            </w:r>
          </w:p>
        </w:tc>
        <w:tc>
          <w:tcPr>
            <w:tcW w:w="1569" w:type="dxa"/>
            <w:tcBorders>
              <w:top w:val="nil"/>
              <w:left w:val="nil"/>
              <w:bottom w:val="single" w:sz="4" w:space="0" w:color="auto"/>
              <w:right w:val="single" w:sz="4" w:space="0" w:color="auto"/>
            </w:tcBorders>
            <w:shd w:val="clear" w:color="auto" w:fill="auto"/>
            <w:noWrap/>
            <w:vAlign w:val="bottom"/>
            <w:hideMark/>
          </w:tcPr>
          <w:p w14:paraId="3CE6222A"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30.1%</w:t>
            </w:r>
          </w:p>
        </w:tc>
      </w:tr>
      <w:tr w:rsidR="00D22349" w:rsidRPr="000A1433" w14:paraId="42FFDDF8"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5EAF6F5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Surry</w:t>
            </w:r>
          </w:p>
        </w:tc>
        <w:tc>
          <w:tcPr>
            <w:tcW w:w="2827" w:type="dxa"/>
            <w:tcBorders>
              <w:top w:val="nil"/>
              <w:left w:val="nil"/>
              <w:bottom w:val="single" w:sz="4" w:space="0" w:color="auto"/>
              <w:right w:val="single" w:sz="4" w:space="0" w:color="auto"/>
            </w:tcBorders>
            <w:shd w:val="clear" w:color="auto" w:fill="auto"/>
            <w:noWrap/>
            <w:vAlign w:val="bottom"/>
            <w:hideMark/>
          </w:tcPr>
          <w:p w14:paraId="0B4FDCC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1,731,600 </w:t>
            </w:r>
          </w:p>
        </w:tc>
        <w:tc>
          <w:tcPr>
            <w:tcW w:w="1994" w:type="dxa"/>
            <w:tcBorders>
              <w:top w:val="nil"/>
              <w:left w:val="nil"/>
              <w:bottom w:val="single" w:sz="4" w:space="0" w:color="auto"/>
              <w:right w:val="single" w:sz="4" w:space="0" w:color="auto"/>
            </w:tcBorders>
            <w:shd w:val="clear" w:color="auto" w:fill="auto"/>
            <w:noWrap/>
            <w:vAlign w:val="bottom"/>
            <w:hideMark/>
          </w:tcPr>
          <w:p w14:paraId="11D5E5F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33,988 </w:t>
            </w:r>
          </w:p>
        </w:tc>
        <w:tc>
          <w:tcPr>
            <w:tcW w:w="1569" w:type="dxa"/>
            <w:tcBorders>
              <w:top w:val="nil"/>
              <w:left w:val="nil"/>
              <w:bottom w:val="single" w:sz="4" w:space="0" w:color="auto"/>
              <w:right w:val="single" w:sz="4" w:space="0" w:color="auto"/>
            </w:tcBorders>
            <w:shd w:val="clear" w:color="auto" w:fill="auto"/>
            <w:noWrap/>
            <w:vAlign w:val="bottom"/>
            <w:hideMark/>
          </w:tcPr>
          <w:p w14:paraId="55E4BBA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25.8%</w:t>
            </w:r>
          </w:p>
        </w:tc>
      </w:tr>
      <w:tr w:rsidR="00D22349" w:rsidRPr="000A1433" w14:paraId="3E93CD15"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CF346F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Martin</w:t>
            </w:r>
          </w:p>
        </w:tc>
        <w:tc>
          <w:tcPr>
            <w:tcW w:w="2827" w:type="dxa"/>
            <w:tcBorders>
              <w:top w:val="nil"/>
              <w:left w:val="nil"/>
              <w:bottom w:val="single" w:sz="4" w:space="0" w:color="auto"/>
              <w:right w:val="single" w:sz="4" w:space="0" w:color="auto"/>
            </w:tcBorders>
            <w:shd w:val="clear" w:color="auto" w:fill="auto"/>
            <w:noWrap/>
            <w:vAlign w:val="bottom"/>
            <w:hideMark/>
          </w:tcPr>
          <w:p w14:paraId="4BF548D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1,698,000 </w:t>
            </w:r>
          </w:p>
        </w:tc>
        <w:tc>
          <w:tcPr>
            <w:tcW w:w="1994" w:type="dxa"/>
            <w:tcBorders>
              <w:top w:val="nil"/>
              <w:left w:val="nil"/>
              <w:bottom w:val="single" w:sz="4" w:space="0" w:color="auto"/>
              <w:right w:val="single" w:sz="4" w:space="0" w:color="auto"/>
            </w:tcBorders>
            <w:shd w:val="clear" w:color="auto" w:fill="auto"/>
            <w:noWrap/>
            <w:vAlign w:val="bottom"/>
            <w:hideMark/>
          </w:tcPr>
          <w:p w14:paraId="1BF8506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32,396 </w:t>
            </w:r>
          </w:p>
        </w:tc>
        <w:tc>
          <w:tcPr>
            <w:tcW w:w="1569" w:type="dxa"/>
            <w:tcBorders>
              <w:top w:val="nil"/>
              <w:left w:val="nil"/>
              <w:bottom w:val="single" w:sz="4" w:space="0" w:color="auto"/>
              <w:right w:val="single" w:sz="4" w:space="0" w:color="auto"/>
            </w:tcBorders>
            <w:shd w:val="clear" w:color="auto" w:fill="auto"/>
            <w:noWrap/>
            <w:vAlign w:val="bottom"/>
            <w:hideMark/>
          </w:tcPr>
          <w:p w14:paraId="203223CA"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11.6%</w:t>
            </w:r>
          </w:p>
        </w:tc>
      </w:tr>
      <w:tr w:rsidR="00D22349" w:rsidRPr="000A1433" w14:paraId="708D4CA6"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72F6A28"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lastRenderedPageBreak/>
              <w:t>Vance</w:t>
            </w:r>
          </w:p>
        </w:tc>
        <w:tc>
          <w:tcPr>
            <w:tcW w:w="2827" w:type="dxa"/>
            <w:tcBorders>
              <w:top w:val="nil"/>
              <w:left w:val="nil"/>
              <w:bottom w:val="single" w:sz="4" w:space="0" w:color="auto"/>
              <w:right w:val="single" w:sz="4" w:space="0" w:color="auto"/>
            </w:tcBorders>
            <w:shd w:val="clear" w:color="auto" w:fill="auto"/>
            <w:noWrap/>
            <w:vAlign w:val="bottom"/>
            <w:hideMark/>
          </w:tcPr>
          <w:p w14:paraId="01085DF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1,532,400 </w:t>
            </w:r>
          </w:p>
        </w:tc>
        <w:tc>
          <w:tcPr>
            <w:tcW w:w="1994" w:type="dxa"/>
            <w:tcBorders>
              <w:top w:val="nil"/>
              <w:left w:val="nil"/>
              <w:bottom w:val="single" w:sz="4" w:space="0" w:color="auto"/>
              <w:right w:val="single" w:sz="4" w:space="0" w:color="auto"/>
            </w:tcBorders>
            <w:shd w:val="clear" w:color="auto" w:fill="auto"/>
            <w:noWrap/>
            <w:vAlign w:val="bottom"/>
            <w:hideMark/>
          </w:tcPr>
          <w:p w14:paraId="3909B9F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30,145 </w:t>
            </w:r>
          </w:p>
        </w:tc>
        <w:tc>
          <w:tcPr>
            <w:tcW w:w="1569" w:type="dxa"/>
            <w:tcBorders>
              <w:top w:val="nil"/>
              <w:left w:val="nil"/>
              <w:bottom w:val="single" w:sz="4" w:space="0" w:color="auto"/>
              <w:right w:val="single" w:sz="4" w:space="0" w:color="auto"/>
            </w:tcBorders>
            <w:shd w:val="clear" w:color="auto" w:fill="auto"/>
            <w:noWrap/>
            <w:vAlign w:val="bottom"/>
            <w:hideMark/>
          </w:tcPr>
          <w:p w14:paraId="45307F3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30.1%</w:t>
            </w:r>
          </w:p>
        </w:tc>
      </w:tr>
      <w:tr w:rsidR="00D22349" w:rsidRPr="000A1433" w14:paraId="51651EEA"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77C27D2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Hyde</w:t>
            </w:r>
          </w:p>
        </w:tc>
        <w:tc>
          <w:tcPr>
            <w:tcW w:w="2827" w:type="dxa"/>
            <w:tcBorders>
              <w:top w:val="nil"/>
              <w:left w:val="nil"/>
              <w:bottom w:val="single" w:sz="4" w:space="0" w:color="auto"/>
              <w:right w:val="single" w:sz="4" w:space="0" w:color="auto"/>
            </w:tcBorders>
            <w:shd w:val="clear" w:color="auto" w:fill="auto"/>
            <w:noWrap/>
            <w:vAlign w:val="bottom"/>
            <w:hideMark/>
          </w:tcPr>
          <w:p w14:paraId="7B4937BB"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1,200,000 </w:t>
            </w:r>
          </w:p>
        </w:tc>
        <w:tc>
          <w:tcPr>
            <w:tcW w:w="1994" w:type="dxa"/>
            <w:tcBorders>
              <w:top w:val="nil"/>
              <w:left w:val="nil"/>
              <w:bottom w:val="single" w:sz="4" w:space="0" w:color="auto"/>
              <w:right w:val="single" w:sz="4" w:space="0" w:color="auto"/>
            </w:tcBorders>
            <w:shd w:val="clear" w:color="auto" w:fill="auto"/>
            <w:noWrap/>
            <w:vAlign w:val="bottom"/>
            <w:hideMark/>
          </w:tcPr>
          <w:p w14:paraId="42EC020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45,466 </w:t>
            </w:r>
          </w:p>
        </w:tc>
        <w:tc>
          <w:tcPr>
            <w:tcW w:w="1569" w:type="dxa"/>
            <w:tcBorders>
              <w:top w:val="nil"/>
              <w:left w:val="nil"/>
              <w:bottom w:val="single" w:sz="4" w:space="0" w:color="auto"/>
              <w:right w:val="single" w:sz="4" w:space="0" w:color="auto"/>
            </w:tcBorders>
            <w:shd w:val="clear" w:color="auto" w:fill="auto"/>
            <w:noWrap/>
            <w:vAlign w:val="bottom"/>
            <w:hideMark/>
          </w:tcPr>
          <w:p w14:paraId="7316EBE8"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22.3%</w:t>
            </w:r>
          </w:p>
        </w:tc>
      </w:tr>
      <w:tr w:rsidR="00D22349" w:rsidRPr="000A1433" w14:paraId="65389C3F"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2F5FC5C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Wilkes</w:t>
            </w:r>
          </w:p>
        </w:tc>
        <w:tc>
          <w:tcPr>
            <w:tcW w:w="2827" w:type="dxa"/>
            <w:tcBorders>
              <w:top w:val="nil"/>
              <w:left w:val="nil"/>
              <w:bottom w:val="single" w:sz="4" w:space="0" w:color="auto"/>
              <w:right w:val="single" w:sz="4" w:space="0" w:color="auto"/>
            </w:tcBorders>
            <w:shd w:val="clear" w:color="auto" w:fill="auto"/>
            <w:noWrap/>
            <w:vAlign w:val="bottom"/>
            <w:hideMark/>
          </w:tcPr>
          <w:p w14:paraId="083279A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1,193,114 </w:t>
            </w:r>
          </w:p>
        </w:tc>
        <w:tc>
          <w:tcPr>
            <w:tcW w:w="1994" w:type="dxa"/>
            <w:tcBorders>
              <w:top w:val="nil"/>
              <w:left w:val="nil"/>
              <w:bottom w:val="single" w:sz="4" w:space="0" w:color="auto"/>
              <w:right w:val="single" w:sz="4" w:space="0" w:color="auto"/>
            </w:tcBorders>
            <w:shd w:val="clear" w:color="auto" w:fill="auto"/>
            <w:noWrap/>
            <w:vAlign w:val="bottom"/>
            <w:hideMark/>
          </w:tcPr>
          <w:p w14:paraId="13718470"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40,829 </w:t>
            </w:r>
          </w:p>
        </w:tc>
        <w:tc>
          <w:tcPr>
            <w:tcW w:w="1569" w:type="dxa"/>
            <w:tcBorders>
              <w:top w:val="nil"/>
              <w:left w:val="nil"/>
              <w:bottom w:val="single" w:sz="4" w:space="0" w:color="auto"/>
              <w:right w:val="single" w:sz="4" w:space="0" w:color="auto"/>
            </w:tcBorders>
            <w:shd w:val="clear" w:color="auto" w:fill="auto"/>
            <w:noWrap/>
            <w:vAlign w:val="bottom"/>
            <w:hideMark/>
          </w:tcPr>
          <w:p w14:paraId="04F279D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19.9%</w:t>
            </w:r>
          </w:p>
        </w:tc>
      </w:tr>
      <w:tr w:rsidR="00D22349" w:rsidRPr="000A1433" w14:paraId="65E8F045"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47CEFBB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Pasquotank</w:t>
            </w:r>
          </w:p>
        </w:tc>
        <w:tc>
          <w:tcPr>
            <w:tcW w:w="2827" w:type="dxa"/>
            <w:tcBorders>
              <w:top w:val="nil"/>
              <w:left w:val="nil"/>
              <w:bottom w:val="single" w:sz="4" w:space="0" w:color="auto"/>
              <w:right w:val="single" w:sz="4" w:space="0" w:color="auto"/>
            </w:tcBorders>
            <w:shd w:val="clear" w:color="auto" w:fill="auto"/>
            <w:noWrap/>
            <w:vAlign w:val="bottom"/>
            <w:hideMark/>
          </w:tcPr>
          <w:p w14:paraId="6A9CA693"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1,070,447 </w:t>
            </w:r>
          </w:p>
        </w:tc>
        <w:tc>
          <w:tcPr>
            <w:tcW w:w="1994" w:type="dxa"/>
            <w:tcBorders>
              <w:top w:val="nil"/>
              <w:left w:val="nil"/>
              <w:bottom w:val="single" w:sz="4" w:space="0" w:color="auto"/>
              <w:right w:val="single" w:sz="4" w:space="0" w:color="auto"/>
            </w:tcBorders>
            <w:shd w:val="clear" w:color="auto" w:fill="auto"/>
            <w:noWrap/>
            <w:vAlign w:val="bottom"/>
            <w:hideMark/>
          </w:tcPr>
          <w:p w14:paraId="16AF4D9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36,681 </w:t>
            </w:r>
          </w:p>
        </w:tc>
        <w:tc>
          <w:tcPr>
            <w:tcW w:w="1569" w:type="dxa"/>
            <w:tcBorders>
              <w:top w:val="nil"/>
              <w:left w:val="nil"/>
              <w:bottom w:val="single" w:sz="4" w:space="0" w:color="auto"/>
              <w:right w:val="single" w:sz="4" w:space="0" w:color="auto"/>
            </w:tcBorders>
            <w:shd w:val="clear" w:color="auto" w:fill="auto"/>
            <w:noWrap/>
            <w:vAlign w:val="bottom"/>
            <w:hideMark/>
          </w:tcPr>
          <w:p w14:paraId="5E405AD1"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24.6%</w:t>
            </w:r>
          </w:p>
        </w:tc>
      </w:tr>
      <w:tr w:rsidR="00D22349" w:rsidRPr="000A1433" w14:paraId="12B2A139"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345679E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Jackson</w:t>
            </w:r>
          </w:p>
        </w:tc>
        <w:tc>
          <w:tcPr>
            <w:tcW w:w="2827" w:type="dxa"/>
            <w:tcBorders>
              <w:top w:val="nil"/>
              <w:left w:val="nil"/>
              <w:bottom w:val="single" w:sz="4" w:space="0" w:color="auto"/>
              <w:right w:val="single" w:sz="4" w:space="0" w:color="auto"/>
            </w:tcBorders>
            <w:shd w:val="clear" w:color="auto" w:fill="auto"/>
            <w:noWrap/>
            <w:vAlign w:val="bottom"/>
            <w:hideMark/>
          </w:tcPr>
          <w:p w14:paraId="74908AC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1,000,000 </w:t>
            </w:r>
          </w:p>
        </w:tc>
        <w:tc>
          <w:tcPr>
            <w:tcW w:w="1994" w:type="dxa"/>
            <w:tcBorders>
              <w:top w:val="nil"/>
              <w:left w:val="nil"/>
              <w:bottom w:val="single" w:sz="4" w:space="0" w:color="auto"/>
              <w:right w:val="single" w:sz="4" w:space="0" w:color="auto"/>
            </w:tcBorders>
            <w:shd w:val="clear" w:color="auto" w:fill="auto"/>
            <w:noWrap/>
            <w:vAlign w:val="bottom"/>
            <w:hideMark/>
          </w:tcPr>
          <w:p w14:paraId="6828128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44,028 </w:t>
            </w:r>
          </w:p>
        </w:tc>
        <w:tc>
          <w:tcPr>
            <w:tcW w:w="1569" w:type="dxa"/>
            <w:tcBorders>
              <w:top w:val="nil"/>
              <w:left w:val="nil"/>
              <w:bottom w:val="single" w:sz="4" w:space="0" w:color="auto"/>
              <w:right w:val="single" w:sz="4" w:space="0" w:color="auto"/>
            </w:tcBorders>
            <w:shd w:val="clear" w:color="auto" w:fill="auto"/>
            <w:noWrap/>
            <w:vAlign w:val="bottom"/>
            <w:hideMark/>
          </w:tcPr>
          <w:p w14:paraId="645B03EE"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19.4%</w:t>
            </w:r>
          </w:p>
        </w:tc>
      </w:tr>
      <w:tr w:rsidR="00D22349" w:rsidRPr="000A1433" w14:paraId="49A6ECE6"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9DFC06D"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Bladen</w:t>
            </w:r>
          </w:p>
        </w:tc>
        <w:tc>
          <w:tcPr>
            <w:tcW w:w="2827" w:type="dxa"/>
            <w:tcBorders>
              <w:top w:val="nil"/>
              <w:left w:val="nil"/>
              <w:bottom w:val="single" w:sz="4" w:space="0" w:color="auto"/>
              <w:right w:val="single" w:sz="4" w:space="0" w:color="auto"/>
            </w:tcBorders>
            <w:shd w:val="clear" w:color="auto" w:fill="auto"/>
            <w:noWrap/>
            <w:vAlign w:val="bottom"/>
            <w:hideMark/>
          </w:tcPr>
          <w:p w14:paraId="47E602B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940,500 </w:t>
            </w:r>
          </w:p>
        </w:tc>
        <w:tc>
          <w:tcPr>
            <w:tcW w:w="1994" w:type="dxa"/>
            <w:tcBorders>
              <w:top w:val="nil"/>
              <w:left w:val="nil"/>
              <w:bottom w:val="single" w:sz="4" w:space="0" w:color="auto"/>
              <w:right w:val="single" w:sz="4" w:space="0" w:color="auto"/>
            </w:tcBorders>
            <w:shd w:val="clear" w:color="auto" w:fill="auto"/>
            <w:noWrap/>
            <w:vAlign w:val="bottom"/>
            <w:hideMark/>
          </w:tcPr>
          <w:p w14:paraId="5E022C1F"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33,958 </w:t>
            </w:r>
          </w:p>
        </w:tc>
        <w:tc>
          <w:tcPr>
            <w:tcW w:w="1569" w:type="dxa"/>
            <w:tcBorders>
              <w:top w:val="nil"/>
              <w:left w:val="nil"/>
              <w:bottom w:val="single" w:sz="4" w:space="0" w:color="auto"/>
              <w:right w:val="single" w:sz="4" w:space="0" w:color="auto"/>
            </w:tcBorders>
            <w:shd w:val="clear" w:color="auto" w:fill="auto"/>
            <w:noWrap/>
            <w:vAlign w:val="bottom"/>
            <w:hideMark/>
          </w:tcPr>
          <w:p w14:paraId="146389B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24.9%</w:t>
            </w:r>
          </w:p>
        </w:tc>
      </w:tr>
      <w:tr w:rsidR="00D22349" w:rsidRPr="000A1433" w14:paraId="6ADF8BE7"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23DB0EF8"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Haywood</w:t>
            </w:r>
          </w:p>
        </w:tc>
        <w:tc>
          <w:tcPr>
            <w:tcW w:w="2827" w:type="dxa"/>
            <w:tcBorders>
              <w:top w:val="nil"/>
              <w:left w:val="nil"/>
              <w:bottom w:val="single" w:sz="4" w:space="0" w:color="auto"/>
              <w:right w:val="single" w:sz="4" w:space="0" w:color="auto"/>
            </w:tcBorders>
            <w:shd w:val="clear" w:color="auto" w:fill="auto"/>
            <w:noWrap/>
            <w:vAlign w:val="bottom"/>
            <w:hideMark/>
          </w:tcPr>
          <w:p w14:paraId="25DA0AA6"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910,050 </w:t>
            </w:r>
          </w:p>
        </w:tc>
        <w:tc>
          <w:tcPr>
            <w:tcW w:w="1994" w:type="dxa"/>
            <w:tcBorders>
              <w:top w:val="nil"/>
              <w:left w:val="nil"/>
              <w:bottom w:val="single" w:sz="4" w:space="0" w:color="auto"/>
              <w:right w:val="single" w:sz="4" w:space="0" w:color="auto"/>
            </w:tcBorders>
            <w:shd w:val="clear" w:color="auto" w:fill="auto"/>
            <w:noWrap/>
            <w:vAlign w:val="bottom"/>
            <w:hideMark/>
          </w:tcPr>
          <w:p w14:paraId="38D751E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58,553 </w:t>
            </w:r>
          </w:p>
        </w:tc>
        <w:tc>
          <w:tcPr>
            <w:tcW w:w="1569" w:type="dxa"/>
            <w:tcBorders>
              <w:top w:val="nil"/>
              <w:left w:val="nil"/>
              <w:bottom w:val="single" w:sz="4" w:space="0" w:color="auto"/>
              <w:right w:val="single" w:sz="4" w:space="0" w:color="auto"/>
            </w:tcBorders>
            <w:shd w:val="clear" w:color="auto" w:fill="auto"/>
            <w:noWrap/>
            <w:vAlign w:val="bottom"/>
            <w:hideMark/>
          </w:tcPr>
          <w:p w14:paraId="376CFAD5"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7.9%</w:t>
            </w:r>
          </w:p>
        </w:tc>
      </w:tr>
      <w:tr w:rsidR="00D22349" w:rsidRPr="000A1433" w14:paraId="5072ED41"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1D07048C"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Alexander</w:t>
            </w:r>
          </w:p>
        </w:tc>
        <w:tc>
          <w:tcPr>
            <w:tcW w:w="2827" w:type="dxa"/>
            <w:tcBorders>
              <w:top w:val="nil"/>
              <w:left w:val="nil"/>
              <w:bottom w:val="single" w:sz="4" w:space="0" w:color="auto"/>
              <w:right w:val="single" w:sz="4" w:space="0" w:color="auto"/>
            </w:tcBorders>
            <w:shd w:val="clear" w:color="auto" w:fill="auto"/>
            <w:noWrap/>
            <w:vAlign w:val="bottom"/>
            <w:hideMark/>
          </w:tcPr>
          <w:p w14:paraId="31462A6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894,750 </w:t>
            </w:r>
          </w:p>
        </w:tc>
        <w:tc>
          <w:tcPr>
            <w:tcW w:w="1994" w:type="dxa"/>
            <w:tcBorders>
              <w:top w:val="nil"/>
              <w:left w:val="nil"/>
              <w:bottom w:val="single" w:sz="4" w:space="0" w:color="auto"/>
              <w:right w:val="single" w:sz="4" w:space="0" w:color="auto"/>
            </w:tcBorders>
            <w:shd w:val="clear" w:color="auto" w:fill="auto"/>
            <w:noWrap/>
            <w:vAlign w:val="bottom"/>
            <w:hideMark/>
          </w:tcPr>
          <w:p w14:paraId="6BD680F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44,961 </w:t>
            </w:r>
          </w:p>
        </w:tc>
        <w:tc>
          <w:tcPr>
            <w:tcW w:w="1569" w:type="dxa"/>
            <w:tcBorders>
              <w:top w:val="nil"/>
              <w:left w:val="nil"/>
              <w:bottom w:val="single" w:sz="4" w:space="0" w:color="auto"/>
              <w:right w:val="single" w:sz="4" w:space="0" w:color="auto"/>
            </w:tcBorders>
            <w:shd w:val="clear" w:color="auto" w:fill="auto"/>
            <w:noWrap/>
            <w:vAlign w:val="bottom"/>
            <w:hideMark/>
          </w:tcPr>
          <w:p w14:paraId="1F1DAC9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14.9%</w:t>
            </w:r>
          </w:p>
        </w:tc>
      </w:tr>
      <w:tr w:rsidR="00D22349" w:rsidRPr="000A1433" w14:paraId="019C2196"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6404ACA1"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Ashe</w:t>
            </w:r>
          </w:p>
        </w:tc>
        <w:tc>
          <w:tcPr>
            <w:tcW w:w="2827" w:type="dxa"/>
            <w:tcBorders>
              <w:top w:val="nil"/>
              <w:left w:val="nil"/>
              <w:bottom w:val="single" w:sz="4" w:space="0" w:color="auto"/>
              <w:right w:val="single" w:sz="4" w:space="0" w:color="auto"/>
            </w:tcBorders>
            <w:shd w:val="clear" w:color="auto" w:fill="auto"/>
            <w:noWrap/>
            <w:vAlign w:val="bottom"/>
            <w:hideMark/>
          </w:tcPr>
          <w:p w14:paraId="225F8A69"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661,480 </w:t>
            </w:r>
          </w:p>
        </w:tc>
        <w:tc>
          <w:tcPr>
            <w:tcW w:w="1994" w:type="dxa"/>
            <w:tcBorders>
              <w:top w:val="nil"/>
              <w:left w:val="nil"/>
              <w:bottom w:val="single" w:sz="4" w:space="0" w:color="auto"/>
              <w:right w:val="single" w:sz="4" w:space="0" w:color="auto"/>
            </w:tcBorders>
            <w:shd w:val="clear" w:color="auto" w:fill="auto"/>
            <w:noWrap/>
            <w:vAlign w:val="bottom"/>
            <w:hideMark/>
          </w:tcPr>
          <w:p w14:paraId="464DA387"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25,446 </w:t>
            </w:r>
          </w:p>
        </w:tc>
        <w:tc>
          <w:tcPr>
            <w:tcW w:w="1569" w:type="dxa"/>
            <w:tcBorders>
              <w:top w:val="nil"/>
              <w:left w:val="nil"/>
              <w:bottom w:val="single" w:sz="4" w:space="0" w:color="auto"/>
              <w:right w:val="single" w:sz="4" w:space="0" w:color="auto"/>
            </w:tcBorders>
            <w:shd w:val="clear" w:color="auto" w:fill="auto"/>
            <w:noWrap/>
            <w:vAlign w:val="bottom"/>
            <w:hideMark/>
          </w:tcPr>
          <w:p w14:paraId="2B875387"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23.2%</w:t>
            </w:r>
          </w:p>
        </w:tc>
      </w:tr>
      <w:tr w:rsidR="00D22349" w:rsidRPr="000A1433" w14:paraId="5074EA57" w14:textId="77777777" w:rsidTr="006D5C05">
        <w:trPr>
          <w:trHeight w:val="257"/>
        </w:trPr>
        <w:tc>
          <w:tcPr>
            <w:tcW w:w="2936" w:type="dxa"/>
            <w:tcBorders>
              <w:top w:val="nil"/>
              <w:left w:val="single" w:sz="4" w:space="0" w:color="auto"/>
              <w:bottom w:val="single" w:sz="4" w:space="0" w:color="auto"/>
              <w:right w:val="single" w:sz="4" w:space="0" w:color="auto"/>
            </w:tcBorders>
            <w:shd w:val="clear" w:color="auto" w:fill="auto"/>
            <w:noWrap/>
            <w:vAlign w:val="bottom"/>
            <w:hideMark/>
          </w:tcPr>
          <w:p w14:paraId="5DC12C2A"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Franklin</w:t>
            </w:r>
          </w:p>
        </w:tc>
        <w:tc>
          <w:tcPr>
            <w:tcW w:w="2827" w:type="dxa"/>
            <w:tcBorders>
              <w:top w:val="nil"/>
              <w:left w:val="nil"/>
              <w:bottom w:val="single" w:sz="4" w:space="0" w:color="auto"/>
              <w:right w:val="single" w:sz="4" w:space="0" w:color="auto"/>
            </w:tcBorders>
            <w:shd w:val="clear" w:color="auto" w:fill="auto"/>
            <w:noWrap/>
            <w:vAlign w:val="bottom"/>
            <w:hideMark/>
          </w:tcPr>
          <w:p w14:paraId="56C83BB2"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532,100 </w:t>
            </w:r>
          </w:p>
        </w:tc>
        <w:tc>
          <w:tcPr>
            <w:tcW w:w="1994" w:type="dxa"/>
            <w:tcBorders>
              <w:top w:val="nil"/>
              <w:left w:val="nil"/>
              <w:bottom w:val="single" w:sz="4" w:space="0" w:color="auto"/>
              <w:right w:val="single" w:sz="4" w:space="0" w:color="auto"/>
            </w:tcBorders>
            <w:shd w:val="clear" w:color="auto" w:fill="auto"/>
            <w:noWrap/>
            <w:vAlign w:val="bottom"/>
            <w:hideMark/>
          </w:tcPr>
          <w:p w14:paraId="5AA70B4E" w14:textId="77777777" w:rsidR="00D22349" w:rsidRPr="000A1433" w:rsidRDefault="00D22349" w:rsidP="006D5C05">
            <w:pPr>
              <w:rPr>
                <w:rFonts w:ascii="Calibri" w:hAnsi="Calibri" w:cs="Calibri"/>
                <w:color w:val="000000"/>
                <w:sz w:val="22"/>
                <w:szCs w:val="22"/>
              </w:rPr>
            </w:pPr>
            <w:r w:rsidRPr="000A1433">
              <w:rPr>
                <w:rFonts w:ascii="Calibri" w:hAnsi="Calibri" w:cs="Calibri"/>
                <w:color w:val="000000"/>
                <w:sz w:val="22"/>
                <w:szCs w:val="22"/>
              </w:rPr>
              <w:t xml:space="preserve"> $        29,941 </w:t>
            </w:r>
          </w:p>
        </w:tc>
        <w:tc>
          <w:tcPr>
            <w:tcW w:w="1569" w:type="dxa"/>
            <w:tcBorders>
              <w:top w:val="nil"/>
              <w:left w:val="nil"/>
              <w:bottom w:val="single" w:sz="4" w:space="0" w:color="auto"/>
              <w:right w:val="single" w:sz="4" w:space="0" w:color="auto"/>
            </w:tcBorders>
            <w:shd w:val="clear" w:color="auto" w:fill="auto"/>
            <w:noWrap/>
            <w:vAlign w:val="bottom"/>
            <w:hideMark/>
          </w:tcPr>
          <w:p w14:paraId="5569A1E6" w14:textId="77777777" w:rsidR="00D22349" w:rsidRPr="000A1433" w:rsidRDefault="00D22349" w:rsidP="006D5C05">
            <w:pPr>
              <w:jc w:val="right"/>
              <w:rPr>
                <w:rFonts w:ascii="Calibri" w:hAnsi="Calibri" w:cs="Calibri"/>
                <w:color w:val="000000"/>
                <w:sz w:val="22"/>
                <w:szCs w:val="22"/>
              </w:rPr>
            </w:pPr>
            <w:r w:rsidRPr="000A1433">
              <w:rPr>
                <w:rFonts w:ascii="Calibri" w:hAnsi="Calibri" w:cs="Calibri"/>
                <w:color w:val="000000"/>
                <w:sz w:val="22"/>
                <w:szCs w:val="22"/>
              </w:rPr>
              <w:t>24.2%</w:t>
            </w:r>
          </w:p>
        </w:tc>
      </w:tr>
    </w:tbl>
    <w:p w14:paraId="304EFA20" w14:textId="77777777" w:rsidR="00D22349" w:rsidRPr="007D0D36" w:rsidRDefault="00D22349" w:rsidP="00D22349">
      <w:pPr>
        <w:spacing w:after="240"/>
        <w:rPr>
          <w:sz w:val="16"/>
          <w:szCs w:val="16"/>
        </w:rPr>
      </w:pPr>
      <w:r w:rsidRPr="007D0D36">
        <w:rPr>
          <w:sz w:val="16"/>
          <w:szCs w:val="16"/>
        </w:rPr>
        <w:t>Source: North Carolina Division of Water</w:t>
      </w:r>
    </w:p>
    <w:p w14:paraId="1BF114E2" w14:textId="77777777" w:rsidR="00EB7A5C" w:rsidRDefault="00EB7A5C" w:rsidP="00EB7A5C">
      <w:pPr>
        <w:spacing w:after="240"/>
      </w:pPr>
      <w:r>
        <w:t>DEQ manages a statewide competitive process among the 400 small town potential applicants. Grant-funded projects include primarily the rehabilitation of extension lines for failing wells and septic systems in very low- and moderate-income areas where water/sewer service rates exceed the state’s average rates. Over the past six years, DEQ has financed 720 housing unit connections for upgraded service.</w:t>
      </w:r>
    </w:p>
    <w:p w14:paraId="0ABAE910" w14:textId="77777777" w:rsidR="00EB7A5C" w:rsidRDefault="00EB7A5C" w:rsidP="00EB7A5C">
      <w:pPr>
        <w:spacing w:after="240"/>
      </w:pPr>
      <w:r>
        <w:t xml:space="preserve">These funds are primarily invested in rural areas of North Carolina, especially in the Inner Coastal Plains. Four counties in this region have received over $10 million in CDBG funds for water and sewage infrastructure: Duplin, Pitt, </w:t>
      </w:r>
      <w:proofErr w:type="gramStart"/>
      <w:r>
        <w:t>Columbus</w:t>
      </w:r>
      <w:proofErr w:type="gramEnd"/>
      <w:r>
        <w:t xml:space="preserve"> and Robeson. These counties show significantly higher poverty rates and lower median household incomes compared to the statewide benchmarks of 14% poverty and a $52,413 median household income.</w:t>
      </w:r>
    </w:p>
    <w:p w14:paraId="3F8BBED0" w14:textId="77777777" w:rsidR="00EB7A5C" w:rsidRDefault="00EB7A5C" w:rsidP="00EB7A5C">
      <w:pPr>
        <w:spacing w:after="240"/>
      </w:pPr>
      <w:r>
        <w:t xml:space="preserve">All CDBG grantees are required to undergo fair housing training, which is mandatory for elected officials, a community’s Section 3 representative and the local grant administrator. DEQ provides the in-person training, which has changed to virtual training since Covid-19. Notably, DEQ has created an Affirmatively Furthering Fair Housing Plan template for all CDBG subgrantees. An educational tool itself, the plan template includes a clear policy statement with an overview of applicable state and federal laws including the recent Preserving Community and Neighborhood Choice final rule. The plan requires each subrecipient community to designate a fair housing officer and explains its role and responsibilities. The housing complaint process provides links to online resources for filing a discrimination complaint with HUD, the North Carolina Office of Administrative </w:t>
      </w:r>
      <w:proofErr w:type="gramStart"/>
      <w:r>
        <w:t>Hearings</w:t>
      </w:r>
      <w:proofErr w:type="gramEnd"/>
      <w:r>
        <w:t xml:space="preserve"> and the U.S. Department of Justice.</w:t>
      </w:r>
    </w:p>
    <w:p w14:paraId="6F240DA6" w14:textId="2A4829C0" w:rsidR="00EB7A5C" w:rsidRDefault="00EB7A5C" w:rsidP="00EB7A5C">
      <w:pPr>
        <w:spacing w:after="240"/>
      </w:pPr>
      <w:r>
        <w:t xml:space="preserve">Each plan is guided by the unique local needs and interests identified by a community. The proposed activities must be implemented on a quarterly basis and tracked for compliance. In addition, DEQ requires three activities such as publication of fair housing complaint procedures and the contact information for the fair housing officer, inclusion of the Equal Housing Opportunity logo or phrase on all CDBG documents made publicly available and displaying of fair housing and Equal Housing Opportunity posters in prominent locations. The elected body of the community is required to adopt the completed plan, the Equal Housing Opportunity </w:t>
      </w:r>
      <w:proofErr w:type="gramStart"/>
      <w:r>
        <w:t>Resolution</w:t>
      </w:r>
      <w:proofErr w:type="gramEnd"/>
      <w:r>
        <w:t xml:space="preserve"> and the Fair Housing Complaint Procedure to remain in compliance with its CDBG grant agreement. It was recommended that DEQ note that the document is available in Spanish beneath the title of the plan on the first page along with contact information for obtaining the </w:t>
      </w:r>
      <w:r>
        <w:lastRenderedPageBreak/>
        <w:t>Spanish version. In terms of language assistance, DEQ places this responsibility on the subrecipient, which may include seeking language services from their county or a nearby town.</w:t>
      </w:r>
    </w:p>
    <w:p w14:paraId="552C7C36" w14:textId="77777777" w:rsidR="00EB7A5C" w:rsidRDefault="00EB7A5C" w:rsidP="00EB7A5C">
      <w:pPr>
        <w:spacing w:after="240"/>
      </w:pPr>
      <w:r>
        <w:t xml:space="preserve">Instances of non-compliance with fair housing requirements are strongly enforced during the post-award training. DEQ staff work closely with subrecipients when corrective action is required. A subrecipient community’s fair housing plan is required to be submitted each February and grant funds can be frozen for non-submittals. DEQ reported no instances of non-compliance related to fair housing. </w:t>
      </w:r>
    </w:p>
    <w:p w14:paraId="26A5F477" w14:textId="77777777" w:rsidR="00EB7A5C" w:rsidRDefault="00EB7A5C" w:rsidP="00EB7A5C">
      <w:pPr>
        <w:spacing w:after="240"/>
      </w:pPr>
      <w:r>
        <w:t>DEQ strongly encourages its own staff to attend the same fair housing training as its CDBG subrecipients although it is not required.</w:t>
      </w:r>
    </w:p>
    <w:p w14:paraId="71026FD7" w14:textId="07C1739C" w:rsidR="00455649" w:rsidRPr="005E3505" w:rsidRDefault="00455649" w:rsidP="009B28C6">
      <w:pPr>
        <w:pStyle w:val="Heading3"/>
        <w:rPr>
          <w:lang w:bidi="en-US"/>
        </w:rPr>
      </w:pPr>
      <w:bookmarkStart w:id="87" w:name="_Toc66807941"/>
      <w:r w:rsidRPr="005E3505">
        <w:rPr>
          <w:lang w:bidi="en-US"/>
        </w:rPr>
        <w:t>Community Development Block Grant</w:t>
      </w:r>
      <w:r>
        <w:rPr>
          <w:lang w:bidi="en-US"/>
        </w:rPr>
        <w:t xml:space="preserve"> – Disaster Recovery </w:t>
      </w:r>
      <w:r w:rsidRPr="005E3505">
        <w:rPr>
          <w:lang w:bidi="en-US"/>
        </w:rPr>
        <w:t>Program</w:t>
      </w:r>
      <w:bookmarkEnd w:id="87"/>
    </w:p>
    <w:p w14:paraId="05897788" w14:textId="7846058C" w:rsidR="00455649" w:rsidRDefault="00455649" w:rsidP="00455649">
      <w:pPr>
        <w:rPr>
          <w:rFonts w:eastAsiaTheme="minorEastAsia"/>
          <w:lang w:bidi="en-US"/>
        </w:rPr>
      </w:pPr>
      <w:r w:rsidRPr="00A41CBB">
        <w:rPr>
          <w:rFonts w:eastAsiaTheme="minorEastAsia"/>
          <w:highlight w:val="lightGray"/>
          <w:lang w:bidi="en-US"/>
        </w:rPr>
        <w:t>[</w:t>
      </w:r>
      <w:r w:rsidR="004C2086">
        <w:rPr>
          <w:rFonts w:eastAsiaTheme="minorEastAsia"/>
          <w:highlight w:val="lightGray"/>
          <w:lang w:bidi="en-US"/>
        </w:rPr>
        <w:t xml:space="preserve">We were unable to </w:t>
      </w:r>
      <w:proofErr w:type="gramStart"/>
      <w:r w:rsidR="004C2086">
        <w:rPr>
          <w:rFonts w:eastAsiaTheme="minorEastAsia"/>
          <w:highlight w:val="lightGray"/>
          <w:lang w:bidi="en-US"/>
        </w:rPr>
        <w:t>make contact with</w:t>
      </w:r>
      <w:proofErr w:type="gramEnd"/>
      <w:r w:rsidR="004C2086">
        <w:rPr>
          <w:rFonts w:eastAsiaTheme="minorEastAsia"/>
          <w:highlight w:val="lightGray"/>
          <w:lang w:bidi="en-US"/>
        </w:rPr>
        <w:t xml:space="preserve"> </w:t>
      </w:r>
      <w:r w:rsidR="00F91416">
        <w:rPr>
          <w:rFonts w:eastAsiaTheme="minorEastAsia"/>
          <w:highlight w:val="lightGray"/>
          <w:lang w:bidi="en-US"/>
        </w:rPr>
        <w:t>Laura Hogshead.</w:t>
      </w:r>
      <w:r w:rsidRPr="00A41CBB">
        <w:rPr>
          <w:rFonts w:eastAsiaTheme="minorEastAsia"/>
          <w:highlight w:val="lightGray"/>
          <w:lang w:bidi="en-US"/>
        </w:rPr>
        <w:t>]</w:t>
      </w:r>
    </w:p>
    <w:bookmarkEnd w:id="85"/>
    <w:p w14:paraId="3C8D59F0" w14:textId="77777777" w:rsidR="00EB7A5C" w:rsidRDefault="00EB7A5C" w:rsidP="009B28C6">
      <w:pPr>
        <w:pStyle w:val="Heading3"/>
        <w:rPr>
          <w:rFonts w:eastAsiaTheme="minorEastAsia"/>
          <w:lang w:bidi="en-US"/>
        </w:rPr>
      </w:pPr>
    </w:p>
    <w:p w14:paraId="45C9BC32" w14:textId="1D17FE8E" w:rsidR="00235125" w:rsidRDefault="00235125" w:rsidP="009B28C6">
      <w:pPr>
        <w:pStyle w:val="Heading3"/>
        <w:rPr>
          <w:rFonts w:eastAsiaTheme="minorEastAsia"/>
          <w:lang w:bidi="en-US"/>
        </w:rPr>
      </w:pPr>
      <w:bookmarkStart w:id="88" w:name="_Toc66807942"/>
      <w:r>
        <w:rPr>
          <w:rFonts w:eastAsiaTheme="minorEastAsia"/>
          <w:lang w:bidi="en-US"/>
        </w:rPr>
        <w:t>HOME Investment Partnerships Program</w:t>
      </w:r>
      <w:bookmarkEnd w:id="88"/>
    </w:p>
    <w:p w14:paraId="2310FA21" w14:textId="78B69EFD" w:rsidR="00235125" w:rsidRDefault="0067096A" w:rsidP="008805A5">
      <w:pPr>
        <w:spacing w:after="240"/>
        <w:rPr>
          <w:rFonts w:eastAsiaTheme="minorEastAsia"/>
          <w:lang w:bidi="en-US"/>
        </w:rPr>
      </w:pPr>
      <w:r>
        <w:rPr>
          <w:rFonts w:eastAsiaTheme="minorEastAsia"/>
          <w:lang w:bidi="en-US"/>
        </w:rPr>
        <w:t xml:space="preserve">The North Carolina Housing Finance Agency (NCHFA) </w:t>
      </w:r>
      <w:r w:rsidR="0034481C">
        <w:rPr>
          <w:rFonts w:eastAsiaTheme="minorEastAsia"/>
          <w:lang w:bidi="en-US"/>
        </w:rPr>
        <w:t>administers the state’s HOME funds</w:t>
      </w:r>
      <w:r w:rsidR="004F4754">
        <w:rPr>
          <w:rFonts w:eastAsiaTheme="minorEastAsia"/>
          <w:lang w:bidi="en-US"/>
        </w:rPr>
        <w:t xml:space="preserve"> as one of several </w:t>
      </w:r>
      <w:r w:rsidR="005C0783">
        <w:rPr>
          <w:rFonts w:eastAsiaTheme="minorEastAsia"/>
          <w:lang w:bidi="en-US"/>
        </w:rPr>
        <w:t>resources for its numerous housing programs.</w:t>
      </w:r>
      <w:r w:rsidR="00E02109">
        <w:rPr>
          <w:rFonts w:eastAsiaTheme="minorEastAsia"/>
          <w:lang w:bidi="en-US"/>
        </w:rPr>
        <w:t xml:space="preserve"> </w:t>
      </w:r>
      <w:r w:rsidR="00A21391">
        <w:rPr>
          <w:rFonts w:eastAsiaTheme="minorEastAsia"/>
          <w:lang w:bidi="en-US"/>
        </w:rPr>
        <w:t xml:space="preserve">In 2020 the state was allocated </w:t>
      </w:r>
      <w:r w:rsidR="001D4C3D">
        <w:rPr>
          <w:rFonts w:eastAsiaTheme="minorEastAsia"/>
          <w:lang w:bidi="en-US"/>
        </w:rPr>
        <w:t xml:space="preserve">just under </w:t>
      </w:r>
      <w:r w:rsidR="00A21391">
        <w:rPr>
          <w:rFonts w:eastAsiaTheme="minorEastAsia"/>
          <w:lang w:bidi="en-US"/>
        </w:rPr>
        <w:t>$</w:t>
      </w:r>
      <w:r w:rsidR="001D4C3D">
        <w:rPr>
          <w:rFonts w:eastAsiaTheme="minorEastAsia"/>
          <w:lang w:bidi="en-US"/>
        </w:rPr>
        <w:t xml:space="preserve">18.2 million in HOME funds. </w:t>
      </w:r>
      <w:r w:rsidR="00E02109">
        <w:rPr>
          <w:rFonts w:eastAsiaTheme="minorEastAsia"/>
          <w:lang w:bidi="en-US"/>
        </w:rPr>
        <w:t>The Agency uses HOME</w:t>
      </w:r>
      <w:r w:rsidR="00D82F56">
        <w:rPr>
          <w:rFonts w:eastAsiaTheme="minorEastAsia"/>
          <w:lang w:bidi="en-US"/>
        </w:rPr>
        <w:t xml:space="preserve"> funds to finance single</w:t>
      </w:r>
      <w:r w:rsidR="000141D4">
        <w:rPr>
          <w:rFonts w:eastAsiaTheme="minorEastAsia"/>
          <w:lang w:bidi="en-US"/>
        </w:rPr>
        <w:t>-</w:t>
      </w:r>
      <w:r w:rsidR="00D82F56">
        <w:rPr>
          <w:rFonts w:eastAsiaTheme="minorEastAsia"/>
          <w:lang w:bidi="en-US"/>
        </w:rPr>
        <w:t xml:space="preserve">family </w:t>
      </w:r>
      <w:r w:rsidR="00F713B8">
        <w:rPr>
          <w:rFonts w:eastAsiaTheme="minorEastAsia"/>
          <w:lang w:bidi="en-US"/>
        </w:rPr>
        <w:t>rehabilitation and</w:t>
      </w:r>
      <w:r w:rsidR="00D82F56">
        <w:rPr>
          <w:rFonts w:eastAsiaTheme="minorEastAsia"/>
          <w:lang w:bidi="en-US"/>
        </w:rPr>
        <w:t xml:space="preserve"> rental production</w:t>
      </w:r>
      <w:r w:rsidR="00F713B8">
        <w:rPr>
          <w:rFonts w:eastAsiaTheme="minorEastAsia"/>
          <w:lang w:bidi="en-US"/>
        </w:rPr>
        <w:t xml:space="preserve"> activities as well as its community partners loan pool and self-help loan pool programs.</w:t>
      </w:r>
      <w:r w:rsidR="001A3EAE">
        <w:rPr>
          <w:rFonts w:eastAsiaTheme="minorEastAsia"/>
          <w:lang w:bidi="en-US"/>
        </w:rPr>
        <w:t xml:space="preserve"> The two loan pools </w:t>
      </w:r>
      <w:r w:rsidR="005744B5">
        <w:rPr>
          <w:rFonts w:eastAsiaTheme="minorEastAsia"/>
          <w:lang w:bidi="en-US"/>
        </w:rPr>
        <w:t>provide downpayment assistan</w:t>
      </w:r>
      <w:r w:rsidR="00D304C1">
        <w:rPr>
          <w:rFonts w:eastAsiaTheme="minorEastAsia"/>
          <w:lang w:bidi="en-US"/>
        </w:rPr>
        <w:t xml:space="preserve">ce and homeowner counseling for homebuyers and gap financing for </w:t>
      </w:r>
      <w:r w:rsidR="006E7D4F">
        <w:rPr>
          <w:rFonts w:eastAsiaTheme="minorEastAsia"/>
          <w:lang w:bidi="en-US"/>
        </w:rPr>
        <w:t>Habitat for Humanity chapters in new single</w:t>
      </w:r>
      <w:r w:rsidR="000141D4">
        <w:rPr>
          <w:rFonts w:eastAsiaTheme="minorEastAsia"/>
          <w:lang w:bidi="en-US"/>
        </w:rPr>
        <w:t>-</w:t>
      </w:r>
      <w:r w:rsidR="006E7D4F">
        <w:rPr>
          <w:rFonts w:eastAsiaTheme="minorEastAsia"/>
          <w:lang w:bidi="en-US"/>
        </w:rPr>
        <w:t xml:space="preserve">family </w:t>
      </w:r>
      <w:r w:rsidR="000141D4">
        <w:rPr>
          <w:rFonts w:eastAsiaTheme="minorEastAsia"/>
          <w:lang w:bidi="en-US"/>
        </w:rPr>
        <w:t xml:space="preserve">unit </w:t>
      </w:r>
      <w:r w:rsidR="006E7D4F">
        <w:rPr>
          <w:rFonts w:eastAsiaTheme="minorEastAsia"/>
          <w:lang w:bidi="en-US"/>
        </w:rPr>
        <w:t>production.</w:t>
      </w:r>
    </w:p>
    <w:p w14:paraId="03C6B83C" w14:textId="0CB6A339" w:rsidR="0071003A" w:rsidRPr="0071003A" w:rsidRDefault="0071003A" w:rsidP="008805A5">
      <w:pPr>
        <w:spacing w:after="240"/>
        <w:rPr>
          <w:rFonts w:eastAsiaTheme="minorEastAsia"/>
          <w:lang w:bidi="en-US"/>
        </w:rPr>
      </w:pPr>
      <w:r w:rsidRPr="00AC1C31">
        <w:rPr>
          <w:rFonts w:eastAsiaTheme="minorEastAsia"/>
          <w:lang w:bidi="en-US"/>
        </w:rPr>
        <w:t>The following map illustrates active HOME-financed housing activities as of November 2020.</w:t>
      </w:r>
      <w:r w:rsidRPr="0071003A">
        <w:rPr>
          <w:rFonts w:eastAsiaTheme="minorEastAsia"/>
          <w:lang w:bidi="en-US"/>
        </w:rPr>
        <w:t xml:space="preserve"> Of the 15,464 dwelling units represented on the map, 773 units (5.0%) </w:t>
      </w:r>
      <w:proofErr w:type="gramStart"/>
      <w:r w:rsidRPr="0071003A">
        <w:rPr>
          <w:rFonts w:eastAsiaTheme="minorEastAsia"/>
          <w:lang w:bidi="en-US"/>
        </w:rPr>
        <w:t>are located in</w:t>
      </w:r>
      <w:proofErr w:type="gramEnd"/>
      <w:r w:rsidRPr="0071003A">
        <w:rPr>
          <w:rFonts w:eastAsiaTheme="minorEastAsia"/>
          <w:lang w:bidi="en-US"/>
        </w:rPr>
        <w:t xml:space="preserve"> R/ECAPs. Additionally, 12,494 units (80.7%) </w:t>
      </w:r>
      <w:proofErr w:type="gramStart"/>
      <w:r w:rsidRPr="0071003A">
        <w:rPr>
          <w:rFonts w:eastAsiaTheme="minorEastAsia"/>
          <w:lang w:bidi="en-US"/>
        </w:rPr>
        <w:t>are located in</w:t>
      </w:r>
      <w:proofErr w:type="gramEnd"/>
      <w:r w:rsidRPr="0071003A">
        <w:rPr>
          <w:rFonts w:eastAsiaTheme="minorEastAsia"/>
          <w:lang w:bidi="en-US"/>
        </w:rPr>
        <w:t xml:space="preserve"> central urban counties. As defined by the United States Office of Management and Budget, central urban counties contain at least 50</w:t>
      </w:r>
      <w:r w:rsidR="004204D3">
        <w:rPr>
          <w:rFonts w:eastAsiaTheme="minorEastAsia"/>
          <w:lang w:bidi="en-US"/>
        </w:rPr>
        <w:t>%</w:t>
      </w:r>
      <w:r w:rsidRPr="0071003A">
        <w:rPr>
          <w:rFonts w:eastAsiaTheme="minorEastAsia"/>
          <w:lang w:bidi="en-US"/>
        </w:rPr>
        <w:t xml:space="preserve"> of the county’s population within urban areas of 10,000 or more people or contain at least 5,000 people residing within a single urban area.</w:t>
      </w:r>
    </w:p>
    <w:p w14:paraId="2F1D1EEB" w14:textId="77777777" w:rsidR="0071003A" w:rsidRDefault="0071003A" w:rsidP="0071003A">
      <w:pPr>
        <w:pStyle w:val="Caption"/>
        <w:rPr>
          <w:rFonts w:eastAsiaTheme="minorEastAsia"/>
          <w:lang w:bidi="en-US"/>
        </w:rPr>
      </w:pPr>
    </w:p>
    <w:p w14:paraId="79969A5A" w14:textId="5FD02A2E" w:rsidR="0071003A" w:rsidRPr="0071003A" w:rsidRDefault="0071003A" w:rsidP="0071003A">
      <w:pPr>
        <w:pStyle w:val="Caption"/>
        <w:rPr>
          <w:rFonts w:eastAsiaTheme="minorEastAsia"/>
          <w:lang w:bidi="en-US"/>
        </w:rPr>
      </w:pPr>
      <w:r w:rsidRPr="0071003A">
        <w:rPr>
          <w:rFonts w:eastAsiaTheme="minorEastAsia"/>
          <w:noProof/>
          <w:lang w:bidi="en-US"/>
        </w:rPr>
        <w:lastRenderedPageBreak/>
        <w:drawing>
          <wp:anchor distT="0" distB="0" distL="114300" distR="114300" simplePos="0" relativeHeight="251701248" behindDoc="0" locked="0" layoutInCell="1" allowOverlap="1" wp14:anchorId="704F520E" wp14:editId="270FC74E">
            <wp:simplePos x="0" y="0"/>
            <wp:positionH relativeFrom="column">
              <wp:posOffset>-120650</wp:posOffset>
            </wp:positionH>
            <wp:positionV relativeFrom="paragraph">
              <wp:posOffset>138430</wp:posOffset>
            </wp:positionV>
            <wp:extent cx="5934710" cy="2967355"/>
            <wp:effectExtent l="0" t="0" r="889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03A">
        <w:rPr>
          <w:rFonts w:eastAsiaTheme="minorEastAsia"/>
          <w:lang w:bidi="en-US"/>
        </w:rPr>
        <w:t xml:space="preserve">Map </w:t>
      </w:r>
      <w:r w:rsidRPr="0071003A">
        <w:rPr>
          <w:rFonts w:eastAsiaTheme="minorEastAsia"/>
          <w:lang w:bidi="en-US"/>
        </w:rPr>
        <w:fldChar w:fldCharType="begin"/>
      </w:r>
      <w:r w:rsidRPr="0071003A">
        <w:rPr>
          <w:rFonts w:eastAsiaTheme="minorEastAsia"/>
          <w:lang w:bidi="en-US"/>
        </w:rPr>
        <w:instrText xml:space="preserve"> SEQ Map \* ARABIC </w:instrText>
      </w:r>
      <w:r w:rsidRPr="0071003A">
        <w:rPr>
          <w:rFonts w:eastAsiaTheme="minorEastAsia"/>
          <w:lang w:bidi="en-US"/>
        </w:rPr>
        <w:fldChar w:fldCharType="separate"/>
      </w:r>
      <w:r w:rsidR="0055251A">
        <w:rPr>
          <w:rFonts w:eastAsiaTheme="minorEastAsia"/>
          <w:noProof/>
          <w:lang w:bidi="en-US"/>
        </w:rPr>
        <w:t>28</w:t>
      </w:r>
      <w:r w:rsidRPr="0071003A">
        <w:rPr>
          <w:rFonts w:eastAsiaTheme="minorEastAsia"/>
          <w:lang w:bidi="en-US"/>
        </w:rPr>
        <w:fldChar w:fldCharType="end"/>
      </w:r>
      <w:r w:rsidRPr="0071003A">
        <w:rPr>
          <w:rFonts w:eastAsiaTheme="minorEastAsia"/>
          <w:lang w:bidi="en-US"/>
        </w:rPr>
        <w:t xml:space="preserve"> HOME Program Investments in North Carolina, 2020</w:t>
      </w:r>
    </w:p>
    <w:p w14:paraId="21AC769E" w14:textId="5EA6E33D" w:rsidR="0071003A" w:rsidRPr="0071003A" w:rsidRDefault="0071003A" w:rsidP="0071003A">
      <w:pPr>
        <w:rPr>
          <w:rFonts w:eastAsiaTheme="minorEastAsia"/>
          <w:sz w:val="18"/>
          <w:szCs w:val="18"/>
          <w:lang w:bidi="en-US"/>
        </w:rPr>
      </w:pPr>
      <w:r w:rsidRPr="0071003A">
        <w:rPr>
          <w:rFonts w:eastAsiaTheme="minorEastAsia"/>
          <w:sz w:val="18"/>
          <w:szCs w:val="18"/>
          <w:lang w:bidi="en-US"/>
        </w:rPr>
        <w:t>Source: N</w:t>
      </w:r>
      <w:r w:rsidR="002033A8">
        <w:rPr>
          <w:rFonts w:eastAsiaTheme="minorEastAsia"/>
          <w:sz w:val="18"/>
          <w:szCs w:val="18"/>
          <w:lang w:bidi="en-US"/>
        </w:rPr>
        <w:t>CHFA</w:t>
      </w:r>
    </w:p>
    <w:p w14:paraId="1D465D50" w14:textId="77777777" w:rsidR="0071003A" w:rsidRDefault="0071003A" w:rsidP="00235125">
      <w:pPr>
        <w:rPr>
          <w:rFonts w:eastAsiaTheme="minorEastAsia"/>
          <w:lang w:bidi="en-US"/>
        </w:rPr>
      </w:pPr>
    </w:p>
    <w:p w14:paraId="34D2779D" w14:textId="77777777" w:rsidR="009113B8" w:rsidRDefault="009113B8" w:rsidP="00235125">
      <w:pPr>
        <w:rPr>
          <w:rFonts w:eastAsiaTheme="minorEastAsia"/>
          <w:lang w:bidi="en-US"/>
        </w:rPr>
      </w:pPr>
    </w:p>
    <w:p w14:paraId="20BCB941" w14:textId="314FB3DC" w:rsidR="006C6CAB" w:rsidRDefault="0094271C" w:rsidP="009B28C6">
      <w:pPr>
        <w:pStyle w:val="Heading3"/>
        <w:rPr>
          <w:rFonts w:eastAsiaTheme="minorEastAsia"/>
          <w:lang w:bidi="en-US"/>
        </w:rPr>
      </w:pPr>
      <w:bookmarkStart w:id="89" w:name="_Toc66807943"/>
      <w:r>
        <w:rPr>
          <w:rFonts w:eastAsiaTheme="minorEastAsia"/>
          <w:lang w:bidi="en-US"/>
        </w:rPr>
        <w:t>Emergency Solutions Grant Program</w:t>
      </w:r>
      <w:bookmarkEnd w:id="89"/>
      <w:r>
        <w:rPr>
          <w:rFonts w:eastAsiaTheme="minorEastAsia"/>
          <w:lang w:bidi="en-US"/>
        </w:rPr>
        <w:t xml:space="preserve"> </w:t>
      </w:r>
    </w:p>
    <w:p w14:paraId="031BBBE6" w14:textId="057119A4" w:rsidR="006C6CAB" w:rsidRDefault="009F46DF" w:rsidP="008805A5">
      <w:pPr>
        <w:spacing w:after="240"/>
        <w:rPr>
          <w:rFonts w:eastAsiaTheme="minorEastAsia"/>
          <w:lang w:bidi="en-US"/>
        </w:rPr>
      </w:pPr>
      <w:r>
        <w:rPr>
          <w:rFonts w:eastAsiaTheme="minorEastAsia"/>
          <w:lang w:bidi="en-US"/>
        </w:rPr>
        <w:t xml:space="preserve">The North Carolina Department </w:t>
      </w:r>
      <w:r w:rsidR="002D5248">
        <w:rPr>
          <w:rFonts w:eastAsiaTheme="minorEastAsia"/>
          <w:lang w:bidi="en-US"/>
        </w:rPr>
        <w:t>of Health and Human Services</w:t>
      </w:r>
      <w:r w:rsidR="009E6D62">
        <w:rPr>
          <w:rFonts w:eastAsiaTheme="minorEastAsia"/>
          <w:lang w:bidi="en-US"/>
        </w:rPr>
        <w:t>, Division of Aging and Adult Services,</w:t>
      </w:r>
      <w:r w:rsidR="002D5248">
        <w:rPr>
          <w:rFonts w:eastAsiaTheme="minorEastAsia"/>
          <w:lang w:bidi="en-US"/>
        </w:rPr>
        <w:t xml:space="preserve"> administers the state’s allocation of Emergency Solutions Grant (ESG) </w:t>
      </w:r>
      <w:r w:rsidR="000B6BB0">
        <w:rPr>
          <w:rFonts w:eastAsiaTheme="minorEastAsia"/>
          <w:lang w:bidi="en-US"/>
        </w:rPr>
        <w:t xml:space="preserve">funding provided by HUD. Eligible activities include </w:t>
      </w:r>
      <w:r w:rsidR="008E4F3B">
        <w:rPr>
          <w:rFonts w:eastAsiaTheme="minorEastAsia"/>
          <w:lang w:bidi="en-US"/>
        </w:rPr>
        <w:t>s</w:t>
      </w:r>
      <w:r w:rsidR="001C5AD2" w:rsidRPr="001C5AD2">
        <w:rPr>
          <w:rFonts w:eastAsiaTheme="minorEastAsia"/>
          <w:lang w:bidi="en-US"/>
        </w:rPr>
        <w:t xml:space="preserve">treet outreach, emergency shelter, homelessness prevention, rapid re-housing assistance, </w:t>
      </w:r>
      <w:r w:rsidR="008E4F3B">
        <w:rPr>
          <w:rFonts w:eastAsiaTheme="minorEastAsia"/>
          <w:lang w:bidi="en-US"/>
        </w:rPr>
        <w:t xml:space="preserve">administration of the </w:t>
      </w:r>
      <w:r w:rsidR="001C5AD2" w:rsidRPr="001C5AD2">
        <w:rPr>
          <w:rFonts w:eastAsiaTheme="minorEastAsia"/>
          <w:lang w:bidi="en-US"/>
        </w:rPr>
        <w:t>H</w:t>
      </w:r>
      <w:r w:rsidR="008E4F3B">
        <w:rPr>
          <w:rFonts w:eastAsiaTheme="minorEastAsia"/>
          <w:lang w:bidi="en-US"/>
        </w:rPr>
        <w:t xml:space="preserve">omeless </w:t>
      </w:r>
      <w:r w:rsidR="001C5AD2" w:rsidRPr="001C5AD2">
        <w:rPr>
          <w:rFonts w:eastAsiaTheme="minorEastAsia"/>
          <w:lang w:bidi="en-US"/>
        </w:rPr>
        <w:t>M</w:t>
      </w:r>
      <w:r w:rsidR="001D5945">
        <w:rPr>
          <w:rFonts w:eastAsiaTheme="minorEastAsia"/>
          <w:lang w:bidi="en-US"/>
        </w:rPr>
        <w:t>anagement Information System (HM</w:t>
      </w:r>
      <w:r w:rsidR="001C5AD2" w:rsidRPr="001C5AD2">
        <w:rPr>
          <w:rFonts w:eastAsiaTheme="minorEastAsia"/>
          <w:lang w:bidi="en-US"/>
        </w:rPr>
        <w:t>IS</w:t>
      </w:r>
      <w:r w:rsidR="001D5945">
        <w:rPr>
          <w:rFonts w:eastAsiaTheme="minorEastAsia"/>
          <w:lang w:bidi="en-US"/>
        </w:rPr>
        <w:t xml:space="preserve">), </w:t>
      </w:r>
      <w:r w:rsidR="001C5AD2" w:rsidRPr="001C5AD2">
        <w:rPr>
          <w:rFonts w:eastAsiaTheme="minorEastAsia"/>
          <w:lang w:bidi="en-US"/>
        </w:rPr>
        <w:t>as well as administrative activities</w:t>
      </w:r>
      <w:r w:rsidR="001D5945">
        <w:rPr>
          <w:rFonts w:eastAsiaTheme="minorEastAsia"/>
          <w:lang w:bidi="en-US"/>
        </w:rPr>
        <w:t xml:space="preserve"> to oversee the implementation of the grant</w:t>
      </w:r>
      <w:r w:rsidR="001C5AD2" w:rsidRPr="001C5AD2">
        <w:rPr>
          <w:rFonts w:eastAsiaTheme="minorEastAsia"/>
          <w:lang w:bidi="en-US"/>
        </w:rPr>
        <w:t>.</w:t>
      </w:r>
      <w:r w:rsidR="00DF10D8">
        <w:rPr>
          <w:rFonts w:eastAsiaTheme="minorEastAsia"/>
          <w:lang w:bidi="en-US"/>
        </w:rPr>
        <w:t xml:space="preserve"> </w:t>
      </w:r>
      <w:r w:rsidR="004D0C4A">
        <w:rPr>
          <w:rFonts w:eastAsiaTheme="minorEastAsia"/>
          <w:lang w:bidi="en-US"/>
        </w:rPr>
        <w:t xml:space="preserve">Since </w:t>
      </w:r>
      <w:r w:rsidR="00DE6D23">
        <w:rPr>
          <w:rFonts w:eastAsiaTheme="minorEastAsia"/>
          <w:lang w:bidi="en-US"/>
        </w:rPr>
        <w:t>20</w:t>
      </w:r>
      <w:r w:rsidR="00AF0FF5">
        <w:rPr>
          <w:rFonts w:eastAsiaTheme="minorEastAsia"/>
          <w:lang w:bidi="en-US"/>
        </w:rPr>
        <w:t>1</w:t>
      </w:r>
      <w:r w:rsidR="00DE6D23">
        <w:rPr>
          <w:rFonts w:eastAsiaTheme="minorEastAsia"/>
          <w:lang w:bidi="en-US"/>
        </w:rPr>
        <w:t xml:space="preserve">5, the state’s ESG allocation dropped 1.7% </w:t>
      </w:r>
      <w:r w:rsidR="00192EE0">
        <w:rPr>
          <w:rFonts w:eastAsiaTheme="minorEastAsia"/>
          <w:lang w:bidi="en-US"/>
        </w:rPr>
        <w:t>in 2016 from $5,033,564 to $4,946,338 before gradually increasing to</w:t>
      </w:r>
      <w:r w:rsidR="00AF0FF5">
        <w:rPr>
          <w:rFonts w:eastAsiaTheme="minorEastAsia"/>
          <w:lang w:bidi="en-US"/>
        </w:rPr>
        <w:t xml:space="preserve"> $5,342,722 in 2020.</w:t>
      </w:r>
    </w:p>
    <w:p w14:paraId="60943719" w14:textId="74C2086D" w:rsidR="008805A5" w:rsidRDefault="005E1CEF" w:rsidP="008805A5">
      <w:pPr>
        <w:spacing w:after="240"/>
        <w:rPr>
          <w:rFonts w:eastAsiaTheme="minorEastAsia"/>
          <w:lang w:bidi="en-US"/>
        </w:rPr>
      </w:pPr>
      <w:r>
        <w:rPr>
          <w:rFonts w:eastAsiaTheme="minorEastAsia"/>
          <w:lang w:bidi="en-US"/>
        </w:rPr>
        <w:t xml:space="preserve">Recipients of state ESG funding awards are provided </w:t>
      </w:r>
      <w:r w:rsidR="00BC1777">
        <w:rPr>
          <w:rFonts w:eastAsiaTheme="minorEastAsia"/>
          <w:lang w:bidi="en-US"/>
        </w:rPr>
        <w:t>with copies of the NC ESG Monitoring Guide</w:t>
      </w:r>
      <w:r w:rsidR="00C93FED">
        <w:rPr>
          <w:rFonts w:eastAsiaTheme="minorEastAsia"/>
          <w:lang w:bidi="en-US"/>
        </w:rPr>
        <w:t xml:space="preserve"> </w:t>
      </w:r>
      <w:r w:rsidR="005860DF">
        <w:rPr>
          <w:rFonts w:eastAsiaTheme="minorEastAsia"/>
          <w:lang w:bidi="en-US"/>
        </w:rPr>
        <w:t xml:space="preserve">and the NC ESG Desk Guide 2020. </w:t>
      </w:r>
      <w:r w:rsidR="00F95F6A">
        <w:rPr>
          <w:rFonts w:eastAsiaTheme="minorEastAsia"/>
          <w:lang w:bidi="en-US"/>
        </w:rPr>
        <w:t>S</w:t>
      </w:r>
      <w:r w:rsidR="00C91C3A">
        <w:rPr>
          <w:rFonts w:eastAsiaTheme="minorEastAsia"/>
          <w:lang w:bidi="en-US"/>
        </w:rPr>
        <w:t xml:space="preserve">ection 16 of the </w:t>
      </w:r>
      <w:r w:rsidR="00F95F6A">
        <w:rPr>
          <w:rFonts w:eastAsiaTheme="minorEastAsia"/>
          <w:lang w:bidi="en-US"/>
        </w:rPr>
        <w:t>Desk Guide includes the non-discriminatory</w:t>
      </w:r>
      <w:r w:rsidR="00F57D62">
        <w:rPr>
          <w:rFonts w:eastAsiaTheme="minorEastAsia"/>
          <w:lang w:bidi="en-US"/>
        </w:rPr>
        <w:t xml:space="preserve">, </w:t>
      </w:r>
      <w:r w:rsidR="00F95F6A">
        <w:rPr>
          <w:rFonts w:eastAsiaTheme="minorEastAsia"/>
          <w:lang w:bidi="en-US"/>
        </w:rPr>
        <w:t xml:space="preserve">equal opportunity </w:t>
      </w:r>
      <w:r w:rsidR="00F57D62">
        <w:rPr>
          <w:rFonts w:eastAsiaTheme="minorEastAsia"/>
          <w:lang w:bidi="en-US"/>
        </w:rPr>
        <w:t xml:space="preserve">and affirmatively furthering fair housing </w:t>
      </w:r>
      <w:r w:rsidR="00F95F6A">
        <w:rPr>
          <w:rFonts w:eastAsiaTheme="minorEastAsia"/>
          <w:lang w:bidi="en-US"/>
        </w:rPr>
        <w:t xml:space="preserve">requirements </w:t>
      </w:r>
      <w:r w:rsidR="00E709D6">
        <w:rPr>
          <w:rFonts w:eastAsiaTheme="minorEastAsia"/>
          <w:lang w:bidi="en-US"/>
        </w:rPr>
        <w:t xml:space="preserve">required of all </w:t>
      </w:r>
      <w:r w:rsidR="00F0594C">
        <w:rPr>
          <w:rFonts w:eastAsiaTheme="minorEastAsia"/>
          <w:lang w:bidi="en-US"/>
        </w:rPr>
        <w:t>sub</w:t>
      </w:r>
      <w:r w:rsidR="00E709D6">
        <w:rPr>
          <w:rFonts w:eastAsiaTheme="minorEastAsia"/>
          <w:lang w:bidi="en-US"/>
        </w:rPr>
        <w:t>recipients.</w:t>
      </w:r>
      <w:r w:rsidR="0062695E">
        <w:rPr>
          <w:rFonts w:eastAsiaTheme="minorEastAsia"/>
          <w:lang w:bidi="en-US"/>
        </w:rPr>
        <w:t xml:space="preserve"> These include the following:</w:t>
      </w:r>
    </w:p>
    <w:p w14:paraId="432D54B3" w14:textId="1E63FC6C" w:rsidR="0062695E" w:rsidRPr="00CD2EA4" w:rsidRDefault="00F0594C" w:rsidP="00084F96">
      <w:pPr>
        <w:pStyle w:val="ListParagraph"/>
        <w:numPr>
          <w:ilvl w:val="0"/>
          <w:numId w:val="28"/>
        </w:numPr>
        <w:spacing w:after="120"/>
        <w:contextualSpacing w:val="0"/>
        <w:rPr>
          <w:rFonts w:eastAsiaTheme="minorEastAsia"/>
          <w:sz w:val="24"/>
          <w:lang w:bidi="en-US"/>
        </w:rPr>
      </w:pPr>
      <w:r w:rsidRPr="00CD2EA4">
        <w:rPr>
          <w:rFonts w:eastAsiaTheme="minorEastAsia"/>
          <w:sz w:val="24"/>
          <w:lang w:bidi="en-US"/>
        </w:rPr>
        <w:t>S</w:t>
      </w:r>
      <w:r w:rsidR="0062695E" w:rsidRPr="00CD2EA4">
        <w:rPr>
          <w:rFonts w:eastAsiaTheme="minorEastAsia"/>
          <w:sz w:val="24"/>
          <w:lang w:bidi="en-US"/>
        </w:rPr>
        <w:t xml:space="preserve">ubrecipients must make known that NC ESG rental assistance and services are available to all on a nondiscriminatory basis and ensure that all citizens have equal access to information about NC ESG and equal access to the financial assistance and services provided under this program. </w:t>
      </w:r>
    </w:p>
    <w:p w14:paraId="3D172BB2" w14:textId="3544E4AC" w:rsidR="0062695E" w:rsidRPr="00CD2EA4" w:rsidRDefault="0062695E" w:rsidP="00084F96">
      <w:pPr>
        <w:pStyle w:val="ListParagraph"/>
        <w:numPr>
          <w:ilvl w:val="0"/>
          <w:numId w:val="28"/>
        </w:numPr>
        <w:spacing w:after="120"/>
        <w:contextualSpacing w:val="0"/>
        <w:rPr>
          <w:rFonts w:eastAsiaTheme="minorEastAsia"/>
          <w:sz w:val="24"/>
          <w:lang w:bidi="en-US"/>
        </w:rPr>
      </w:pPr>
      <w:r w:rsidRPr="00CD2EA4">
        <w:rPr>
          <w:rFonts w:eastAsiaTheme="minorEastAsia"/>
          <w:sz w:val="24"/>
          <w:lang w:bidi="en-US"/>
        </w:rPr>
        <w:t xml:space="preserve">Persons </w:t>
      </w:r>
      <w:r w:rsidR="009265FB" w:rsidRPr="00CD2EA4">
        <w:rPr>
          <w:rFonts w:eastAsiaTheme="minorEastAsia"/>
          <w:sz w:val="24"/>
          <w:lang w:bidi="en-US"/>
        </w:rPr>
        <w:t xml:space="preserve">with </w:t>
      </w:r>
      <w:r w:rsidRPr="00CD2EA4">
        <w:rPr>
          <w:rFonts w:eastAsiaTheme="minorEastAsia"/>
          <w:sz w:val="24"/>
          <w:lang w:bidi="en-US"/>
        </w:rPr>
        <w:t xml:space="preserve">limited English proficient persons may be entitled to language assistance under Title VI </w:t>
      </w:r>
      <w:proofErr w:type="gramStart"/>
      <w:r w:rsidRPr="00CD2EA4">
        <w:rPr>
          <w:rFonts w:eastAsiaTheme="minorEastAsia"/>
          <w:sz w:val="24"/>
          <w:lang w:bidi="en-US"/>
        </w:rPr>
        <w:t>in order to</w:t>
      </w:r>
      <w:proofErr w:type="gramEnd"/>
      <w:r w:rsidRPr="00CD2EA4">
        <w:rPr>
          <w:rFonts w:eastAsiaTheme="minorEastAsia"/>
          <w:sz w:val="24"/>
          <w:lang w:bidi="en-US"/>
        </w:rPr>
        <w:t xml:space="preserve"> receive a particular service, benefit, or encounter.</w:t>
      </w:r>
      <w:r w:rsidR="00743E54" w:rsidRPr="00CD2EA4">
        <w:rPr>
          <w:rFonts w:eastAsiaTheme="minorEastAsia"/>
          <w:sz w:val="24"/>
          <w:lang w:bidi="en-US"/>
        </w:rPr>
        <w:t xml:space="preserve"> As a condition </w:t>
      </w:r>
      <w:r w:rsidR="0048196E" w:rsidRPr="00CD2EA4">
        <w:rPr>
          <w:rFonts w:eastAsiaTheme="minorEastAsia"/>
          <w:sz w:val="24"/>
          <w:lang w:bidi="en-US"/>
        </w:rPr>
        <w:t>of receiving ESG funds, t</w:t>
      </w:r>
      <w:r w:rsidRPr="00CD2EA4">
        <w:rPr>
          <w:rFonts w:eastAsiaTheme="minorEastAsia"/>
          <w:sz w:val="24"/>
          <w:lang w:bidi="en-US"/>
        </w:rPr>
        <w:t>he subrecipient agrees to take reasonable steps to ensure meaningful access to activities for LEP persons</w:t>
      </w:r>
      <w:r w:rsidR="0048196E" w:rsidRPr="00CD2EA4">
        <w:rPr>
          <w:rFonts w:eastAsiaTheme="minorEastAsia"/>
          <w:sz w:val="24"/>
          <w:lang w:bidi="en-US"/>
        </w:rPr>
        <w:t xml:space="preserve">, such as </w:t>
      </w:r>
      <w:r w:rsidRPr="00CD2EA4">
        <w:rPr>
          <w:rFonts w:eastAsiaTheme="minorEastAsia"/>
          <w:sz w:val="24"/>
          <w:lang w:bidi="en-US"/>
        </w:rPr>
        <w:t>acquiring translators to translate vital documents, advertisements, or notices, acquiring interpreters for face to face interviews</w:t>
      </w:r>
      <w:r w:rsidR="00B55B08" w:rsidRPr="00CD2EA4">
        <w:rPr>
          <w:rFonts w:eastAsiaTheme="minorEastAsia"/>
          <w:sz w:val="24"/>
          <w:lang w:bidi="en-US"/>
        </w:rPr>
        <w:t xml:space="preserve"> </w:t>
      </w:r>
      <w:r w:rsidRPr="00CD2EA4">
        <w:rPr>
          <w:rFonts w:eastAsiaTheme="minorEastAsia"/>
          <w:sz w:val="24"/>
          <w:lang w:bidi="en-US"/>
        </w:rPr>
        <w:t xml:space="preserve">with LEP persons, placing advertisements and notices in newspapers that serve LEP persons, partnering with other organizations that serve LEP populations to </w:t>
      </w:r>
      <w:r w:rsidRPr="00CD2EA4">
        <w:rPr>
          <w:rFonts w:eastAsiaTheme="minorEastAsia"/>
          <w:sz w:val="24"/>
          <w:lang w:bidi="en-US"/>
        </w:rPr>
        <w:lastRenderedPageBreak/>
        <w:t xml:space="preserve">provide interpretation, translation, or dissemination of information regarding the project, hiring bilingual employees or volunteers for outreach and intake activities, contracting with a telephone line interpreter service, etc. </w:t>
      </w:r>
    </w:p>
    <w:p w14:paraId="3CF42F3F" w14:textId="46847951" w:rsidR="0062695E" w:rsidRPr="00CD2EA4" w:rsidRDefault="00B55B08" w:rsidP="00084F96">
      <w:pPr>
        <w:pStyle w:val="ListParagraph"/>
        <w:numPr>
          <w:ilvl w:val="0"/>
          <w:numId w:val="28"/>
        </w:numPr>
        <w:spacing w:after="120"/>
        <w:contextualSpacing w:val="0"/>
        <w:rPr>
          <w:rFonts w:eastAsiaTheme="minorEastAsia"/>
          <w:sz w:val="24"/>
          <w:lang w:bidi="en-US"/>
        </w:rPr>
      </w:pPr>
      <w:r w:rsidRPr="00CD2EA4">
        <w:rPr>
          <w:rFonts w:eastAsiaTheme="minorEastAsia"/>
          <w:sz w:val="24"/>
          <w:lang w:bidi="en-US"/>
        </w:rPr>
        <w:t>A</w:t>
      </w:r>
      <w:r w:rsidR="0062695E" w:rsidRPr="00CD2EA4">
        <w:rPr>
          <w:rFonts w:eastAsiaTheme="minorEastAsia"/>
          <w:sz w:val="24"/>
          <w:lang w:bidi="en-US"/>
        </w:rPr>
        <w:t xml:space="preserve">ll notices and communications </w:t>
      </w:r>
      <w:r w:rsidRPr="00CD2EA4">
        <w:rPr>
          <w:rFonts w:eastAsiaTheme="minorEastAsia"/>
          <w:sz w:val="24"/>
          <w:lang w:bidi="en-US"/>
        </w:rPr>
        <w:t>must</w:t>
      </w:r>
      <w:r w:rsidR="0062695E" w:rsidRPr="00CD2EA4">
        <w:rPr>
          <w:rFonts w:eastAsiaTheme="minorEastAsia"/>
          <w:sz w:val="24"/>
          <w:lang w:bidi="en-US"/>
        </w:rPr>
        <w:t xml:space="preserve"> be provided in a manner that is effective for persons with hearing, visual, and other communication related disabilities consistent with section 504 of the Rehabilitation Act of 1973 and implementing regulations at 24 CFR 8.6. If the procedures that the subrecipient intends to use to make known the availability of the rental assistance and services are unlikely to reach persons of any race, color, religion, sex, age, national origin, familial status, or disability who may qualify for such rental assistance and services, the</w:t>
      </w:r>
      <w:r w:rsidR="00A268E0" w:rsidRPr="00CD2EA4">
        <w:rPr>
          <w:rFonts w:eastAsiaTheme="minorEastAsia"/>
          <w:sz w:val="24"/>
          <w:lang w:bidi="en-US"/>
        </w:rPr>
        <w:t>n the</w:t>
      </w:r>
      <w:r w:rsidR="0062695E" w:rsidRPr="00CD2EA4">
        <w:rPr>
          <w:rFonts w:eastAsiaTheme="minorEastAsia"/>
          <w:sz w:val="24"/>
          <w:lang w:bidi="en-US"/>
        </w:rPr>
        <w:t xml:space="preserve"> subrecipient must establish additional procedures that will ensure that such persons are made aware of the rental assistance and services. </w:t>
      </w:r>
    </w:p>
    <w:p w14:paraId="2E86F23E" w14:textId="76D863FF" w:rsidR="0062695E" w:rsidRPr="00CD2EA4" w:rsidRDefault="0062695E" w:rsidP="00084F96">
      <w:pPr>
        <w:pStyle w:val="ListParagraph"/>
        <w:numPr>
          <w:ilvl w:val="0"/>
          <w:numId w:val="28"/>
        </w:numPr>
        <w:spacing w:after="120"/>
        <w:contextualSpacing w:val="0"/>
        <w:rPr>
          <w:rFonts w:eastAsiaTheme="minorEastAsia"/>
          <w:sz w:val="24"/>
          <w:lang w:bidi="en-US"/>
        </w:rPr>
      </w:pPr>
      <w:r w:rsidRPr="00CD2EA4">
        <w:rPr>
          <w:rFonts w:eastAsiaTheme="minorEastAsia"/>
          <w:sz w:val="24"/>
          <w:lang w:bidi="en-US"/>
        </w:rPr>
        <w:t xml:space="preserve">Subrecipients have a duty to affirmatively further fair housing opportunities for </w:t>
      </w:r>
      <w:r w:rsidR="000518D4" w:rsidRPr="00CD2EA4">
        <w:rPr>
          <w:rFonts w:eastAsiaTheme="minorEastAsia"/>
          <w:sz w:val="24"/>
          <w:lang w:bidi="en-US"/>
        </w:rPr>
        <w:t>p</w:t>
      </w:r>
      <w:r w:rsidRPr="00CD2EA4">
        <w:rPr>
          <w:rFonts w:eastAsiaTheme="minorEastAsia"/>
          <w:sz w:val="24"/>
          <w:lang w:bidi="en-US"/>
        </w:rPr>
        <w:t>rotected classes include race, color, national origin, religion, sex, disability, and familial status. Examples of affirmatively furthering fair housing include: (1) marketing the program to all eligible persons, including persons with disabilities and persons with limited English proficiency; (2) making buildings and communications that facilitate applications and service delivery accessible to persons with disabilities; providing fair housing counseling services or referrals to fair housing agencies; (4) informing participants of how to file a housing discrimination complaint, including providing the toll-free number for the Housing Discrimination Hotline; and (5) recruiting landlords and service providers in areas that expand housing choice to program</w:t>
      </w:r>
      <w:r w:rsidR="000518D4" w:rsidRPr="00CD2EA4">
        <w:rPr>
          <w:rFonts w:eastAsiaTheme="minorEastAsia"/>
          <w:sz w:val="24"/>
          <w:lang w:bidi="en-US"/>
        </w:rPr>
        <w:t xml:space="preserve"> </w:t>
      </w:r>
      <w:r w:rsidRPr="00CD2EA4">
        <w:rPr>
          <w:rFonts w:eastAsiaTheme="minorEastAsia"/>
          <w:sz w:val="24"/>
          <w:lang w:bidi="en-US"/>
        </w:rPr>
        <w:t>participants.</w:t>
      </w:r>
    </w:p>
    <w:p w14:paraId="7AC12FDC" w14:textId="1A2571F0" w:rsidR="00107464" w:rsidRDefault="000B41DD" w:rsidP="000B41DD">
      <w:pPr>
        <w:spacing w:after="240"/>
        <w:rPr>
          <w:rFonts w:eastAsiaTheme="minorEastAsia"/>
          <w:lang w:bidi="en-US"/>
        </w:rPr>
      </w:pPr>
      <w:r>
        <w:rPr>
          <w:rFonts w:eastAsiaTheme="minorEastAsia"/>
          <w:lang w:bidi="en-US"/>
        </w:rPr>
        <w:t xml:space="preserve">Should non-compliance with these requirements </w:t>
      </w:r>
      <w:r w:rsidR="00CE1A79">
        <w:rPr>
          <w:rFonts w:eastAsiaTheme="minorEastAsia"/>
          <w:lang w:bidi="en-US"/>
        </w:rPr>
        <w:t xml:space="preserve">be identified, then DHHS will notify the subrecipient and provide technical assistance to correct the </w:t>
      </w:r>
      <w:r w:rsidR="00D36174">
        <w:rPr>
          <w:rFonts w:eastAsiaTheme="minorEastAsia"/>
          <w:lang w:bidi="en-US"/>
        </w:rPr>
        <w:t xml:space="preserve">shortcomings. In severe cases of non-compliance, </w:t>
      </w:r>
      <w:r w:rsidR="008534F9">
        <w:rPr>
          <w:rFonts w:eastAsiaTheme="minorEastAsia"/>
          <w:lang w:bidi="en-US"/>
        </w:rPr>
        <w:t>DHHS can recapture ESG funds.</w:t>
      </w:r>
      <w:r w:rsidR="00A06A15">
        <w:rPr>
          <w:rFonts w:eastAsiaTheme="minorEastAsia"/>
          <w:lang w:bidi="en-US"/>
        </w:rPr>
        <w:t xml:space="preserve"> In its attempt to prevent discriminatory behavior from occurring among </w:t>
      </w:r>
      <w:r w:rsidR="0046021C">
        <w:rPr>
          <w:rFonts w:eastAsiaTheme="minorEastAsia"/>
          <w:lang w:bidi="en-US"/>
        </w:rPr>
        <w:t>some subrecipients, DHHS works to ensure that emergency shelters have low-barrier policies</w:t>
      </w:r>
      <w:r w:rsidR="00C260C3">
        <w:rPr>
          <w:rFonts w:eastAsiaTheme="minorEastAsia"/>
          <w:lang w:bidi="en-US"/>
        </w:rPr>
        <w:t xml:space="preserve">, which refers to </w:t>
      </w:r>
      <w:r w:rsidR="00FD685F" w:rsidRPr="00FD685F">
        <w:rPr>
          <w:rFonts w:eastAsiaTheme="minorEastAsia"/>
          <w:lang w:bidi="en-US"/>
        </w:rPr>
        <w:t xml:space="preserve">shelters that do not require prerequisites to </w:t>
      </w:r>
      <w:r w:rsidR="000D3FFA">
        <w:rPr>
          <w:rFonts w:eastAsiaTheme="minorEastAsia"/>
          <w:lang w:bidi="en-US"/>
        </w:rPr>
        <w:t xml:space="preserve">gain admittance </w:t>
      </w:r>
      <w:r w:rsidR="00FD685F" w:rsidRPr="00FD685F">
        <w:rPr>
          <w:rFonts w:eastAsiaTheme="minorEastAsia"/>
          <w:lang w:bidi="en-US"/>
        </w:rPr>
        <w:t>such as sobriety or mental health treatment</w:t>
      </w:r>
      <w:r w:rsidR="000D3FFA">
        <w:rPr>
          <w:rFonts w:eastAsiaTheme="minorEastAsia"/>
          <w:lang w:bidi="en-US"/>
        </w:rPr>
        <w:t>.</w:t>
      </w:r>
      <w:r w:rsidR="00AE02F2">
        <w:rPr>
          <w:rFonts w:eastAsiaTheme="minorEastAsia"/>
          <w:lang w:bidi="en-US"/>
        </w:rPr>
        <w:t xml:space="preserve"> DHHS has </w:t>
      </w:r>
      <w:r w:rsidR="00462679">
        <w:rPr>
          <w:rFonts w:eastAsiaTheme="minorEastAsia"/>
          <w:lang w:bidi="en-US"/>
        </w:rPr>
        <w:t xml:space="preserve">denied funding to shelters that </w:t>
      </w:r>
      <w:r w:rsidR="00107464">
        <w:rPr>
          <w:rFonts w:eastAsiaTheme="minorEastAsia"/>
          <w:lang w:bidi="en-US"/>
        </w:rPr>
        <w:t>do not have a low-barrier policy.</w:t>
      </w:r>
    </w:p>
    <w:p w14:paraId="2990C514" w14:textId="7337BE5D" w:rsidR="00C37AB1" w:rsidRPr="000B41DD" w:rsidRDefault="00C37AB1" w:rsidP="000B41DD">
      <w:pPr>
        <w:spacing w:after="240"/>
        <w:rPr>
          <w:rFonts w:eastAsiaTheme="minorEastAsia"/>
          <w:lang w:bidi="en-US"/>
        </w:rPr>
      </w:pPr>
      <w:r>
        <w:rPr>
          <w:rFonts w:eastAsiaTheme="minorEastAsia"/>
          <w:lang w:bidi="en-US"/>
        </w:rPr>
        <w:t xml:space="preserve">DHHS staff are required to comply </w:t>
      </w:r>
      <w:r w:rsidR="00084F96">
        <w:rPr>
          <w:rFonts w:eastAsiaTheme="minorEastAsia"/>
          <w:lang w:bidi="en-US"/>
        </w:rPr>
        <w:t xml:space="preserve">with all applicable statutes and regulations for the ESG program but no formal staff training is required. </w:t>
      </w:r>
    </w:p>
    <w:p w14:paraId="4FAA3A3C" w14:textId="5088F34D" w:rsidR="006C6CAB" w:rsidRDefault="006C6CAB" w:rsidP="009B28C6">
      <w:pPr>
        <w:pStyle w:val="Heading3"/>
        <w:rPr>
          <w:rFonts w:eastAsiaTheme="minorEastAsia"/>
          <w:lang w:bidi="en-US"/>
        </w:rPr>
      </w:pPr>
      <w:bookmarkStart w:id="90" w:name="_Toc66807944"/>
      <w:r>
        <w:rPr>
          <w:rFonts w:eastAsiaTheme="minorEastAsia"/>
          <w:lang w:bidi="en-US"/>
        </w:rPr>
        <w:t>Housing Opportunities for Persons With AIDS</w:t>
      </w:r>
      <w:bookmarkEnd w:id="90"/>
    </w:p>
    <w:p w14:paraId="49514430" w14:textId="1479067D" w:rsidR="0071509E" w:rsidRDefault="0012461C" w:rsidP="002F01DB">
      <w:pPr>
        <w:spacing w:after="240"/>
        <w:rPr>
          <w:rFonts w:eastAsiaTheme="minorEastAsia"/>
          <w:lang w:bidi="en-US"/>
        </w:rPr>
      </w:pPr>
      <w:r>
        <w:rPr>
          <w:rFonts w:eastAsiaTheme="minorEastAsia"/>
          <w:lang w:bidi="en-US"/>
        </w:rPr>
        <w:t xml:space="preserve">The </w:t>
      </w:r>
      <w:r w:rsidRPr="002F01DB">
        <w:rPr>
          <w:rFonts w:eastAsiaTheme="minorEastAsia"/>
          <w:lang w:bidi="en-US"/>
        </w:rPr>
        <w:t>North Carolina Department of Health and Human Services</w:t>
      </w:r>
      <w:r>
        <w:rPr>
          <w:rFonts w:eastAsiaTheme="minorEastAsia"/>
          <w:lang w:bidi="en-US"/>
        </w:rPr>
        <w:t xml:space="preserve">, </w:t>
      </w:r>
      <w:r w:rsidR="002F01DB" w:rsidRPr="002F01DB">
        <w:rPr>
          <w:rFonts w:eastAsiaTheme="minorEastAsia"/>
          <w:lang w:bidi="en-US"/>
        </w:rPr>
        <w:t>Division of Public Health, Communicable Disease Branch</w:t>
      </w:r>
      <w:r>
        <w:rPr>
          <w:rFonts w:eastAsiaTheme="minorEastAsia"/>
          <w:lang w:bidi="en-US"/>
        </w:rPr>
        <w:t xml:space="preserve">, administers the state’s annual allocation of Housing Opportunities for Persons with AIDS (HOPWA) </w:t>
      </w:r>
      <w:r w:rsidR="00CE623C">
        <w:rPr>
          <w:rFonts w:eastAsiaTheme="minorEastAsia"/>
          <w:lang w:bidi="en-US"/>
        </w:rPr>
        <w:t xml:space="preserve">funding, in collaboration with its Ryan White funding. </w:t>
      </w:r>
      <w:r w:rsidR="00D36B80">
        <w:rPr>
          <w:rFonts w:eastAsiaTheme="minorEastAsia"/>
          <w:lang w:bidi="en-US"/>
        </w:rPr>
        <w:t xml:space="preserve">Eligible activities include </w:t>
      </w:r>
      <w:r w:rsidR="003A06BA" w:rsidRPr="003A06BA">
        <w:rPr>
          <w:rFonts w:eastAsiaTheme="minorEastAsia"/>
          <w:lang w:bidi="en-US"/>
        </w:rPr>
        <w:t>acquisition</w:t>
      </w:r>
      <w:r w:rsidR="00F71560">
        <w:rPr>
          <w:rFonts w:eastAsiaTheme="minorEastAsia"/>
          <w:lang w:bidi="en-US"/>
        </w:rPr>
        <w:t>,</w:t>
      </w:r>
      <w:r w:rsidR="003A06BA" w:rsidRPr="003A06BA">
        <w:rPr>
          <w:rFonts w:eastAsiaTheme="minorEastAsia"/>
          <w:lang w:bidi="en-US"/>
        </w:rPr>
        <w:t xml:space="preserve"> rehabilitation</w:t>
      </w:r>
      <w:r w:rsidR="00F71560">
        <w:rPr>
          <w:rFonts w:eastAsiaTheme="minorEastAsia"/>
          <w:lang w:bidi="en-US"/>
        </w:rPr>
        <w:t>,</w:t>
      </w:r>
      <w:r w:rsidR="003A06BA" w:rsidRPr="003A06BA">
        <w:rPr>
          <w:rFonts w:eastAsiaTheme="minorEastAsia"/>
          <w:lang w:bidi="en-US"/>
        </w:rPr>
        <w:t xml:space="preserve"> or new construction of housing units</w:t>
      </w:r>
      <w:r w:rsidR="003A06BA" w:rsidRPr="00F71560">
        <w:rPr>
          <w:rFonts w:eastAsiaTheme="minorEastAsia"/>
          <w:lang w:bidi="en-US"/>
        </w:rPr>
        <w:t>; costs for</w:t>
      </w:r>
      <w:r w:rsidR="003A06BA" w:rsidRPr="003A06BA">
        <w:rPr>
          <w:rFonts w:eastAsiaTheme="minorEastAsia"/>
          <w:lang w:bidi="en-US"/>
        </w:rPr>
        <w:t xml:space="preserve"> facility operations; rental assistance; and short-term payments to prevent homelessness.</w:t>
      </w:r>
      <w:r w:rsidR="00F71560">
        <w:rPr>
          <w:rFonts w:eastAsiaTheme="minorEastAsia"/>
          <w:lang w:bidi="en-US"/>
        </w:rPr>
        <w:t xml:space="preserve"> </w:t>
      </w:r>
      <w:r w:rsidR="00CE5021">
        <w:rPr>
          <w:rFonts w:eastAsiaTheme="minorEastAsia"/>
          <w:lang w:bidi="en-US"/>
        </w:rPr>
        <w:t>Since 2015, the state’s annual grant amount has increased 68% from $2,143,296 to $3,610,021 in 2020.</w:t>
      </w:r>
      <w:r w:rsidR="006709AE">
        <w:rPr>
          <w:rFonts w:eastAsiaTheme="minorEastAsia"/>
          <w:lang w:bidi="en-US"/>
        </w:rPr>
        <w:t xml:space="preserve"> </w:t>
      </w:r>
      <w:r w:rsidR="000F41B8">
        <w:rPr>
          <w:rFonts w:eastAsiaTheme="minorEastAsia"/>
          <w:lang w:bidi="en-US"/>
        </w:rPr>
        <w:t>Eighty of the state’s 100 counties are eligible to receive funds; the remaining 10 counties receive the</w:t>
      </w:r>
      <w:r w:rsidR="00CF382A">
        <w:rPr>
          <w:rFonts w:eastAsiaTheme="minorEastAsia"/>
          <w:lang w:bidi="en-US"/>
        </w:rPr>
        <w:t xml:space="preserve">ir allocations directly from HUD. </w:t>
      </w:r>
    </w:p>
    <w:p w14:paraId="12488FF7" w14:textId="0EED56AF" w:rsidR="00401E21" w:rsidRDefault="00A2479A" w:rsidP="002F01DB">
      <w:pPr>
        <w:spacing w:after="240"/>
        <w:rPr>
          <w:rFonts w:eastAsiaTheme="minorEastAsia"/>
          <w:lang w:bidi="en-US"/>
        </w:rPr>
      </w:pPr>
      <w:r>
        <w:rPr>
          <w:rFonts w:eastAsiaTheme="minorEastAsia"/>
          <w:lang w:bidi="en-US"/>
        </w:rPr>
        <w:t xml:space="preserve">For the HOPWA program, the state is divided into 10 regions with service provider agencies </w:t>
      </w:r>
      <w:r w:rsidR="00AB4ACF">
        <w:rPr>
          <w:rFonts w:eastAsiaTheme="minorEastAsia"/>
          <w:lang w:bidi="en-US"/>
        </w:rPr>
        <w:t xml:space="preserve">located within each region collaborating </w:t>
      </w:r>
      <w:r w:rsidR="002E13BE">
        <w:rPr>
          <w:rFonts w:eastAsiaTheme="minorEastAsia"/>
          <w:lang w:bidi="en-US"/>
        </w:rPr>
        <w:t xml:space="preserve">to form networks </w:t>
      </w:r>
      <w:r w:rsidR="009C4D46">
        <w:rPr>
          <w:rFonts w:eastAsiaTheme="minorEastAsia"/>
          <w:lang w:bidi="en-US"/>
        </w:rPr>
        <w:t>for the purpose of devising</w:t>
      </w:r>
      <w:r w:rsidR="002B4BBA">
        <w:rPr>
          <w:rFonts w:eastAsiaTheme="minorEastAsia"/>
          <w:lang w:bidi="en-US"/>
        </w:rPr>
        <w:t xml:space="preserve"> locally driven planning and program implementation to </w:t>
      </w:r>
      <w:r w:rsidR="00DB309A">
        <w:rPr>
          <w:rFonts w:eastAsiaTheme="minorEastAsia"/>
          <w:lang w:bidi="en-US"/>
        </w:rPr>
        <w:t xml:space="preserve">identify needs and suitable solutions for </w:t>
      </w:r>
      <w:r w:rsidR="00DB309A">
        <w:rPr>
          <w:rFonts w:eastAsiaTheme="minorEastAsia"/>
          <w:lang w:bidi="en-US"/>
        </w:rPr>
        <w:lastRenderedPageBreak/>
        <w:t>addressing their needs.</w:t>
      </w:r>
      <w:r w:rsidR="00C03161">
        <w:rPr>
          <w:rFonts w:eastAsiaTheme="minorEastAsia"/>
          <w:lang w:bidi="en-US"/>
        </w:rPr>
        <w:t xml:space="preserve"> Towards this end, </w:t>
      </w:r>
      <w:r w:rsidR="00227D9A">
        <w:rPr>
          <w:rFonts w:eastAsiaTheme="minorEastAsia"/>
          <w:lang w:bidi="en-US"/>
        </w:rPr>
        <w:t xml:space="preserve">the 2021 Request for Funding Availability (RFA) will be expanded to include </w:t>
      </w:r>
      <w:r w:rsidR="009C02F2">
        <w:rPr>
          <w:rFonts w:eastAsiaTheme="minorEastAsia"/>
          <w:lang w:bidi="en-US"/>
        </w:rPr>
        <w:t xml:space="preserve">three new eligible activities: hotel/motel accommodations as </w:t>
      </w:r>
      <w:r w:rsidR="005615A7">
        <w:rPr>
          <w:rFonts w:eastAsiaTheme="minorEastAsia"/>
          <w:lang w:bidi="en-US"/>
        </w:rPr>
        <w:t xml:space="preserve">a </w:t>
      </w:r>
      <w:r w:rsidR="009C02F2">
        <w:rPr>
          <w:rFonts w:eastAsiaTheme="minorEastAsia"/>
          <w:lang w:bidi="en-US"/>
        </w:rPr>
        <w:t>temporary</w:t>
      </w:r>
      <w:r w:rsidR="00193216">
        <w:rPr>
          <w:rFonts w:eastAsiaTheme="minorEastAsia"/>
          <w:lang w:bidi="en-US"/>
        </w:rPr>
        <w:t xml:space="preserve"> housing </w:t>
      </w:r>
      <w:r w:rsidR="005615A7">
        <w:rPr>
          <w:rFonts w:eastAsiaTheme="minorEastAsia"/>
          <w:lang w:bidi="en-US"/>
        </w:rPr>
        <w:t xml:space="preserve">option for </w:t>
      </w:r>
      <w:r w:rsidR="00EE2C0A">
        <w:rPr>
          <w:rFonts w:eastAsiaTheme="minorEastAsia"/>
          <w:lang w:bidi="en-US"/>
        </w:rPr>
        <w:t xml:space="preserve">people with HIV/AIDS who may be in health-compromising or uninhabitable </w:t>
      </w:r>
      <w:r w:rsidR="00FE2D95">
        <w:rPr>
          <w:rFonts w:eastAsiaTheme="minorEastAsia"/>
          <w:lang w:bidi="en-US"/>
        </w:rPr>
        <w:t xml:space="preserve">living situations; facility repair funding </w:t>
      </w:r>
      <w:r w:rsidR="001F5723">
        <w:rPr>
          <w:rFonts w:eastAsiaTheme="minorEastAsia"/>
          <w:lang w:bidi="en-US"/>
        </w:rPr>
        <w:t xml:space="preserve">to preserve existing rental and owner-occupied units; and </w:t>
      </w:r>
      <w:r w:rsidR="0043778A">
        <w:rPr>
          <w:rFonts w:eastAsiaTheme="minorEastAsia"/>
          <w:lang w:bidi="en-US"/>
        </w:rPr>
        <w:t xml:space="preserve">removal of barriers and caps on funding </w:t>
      </w:r>
      <w:r w:rsidR="00346CC4">
        <w:rPr>
          <w:rFonts w:eastAsiaTheme="minorEastAsia"/>
          <w:lang w:bidi="en-US"/>
        </w:rPr>
        <w:t xml:space="preserve">and allowing local subrecipients to decide how best to allocate spending among tenant-based rental assistance, </w:t>
      </w:r>
      <w:r w:rsidR="00895AD0">
        <w:rPr>
          <w:rFonts w:eastAsiaTheme="minorEastAsia"/>
          <w:lang w:bidi="en-US"/>
        </w:rPr>
        <w:t xml:space="preserve">permanent housing placement, and </w:t>
      </w:r>
      <w:r w:rsidR="00323B9F">
        <w:rPr>
          <w:rFonts w:eastAsiaTheme="minorEastAsia"/>
          <w:lang w:bidi="en-US"/>
        </w:rPr>
        <w:t xml:space="preserve">mortgage or </w:t>
      </w:r>
      <w:r w:rsidR="00895AD0">
        <w:rPr>
          <w:rFonts w:eastAsiaTheme="minorEastAsia"/>
          <w:lang w:bidi="en-US"/>
        </w:rPr>
        <w:t>rent and utilities.</w:t>
      </w:r>
      <w:r w:rsidR="00834375">
        <w:rPr>
          <w:rFonts w:eastAsiaTheme="minorEastAsia"/>
          <w:lang w:bidi="en-US"/>
        </w:rPr>
        <w:t xml:space="preserve"> </w:t>
      </w:r>
    </w:p>
    <w:p w14:paraId="67ED1C8F" w14:textId="6A7AAAAD" w:rsidR="004D4A38" w:rsidRDefault="002C42A6" w:rsidP="002F01DB">
      <w:pPr>
        <w:spacing w:after="240"/>
        <w:rPr>
          <w:rFonts w:eastAsiaTheme="minorEastAsia"/>
          <w:lang w:bidi="en-US"/>
        </w:rPr>
      </w:pPr>
      <w:r>
        <w:rPr>
          <w:rFonts w:eastAsiaTheme="minorEastAsia"/>
          <w:lang w:bidi="en-US"/>
        </w:rPr>
        <w:t xml:space="preserve">DHHS has </w:t>
      </w:r>
      <w:r w:rsidR="00A80A1B">
        <w:rPr>
          <w:rFonts w:eastAsiaTheme="minorEastAsia"/>
          <w:lang w:bidi="en-US"/>
        </w:rPr>
        <w:t>worked with the regi</w:t>
      </w:r>
      <w:r w:rsidR="0065367D">
        <w:rPr>
          <w:rFonts w:eastAsiaTheme="minorEastAsia"/>
          <w:lang w:bidi="en-US"/>
        </w:rPr>
        <w:t>o</w:t>
      </w:r>
      <w:r w:rsidR="00A80A1B">
        <w:rPr>
          <w:rFonts w:eastAsiaTheme="minorEastAsia"/>
          <w:lang w:bidi="en-US"/>
        </w:rPr>
        <w:t xml:space="preserve">nal networks to enhance marketing </w:t>
      </w:r>
      <w:r w:rsidR="0065367D">
        <w:rPr>
          <w:rFonts w:eastAsiaTheme="minorEastAsia"/>
          <w:lang w:bidi="en-US"/>
        </w:rPr>
        <w:t>to unserved populations. The networks are encouraged to seek more clients and</w:t>
      </w:r>
      <w:r w:rsidR="00253AE6">
        <w:rPr>
          <w:rFonts w:eastAsiaTheme="minorEastAsia"/>
          <w:lang w:bidi="en-US"/>
        </w:rPr>
        <w:t xml:space="preserve"> examine how to address their needs with the proposed new activities. </w:t>
      </w:r>
      <w:r w:rsidR="004D4A38">
        <w:rPr>
          <w:rFonts w:eastAsiaTheme="minorEastAsia"/>
          <w:lang w:bidi="en-US"/>
        </w:rPr>
        <w:t xml:space="preserve">In 2020, DHHS awarded high performing subrecipients with additional funding. It is anticipated that </w:t>
      </w:r>
      <w:r w:rsidR="0075091E">
        <w:rPr>
          <w:rFonts w:eastAsiaTheme="minorEastAsia"/>
          <w:lang w:bidi="en-US"/>
        </w:rPr>
        <w:t>the new activities proposed for 2021 will facilitate a more open application process.</w:t>
      </w:r>
    </w:p>
    <w:p w14:paraId="3E86FA8B" w14:textId="7EF29964" w:rsidR="00834375" w:rsidRDefault="00892603" w:rsidP="002F01DB">
      <w:pPr>
        <w:spacing w:after="240"/>
        <w:rPr>
          <w:rFonts w:eastAsiaTheme="minorEastAsia"/>
          <w:lang w:bidi="en-US"/>
        </w:rPr>
      </w:pPr>
      <w:r>
        <w:rPr>
          <w:rFonts w:eastAsiaTheme="minorEastAsia"/>
          <w:lang w:bidi="en-US"/>
        </w:rPr>
        <w:t xml:space="preserve">The state’s HOPWA Policies and Procedures Manual </w:t>
      </w:r>
      <w:r w:rsidR="00956554">
        <w:rPr>
          <w:rFonts w:eastAsiaTheme="minorEastAsia"/>
          <w:lang w:bidi="en-US"/>
        </w:rPr>
        <w:t xml:space="preserve">clearly lists the applicable federal </w:t>
      </w:r>
      <w:r w:rsidR="00F76619">
        <w:rPr>
          <w:rFonts w:eastAsiaTheme="minorEastAsia"/>
          <w:lang w:bidi="en-US"/>
        </w:rPr>
        <w:t xml:space="preserve">statutes that apply to subrecipients’ obligations to comply with </w:t>
      </w:r>
      <w:r w:rsidR="002C7C8A">
        <w:rPr>
          <w:rFonts w:eastAsiaTheme="minorEastAsia"/>
          <w:lang w:bidi="en-US"/>
        </w:rPr>
        <w:t>fair housing laws and non-discriminatory requirements.</w:t>
      </w:r>
      <w:r w:rsidR="00624B82">
        <w:rPr>
          <w:rFonts w:eastAsiaTheme="minorEastAsia"/>
          <w:lang w:bidi="en-US"/>
        </w:rPr>
        <w:t xml:space="preserve"> Subrecipients are monitored </w:t>
      </w:r>
      <w:r w:rsidR="00345A1E">
        <w:rPr>
          <w:rFonts w:eastAsiaTheme="minorEastAsia"/>
          <w:lang w:bidi="en-US"/>
        </w:rPr>
        <w:t xml:space="preserve">twice annually with non-compliance potentially impacting future funding </w:t>
      </w:r>
      <w:r w:rsidR="00B8093A">
        <w:rPr>
          <w:rFonts w:eastAsiaTheme="minorEastAsia"/>
          <w:lang w:bidi="en-US"/>
        </w:rPr>
        <w:t>approval.</w:t>
      </w:r>
    </w:p>
    <w:p w14:paraId="3BF39CC5" w14:textId="49E8EE6E" w:rsidR="002D402D" w:rsidRDefault="00834FCC" w:rsidP="002F01DB">
      <w:pPr>
        <w:spacing w:after="240"/>
        <w:rPr>
          <w:rFonts w:eastAsiaTheme="minorEastAsia"/>
          <w:lang w:bidi="en-US"/>
        </w:rPr>
      </w:pPr>
      <w:r>
        <w:rPr>
          <w:rFonts w:eastAsiaTheme="minorEastAsia"/>
          <w:lang w:bidi="en-US"/>
        </w:rPr>
        <w:t xml:space="preserve">DHHS HOPWA staff and network </w:t>
      </w:r>
      <w:r w:rsidR="00E47ADE">
        <w:rPr>
          <w:rFonts w:eastAsiaTheme="minorEastAsia"/>
          <w:lang w:bidi="en-US"/>
        </w:rPr>
        <w:t>providers receive fair housing training from DOC.</w:t>
      </w:r>
    </w:p>
    <w:p w14:paraId="01E47841" w14:textId="46BA69D3" w:rsidR="002C4089" w:rsidRPr="002C4089" w:rsidRDefault="002C4089" w:rsidP="009B28C6">
      <w:pPr>
        <w:pStyle w:val="Heading3"/>
        <w:rPr>
          <w:rFonts w:eastAsiaTheme="minorEastAsia"/>
          <w:lang w:bidi="en-US"/>
        </w:rPr>
      </w:pPr>
      <w:bookmarkStart w:id="91" w:name="_Toc66807945"/>
      <w:r w:rsidRPr="002C4089">
        <w:rPr>
          <w:rFonts w:eastAsiaTheme="minorEastAsia"/>
          <w:lang w:bidi="en-US"/>
        </w:rPr>
        <w:t>Low Income Housing Tax Credit Program and the Qualified Allocation Plan</w:t>
      </w:r>
      <w:bookmarkEnd w:id="81"/>
      <w:bookmarkEnd w:id="91"/>
    </w:p>
    <w:p w14:paraId="76D86E96" w14:textId="55846E9C" w:rsidR="00CD2EA4" w:rsidRDefault="002C4089" w:rsidP="001E5635">
      <w:pPr>
        <w:spacing w:after="240"/>
      </w:pPr>
      <w:r w:rsidRPr="002C4089">
        <w:rPr>
          <w:rFonts w:eastAsiaTheme="minorEastAsia"/>
          <w:lang w:bidi="en-US"/>
        </w:rPr>
        <w:t>The Qualified Allocation Plan (QAP) is a public policy based on guidelines established by Section 42 of the Internal Revenue Code, which establishes the N</w:t>
      </w:r>
      <w:r w:rsidR="00A041DA">
        <w:rPr>
          <w:rFonts w:eastAsiaTheme="minorEastAsia"/>
          <w:lang w:bidi="en-US"/>
        </w:rPr>
        <w:t>CHFA</w:t>
      </w:r>
      <w:r w:rsidRPr="002C4089">
        <w:rPr>
          <w:rFonts w:eastAsiaTheme="minorEastAsia"/>
          <w:lang w:bidi="en-US"/>
        </w:rPr>
        <w:t>’s priorities for rental housing initiatives financed with Low Income Housing Tax Credits (LIHTC).</w:t>
      </w:r>
      <w:r w:rsidR="002270F5">
        <w:rPr>
          <w:rFonts w:eastAsiaTheme="minorEastAsia"/>
          <w:lang w:bidi="en-US"/>
        </w:rPr>
        <w:t xml:space="preserve"> </w:t>
      </w:r>
      <w:r w:rsidR="002270F5">
        <w:t>The following series of maps illustrate the types and locations of investments made with LIHTC funding and tax-exempt bond financing in 2020.</w:t>
      </w:r>
    </w:p>
    <w:p w14:paraId="1B16EC5C" w14:textId="79DA777A" w:rsidR="002270F5" w:rsidRDefault="00F91416" w:rsidP="002270F5">
      <w:pPr>
        <w:pStyle w:val="Caption"/>
      </w:pPr>
      <w:r w:rsidRPr="002270F5">
        <w:rPr>
          <w:rFonts w:eastAsiaTheme="minorEastAsia"/>
          <w:i/>
          <w:iCs/>
          <w:noProof/>
        </w:rPr>
        <w:lastRenderedPageBreak/>
        <w:drawing>
          <wp:anchor distT="0" distB="0" distL="114300" distR="114300" simplePos="0" relativeHeight="251698176" behindDoc="0" locked="0" layoutInCell="1" allowOverlap="1" wp14:anchorId="3719D908" wp14:editId="3A0B8F2B">
            <wp:simplePos x="0" y="0"/>
            <wp:positionH relativeFrom="column">
              <wp:posOffset>-106045</wp:posOffset>
            </wp:positionH>
            <wp:positionV relativeFrom="paragraph">
              <wp:posOffset>186690</wp:posOffset>
            </wp:positionV>
            <wp:extent cx="6287770" cy="31438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777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0F5">
        <w:t xml:space="preserve">Map </w:t>
      </w:r>
      <w:fldSimple w:instr=" SEQ Map \* ARABIC ">
        <w:r w:rsidR="0055251A">
          <w:rPr>
            <w:noProof/>
          </w:rPr>
          <w:t>29</w:t>
        </w:r>
      </w:fldSimple>
      <w:r w:rsidR="002270F5">
        <w:t xml:space="preserve"> Low Income Housing Tax Credit Investments in North Carolina, 2020</w:t>
      </w:r>
    </w:p>
    <w:p w14:paraId="6DDC7F8F" w14:textId="4C7994F9" w:rsidR="002270F5" w:rsidRPr="00BE51E4" w:rsidRDefault="002270F5" w:rsidP="002270F5">
      <w:pPr>
        <w:spacing w:after="240"/>
        <w:rPr>
          <w:rFonts w:eastAsiaTheme="minorEastAsia"/>
          <w:sz w:val="16"/>
          <w:szCs w:val="16"/>
        </w:rPr>
      </w:pPr>
      <w:r w:rsidRPr="00BE51E4">
        <w:rPr>
          <w:rFonts w:eastAsiaTheme="minorEastAsia"/>
          <w:sz w:val="16"/>
          <w:szCs w:val="16"/>
        </w:rPr>
        <w:t>Source: North Carolina Housing Finance Agency</w:t>
      </w:r>
    </w:p>
    <w:p w14:paraId="2E88CC60" w14:textId="775ED80D" w:rsidR="002270F5" w:rsidRDefault="002270F5">
      <w:pPr>
        <w:spacing w:after="160" w:line="259" w:lineRule="auto"/>
        <w:rPr>
          <w:b/>
          <w:bCs/>
          <w:color w:val="404040" w:themeColor="text1" w:themeTint="BF"/>
          <w:sz w:val="16"/>
          <w:szCs w:val="16"/>
        </w:rPr>
      </w:pPr>
    </w:p>
    <w:p w14:paraId="06670D36" w14:textId="761C2642" w:rsidR="002270F5" w:rsidRDefault="00F91416" w:rsidP="002270F5">
      <w:pPr>
        <w:pStyle w:val="Caption"/>
      </w:pPr>
      <w:r>
        <w:rPr>
          <w:noProof/>
        </w:rPr>
        <w:drawing>
          <wp:anchor distT="0" distB="0" distL="114300" distR="114300" simplePos="0" relativeHeight="251699200" behindDoc="0" locked="0" layoutInCell="1" allowOverlap="1" wp14:anchorId="53834087" wp14:editId="663197C7">
            <wp:simplePos x="0" y="0"/>
            <wp:positionH relativeFrom="column">
              <wp:posOffset>-106045</wp:posOffset>
            </wp:positionH>
            <wp:positionV relativeFrom="paragraph">
              <wp:posOffset>158750</wp:posOffset>
            </wp:positionV>
            <wp:extent cx="6347460" cy="317373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47460" cy="317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0F5">
        <w:t xml:space="preserve">Map </w:t>
      </w:r>
      <w:fldSimple w:instr=" SEQ Map \* ARABIC ">
        <w:r w:rsidR="0055251A">
          <w:rPr>
            <w:noProof/>
          </w:rPr>
          <w:t>30</w:t>
        </w:r>
      </w:fldSimple>
      <w:r w:rsidR="002270F5">
        <w:t xml:space="preserve"> Tax-Exempt Bond Financing Properties in North Carolina, 2020</w:t>
      </w:r>
    </w:p>
    <w:p w14:paraId="39C2C41F" w14:textId="64FB6C41" w:rsidR="002270F5" w:rsidRPr="00BE51E4" w:rsidRDefault="002270F5" w:rsidP="002270F5">
      <w:r w:rsidRPr="00BE51E4">
        <w:rPr>
          <w:rFonts w:eastAsiaTheme="minorEastAsia"/>
          <w:sz w:val="16"/>
          <w:szCs w:val="16"/>
        </w:rPr>
        <w:t>Source: North Carolina Housing Finance Agency</w:t>
      </w:r>
      <w:r w:rsidRPr="00BE51E4">
        <w:rPr>
          <w:noProof/>
        </w:rPr>
        <w:t xml:space="preserve"> </w:t>
      </w:r>
    </w:p>
    <w:p w14:paraId="52D66ED9" w14:textId="77777777" w:rsidR="002270F5" w:rsidRPr="002270F5" w:rsidRDefault="002270F5" w:rsidP="002270F5">
      <w:pPr>
        <w:rPr>
          <w:rFonts w:eastAsiaTheme="minorEastAsia"/>
        </w:rPr>
      </w:pPr>
    </w:p>
    <w:p w14:paraId="7A47AE63" w14:textId="792CEE94" w:rsidR="002C4089" w:rsidRPr="002C4089" w:rsidRDefault="002C4089" w:rsidP="001E5635">
      <w:pPr>
        <w:spacing w:after="240"/>
        <w:rPr>
          <w:rFonts w:eastAsiaTheme="minorEastAsia"/>
          <w:lang w:bidi="en-US"/>
        </w:rPr>
      </w:pPr>
      <w:bookmarkStart w:id="92" w:name="_bookmark107"/>
      <w:bookmarkStart w:id="93" w:name="_bookmark108"/>
      <w:bookmarkEnd w:id="92"/>
      <w:bookmarkEnd w:id="93"/>
      <w:r w:rsidRPr="002C4089">
        <w:rPr>
          <w:rFonts w:eastAsiaTheme="minorEastAsia"/>
          <w:lang w:bidi="en-US"/>
        </w:rPr>
        <w:t>Unlike federal programs that provide grants or loans for housing development, the LIHTC program generates private equity from the sale of tax credits to assist with the hard and soft development costs of rental units. Generally, for-profit corporations such as banks purchase the credits based on current demand for them. In return, corporations receive an annual dollar-for-</w:t>
      </w:r>
      <w:r w:rsidRPr="002C4089">
        <w:rPr>
          <w:rFonts w:eastAsiaTheme="minorEastAsia"/>
          <w:lang w:bidi="en-US"/>
        </w:rPr>
        <w:lastRenderedPageBreak/>
        <w:t xml:space="preserve">dollar reduction of federal taxes each year for the first </w:t>
      </w:r>
      <w:r w:rsidR="0089676B">
        <w:rPr>
          <w:rFonts w:eastAsiaTheme="minorEastAsia"/>
          <w:lang w:bidi="en-US"/>
        </w:rPr>
        <w:t>fif</w:t>
      </w:r>
      <w:r w:rsidRPr="002C4089">
        <w:rPr>
          <w:rFonts w:eastAsiaTheme="minorEastAsia"/>
          <w:lang w:bidi="en-US"/>
        </w:rPr>
        <w:t>t</w:t>
      </w:r>
      <w:r w:rsidR="0089676B">
        <w:rPr>
          <w:rFonts w:eastAsiaTheme="minorEastAsia"/>
          <w:lang w:bidi="en-US"/>
        </w:rPr>
        <w:t>e</w:t>
      </w:r>
      <w:r w:rsidRPr="002C4089">
        <w:rPr>
          <w:rFonts w:eastAsiaTheme="minorEastAsia"/>
          <w:lang w:bidi="en-US"/>
        </w:rPr>
        <w:t>en years that units are in operation. Each year, the QAP must be approved by the Governor before the tax credits can be awarded by NCHFA to developers. Because the competition for tax credits is robust, tax credit developers design their rental housing projects to achieve maximum scoring under NCHFA’s QAP priority scoring categories. The QAP has a major impact on what populations are served, the types of projects that will be undertaken and, indirectly, where rental housing is built or rehabilitated.</w:t>
      </w:r>
    </w:p>
    <w:p w14:paraId="2AF9F76A" w14:textId="36A7F8DC" w:rsidR="002C4089" w:rsidRDefault="002C4089" w:rsidP="001E5635">
      <w:pPr>
        <w:spacing w:after="240"/>
        <w:rPr>
          <w:rFonts w:eastAsiaTheme="minorEastAsia"/>
          <w:lang w:bidi="en-US"/>
        </w:rPr>
      </w:pPr>
      <w:r w:rsidRPr="002C4089">
        <w:rPr>
          <w:rFonts w:eastAsiaTheme="minorEastAsia"/>
          <w:lang w:bidi="en-US"/>
        </w:rPr>
        <w:t xml:space="preserve">QAP policies across the country have changed in recent years to address issues central to a recent federal fair housing case, </w:t>
      </w:r>
      <w:r w:rsidRPr="002C4089">
        <w:rPr>
          <w:rFonts w:eastAsiaTheme="minorEastAsia"/>
          <w:i/>
          <w:lang w:bidi="en-US"/>
        </w:rPr>
        <w:t>The Inclusive Communities Project, Inc. v. Texas Department of Housing and Community Affairs (N.D. Tex. 2010)</w:t>
      </w:r>
      <w:r w:rsidRPr="002C4089">
        <w:rPr>
          <w:rFonts w:eastAsiaTheme="minorEastAsia"/>
          <w:lang w:bidi="en-US"/>
        </w:rPr>
        <w:t xml:space="preserve">, in which a local affordable housing advocate challenged the Texas QAP. The Department of Housing and Community Affairs (TDHCA) is the housing finance agency for the State of Texas. The lawsuit alleged that TDHCA disproportionately approved tax credits for low- income housing in minority neighborhoods and denied applications for family tax credit housing in predominantly White neighborhoods. The plaintiff alleged that TDHCA’s policy in awarding credits perpetuated racial segregation in violation of the Fair Housing Act. TDHCA argued that it prioritized tax credit applications for projects located in qualified census tracts (QCTs) in accordance with Section 42 of the Internal Revenue Code and that, as such, it was unavoidable that tax credit projects would </w:t>
      </w:r>
      <w:proofErr w:type="gramStart"/>
      <w:r w:rsidRPr="002C4089">
        <w:rPr>
          <w:rFonts w:eastAsiaTheme="minorEastAsia"/>
          <w:lang w:bidi="en-US"/>
        </w:rPr>
        <w:t>be located in</w:t>
      </w:r>
      <w:proofErr w:type="gramEnd"/>
      <w:r w:rsidRPr="002C4089">
        <w:rPr>
          <w:rFonts w:eastAsiaTheme="minorEastAsia"/>
          <w:lang w:bidi="en-US"/>
        </w:rPr>
        <w:t xml:space="preserve"> concentrated minority neighborhoods rather than predominantly</w:t>
      </w:r>
      <w:r w:rsidR="00F47DB0">
        <w:rPr>
          <w:rFonts w:eastAsiaTheme="minorEastAsia"/>
          <w:lang w:bidi="en-US"/>
        </w:rPr>
        <w:t xml:space="preserve"> </w:t>
      </w:r>
      <w:r w:rsidRPr="002C4089">
        <w:rPr>
          <w:rFonts w:eastAsiaTheme="minorEastAsia"/>
          <w:lang w:bidi="en-US"/>
        </w:rPr>
        <w:t>White neighborhoods.</w:t>
      </w:r>
    </w:p>
    <w:p w14:paraId="52956344" w14:textId="77777777" w:rsidR="002C4089" w:rsidRPr="002C4089" w:rsidRDefault="002C4089" w:rsidP="001E5635">
      <w:pPr>
        <w:spacing w:after="240"/>
        <w:rPr>
          <w:rFonts w:eastAsiaTheme="minorEastAsia"/>
          <w:lang w:bidi="en-US"/>
        </w:rPr>
      </w:pPr>
      <w:r w:rsidRPr="002C4089">
        <w:rPr>
          <w:rFonts w:eastAsiaTheme="minorEastAsia"/>
          <w:lang w:bidi="en-US"/>
        </w:rPr>
        <w:t>TDHCA’s motion for summary judgment (</w:t>
      </w:r>
      <w:proofErr w:type="gramStart"/>
      <w:r w:rsidRPr="002C4089">
        <w:rPr>
          <w:rFonts w:eastAsiaTheme="minorEastAsia"/>
          <w:lang w:bidi="en-US"/>
        </w:rPr>
        <w:t>i.e.</w:t>
      </w:r>
      <w:proofErr w:type="gramEnd"/>
      <w:r w:rsidRPr="002C4089">
        <w:rPr>
          <w:rFonts w:eastAsiaTheme="minorEastAsia"/>
          <w:lang w:bidi="en-US"/>
        </w:rPr>
        <w:t xml:space="preserve"> dismissal of the case) was denied in 2010. Following a trial, the court found in March 2012 that actions taken by TDHCA in allocating tax credits had a disparate impact under the Fair Housing Act.</w:t>
      </w:r>
    </w:p>
    <w:p w14:paraId="480E05AA" w14:textId="77777777" w:rsidR="002C4089" w:rsidRPr="002C4089" w:rsidRDefault="002C4089" w:rsidP="001E5635">
      <w:pPr>
        <w:spacing w:after="240"/>
        <w:rPr>
          <w:rFonts w:eastAsiaTheme="minorEastAsia"/>
          <w:lang w:bidi="en-US"/>
        </w:rPr>
      </w:pPr>
      <w:r w:rsidRPr="002C4089">
        <w:rPr>
          <w:rFonts w:eastAsiaTheme="minorEastAsia"/>
          <w:lang w:bidi="en-US"/>
        </w:rPr>
        <w:t xml:space="preserve">This finding was followed by an opinion issued by the Fifth Circuit Court of Appeals in March 2014, which determined that the correct legal standard to apply in disparate impact claims under the Fair Housing Act is the standard adopted in HUD regulations regarding burdens of proof (24 CFR 100.500). These rules establish liability for practices with discriminatory effects, </w:t>
      </w:r>
      <w:proofErr w:type="gramStart"/>
      <w:r w:rsidRPr="002C4089">
        <w:rPr>
          <w:rFonts w:eastAsiaTheme="minorEastAsia"/>
          <w:lang w:bidi="en-US"/>
        </w:rPr>
        <w:t>whether or not</w:t>
      </w:r>
      <w:proofErr w:type="gramEnd"/>
      <w:r w:rsidRPr="002C4089">
        <w:rPr>
          <w:rFonts w:eastAsiaTheme="minorEastAsia"/>
          <w:lang w:bidi="en-US"/>
        </w:rPr>
        <w:t xml:space="preserve"> those practices are intentionally discriminatory. A practice has a discriminatory effect where it actually or predictably results in a disparate impact on a group of persons or creates, increases, reinforces, or perpetuates segregated housing patterns. In 2015, the United States Supreme Court held that “disparate-impact claims are cognizable under the Fair Housing Act.”</w:t>
      </w:r>
      <w:r w:rsidRPr="002C4089">
        <w:rPr>
          <w:rFonts w:eastAsiaTheme="minorEastAsia"/>
          <w:vertAlign w:val="superscript"/>
          <w:lang w:bidi="en-US"/>
        </w:rPr>
        <w:footnoteReference w:id="5"/>
      </w:r>
    </w:p>
    <w:p w14:paraId="5CFC1C0E" w14:textId="303A61C3" w:rsidR="002C4089" w:rsidRPr="002C4089" w:rsidRDefault="002C4089" w:rsidP="001E5635">
      <w:pPr>
        <w:spacing w:after="240"/>
        <w:rPr>
          <w:rFonts w:eastAsiaTheme="minorEastAsia"/>
          <w:lang w:bidi="en-US"/>
        </w:rPr>
      </w:pPr>
      <w:r w:rsidRPr="002C4089">
        <w:rPr>
          <w:rFonts w:eastAsiaTheme="minorEastAsia"/>
          <w:lang w:bidi="en-US"/>
        </w:rPr>
        <w:t xml:space="preserve">The results of this legal precedent perfectly summarize the challenge of affirmatively furthering housing in cities, </w:t>
      </w:r>
      <w:proofErr w:type="gramStart"/>
      <w:r w:rsidRPr="002C4089">
        <w:rPr>
          <w:rFonts w:eastAsiaTheme="minorEastAsia"/>
          <w:lang w:bidi="en-US"/>
        </w:rPr>
        <w:t>counties</w:t>
      </w:r>
      <w:proofErr w:type="gramEnd"/>
      <w:r w:rsidRPr="002C4089">
        <w:rPr>
          <w:rFonts w:eastAsiaTheme="minorEastAsia"/>
          <w:lang w:bidi="en-US"/>
        </w:rPr>
        <w:t xml:space="preserve"> and states across the U.S.: balancing the creation of affordable housing in lower poverty and predominantly non-minority areas (i.e., higher opportunity areas) with the need to preserve affordable housing and improve the quality of life for residents in higher poverty and predominantly minority areas (i.e., lower opportunity areas). This is the context within which North Carolina’s 2021 QAP (Draft 2) was evaluated for purposes of the AI.</w:t>
      </w:r>
    </w:p>
    <w:p w14:paraId="4ECD21FF" w14:textId="77777777" w:rsidR="002C4089" w:rsidRPr="002C4089" w:rsidRDefault="002C4089" w:rsidP="001E5635">
      <w:pPr>
        <w:spacing w:after="240"/>
        <w:rPr>
          <w:rFonts w:eastAsiaTheme="minorEastAsia"/>
          <w:lang w:bidi="en-US"/>
        </w:rPr>
      </w:pPr>
      <w:r w:rsidRPr="002C4089">
        <w:rPr>
          <w:rFonts w:eastAsiaTheme="minorEastAsia"/>
          <w:lang w:bidi="en-US"/>
        </w:rPr>
        <w:lastRenderedPageBreak/>
        <w:t>The QAP was reviewed to determine the presence of five tax credit allocation priorities meant to incentivize developers to create LIHTC developments in locations with lower poverty rates and higher opportunity.</w:t>
      </w:r>
      <w:r w:rsidRPr="002C4089">
        <w:rPr>
          <w:rFonts w:eastAsiaTheme="minorEastAsia"/>
          <w:vertAlign w:val="superscript"/>
          <w:lang w:bidi="en-US"/>
        </w:rPr>
        <w:footnoteReference w:id="6"/>
      </w:r>
      <w:r w:rsidRPr="002C4089">
        <w:rPr>
          <w:rFonts w:eastAsiaTheme="minorEastAsia"/>
          <w:lang w:bidi="en-US"/>
        </w:rPr>
        <w:t xml:space="preserve"> The five allocation priorities included:</w:t>
      </w:r>
    </w:p>
    <w:p w14:paraId="2E9E1678" w14:textId="77777777" w:rsidR="002C4089" w:rsidRPr="002C4089" w:rsidRDefault="002C4089" w:rsidP="000E4E38">
      <w:pPr>
        <w:numPr>
          <w:ilvl w:val="0"/>
          <w:numId w:val="26"/>
        </w:numPr>
        <w:spacing w:before="60" w:after="60"/>
        <w:ind w:hanging="360"/>
        <w:rPr>
          <w:rFonts w:eastAsiaTheme="minorEastAsia"/>
          <w:lang w:bidi="en-US"/>
        </w:rPr>
      </w:pPr>
      <w:r w:rsidRPr="002C4089">
        <w:rPr>
          <w:rFonts w:eastAsiaTheme="minorEastAsia"/>
          <w:lang w:bidi="en-US"/>
        </w:rPr>
        <w:t>High-opportunity neighborhoods</w:t>
      </w:r>
    </w:p>
    <w:p w14:paraId="01D0C37A" w14:textId="77777777" w:rsidR="002C4089" w:rsidRPr="002C4089" w:rsidRDefault="002C4089" w:rsidP="000E4E38">
      <w:pPr>
        <w:numPr>
          <w:ilvl w:val="0"/>
          <w:numId w:val="26"/>
        </w:numPr>
        <w:spacing w:before="60" w:after="60"/>
        <w:ind w:hanging="360"/>
        <w:rPr>
          <w:rFonts w:eastAsiaTheme="minorEastAsia"/>
          <w:lang w:bidi="en-US"/>
        </w:rPr>
      </w:pPr>
      <w:r w:rsidRPr="002C4089">
        <w:rPr>
          <w:rFonts w:eastAsiaTheme="minorEastAsia"/>
          <w:lang w:bidi="en-US"/>
        </w:rPr>
        <w:t>Access to amenities</w:t>
      </w:r>
    </w:p>
    <w:p w14:paraId="40E7D68B" w14:textId="77777777" w:rsidR="002C4089" w:rsidRPr="002C4089" w:rsidRDefault="002C4089" w:rsidP="000E4E38">
      <w:pPr>
        <w:numPr>
          <w:ilvl w:val="0"/>
          <w:numId w:val="26"/>
        </w:numPr>
        <w:spacing w:before="60" w:after="60"/>
        <w:ind w:hanging="360"/>
        <w:rPr>
          <w:rFonts w:eastAsiaTheme="minorEastAsia"/>
          <w:lang w:bidi="en-US"/>
        </w:rPr>
      </w:pPr>
      <w:r w:rsidRPr="002C4089">
        <w:rPr>
          <w:rFonts w:eastAsiaTheme="minorEastAsia"/>
          <w:lang w:bidi="en-US"/>
        </w:rPr>
        <w:t>Approval by the community</w:t>
      </w:r>
    </w:p>
    <w:p w14:paraId="191E6752" w14:textId="77777777" w:rsidR="002C4089" w:rsidRPr="002C4089" w:rsidRDefault="002C4089" w:rsidP="000E4E38">
      <w:pPr>
        <w:numPr>
          <w:ilvl w:val="0"/>
          <w:numId w:val="26"/>
        </w:numPr>
        <w:spacing w:before="60" w:after="60"/>
        <w:ind w:hanging="360"/>
        <w:rPr>
          <w:rFonts w:eastAsiaTheme="minorEastAsia"/>
          <w:lang w:bidi="en-US"/>
        </w:rPr>
      </w:pPr>
      <w:r w:rsidRPr="002C4089">
        <w:rPr>
          <w:rFonts w:eastAsiaTheme="minorEastAsia"/>
          <w:lang w:bidi="en-US"/>
        </w:rPr>
        <w:t>Furthering investment in blighted neighborhoods</w:t>
      </w:r>
    </w:p>
    <w:p w14:paraId="3E6E7095" w14:textId="77777777" w:rsidR="002C4089" w:rsidRPr="002C4089" w:rsidRDefault="002C4089" w:rsidP="000E4E38">
      <w:pPr>
        <w:numPr>
          <w:ilvl w:val="0"/>
          <w:numId w:val="26"/>
        </w:numPr>
        <w:spacing w:before="60" w:after="240"/>
        <w:ind w:hanging="360"/>
        <w:rPr>
          <w:rFonts w:eastAsiaTheme="minorEastAsia"/>
          <w:lang w:bidi="en-US"/>
        </w:rPr>
      </w:pPr>
      <w:r w:rsidRPr="002C4089">
        <w:rPr>
          <w:rFonts w:eastAsiaTheme="minorEastAsia"/>
          <w:lang w:bidi="en-US"/>
        </w:rPr>
        <w:t>Avoiding concentrations of affordable housing</w:t>
      </w:r>
    </w:p>
    <w:p w14:paraId="2DE1DC05" w14:textId="77777777" w:rsidR="002C4089" w:rsidRPr="002C4089" w:rsidRDefault="002C4089" w:rsidP="001E5635">
      <w:pPr>
        <w:spacing w:after="240"/>
        <w:rPr>
          <w:rFonts w:eastAsiaTheme="minorEastAsia"/>
          <w:lang w:bidi="en-US"/>
        </w:rPr>
      </w:pPr>
      <w:r w:rsidRPr="002C4089">
        <w:rPr>
          <w:rFonts w:eastAsiaTheme="minorEastAsia"/>
          <w:lang w:bidi="en-US"/>
        </w:rPr>
        <w:t>The total annual tax credit authority for North Carolina in 2020 was just over $29 million. The set-asides established in the QAP reflect distinctions in specific needs and county market conditions as determined by NCHFA. The QAP includes two primary set-asides for how the 9% tax credits will be allocated based on availability of credits after (1) forward commitments are satisfied and (2) a set-aside for Disaster Recovery in the East region is satisfied for new construction: 10% for housing rehabilitation and the remainder for new construction. Within the new construction set-aside, the state is divided into four regions, each with a specified set-aside: West 16%, Central 23%, Metro 38% and East 23%.</w:t>
      </w:r>
    </w:p>
    <w:p w14:paraId="4CC28821" w14:textId="106BBA62" w:rsidR="002C4089" w:rsidRPr="002C4089" w:rsidRDefault="002C4089" w:rsidP="001E5635">
      <w:pPr>
        <w:spacing w:after="240"/>
        <w:rPr>
          <w:rFonts w:eastAsiaTheme="minorEastAsia"/>
          <w:lang w:bidi="en-US"/>
        </w:rPr>
      </w:pPr>
      <w:r w:rsidRPr="002C4089">
        <w:rPr>
          <w:rFonts w:eastAsiaTheme="minorEastAsia"/>
          <w:b/>
          <w:bCs/>
          <w:lang w:bidi="en-US"/>
        </w:rPr>
        <w:t>High-opportunity neighborhoods</w:t>
      </w:r>
      <w:r w:rsidRPr="002C4089">
        <w:rPr>
          <w:rFonts w:eastAsiaTheme="minorEastAsia"/>
          <w:lang w:bidi="en-US"/>
        </w:rPr>
        <w:t xml:space="preserve"> refer to areas that are typically suitable for long-term growth with existing or planned infrastructure in the vicinity of quality schools and employment opportunities, among other things. The significance of locating LIHTC developments in high-opportunity areas is that these are also areas with lower poverty rates. Exercising fair housing choice means having the opportunity to move to another neighborhood that offers economic opportunity, proximity to the workplace, better schools, and a safer and more secure environment should a lower income household </w:t>
      </w:r>
      <w:r w:rsidRPr="002C4089">
        <w:rPr>
          <w:rFonts w:eastAsiaTheme="minorEastAsia"/>
          <w:i/>
          <w:lang w:bidi="en-US"/>
        </w:rPr>
        <w:t xml:space="preserve">choose </w:t>
      </w:r>
      <w:r w:rsidRPr="002C4089">
        <w:rPr>
          <w:rFonts w:eastAsiaTheme="minorEastAsia"/>
          <w:lang w:bidi="en-US"/>
        </w:rPr>
        <w:t xml:space="preserve">to move. Affirmative moves from R/ECAP areas to lower poverty areas of opportunity help to break down patterns of segregation. </w:t>
      </w:r>
      <w:r w:rsidR="00E81DA0">
        <w:rPr>
          <w:rFonts w:eastAsiaTheme="minorEastAsia"/>
          <w:lang w:bidi="en-US"/>
        </w:rPr>
        <w:t xml:space="preserve">NCHFA </w:t>
      </w:r>
      <w:r w:rsidRPr="002C4089">
        <w:rPr>
          <w:rFonts w:eastAsiaTheme="minorEastAsia"/>
          <w:lang w:bidi="en-US"/>
        </w:rPr>
        <w:t>fosters this goal by awarding for three specific criteria.</w:t>
      </w:r>
    </w:p>
    <w:p w14:paraId="20086EE2" w14:textId="456F56F4" w:rsidR="0030254C" w:rsidRDefault="002C4089" w:rsidP="001E5635">
      <w:pPr>
        <w:spacing w:after="240"/>
        <w:rPr>
          <w:rFonts w:eastAsiaTheme="minorEastAsia"/>
          <w:lang w:bidi="en-US"/>
        </w:rPr>
      </w:pPr>
      <w:r w:rsidRPr="002C4089">
        <w:rPr>
          <w:rFonts w:eastAsiaTheme="minorEastAsia"/>
          <w:lang w:bidi="en-US"/>
        </w:rPr>
        <w:t xml:space="preserve">First, </w:t>
      </w:r>
      <w:r w:rsidR="00E27530" w:rsidRPr="002C4089">
        <w:rPr>
          <w:rFonts w:eastAsiaTheme="minorEastAsia"/>
          <w:lang w:bidi="en-US"/>
        </w:rPr>
        <w:t xml:space="preserve">proposed developments cannot </w:t>
      </w:r>
      <w:proofErr w:type="gramStart"/>
      <w:r w:rsidR="00E27530" w:rsidRPr="002C4089">
        <w:rPr>
          <w:rFonts w:eastAsiaTheme="minorEastAsia"/>
          <w:lang w:bidi="en-US"/>
        </w:rPr>
        <w:t>be located in</w:t>
      </w:r>
      <w:proofErr w:type="gramEnd"/>
      <w:r w:rsidR="00E27530" w:rsidRPr="002C4089">
        <w:rPr>
          <w:rFonts w:eastAsiaTheme="minorEastAsia"/>
          <w:lang w:bidi="en-US"/>
        </w:rPr>
        <w:t xml:space="preserve"> areas of minority and low-income concentration; however, NCHFA may make an exception for projects in economically distressed areas with community revitalization plans with public funds committed to support the revitalization effort.</w:t>
      </w:r>
      <w:r w:rsidR="00367C80">
        <w:rPr>
          <w:rFonts w:eastAsiaTheme="minorEastAsia"/>
          <w:lang w:bidi="en-US"/>
        </w:rPr>
        <w:t xml:space="preserve"> </w:t>
      </w:r>
      <w:r w:rsidR="000B63F7">
        <w:rPr>
          <w:rFonts w:eastAsiaTheme="minorEastAsia"/>
          <w:lang w:bidi="en-US"/>
        </w:rPr>
        <w:t xml:space="preserve">Second, </w:t>
      </w:r>
      <w:r w:rsidR="00E8272D">
        <w:rPr>
          <w:rFonts w:eastAsiaTheme="minorEastAsia"/>
          <w:lang w:bidi="en-US"/>
        </w:rPr>
        <w:t>a proposed development can receive up to 38 points</w:t>
      </w:r>
      <w:r w:rsidR="00A847ED">
        <w:rPr>
          <w:rFonts w:eastAsiaTheme="minorEastAsia"/>
          <w:lang w:bidi="en-US"/>
        </w:rPr>
        <w:t xml:space="preserve"> for a location </w:t>
      </w:r>
      <w:proofErr w:type="gramStart"/>
      <w:r w:rsidR="00A847ED">
        <w:rPr>
          <w:rFonts w:eastAsiaTheme="minorEastAsia"/>
          <w:lang w:bidi="en-US"/>
        </w:rPr>
        <w:t>in close proximity to</w:t>
      </w:r>
      <w:proofErr w:type="gramEnd"/>
      <w:r w:rsidR="00A847ED">
        <w:rPr>
          <w:rFonts w:eastAsiaTheme="minorEastAsia"/>
          <w:lang w:bidi="en-US"/>
        </w:rPr>
        <w:t xml:space="preserve"> community amenities (see following paragraph)</w:t>
      </w:r>
      <w:r w:rsidR="009A420C">
        <w:rPr>
          <w:rFonts w:eastAsiaTheme="minorEastAsia"/>
          <w:lang w:bidi="en-US"/>
        </w:rPr>
        <w:t xml:space="preserve">. Third, </w:t>
      </w:r>
      <w:r w:rsidR="00C67D66">
        <w:rPr>
          <w:rFonts w:eastAsiaTheme="minorEastAsia"/>
          <w:lang w:bidi="en-US"/>
        </w:rPr>
        <w:t xml:space="preserve">up to two points are awarded for </w:t>
      </w:r>
      <w:r w:rsidR="00B718BE">
        <w:rPr>
          <w:rFonts w:eastAsiaTheme="minorEastAsia"/>
          <w:lang w:bidi="en-US"/>
        </w:rPr>
        <w:t xml:space="preserve">projects located in High Income Counties if at least 25% of the </w:t>
      </w:r>
      <w:r w:rsidR="009F35FB">
        <w:rPr>
          <w:rFonts w:eastAsiaTheme="minorEastAsia"/>
          <w:lang w:bidi="en-US"/>
        </w:rPr>
        <w:t xml:space="preserve">qualified low-income units are made affordable to and occupied by households with </w:t>
      </w:r>
      <w:r w:rsidR="00785625">
        <w:rPr>
          <w:rFonts w:eastAsiaTheme="minorEastAsia"/>
          <w:lang w:bidi="en-US"/>
        </w:rPr>
        <w:t>incomes at or below 30% of area median income.</w:t>
      </w:r>
    </w:p>
    <w:p w14:paraId="6EA82C2B" w14:textId="77777777" w:rsidR="002C4089" w:rsidRPr="002C4089" w:rsidRDefault="002C4089" w:rsidP="001E5635">
      <w:pPr>
        <w:spacing w:after="240"/>
        <w:rPr>
          <w:rFonts w:eastAsiaTheme="minorEastAsia"/>
          <w:lang w:bidi="en-US"/>
        </w:rPr>
      </w:pPr>
      <w:r w:rsidRPr="002C4089">
        <w:rPr>
          <w:rFonts w:eastAsiaTheme="minorEastAsia"/>
          <w:b/>
          <w:bCs/>
          <w:lang w:bidi="en-US"/>
        </w:rPr>
        <w:t>Access to amenities</w:t>
      </w:r>
      <w:r w:rsidRPr="002C4089">
        <w:rPr>
          <w:rFonts w:eastAsiaTheme="minorEastAsia"/>
          <w:lang w:bidi="en-US"/>
        </w:rPr>
        <w:t xml:space="preserve"> such as health care services, grocery stores, pharmacies and other community uses that contribute to the quality of life can be awarded a maximum of 38 points in the LIHTC application scoring process. Specified amenities include grocery stores, other shopping, pharmacies, services, healthcare, public facilities, public schools near family </w:t>
      </w:r>
      <w:r w:rsidRPr="002C4089">
        <w:rPr>
          <w:rFonts w:eastAsiaTheme="minorEastAsia"/>
          <w:lang w:bidi="en-US"/>
        </w:rPr>
        <w:lastRenderedPageBreak/>
        <w:t>developments, senior centers near senior developments, and retail. Higher points are awarded for amenities located closer to the proposed development.</w:t>
      </w:r>
    </w:p>
    <w:p w14:paraId="44B36E93" w14:textId="77777777" w:rsidR="002C4089" w:rsidRPr="002C4089" w:rsidRDefault="002C4089" w:rsidP="001E5635">
      <w:pPr>
        <w:spacing w:after="240"/>
        <w:rPr>
          <w:rFonts w:eastAsiaTheme="minorEastAsia"/>
          <w:lang w:bidi="en-US"/>
        </w:rPr>
      </w:pPr>
      <w:proofErr w:type="gramStart"/>
      <w:r w:rsidRPr="002C4089">
        <w:rPr>
          <w:rFonts w:eastAsiaTheme="minorEastAsia"/>
          <w:lang w:bidi="en-US"/>
        </w:rPr>
        <w:t>With regard to</w:t>
      </w:r>
      <w:proofErr w:type="gramEnd"/>
      <w:r w:rsidRPr="002C4089">
        <w:rPr>
          <w:rFonts w:eastAsiaTheme="minorEastAsia"/>
          <w:lang w:bidi="en-US"/>
        </w:rPr>
        <w:t xml:space="preserve"> </w:t>
      </w:r>
      <w:r w:rsidRPr="002C4089">
        <w:rPr>
          <w:rFonts w:eastAsiaTheme="minorEastAsia"/>
          <w:b/>
          <w:bCs/>
          <w:lang w:bidi="en-US"/>
        </w:rPr>
        <w:t>local community approval</w:t>
      </w:r>
      <w:r w:rsidRPr="002C4089">
        <w:rPr>
          <w:rFonts w:eastAsiaTheme="minorEastAsia"/>
          <w:lang w:bidi="en-US"/>
        </w:rPr>
        <w:t xml:space="preserve"> and the potential for public opposition, the fair housing rule of thumb is that a housing project financed with public funding sources should not be subjected to a higher standard of public notification and/or approval process than privately financed housing. Different treatment on this basis is discriminatory if the tenants of a proposed development will be members of the protected classes (families with children, persons with disabilities, minorities, etc.). A community’s land use regulations should be the sole determining factor in deciding whether a public meeting is required. If an apartment building is permitted by right in a certain location, a public hearing is typically not required. The method of financing (i.e., conventional market-rate financing versus tax credit equity or other public subsidies) should not be a factor for consideration when deciding whether a public meeting is required. NCHFA’s QAP does not require a letter of local support for its LIHTC applications.</w:t>
      </w:r>
    </w:p>
    <w:p w14:paraId="32A5C81B" w14:textId="77777777" w:rsidR="002C4089" w:rsidRPr="002C4089" w:rsidRDefault="002C4089" w:rsidP="001E5635">
      <w:pPr>
        <w:spacing w:after="240"/>
        <w:rPr>
          <w:rFonts w:eastAsiaTheme="minorEastAsia"/>
          <w:lang w:bidi="en-US"/>
        </w:rPr>
      </w:pPr>
      <w:r w:rsidRPr="002C4089">
        <w:rPr>
          <w:rFonts w:eastAsiaTheme="minorEastAsia"/>
          <w:lang w:bidi="en-US"/>
        </w:rPr>
        <w:t xml:space="preserve">In some cases, careful and coordinated planning involving revitalization of deteriorated structures and conditions in some areas can spur </w:t>
      </w:r>
      <w:r w:rsidRPr="002C4089">
        <w:rPr>
          <w:rFonts w:eastAsiaTheme="minorEastAsia"/>
          <w:b/>
          <w:bCs/>
          <w:lang w:bidi="en-US"/>
        </w:rPr>
        <w:t>new investment in blighted neighborhoods</w:t>
      </w:r>
      <w:r w:rsidRPr="002C4089">
        <w:rPr>
          <w:rFonts w:eastAsiaTheme="minorEastAsia"/>
          <w:lang w:bidi="en-US"/>
        </w:rPr>
        <w:t xml:space="preserve"> and enhance living conditions for residents. New LIHTC projects are frequently part of the equation for this type of initiative, providing new quality and affordable housing for longtime residents. The QAP can be a useful and valuable tool in guiding LIHTC investment, particularly when it is part of a broader comprehensive community plan. HUD’s Choice Neighborhood Initiative is one example of how this can be achieved. The QAP allows NCHFA to fund one new construction project with Choice Neighborhood Initiative Implementation funds with up to $1 million in tax credits. This provision is effective on an annual basis through 2025.</w:t>
      </w:r>
    </w:p>
    <w:p w14:paraId="1CFA9152" w14:textId="77777777" w:rsidR="002C4089" w:rsidRPr="002C4089" w:rsidRDefault="002C4089" w:rsidP="001E5635">
      <w:pPr>
        <w:spacing w:after="240"/>
        <w:rPr>
          <w:rFonts w:eastAsiaTheme="minorEastAsia"/>
          <w:lang w:bidi="en-US"/>
        </w:rPr>
      </w:pPr>
      <w:r w:rsidRPr="002C4089">
        <w:rPr>
          <w:rFonts w:eastAsiaTheme="minorEastAsia"/>
          <w:lang w:bidi="en-US"/>
        </w:rPr>
        <w:t>In addition to the Choice Neighborhood Initiative set-aside, the QAP awards a maximum of 10 points for neighborhood characteristics. The full 10 points will be awarded if structures within one-half mile of the proposed development are well-maintained or the project site qualifies as a Redevelopment Project. Five points are awarded if structures within one-half mile are not well-maintained and there are visible signs of deterioration. No points are awarded if structures within one-half mile are blighted or have physical security modifications (e.g., barbed wire fencing or bars on windows). (Blighted is defined as a structure that is abandoned, deteriorated substantially beyond normal wear and tear, a public nuisance or appears to violate minimum health and safety standards.)</w:t>
      </w:r>
    </w:p>
    <w:p w14:paraId="53A5C4A4" w14:textId="77777777" w:rsidR="002C4089" w:rsidRPr="002C4089" w:rsidRDefault="002C4089" w:rsidP="001E5635">
      <w:pPr>
        <w:spacing w:after="240"/>
        <w:rPr>
          <w:rFonts w:eastAsiaTheme="minorEastAsia"/>
          <w:lang w:bidi="en-US"/>
        </w:rPr>
      </w:pPr>
      <w:r w:rsidRPr="002C4089">
        <w:rPr>
          <w:rFonts w:eastAsiaTheme="minorEastAsia"/>
          <w:lang w:bidi="en-US"/>
        </w:rPr>
        <w:t xml:space="preserve">One of the desired outcomes of the lawsuit filed by The Inclusive Communities Project against the Texas Department of Housing and Community Affairs was to </w:t>
      </w:r>
      <w:r w:rsidRPr="002C4089">
        <w:rPr>
          <w:rFonts w:eastAsiaTheme="minorEastAsia"/>
          <w:b/>
          <w:bCs/>
          <w:lang w:bidi="en-US"/>
        </w:rPr>
        <w:t>avoid concentrations of affordable housing</w:t>
      </w:r>
      <w:r w:rsidRPr="002C4089">
        <w:rPr>
          <w:rFonts w:eastAsiaTheme="minorEastAsia"/>
          <w:lang w:bidi="en-US"/>
        </w:rPr>
        <w:t xml:space="preserve"> created through the LIHTC program in predominantly minority areas with high poverty. The QAP includes as one of its general requirements that proposed developments cannot </w:t>
      </w:r>
      <w:proofErr w:type="gramStart"/>
      <w:r w:rsidRPr="002C4089">
        <w:rPr>
          <w:rFonts w:eastAsiaTheme="minorEastAsia"/>
          <w:lang w:bidi="en-US"/>
        </w:rPr>
        <w:t>be located in</w:t>
      </w:r>
      <w:proofErr w:type="gramEnd"/>
      <w:r w:rsidRPr="002C4089">
        <w:rPr>
          <w:rFonts w:eastAsiaTheme="minorEastAsia"/>
          <w:lang w:bidi="en-US"/>
        </w:rPr>
        <w:t xml:space="preserve"> areas of minority and low-income concentration; however, NCHFA may make an exception for projects in economically distressed areas with community revitalization plans with public funds committed to support the revitalization effort.</w:t>
      </w:r>
    </w:p>
    <w:p w14:paraId="197596DB" w14:textId="77777777" w:rsidR="002C4089" w:rsidRPr="002C4089" w:rsidRDefault="002C4089" w:rsidP="001E5635">
      <w:pPr>
        <w:spacing w:after="240"/>
        <w:rPr>
          <w:rFonts w:eastAsiaTheme="minorEastAsia"/>
          <w:lang w:bidi="en-US"/>
        </w:rPr>
      </w:pPr>
      <w:r w:rsidRPr="002C4089">
        <w:rPr>
          <w:rFonts w:eastAsiaTheme="minorEastAsia"/>
          <w:lang w:bidi="en-US"/>
        </w:rPr>
        <w:t>The QAP includes several additional provisions that work toward preventing discrimination and/or expanding fair housing choice. These include:</w:t>
      </w:r>
    </w:p>
    <w:p w14:paraId="4F2909C7" w14:textId="77777777" w:rsidR="002C4089" w:rsidRPr="002C4089" w:rsidRDefault="002C4089" w:rsidP="00F160C4">
      <w:pPr>
        <w:numPr>
          <w:ilvl w:val="0"/>
          <w:numId w:val="27"/>
        </w:numPr>
        <w:spacing w:before="60" w:after="60"/>
        <w:rPr>
          <w:rFonts w:eastAsiaTheme="minorEastAsia"/>
          <w:lang w:bidi="en-US"/>
        </w:rPr>
      </w:pPr>
      <w:r w:rsidRPr="002C4089">
        <w:rPr>
          <w:rFonts w:eastAsiaTheme="minorEastAsia"/>
          <w:lang w:bidi="en-US"/>
        </w:rPr>
        <w:lastRenderedPageBreak/>
        <w:t xml:space="preserve">Prohibiting projects from giving preferences to potential tenants based on </w:t>
      </w:r>
      <w:proofErr w:type="gramStart"/>
      <w:r w:rsidRPr="002C4089">
        <w:rPr>
          <w:rFonts w:eastAsiaTheme="minorEastAsia"/>
          <w:lang w:bidi="en-US"/>
        </w:rPr>
        <w:t>whether or not</w:t>
      </w:r>
      <w:proofErr w:type="gramEnd"/>
      <w:r w:rsidRPr="002C4089">
        <w:rPr>
          <w:rFonts w:eastAsiaTheme="minorEastAsia"/>
          <w:lang w:bidi="en-US"/>
        </w:rPr>
        <w:t xml:space="preserve"> they (1) reside in the jurisdiction of the project, (2) have a particular disability or (3) are part of a specific occupational group (e.g., artists).</w:t>
      </w:r>
    </w:p>
    <w:p w14:paraId="7468F64D" w14:textId="77777777" w:rsidR="002C4089" w:rsidRPr="002C4089" w:rsidRDefault="002C4089" w:rsidP="00F160C4">
      <w:pPr>
        <w:numPr>
          <w:ilvl w:val="0"/>
          <w:numId w:val="27"/>
        </w:numPr>
        <w:spacing w:before="60" w:after="60"/>
        <w:rPr>
          <w:rFonts w:eastAsiaTheme="minorEastAsia"/>
          <w:lang w:bidi="en-US"/>
        </w:rPr>
      </w:pPr>
      <w:r w:rsidRPr="002C4089">
        <w:rPr>
          <w:rFonts w:eastAsiaTheme="minorEastAsia"/>
          <w:lang w:bidi="en-US"/>
        </w:rPr>
        <w:t>Requiring that 5% of all units in a new construction development meet specified accessibility standards in addition to the mobility impaired units required by state and federal laws and building codes.</w:t>
      </w:r>
    </w:p>
    <w:p w14:paraId="79BDCE19" w14:textId="77777777" w:rsidR="002C4089" w:rsidRPr="002C4089" w:rsidRDefault="002C4089" w:rsidP="00F160C4">
      <w:pPr>
        <w:numPr>
          <w:ilvl w:val="0"/>
          <w:numId w:val="27"/>
        </w:numPr>
        <w:spacing w:before="60" w:after="60"/>
        <w:rPr>
          <w:rFonts w:eastAsiaTheme="minorEastAsia"/>
          <w:lang w:bidi="en-US"/>
        </w:rPr>
      </w:pPr>
      <w:r w:rsidRPr="002C4089">
        <w:rPr>
          <w:rFonts w:eastAsiaTheme="minorEastAsia"/>
          <w:lang w:bidi="en-US"/>
        </w:rPr>
        <w:t xml:space="preserve">Requiring that 10% of the total units target persons with disabilities and persons who are </w:t>
      </w:r>
      <w:proofErr w:type="gramStart"/>
      <w:r w:rsidRPr="002C4089">
        <w:rPr>
          <w:rFonts w:eastAsiaTheme="minorEastAsia"/>
          <w:lang w:bidi="en-US"/>
        </w:rPr>
        <w:t>homeless</w:t>
      </w:r>
      <w:proofErr w:type="gramEnd"/>
    </w:p>
    <w:p w14:paraId="0198851B" w14:textId="77777777" w:rsidR="002C4089" w:rsidRPr="002C4089" w:rsidRDefault="002C4089" w:rsidP="00F160C4">
      <w:pPr>
        <w:numPr>
          <w:ilvl w:val="0"/>
          <w:numId w:val="27"/>
        </w:numPr>
        <w:spacing w:before="60" w:after="240"/>
        <w:rPr>
          <w:rFonts w:eastAsiaTheme="minorEastAsia"/>
          <w:lang w:bidi="en-US"/>
        </w:rPr>
      </w:pPr>
      <w:r w:rsidRPr="002C4089">
        <w:rPr>
          <w:rFonts w:eastAsiaTheme="minorEastAsia"/>
          <w:lang w:bidi="en-US"/>
        </w:rPr>
        <w:t>Providing points for higher percentages of 1-bedroom units and projects proposed in the DHHS priority counties to meet the state’s Olmstead Settlement Initiative requirements.</w:t>
      </w:r>
    </w:p>
    <w:p w14:paraId="5336FF33" w14:textId="67487257" w:rsidR="002C4089" w:rsidRDefault="002C4089" w:rsidP="00F160C4">
      <w:pPr>
        <w:spacing w:after="240"/>
        <w:rPr>
          <w:rFonts w:eastAsiaTheme="minorEastAsia"/>
          <w:lang w:bidi="en-US"/>
        </w:rPr>
      </w:pPr>
      <w:r w:rsidRPr="002C4089">
        <w:rPr>
          <w:rFonts w:eastAsiaTheme="minorEastAsia"/>
          <w:lang w:bidi="en-US"/>
        </w:rPr>
        <w:t xml:space="preserve">Overall, the NCHFA QAP includes provisions for developer incentives to expand housing choice in higher opportunity areas. In a large rural state like North Carolina, however, the need for creating new, </w:t>
      </w:r>
      <w:proofErr w:type="gramStart"/>
      <w:r w:rsidRPr="002C4089">
        <w:rPr>
          <w:rFonts w:eastAsiaTheme="minorEastAsia"/>
          <w:lang w:bidi="en-US"/>
        </w:rPr>
        <w:t>decent</w:t>
      </w:r>
      <w:proofErr w:type="gramEnd"/>
      <w:r w:rsidRPr="002C4089">
        <w:rPr>
          <w:rFonts w:eastAsiaTheme="minorEastAsia"/>
          <w:lang w:bidi="en-US"/>
        </w:rPr>
        <w:t xml:space="preserve"> and safe affordable housing in rural areas is also great. NCHFA seems to strike a balance between the two.</w:t>
      </w:r>
    </w:p>
    <w:p w14:paraId="4ABCC595" w14:textId="1B4CDF09" w:rsidR="00414DCD" w:rsidRPr="00414DCD" w:rsidRDefault="00414DCD" w:rsidP="00414DCD">
      <w:pPr>
        <w:spacing w:after="240"/>
        <w:rPr>
          <w:rFonts w:eastAsiaTheme="minorEastAsia"/>
          <w:lang w:bidi="en-US"/>
        </w:rPr>
      </w:pPr>
      <w:r w:rsidRPr="00414DCD">
        <w:rPr>
          <w:rFonts w:eastAsiaTheme="minorEastAsia"/>
          <w:lang w:bidi="en-US"/>
        </w:rPr>
        <w:t>NCHFA also offer</w:t>
      </w:r>
      <w:r>
        <w:rPr>
          <w:rFonts w:eastAsiaTheme="minorEastAsia"/>
          <w:lang w:bidi="en-US"/>
        </w:rPr>
        <w:t>s</w:t>
      </w:r>
      <w:r w:rsidRPr="00414DCD">
        <w:rPr>
          <w:rFonts w:eastAsiaTheme="minorEastAsia"/>
          <w:lang w:bidi="en-US"/>
        </w:rPr>
        <w:t xml:space="preserve"> community programs to help local governments and nonprofit organizations finance new housing and rehabilitate existing housing for low- to moderate-income households through North Carolina. The following maps illustrate the location of investments made through three of NCHFA’s community programs: </w:t>
      </w:r>
      <w:proofErr w:type="gramStart"/>
      <w:r w:rsidRPr="00414DCD">
        <w:rPr>
          <w:rFonts w:eastAsiaTheme="minorEastAsia"/>
          <w:lang w:bidi="en-US"/>
        </w:rPr>
        <w:t>the</w:t>
      </w:r>
      <w:proofErr w:type="gramEnd"/>
      <w:r w:rsidRPr="00414DCD">
        <w:rPr>
          <w:rFonts w:eastAsiaTheme="minorEastAsia"/>
          <w:lang w:bidi="en-US"/>
        </w:rPr>
        <w:t xml:space="preserve"> Community Partners Loan Pool (CPLP), the Essential Single-Family Rehabilitation Loan Pool (SFRLP), and the Self-Help Loan Pool.</w:t>
      </w:r>
    </w:p>
    <w:p w14:paraId="39657E34" w14:textId="32741A46" w:rsidR="00414DCD" w:rsidRDefault="00414DCD" w:rsidP="003410D6">
      <w:pPr>
        <w:spacing w:after="240"/>
        <w:rPr>
          <w:rFonts w:eastAsiaTheme="minorEastAsia"/>
          <w:lang w:bidi="en-US"/>
        </w:rPr>
      </w:pPr>
      <w:r w:rsidRPr="00414DCD">
        <w:rPr>
          <w:rFonts w:eastAsiaTheme="minorEastAsia"/>
          <w:lang w:bidi="en-US"/>
        </w:rPr>
        <w:t>The CPLP provides qualified home buyers with down payment assistance up to 20% of the sales price, not to exceed $30,000 or up to 10% of the purchase price when combined with a USDA Section 502 loan. To be eligible to participate in the program, the borrower must</w:t>
      </w:r>
      <w:r w:rsidR="003410D6">
        <w:rPr>
          <w:rFonts w:eastAsiaTheme="minorEastAsia"/>
          <w:lang w:bidi="en-US"/>
        </w:rPr>
        <w:t xml:space="preserve"> ha</w:t>
      </w:r>
      <w:r w:rsidRPr="00414DCD">
        <w:rPr>
          <w:rFonts w:eastAsiaTheme="minorEastAsia"/>
          <w:lang w:bidi="en-US"/>
        </w:rPr>
        <w:t>ve a household income not exceeding 80% AMI for the county in which they intend to purchase a home</w:t>
      </w:r>
      <w:r w:rsidR="00DD5BCC">
        <w:rPr>
          <w:rFonts w:eastAsiaTheme="minorEastAsia"/>
          <w:lang w:bidi="en-US"/>
        </w:rPr>
        <w:t xml:space="preserve"> and complete an approved homebuyer education course with two hours of housing counselor, among other requirements</w:t>
      </w:r>
      <w:r w:rsidRPr="00414DCD">
        <w:rPr>
          <w:rFonts w:eastAsiaTheme="minorEastAsia"/>
          <w:lang w:bidi="en-US"/>
        </w:rPr>
        <w:t>.</w:t>
      </w:r>
    </w:p>
    <w:p w14:paraId="3C5942ED" w14:textId="216577CB" w:rsidR="00414DCD" w:rsidRPr="00414DCD" w:rsidRDefault="00414DCD" w:rsidP="000E4E38">
      <w:pPr>
        <w:pStyle w:val="Caption"/>
        <w:rPr>
          <w:rFonts w:eastAsiaTheme="minorEastAsia"/>
          <w:lang w:bidi="en-US"/>
        </w:rPr>
      </w:pPr>
      <w:r w:rsidRPr="00414DCD">
        <w:rPr>
          <w:rFonts w:eastAsiaTheme="minorEastAsia"/>
          <w:noProof/>
          <w:lang w:bidi="en-US"/>
        </w:rPr>
        <w:lastRenderedPageBreak/>
        <w:drawing>
          <wp:anchor distT="0" distB="0" distL="114300" distR="114300" simplePos="0" relativeHeight="251703296" behindDoc="0" locked="0" layoutInCell="1" allowOverlap="1" wp14:anchorId="360E33CE" wp14:editId="59E64717">
            <wp:simplePos x="0" y="0"/>
            <wp:positionH relativeFrom="margin">
              <wp:align>right</wp:align>
            </wp:positionH>
            <wp:positionV relativeFrom="paragraph">
              <wp:posOffset>176530</wp:posOffset>
            </wp:positionV>
            <wp:extent cx="5934710" cy="2967355"/>
            <wp:effectExtent l="0" t="0" r="8890" b="444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71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DCD">
        <w:rPr>
          <w:rFonts w:eastAsiaTheme="minorEastAsia"/>
          <w:lang w:bidi="en-US"/>
        </w:rPr>
        <w:t xml:space="preserve">Map </w:t>
      </w:r>
      <w:r w:rsidRPr="00414DCD">
        <w:rPr>
          <w:rFonts w:eastAsiaTheme="minorEastAsia"/>
          <w:lang w:bidi="en-US"/>
        </w:rPr>
        <w:fldChar w:fldCharType="begin"/>
      </w:r>
      <w:r w:rsidRPr="00414DCD">
        <w:rPr>
          <w:rFonts w:eastAsiaTheme="minorEastAsia"/>
          <w:lang w:bidi="en-US"/>
        </w:rPr>
        <w:instrText xml:space="preserve"> SEQ Map \* ARABIC </w:instrText>
      </w:r>
      <w:r w:rsidRPr="00414DCD">
        <w:rPr>
          <w:rFonts w:eastAsiaTheme="minorEastAsia"/>
          <w:lang w:bidi="en-US"/>
        </w:rPr>
        <w:fldChar w:fldCharType="separate"/>
      </w:r>
      <w:r w:rsidR="0055251A">
        <w:rPr>
          <w:rFonts w:eastAsiaTheme="minorEastAsia"/>
          <w:noProof/>
          <w:lang w:bidi="en-US"/>
        </w:rPr>
        <w:t>31</w:t>
      </w:r>
      <w:r w:rsidRPr="00414DCD">
        <w:rPr>
          <w:rFonts w:eastAsiaTheme="minorEastAsia"/>
          <w:lang w:bidi="en-US"/>
        </w:rPr>
        <w:fldChar w:fldCharType="end"/>
      </w:r>
      <w:r w:rsidRPr="00414DCD">
        <w:rPr>
          <w:rFonts w:eastAsiaTheme="minorEastAsia"/>
          <w:lang w:bidi="en-US"/>
        </w:rPr>
        <w:t xml:space="preserve"> NCHFA Community Partners Loan Pool (CPLP) Financing</w:t>
      </w:r>
    </w:p>
    <w:p w14:paraId="47695D55" w14:textId="77777777" w:rsidR="00414DCD" w:rsidRPr="00BE51E4" w:rsidRDefault="00414DCD" w:rsidP="00414DCD">
      <w:pPr>
        <w:spacing w:after="240"/>
        <w:rPr>
          <w:rFonts w:eastAsiaTheme="minorEastAsia"/>
          <w:sz w:val="16"/>
          <w:szCs w:val="16"/>
          <w:lang w:bidi="en-US"/>
        </w:rPr>
      </w:pPr>
      <w:r w:rsidRPr="00BE51E4">
        <w:rPr>
          <w:rFonts w:eastAsiaTheme="minorEastAsia"/>
          <w:sz w:val="16"/>
          <w:szCs w:val="16"/>
          <w:lang w:bidi="en-US"/>
        </w:rPr>
        <w:t>Source: North Carolina Housing Finance Agency</w:t>
      </w:r>
    </w:p>
    <w:p w14:paraId="6841086E" w14:textId="77777777" w:rsidR="005952D4" w:rsidRPr="005952D4" w:rsidRDefault="005952D4" w:rsidP="005952D4">
      <w:pPr>
        <w:spacing w:after="160" w:line="259" w:lineRule="auto"/>
        <w:rPr>
          <w:rFonts w:eastAsiaTheme="minorEastAsia"/>
          <w:lang w:bidi="en-US"/>
        </w:rPr>
      </w:pPr>
      <w:r w:rsidRPr="005952D4">
        <w:rPr>
          <w:rFonts w:eastAsiaTheme="minorEastAsia"/>
          <w:lang w:bidi="en-US"/>
        </w:rPr>
        <w:t>SFRLP funds are available to eligible organizations for the rehabilitation of owner-occupied homes in 33-34 selected counties based on a three-year rotating basis. Households residing in CDBG Entitlement cities are not eligible for the program. Only one applicant per county will received funding. Projects eligible to receive SFRLP funds must abide by the following criteria:</w:t>
      </w:r>
    </w:p>
    <w:p w14:paraId="21ED64C4" w14:textId="77777777" w:rsidR="005952D4" w:rsidRPr="005952D4" w:rsidRDefault="005952D4" w:rsidP="005952D4">
      <w:pPr>
        <w:numPr>
          <w:ilvl w:val="0"/>
          <w:numId w:val="30"/>
        </w:numPr>
        <w:spacing w:after="160" w:line="259" w:lineRule="auto"/>
        <w:rPr>
          <w:rFonts w:eastAsiaTheme="minorEastAsia"/>
          <w:lang w:bidi="en-US"/>
        </w:rPr>
      </w:pPr>
      <w:r w:rsidRPr="005952D4">
        <w:rPr>
          <w:rFonts w:eastAsiaTheme="minorEastAsia"/>
          <w:lang w:bidi="en-US"/>
        </w:rPr>
        <w:t>Units must be owner-occupied.</w:t>
      </w:r>
    </w:p>
    <w:p w14:paraId="2B3F6FE6" w14:textId="77777777" w:rsidR="005952D4" w:rsidRPr="005952D4" w:rsidRDefault="005952D4" w:rsidP="005952D4">
      <w:pPr>
        <w:numPr>
          <w:ilvl w:val="0"/>
          <w:numId w:val="30"/>
        </w:numPr>
        <w:spacing w:after="160" w:line="259" w:lineRule="auto"/>
        <w:rPr>
          <w:rFonts w:eastAsiaTheme="minorEastAsia"/>
          <w:lang w:bidi="en-US"/>
        </w:rPr>
      </w:pPr>
      <w:r w:rsidRPr="005952D4">
        <w:rPr>
          <w:rFonts w:eastAsiaTheme="minorEastAsia"/>
          <w:lang w:bidi="en-US"/>
        </w:rPr>
        <w:t>Units must be occupied by elderly, disabled and/or veteran household members, or must have lead hazards and be occupied by a child 6 years of age or younger.</w:t>
      </w:r>
    </w:p>
    <w:p w14:paraId="3BB482FA" w14:textId="77777777" w:rsidR="005952D4" w:rsidRPr="005952D4" w:rsidRDefault="005952D4" w:rsidP="005952D4">
      <w:pPr>
        <w:numPr>
          <w:ilvl w:val="0"/>
          <w:numId w:val="30"/>
        </w:numPr>
        <w:spacing w:after="160" w:line="259" w:lineRule="auto"/>
        <w:rPr>
          <w:rFonts w:eastAsiaTheme="minorEastAsia"/>
          <w:lang w:bidi="en-US"/>
        </w:rPr>
      </w:pPr>
      <w:r w:rsidRPr="005952D4">
        <w:rPr>
          <w:rFonts w:eastAsiaTheme="minorEastAsia"/>
          <w:lang w:bidi="en-US"/>
        </w:rPr>
        <w:t>Household income must be below 80% of the area median income.</w:t>
      </w:r>
    </w:p>
    <w:p w14:paraId="1711820C" w14:textId="77777777" w:rsidR="005952D4" w:rsidRPr="005952D4" w:rsidRDefault="005952D4" w:rsidP="005952D4">
      <w:pPr>
        <w:numPr>
          <w:ilvl w:val="0"/>
          <w:numId w:val="30"/>
        </w:numPr>
        <w:spacing w:after="160" w:line="259" w:lineRule="auto"/>
        <w:rPr>
          <w:rFonts w:eastAsiaTheme="minorEastAsia"/>
          <w:lang w:bidi="en-US"/>
        </w:rPr>
      </w:pPr>
      <w:r w:rsidRPr="005952D4">
        <w:rPr>
          <w:rFonts w:eastAsiaTheme="minorEastAsia"/>
          <w:lang w:bidi="en-US"/>
        </w:rPr>
        <w:t>The organization must have the technical capacity to manage residential construction projects.</w:t>
      </w:r>
    </w:p>
    <w:p w14:paraId="76990AD2" w14:textId="77777777" w:rsidR="005952D4" w:rsidRDefault="005952D4">
      <w:pPr>
        <w:spacing w:after="160" w:line="259" w:lineRule="auto"/>
        <w:rPr>
          <w:rFonts w:eastAsiaTheme="minorEastAsia"/>
          <w:b/>
          <w:bCs/>
          <w:color w:val="404040" w:themeColor="text1" w:themeTint="BF"/>
          <w:sz w:val="16"/>
          <w:szCs w:val="16"/>
          <w:lang w:bidi="en-US"/>
        </w:rPr>
      </w:pPr>
      <w:r>
        <w:rPr>
          <w:rFonts w:eastAsiaTheme="minorEastAsia"/>
          <w:lang w:bidi="en-US"/>
        </w:rPr>
        <w:br w:type="page"/>
      </w:r>
    </w:p>
    <w:p w14:paraId="7D549070" w14:textId="692339C9" w:rsidR="00414DCD" w:rsidRPr="00414DCD" w:rsidRDefault="002F12AE" w:rsidP="002F12AE">
      <w:pPr>
        <w:pStyle w:val="Caption"/>
        <w:rPr>
          <w:rFonts w:eastAsiaTheme="minorEastAsia"/>
          <w:lang w:bidi="en-US"/>
        </w:rPr>
      </w:pPr>
      <w:r w:rsidRPr="00414DCD">
        <w:rPr>
          <w:rFonts w:eastAsiaTheme="minorEastAsia"/>
          <w:noProof/>
          <w:lang w:bidi="en-US"/>
        </w:rPr>
        <w:lastRenderedPageBreak/>
        <w:drawing>
          <wp:anchor distT="0" distB="0" distL="114300" distR="114300" simplePos="0" relativeHeight="251704320" behindDoc="0" locked="0" layoutInCell="1" allowOverlap="1" wp14:anchorId="724234B7" wp14:editId="67D60411">
            <wp:simplePos x="0" y="0"/>
            <wp:positionH relativeFrom="margin">
              <wp:align>left</wp:align>
            </wp:positionH>
            <wp:positionV relativeFrom="paragraph">
              <wp:posOffset>209893</wp:posOffset>
            </wp:positionV>
            <wp:extent cx="5523230" cy="2761615"/>
            <wp:effectExtent l="0" t="0" r="1270" b="63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323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DCD" w:rsidRPr="00414DCD">
        <w:rPr>
          <w:rFonts w:eastAsiaTheme="minorEastAsia"/>
          <w:lang w:bidi="en-US"/>
        </w:rPr>
        <w:t xml:space="preserve">Map </w:t>
      </w:r>
      <w:r w:rsidR="00414DCD" w:rsidRPr="00414DCD">
        <w:rPr>
          <w:rFonts w:eastAsiaTheme="minorEastAsia"/>
          <w:lang w:bidi="en-US"/>
        </w:rPr>
        <w:fldChar w:fldCharType="begin"/>
      </w:r>
      <w:r w:rsidR="00414DCD" w:rsidRPr="00414DCD">
        <w:rPr>
          <w:rFonts w:eastAsiaTheme="minorEastAsia"/>
          <w:lang w:bidi="en-US"/>
        </w:rPr>
        <w:instrText xml:space="preserve"> SEQ Map \* ARABIC </w:instrText>
      </w:r>
      <w:r w:rsidR="00414DCD" w:rsidRPr="00414DCD">
        <w:rPr>
          <w:rFonts w:eastAsiaTheme="minorEastAsia"/>
          <w:lang w:bidi="en-US"/>
        </w:rPr>
        <w:fldChar w:fldCharType="separate"/>
      </w:r>
      <w:r w:rsidR="0055251A">
        <w:rPr>
          <w:rFonts w:eastAsiaTheme="minorEastAsia"/>
          <w:noProof/>
          <w:lang w:bidi="en-US"/>
        </w:rPr>
        <w:t>32</w:t>
      </w:r>
      <w:r w:rsidR="00414DCD" w:rsidRPr="00414DCD">
        <w:rPr>
          <w:rFonts w:eastAsiaTheme="minorEastAsia"/>
          <w:lang w:bidi="en-US"/>
        </w:rPr>
        <w:fldChar w:fldCharType="end"/>
      </w:r>
      <w:r w:rsidR="00414DCD" w:rsidRPr="00414DCD">
        <w:rPr>
          <w:rFonts w:eastAsiaTheme="minorEastAsia"/>
          <w:lang w:bidi="en-US"/>
        </w:rPr>
        <w:t xml:space="preserve"> NCHFA Essential Single-Family Rehabilitation Loan Pool (SFRLP) Financing</w:t>
      </w:r>
    </w:p>
    <w:p w14:paraId="303601E3" w14:textId="3A7E61AD" w:rsidR="00414DCD" w:rsidRPr="00BE51E4" w:rsidRDefault="00414DCD" w:rsidP="00414DCD">
      <w:pPr>
        <w:spacing w:after="240"/>
        <w:rPr>
          <w:rFonts w:eastAsiaTheme="minorEastAsia"/>
          <w:sz w:val="16"/>
          <w:szCs w:val="16"/>
          <w:lang w:bidi="en-US"/>
        </w:rPr>
      </w:pPr>
      <w:r w:rsidRPr="00BE51E4">
        <w:rPr>
          <w:rFonts w:eastAsiaTheme="minorEastAsia"/>
          <w:sz w:val="16"/>
          <w:szCs w:val="16"/>
          <w:lang w:bidi="en-US"/>
        </w:rPr>
        <w:t>Source: North Carolina Housing Finance Agency</w:t>
      </w:r>
    </w:p>
    <w:p w14:paraId="7417E1EE" w14:textId="77777777" w:rsidR="003D37F0" w:rsidRPr="003D37F0" w:rsidRDefault="003D37F0" w:rsidP="003D37F0">
      <w:pPr>
        <w:spacing w:after="240"/>
        <w:rPr>
          <w:rFonts w:eastAsiaTheme="minorEastAsia"/>
          <w:lang w:bidi="en-US"/>
        </w:rPr>
      </w:pPr>
      <w:r w:rsidRPr="003D37F0">
        <w:rPr>
          <w:rFonts w:eastAsiaTheme="minorEastAsia"/>
          <w:lang w:bidi="en-US"/>
        </w:rPr>
        <w:t xml:space="preserve">The SHLP program offers up to $35,000 in mortgage financing to assist eligible buyers purchase homes built or rehabilitated by SHLP Member organizations, typically a local NC Habitat for Humanity affiliate. To be eligible for SHLP funding, a homebuyer must already be a participant in a self-help housing program (i.e., helping with the construction or rehab of the house they are buying) as well as meet SHLP program guidelines, which include: </w:t>
      </w:r>
    </w:p>
    <w:p w14:paraId="5343530F" w14:textId="533FDD65" w:rsidR="003D37F0" w:rsidRPr="003D37F0" w:rsidRDefault="003D37F0" w:rsidP="003D37F0">
      <w:pPr>
        <w:numPr>
          <w:ilvl w:val="0"/>
          <w:numId w:val="31"/>
        </w:numPr>
        <w:spacing w:after="240"/>
        <w:rPr>
          <w:rFonts w:eastAsiaTheme="minorEastAsia"/>
          <w:lang w:bidi="en-US"/>
        </w:rPr>
      </w:pPr>
      <w:r w:rsidRPr="003D37F0">
        <w:rPr>
          <w:rFonts w:eastAsiaTheme="minorEastAsia"/>
          <w:lang w:bidi="en-US"/>
        </w:rPr>
        <w:t xml:space="preserve">Household income at or below 80% of the AMI. </w:t>
      </w:r>
    </w:p>
    <w:p w14:paraId="30757F34" w14:textId="16AEBE1B" w:rsidR="003D37F0" w:rsidRDefault="003D37F0" w:rsidP="00FE1DB0">
      <w:pPr>
        <w:numPr>
          <w:ilvl w:val="0"/>
          <w:numId w:val="31"/>
        </w:numPr>
        <w:spacing w:after="240"/>
        <w:rPr>
          <w:rFonts w:eastAsiaTheme="minorEastAsia"/>
          <w:lang w:bidi="en-US"/>
        </w:rPr>
      </w:pPr>
      <w:r w:rsidRPr="003D37F0">
        <w:rPr>
          <w:rFonts w:eastAsiaTheme="minorEastAsia"/>
          <w:lang w:bidi="en-US"/>
        </w:rPr>
        <w:t>Completed an approved home buyer education course and at least two hours of one-on-one pre-purchase counseling.</w:t>
      </w:r>
    </w:p>
    <w:p w14:paraId="68596F74" w14:textId="14F3D154" w:rsidR="00414DCD" w:rsidRPr="003D37F0" w:rsidRDefault="003D37F0" w:rsidP="003D37F0">
      <w:pPr>
        <w:pStyle w:val="Caption"/>
        <w:rPr>
          <w:rFonts w:eastAsiaTheme="minorEastAsia"/>
          <w:lang w:bidi="en-US"/>
        </w:rPr>
      </w:pPr>
      <w:r w:rsidRPr="00414DCD">
        <w:rPr>
          <w:rFonts w:eastAsiaTheme="minorEastAsia"/>
          <w:noProof/>
          <w:lang w:bidi="en-US"/>
        </w:rPr>
        <w:drawing>
          <wp:anchor distT="0" distB="0" distL="114300" distR="114300" simplePos="0" relativeHeight="251705344" behindDoc="0" locked="0" layoutInCell="1" allowOverlap="1" wp14:anchorId="5785A60D" wp14:editId="0322C3F0">
            <wp:simplePos x="0" y="0"/>
            <wp:positionH relativeFrom="margin">
              <wp:align>left</wp:align>
            </wp:positionH>
            <wp:positionV relativeFrom="paragraph">
              <wp:posOffset>190500</wp:posOffset>
            </wp:positionV>
            <wp:extent cx="5535295" cy="276733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35295"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DCD" w:rsidRPr="003D37F0">
        <w:rPr>
          <w:rFonts w:eastAsiaTheme="minorEastAsia"/>
          <w:lang w:bidi="en-US"/>
        </w:rPr>
        <w:t xml:space="preserve">Map </w:t>
      </w:r>
      <w:r w:rsidR="00414DCD" w:rsidRPr="003D37F0">
        <w:rPr>
          <w:rFonts w:eastAsiaTheme="minorEastAsia"/>
          <w:lang w:bidi="en-US"/>
        </w:rPr>
        <w:fldChar w:fldCharType="begin"/>
      </w:r>
      <w:r w:rsidR="00414DCD" w:rsidRPr="003D37F0">
        <w:rPr>
          <w:rFonts w:eastAsiaTheme="minorEastAsia"/>
          <w:lang w:bidi="en-US"/>
        </w:rPr>
        <w:instrText xml:space="preserve"> SEQ Map \* ARABIC </w:instrText>
      </w:r>
      <w:r w:rsidR="00414DCD" w:rsidRPr="003D37F0">
        <w:rPr>
          <w:rFonts w:eastAsiaTheme="minorEastAsia"/>
          <w:lang w:bidi="en-US"/>
        </w:rPr>
        <w:fldChar w:fldCharType="separate"/>
      </w:r>
      <w:r w:rsidR="0055251A">
        <w:rPr>
          <w:rFonts w:eastAsiaTheme="minorEastAsia"/>
          <w:noProof/>
          <w:lang w:bidi="en-US"/>
        </w:rPr>
        <w:t>33</w:t>
      </w:r>
      <w:r w:rsidR="00414DCD" w:rsidRPr="003D37F0">
        <w:rPr>
          <w:rFonts w:eastAsiaTheme="minorEastAsia"/>
          <w:lang w:bidi="en-US"/>
        </w:rPr>
        <w:fldChar w:fldCharType="end"/>
      </w:r>
      <w:r w:rsidR="00414DCD" w:rsidRPr="003D37F0">
        <w:rPr>
          <w:rFonts w:eastAsiaTheme="minorEastAsia"/>
          <w:lang w:bidi="en-US"/>
        </w:rPr>
        <w:t xml:space="preserve"> NCHFA Self-Help Loan Pool (SHLP) Financing</w:t>
      </w:r>
    </w:p>
    <w:p w14:paraId="4A15A9CE" w14:textId="55C9D6EC" w:rsidR="00414DCD" w:rsidRPr="00BE51E4" w:rsidRDefault="00414DCD" w:rsidP="00414DCD">
      <w:pPr>
        <w:spacing w:after="240"/>
        <w:rPr>
          <w:rFonts w:eastAsiaTheme="minorEastAsia"/>
          <w:sz w:val="16"/>
          <w:szCs w:val="16"/>
          <w:lang w:bidi="en-US"/>
        </w:rPr>
      </w:pPr>
      <w:r w:rsidRPr="00BE51E4">
        <w:rPr>
          <w:rFonts w:eastAsiaTheme="minorEastAsia"/>
          <w:sz w:val="16"/>
          <w:szCs w:val="16"/>
          <w:lang w:bidi="en-US"/>
        </w:rPr>
        <w:t>Source: North Carolina Housing Finance Agency</w:t>
      </w:r>
    </w:p>
    <w:p w14:paraId="14B0FB3E" w14:textId="5F8EF2AE" w:rsidR="00261555" w:rsidRPr="00261555" w:rsidRDefault="00031907" w:rsidP="009B28C6">
      <w:pPr>
        <w:pStyle w:val="Heading3"/>
        <w:rPr>
          <w:rFonts w:eastAsiaTheme="minorEastAsia"/>
          <w:lang w:bidi="en-US"/>
        </w:rPr>
      </w:pPr>
      <w:bookmarkStart w:id="94" w:name="_Toc66807946"/>
      <w:r>
        <w:rPr>
          <w:rFonts w:eastAsiaTheme="minorEastAsia"/>
          <w:lang w:bidi="en-US"/>
        </w:rPr>
        <w:lastRenderedPageBreak/>
        <w:t>Olmstead Settlement Initiative</w:t>
      </w:r>
      <w:bookmarkEnd w:id="94"/>
      <w:r>
        <w:rPr>
          <w:rFonts w:eastAsiaTheme="minorEastAsia"/>
          <w:lang w:bidi="en-US"/>
        </w:rPr>
        <w:t xml:space="preserve"> </w:t>
      </w:r>
    </w:p>
    <w:p w14:paraId="7FE92FAD" w14:textId="2D516C0F" w:rsidR="002C4089" w:rsidRDefault="003C546E" w:rsidP="009B0C57">
      <w:pPr>
        <w:spacing w:after="240"/>
        <w:rPr>
          <w:rFonts w:eastAsiaTheme="minorEastAsia"/>
          <w:lang w:bidi="en-US"/>
        </w:rPr>
      </w:pPr>
      <w:r w:rsidRPr="003C546E">
        <w:rPr>
          <w:rFonts w:eastAsiaTheme="minorEastAsia"/>
          <w:lang w:bidi="en-US"/>
        </w:rPr>
        <w:t xml:space="preserve">The U.S. Supreme Court’s 1999 landmark decision in Olmstead v. L.C. found the unjustified segregation of people with disabilities </w:t>
      </w:r>
      <w:r w:rsidR="007112AB">
        <w:rPr>
          <w:rFonts w:eastAsiaTheme="minorEastAsia"/>
          <w:lang w:bidi="en-US"/>
        </w:rPr>
        <w:t>to be</w:t>
      </w:r>
      <w:r w:rsidRPr="003C546E">
        <w:rPr>
          <w:rFonts w:eastAsiaTheme="minorEastAsia"/>
          <w:lang w:bidi="en-US"/>
        </w:rPr>
        <w:t xml:space="preserve"> a form of unlawful discrimination under the Americans with Disabilities Act (ADA). </w:t>
      </w:r>
      <w:r w:rsidR="004A2B5A" w:rsidRPr="004A2B5A">
        <w:rPr>
          <w:rFonts w:eastAsiaTheme="minorEastAsia"/>
          <w:lang w:bidi="en-US"/>
        </w:rPr>
        <w:t xml:space="preserve">The Olmstead decision envisioned that states </w:t>
      </w:r>
      <w:r w:rsidR="00FA1683">
        <w:rPr>
          <w:rFonts w:eastAsiaTheme="minorEastAsia"/>
          <w:lang w:bidi="en-US"/>
        </w:rPr>
        <w:t>would</w:t>
      </w:r>
      <w:r w:rsidR="004A2B5A" w:rsidRPr="004A2B5A">
        <w:rPr>
          <w:rFonts w:eastAsiaTheme="minorEastAsia"/>
          <w:lang w:bidi="en-US"/>
        </w:rPr>
        <w:t xml:space="preserve"> provide appropriate long-term services and supports to individuals with disabilities through home and community-based services and end forced segregation in institutions.</w:t>
      </w:r>
    </w:p>
    <w:p w14:paraId="4BA0E989" w14:textId="1B1C0818" w:rsidR="0086215C" w:rsidRPr="0086215C" w:rsidRDefault="0086215C" w:rsidP="009B0C57">
      <w:pPr>
        <w:spacing w:after="240"/>
        <w:rPr>
          <w:rFonts w:eastAsiaTheme="minorEastAsia"/>
          <w:lang w:bidi="en-US"/>
        </w:rPr>
      </w:pPr>
      <w:r w:rsidRPr="0086215C">
        <w:rPr>
          <w:rFonts w:eastAsiaTheme="minorEastAsia"/>
          <w:lang w:bidi="en-US"/>
        </w:rPr>
        <w:t xml:space="preserve">The Department of Justice began investigating North Carolina’s compliance in 2010, specifically focused on mental health services. </w:t>
      </w:r>
      <w:hyperlink r:id="rId47" w:history="1">
        <w:r w:rsidRPr="0086215C">
          <w:rPr>
            <w:rStyle w:val="Hyperlink"/>
            <w:rFonts w:eastAsiaTheme="minorEastAsia"/>
            <w:color w:val="auto"/>
            <w:u w:val="none"/>
            <w:lang w:bidi="en-US"/>
          </w:rPr>
          <w:t>An August 2012 settlement was issued</w:t>
        </w:r>
      </w:hyperlink>
      <w:r w:rsidRPr="0086215C">
        <w:rPr>
          <w:rFonts w:eastAsiaTheme="minorEastAsia"/>
          <w:lang w:bidi="en-US"/>
        </w:rPr>
        <w:t> in which North Carolina agreed to expand community-based services and supportive housing over the next eight years, to establish a pre-admission screening process to prevent people from unnecessarily entering institutions and to create an institutional discharge planning process to ease transitions into community-based settings.</w:t>
      </w:r>
    </w:p>
    <w:p w14:paraId="3B1B1E96" w14:textId="5B40C141" w:rsidR="00573FA6" w:rsidRDefault="0086215C" w:rsidP="009B0C57">
      <w:pPr>
        <w:spacing w:after="240"/>
        <w:rPr>
          <w:rFonts w:eastAsiaTheme="minorEastAsia"/>
          <w:lang w:bidi="en-US"/>
        </w:rPr>
      </w:pPr>
      <w:r w:rsidRPr="0086215C">
        <w:rPr>
          <w:rFonts w:eastAsiaTheme="minorEastAsia"/>
          <w:lang w:bidi="en-US"/>
        </w:rPr>
        <w:t>NC</w:t>
      </w:r>
      <w:r w:rsidR="00964B21">
        <w:rPr>
          <w:rFonts w:eastAsiaTheme="minorEastAsia"/>
          <w:lang w:bidi="en-US"/>
        </w:rPr>
        <w:t>DHHS</w:t>
      </w:r>
      <w:r w:rsidRPr="0086215C">
        <w:rPr>
          <w:rFonts w:eastAsiaTheme="minorEastAsia"/>
          <w:lang w:bidi="en-US"/>
        </w:rPr>
        <w:t xml:space="preserve"> and NC</w:t>
      </w:r>
      <w:r w:rsidR="00964B21">
        <w:rPr>
          <w:rFonts w:eastAsiaTheme="minorEastAsia"/>
          <w:lang w:bidi="en-US"/>
        </w:rPr>
        <w:t xml:space="preserve">HFA </w:t>
      </w:r>
      <w:r w:rsidRPr="0086215C">
        <w:rPr>
          <w:rFonts w:eastAsiaTheme="minorEastAsia"/>
          <w:lang w:bidi="en-US"/>
        </w:rPr>
        <w:t>are work</w:t>
      </w:r>
      <w:r w:rsidR="00964B21">
        <w:rPr>
          <w:rFonts w:eastAsiaTheme="minorEastAsia"/>
          <w:lang w:bidi="en-US"/>
        </w:rPr>
        <w:t xml:space="preserve">ing </w:t>
      </w:r>
      <w:r w:rsidR="00F144D7">
        <w:rPr>
          <w:rFonts w:eastAsiaTheme="minorEastAsia"/>
          <w:lang w:bidi="en-US"/>
        </w:rPr>
        <w:t xml:space="preserve">to achieve </w:t>
      </w:r>
      <w:r w:rsidR="0015740D">
        <w:rPr>
          <w:rFonts w:eastAsiaTheme="minorEastAsia"/>
          <w:lang w:bidi="en-US"/>
        </w:rPr>
        <w:t xml:space="preserve">affordable housing and appropriate services for </w:t>
      </w:r>
      <w:r w:rsidRPr="0086215C">
        <w:rPr>
          <w:rFonts w:eastAsiaTheme="minorEastAsia"/>
          <w:lang w:bidi="en-US"/>
        </w:rPr>
        <w:t>eligible North Carolinians. </w:t>
      </w:r>
      <w:r w:rsidR="00AE2EE3">
        <w:rPr>
          <w:rFonts w:eastAsiaTheme="minorEastAsia"/>
          <w:lang w:bidi="en-US"/>
        </w:rPr>
        <w:t>T</w:t>
      </w:r>
      <w:r w:rsidRPr="0086215C">
        <w:rPr>
          <w:rFonts w:eastAsiaTheme="minorEastAsia"/>
          <w:lang w:bidi="en-US"/>
        </w:rPr>
        <w:t xml:space="preserve">he </w:t>
      </w:r>
      <w:r w:rsidR="000A1749">
        <w:rPr>
          <w:rFonts w:eastAsiaTheme="minorEastAsia"/>
          <w:lang w:bidi="en-US"/>
        </w:rPr>
        <w:t>S</w:t>
      </w:r>
      <w:r w:rsidRPr="0086215C">
        <w:rPr>
          <w:rFonts w:eastAsiaTheme="minorEastAsia"/>
          <w:lang w:bidi="en-US"/>
        </w:rPr>
        <w:t>tate developed a 2017 Permanent Supportive Housing Plan </w:t>
      </w:r>
      <w:hyperlink r:id="rId48" w:history="1">
        <w:r w:rsidRPr="0086215C">
          <w:rPr>
            <w:rStyle w:val="Hyperlink"/>
            <w:rFonts w:eastAsiaTheme="minorEastAsia"/>
            <w:color w:val="auto"/>
            <w:u w:val="none"/>
            <w:lang w:bidi="en-US"/>
          </w:rPr>
          <w:t>to both increase the pipeline of eligible units and maximize access to opportunities</w:t>
        </w:r>
      </w:hyperlink>
      <w:r w:rsidRPr="0086215C">
        <w:rPr>
          <w:rFonts w:eastAsiaTheme="minorEastAsia"/>
          <w:lang w:bidi="en-US"/>
        </w:rPr>
        <w:t>.</w:t>
      </w:r>
      <w:r w:rsidR="0005637D">
        <w:rPr>
          <w:rFonts w:eastAsiaTheme="minorEastAsia"/>
          <w:lang w:bidi="en-US"/>
        </w:rPr>
        <w:t xml:space="preserve"> </w:t>
      </w:r>
      <w:r w:rsidR="00E41259">
        <w:rPr>
          <w:rFonts w:eastAsiaTheme="minorEastAsia"/>
          <w:lang w:bidi="en-US"/>
        </w:rPr>
        <w:t>T</w:t>
      </w:r>
      <w:r w:rsidR="000A1749">
        <w:rPr>
          <w:rFonts w:eastAsiaTheme="minorEastAsia"/>
          <w:lang w:bidi="en-US"/>
        </w:rPr>
        <w:t>he State</w:t>
      </w:r>
      <w:r w:rsidR="00891282">
        <w:rPr>
          <w:rFonts w:eastAsiaTheme="minorEastAsia"/>
          <w:lang w:bidi="en-US"/>
        </w:rPr>
        <w:t xml:space="preserve"> </w:t>
      </w:r>
      <w:r w:rsidR="00466D79">
        <w:rPr>
          <w:rFonts w:eastAsiaTheme="minorEastAsia"/>
          <w:lang w:bidi="en-US"/>
        </w:rPr>
        <w:t xml:space="preserve">will </w:t>
      </w:r>
      <w:r w:rsidR="00891282">
        <w:rPr>
          <w:rFonts w:eastAsiaTheme="minorEastAsia"/>
          <w:lang w:bidi="en-US"/>
        </w:rPr>
        <w:t xml:space="preserve">initiate </w:t>
      </w:r>
      <w:r w:rsidR="00E41259">
        <w:rPr>
          <w:rFonts w:eastAsiaTheme="minorEastAsia"/>
          <w:lang w:bidi="en-US"/>
        </w:rPr>
        <w:t xml:space="preserve">the development of </w:t>
      </w:r>
      <w:r w:rsidR="00891282">
        <w:rPr>
          <w:rFonts w:eastAsiaTheme="minorEastAsia"/>
          <w:lang w:bidi="en-US"/>
        </w:rPr>
        <w:t>a Strategic Housing Plan in March 2021 with release anticipated for March 2022</w:t>
      </w:r>
      <w:r w:rsidR="008E7505">
        <w:rPr>
          <w:rFonts w:eastAsiaTheme="minorEastAsia"/>
          <w:lang w:bidi="en-US"/>
        </w:rPr>
        <w:t>.</w:t>
      </w:r>
      <w:r w:rsidR="00261992">
        <w:rPr>
          <w:rFonts w:eastAsiaTheme="minorEastAsia"/>
          <w:lang w:bidi="en-US"/>
        </w:rPr>
        <w:t xml:space="preserve"> Challenges in developing the plan include</w:t>
      </w:r>
      <w:r w:rsidR="007F40B1">
        <w:rPr>
          <w:rFonts w:eastAsiaTheme="minorEastAsia"/>
          <w:lang w:bidi="en-US"/>
        </w:rPr>
        <w:t xml:space="preserve">, among others, </w:t>
      </w:r>
      <w:r w:rsidR="00261992">
        <w:rPr>
          <w:rFonts w:eastAsiaTheme="minorEastAsia"/>
          <w:lang w:bidi="en-US"/>
        </w:rPr>
        <w:t xml:space="preserve">a lack of </w:t>
      </w:r>
      <w:r w:rsidR="00A56958">
        <w:rPr>
          <w:rFonts w:eastAsiaTheme="minorEastAsia"/>
          <w:lang w:bidi="en-US"/>
        </w:rPr>
        <w:t>adequate inventory of affordable housing throughout North Carolina’s counties</w:t>
      </w:r>
      <w:r w:rsidR="007F40B1">
        <w:rPr>
          <w:rFonts w:eastAsiaTheme="minorEastAsia"/>
          <w:lang w:bidi="en-US"/>
        </w:rPr>
        <w:t xml:space="preserve"> and</w:t>
      </w:r>
      <w:r w:rsidR="00A56958">
        <w:rPr>
          <w:rFonts w:eastAsiaTheme="minorEastAsia"/>
          <w:lang w:bidi="en-US"/>
        </w:rPr>
        <w:t xml:space="preserve"> </w:t>
      </w:r>
      <w:r w:rsidR="00892CFC">
        <w:rPr>
          <w:rFonts w:eastAsiaTheme="minorEastAsia"/>
          <w:lang w:bidi="en-US"/>
        </w:rPr>
        <w:t>resources that vary greatly across target populations</w:t>
      </w:r>
      <w:r w:rsidR="007F40B1">
        <w:rPr>
          <w:rFonts w:eastAsiaTheme="minorEastAsia"/>
          <w:lang w:bidi="en-US"/>
        </w:rPr>
        <w:t>.</w:t>
      </w:r>
      <w:r w:rsidR="00E41259">
        <w:rPr>
          <w:rFonts w:eastAsiaTheme="minorEastAsia"/>
          <w:lang w:bidi="en-US"/>
        </w:rPr>
        <w:t xml:space="preserve"> </w:t>
      </w:r>
    </w:p>
    <w:p w14:paraId="7CE75489" w14:textId="29C3B0BB" w:rsidR="008E4597" w:rsidRPr="008E4597" w:rsidRDefault="00466D79" w:rsidP="009B0C57">
      <w:pPr>
        <w:spacing w:after="240"/>
        <w:rPr>
          <w:rFonts w:eastAsiaTheme="minorEastAsia"/>
          <w:lang w:bidi="en-US"/>
        </w:rPr>
      </w:pPr>
      <w:r>
        <w:rPr>
          <w:rFonts w:eastAsiaTheme="minorEastAsia"/>
          <w:lang w:bidi="en-US"/>
        </w:rPr>
        <w:t>Currently</w:t>
      </w:r>
      <w:r w:rsidR="008E4597">
        <w:rPr>
          <w:rFonts w:eastAsiaTheme="minorEastAsia"/>
          <w:lang w:bidi="en-US"/>
        </w:rPr>
        <w:t>, t</w:t>
      </w:r>
      <w:r w:rsidR="008E4597" w:rsidRPr="008E4597">
        <w:rPr>
          <w:rFonts w:eastAsiaTheme="minorEastAsia"/>
          <w:lang w:bidi="en-US"/>
        </w:rPr>
        <w:t xml:space="preserve">he State is </w:t>
      </w:r>
      <w:r w:rsidR="00573FA6">
        <w:rPr>
          <w:rFonts w:eastAsiaTheme="minorEastAsia"/>
          <w:lang w:bidi="en-US"/>
        </w:rPr>
        <w:t xml:space="preserve">preparing </w:t>
      </w:r>
      <w:r w:rsidR="008E4597" w:rsidRPr="008E4597">
        <w:rPr>
          <w:rFonts w:eastAsiaTheme="minorEastAsia"/>
          <w:lang w:bidi="en-US"/>
        </w:rPr>
        <w:t xml:space="preserve">an Environmental Scan to identify </w:t>
      </w:r>
      <w:r w:rsidR="008E4597">
        <w:rPr>
          <w:rFonts w:eastAsiaTheme="minorEastAsia"/>
          <w:lang w:bidi="en-US"/>
        </w:rPr>
        <w:t xml:space="preserve">resources and inventory as the basis for </w:t>
      </w:r>
      <w:r w:rsidR="00573FA6">
        <w:rPr>
          <w:rFonts w:eastAsiaTheme="minorEastAsia"/>
          <w:lang w:bidi="en-US"/>
        </w:rPr>
        <w:t xml:space="preserve">meeting its Olmstead Settlement targets. </w:t>
      </w:r>
      <w:r w:rsidR="00994958">
        <w:rPr>
          <w:rFonts w:eastAsiaTheme="minorEastAsia"/>
          <w:lang w:bidi="en-US"/>
        </w:rPr>
        <w:t xml:space="preserve">Listening sessions are planned for stakeholders, service providers, </w:t>
      </w:r>
      <w:proofErr w:type="gramStart"/>
      <w:r w:rsidR="00994958">
        <w:rPr>
          <w:rFonts w:eastAsiaTheme="minorEastAsia"/>
          <w:lang w:bidi="en-US"/>
        </w:rPr>
        <w:t>families</w:t>
      </w:r>
      <w:proofErr w:type="gramEnd"/>
      <w:r w:rsidR="00994958">
        <w:rPr>
          <w:rFonts w:eastAsiaTheme="minorEastAsia"/>
          <w:lang w:bidi="en-US"/>
        </w:rPr>
        <w:t xml:space="preserve"> and advocates across </w:t>
      </w:r>
      <w:r w:rsidR="00A72686">
        <w:rPr>
          <w:rFonts w:eastAsiaTheme="minorEastAsia"/>
          <w:lang w:bidi="en-US"/>
        </w:rPr>
        <w:t>disability populations and throughout the State. A</w:t>
      </w:r>
      <w:r w:rsidR="00974418">
        <w:rPr>
          <w:rFonts w:eastAsiaTheme="minorEastAsia"/>
          <w:lang w:bidi="en-US"/>
        </w:rPr>
        <w:t xml:space="preserve">nalysis of federal and State programs and resources </w:t>
      </w:r>
      <w:r w:rsidR="00826518">
        <w:rPr>
          <w:rFonts w:eastAsiaTheme="minorEastAsia"/>
          <w:lang w:bidi="en-US"/>
        </w:rPr>
        <w:t>will be included</w:t>
      </w:r>
      <w:r w:rsidR="000A6EAF">
        <w:rPr>
          <w:rFonts w:eastAsiaTheme="minorEastAsia"/>
          <w:lang w:bidi="en-US"/>
        </w:rPr>
        <w:t xml:space="preserve"> in the scan, the</w:t>
      </w:r>
      <w:r w:rsidR="00826518">
        <w:rPr>
          <w:rFonts w:eastAsiaTheme="minorEastAsia"/>
          <w:lang w:bidi="en-US"/>
        </w:rPr>
        <w:t xml:space="preserve"> goal of </w:t>
      </w:r>
      <w:r w:rsidR="000A6EAF">
        <w:rPr>
          <w:rFonts w:eastAsiaTheme="minorEastAsia"/>
          <w:lang w:bidi="en-US"/>
        </w:rPr>
        <w:t xml:space="preserve">which </w:t>
      </w:r>
      <w:r w:rsidR="00826518">
        <w:rPr>
          <w:rFonts w:eastAsiaTheme="minorEastAsia"/>
          <w:lang w:bidi="en-US"/>
        </w:rPr>
        <w:t xml:space="preserve">is to quantify </w:t>
      </w:r>
      <w:r w:rsidR="00670AED">
        <w:rPr>
          <w:rFonts w:eastAsiaTheme="minorEastAsia"/>
          <w:lang w:bidi="en-US"/>
        </w:rPr>
        <w:t xml:space="preserve">the </w:t>
      </w:r>
      <w:r w:rsidR="00826518">
        <w:rPr>
          <w:rFonts w:eastAsiaTheme="minorEastAsia"/>
          <w:lang w:bidi="en-US"/>
        </w:rPr>
        <w:t>availab</w:t>
      </w:r>
      <w:r w:rsidR="00670AED">
        <w:rPr>
          <w:rFonts w:eastAsiaTheme="minorEastAsia"/>
          <w:lang w:bidi="en-US"/>
        </w:rPr>
        <w:t>ility of appropriate housing need and resources for target populations.</w:t>
      </w:r>
      <w:r w:rsidR="002705BD">
        <w:rPr>
          <w:rFonts w:eastAsiaTheme="minorEastAsia"/>
          <w:lang w:bidi="en-US"/>
        </w:rPr>
        <w:t xml:space="preserve"> In the meantime, North Carolina has been pursuing </w:t>
      </w:r>
      <w:r w:rsidR="000A6EAF">
        <w:rPr>
          <w:rFonts w:eastAsiaTheme="minorEastAsia"/>
          <w:lang w:bidi="en-US"/>
        </w:rPr>
        <w:t xml:space="preserve">additional </w:t>
      </w:r>
      <w:r w:rsidR="002705BD">
        <w:rPr>
          <w:rFonts w:eastAsiaTheme="minorEastAsia"/>
          <w:lang w:bidi="en-US"/>
        </w:rPr>
        <w:t>financial resources to fund its Olmstead plan, such as Mainstream Vouchers and Section 811 funding.</w:t>
      </w:r>
    </w:p>
    <w:p w14:paraId="19FB18F7" w14:textId="041E0D15" w:rsidR="00B42717" w:rsidRDefault="00B42717" w:rsidP="00607FDC">
      <w:pPr>
        <w:pStyle w:val="Heading2"/>
      </w:pPr>
      <w:bookmarkStart w:id="95" w:name="_Toc66807947"/>
      <w:r>
        <w:t>Language Access Plan</w:t>
      </w:r>
      <w:r w:rsidR="00DC1DD8">
        <w:t>s</w:t>
      </w:r>
      <w:bookmarkEnd w:id="95"/>
    </w:p>
    <w:p w14:paraId="15E40EA8" w14:textId="02B767B2" w:rsidR="00D956E4" w:rsidRDefault="002F5B96" w:rsidP="002F5B96">
      <w:pPr>
        <w:spacing w:after="240"/>
      </w:pPr>
      <w:r w:rsidRPr="00962E09">
        <w:t xml:space="preserve">To improve public safety, health, convenience, comfort, and general welfare of all residents, a language access plan is necessary for individuals who are non-English speaking or have limited English proficiency </w:t>
      </w:r>
      <w:r>
        <w:t xml:space="preserve">(LEP) </w:t>
      </w:r>
      <w:r w:rsidRPr="00962E09">
        <w:t>to access available services.</w:t>
      </w:r>
      <w:r>
        <w:t xml:space="preserve"> Procedures for providing language assistance to LEP residents were analyzed for five state agencies</w:t>
      </w:r>
      <w:r w:rsidR="00D956E4">
        <w:t>:</w:t>
      </w:r>
      <w:r w:rsidR="00D956E4" w:rsidRPr="00D956E4">
        <w:t xml:space="preserve"> North Carolina Department of Commerce (</w:t>
      </w:r>
      <w:r w:rsidR="00AD25C8">
        <w:t>DOC</w:t>
      </w:r>
      <w:r w:rsidR="00D956E4" w:rsidRPr="00D956E4">
        <w:t>)</w:t>
      </w:r>
      <w:r w:rsidR="00D956E4">
        <w:t xml:space="preserve">, </w:t>
      </w:r>
      <w:r w:rsidR="00D956E4" w:rsidRPr="00D956E4">
        <w:t>North Carolina Housing Finance Agency (NCHFA)</w:t>
      </w:r>
      <w:r w:rsidR="00D956E4">
        <w:t xml:space="preserve">, </w:t>
      </w:r>
      <w:r w:rsidR="00D956E4" w:rsidRPr="00D956E4">
        <w:t>North Carolina Department of Health and Human Services (DHHS)</w:t>
      </w:r>
      <w:r w:rsidR="00D956E4">
        <w:t xml:space="preserve">, </w:t>
      </w:r>
      <w:r w:rsidR="00D956E4" w:rsidRPr="00D956E4">
        <w:t>North Carolina Department of Environmental Quality (DEQ)</w:t>
      </w:r>
      <w:r w:rsidR="00D956E4">
        <w:t xml:space="preserve">, and </w:t>
      </w:r>
      <w:r w:rsidR="00D956E4" w:rsidRPr="00D956E4">
        <w:t>North Carolina Office of Recovery and Resiliency (ORR)</w:t>
      </w:r>
      <w:r w:rsidR="00D956E4">
        <w:t>.</w:t>
      </w:r>
    </w:p>
    <w:p w14:paraId="7A470A88" w14:textId="0B08AB74" w:rsidR="002F5B96" w:rsidRPr="002F5B96" w:rsidRDefault="00B37EDB" w:rsidP="002F5B96">
      <w:pPr>
        <w:spacing w:after="240"/>
      </w:pPr>
      <w:r>
        <w:t xml:space="preserve">While translation and interpretation services are </w:t>
      </w:r>
      <w:r w:rsidR="00323B8C">
        <w:t>consistent</w:t>
      </w:r>
      <w:r>
        <w:t xml:space="preserve"> across all agencies, the details of the agencies’ respective LAPs varied</w:t>
      </w:r>
      <w:r w:rsidR="00323B8C">
        <w:t xml:space="preserve">. </w:t>
      </w:r>
      <w:r w:rsidR="003A44A0">
        <w:t>Three of the agencies (NCHFA, DEQ, and ORR) provided the results of their four-factor analysis. Two agencies</w:t>
      </w:r>
      <w:r w:rsidR="00997529">
        <w:t xml:space="preserve"> (</w:t>
      </w:r>
      <w:r w:rsidR="00331F58">
        <w:t>DOC</w:t>
      </w:r>
      <w:r w:rsidR="00997529">
        <w:t xml:space="preserve"> and NCHFA)</w:t>
      </w:r>
      <w:r w:rsidR="003A44A0">
        <w:t xml:space="preserve"> identified direct points of contact for questions and complaints related to language assistance services or the LAP. </w:t>
      </w:r>
      <w:r w:rsidR="00331F58">
        <w:t>T</w:t>
      </w:r>
      <w:r w:rsidR="00997529">
        <w:t xml:space="preserve">wo agencies detailed procedures for training employees on providing language assistance services. </w:t>
      </w:r>
      <w:r w:rsidR="00997529">
        <w:lastRenderedPageBreak/>
        <w:t>Incorporating these policies and procedures in all LAPs would provide clear guidelines</w:t>
      </w:r>
      <w:r w:rsidR="00DE137C">
        <w:t xml:space="preserve"> to ensure LEP individuals will be given consistent service and facilitate internal staff training.</w:t>
      </w:r>
    </w:p>
    <w:p w14:paraId="57AD27A3" w14:textId="06DF0D2E" w:rsidR="00DC1DD8" w:rsidRDefault="00BB6614" w:rsidP="00607FDC">
      <w:pPr>
        <w:pStyle w:val="Heading3"/>
      </w:pPr>
      <w:bookmarkStart w:id="96" w:name="_Toc66807948"/>
      <w:r>
        <w:t xml:space="preserve">North Carolina </w:t>
      </w:r>
      <w:r w:rsidR="00DC1DD8" w:rsidRPr="003B576C">
        <w:t>Department of Commerce</w:t>
      </w:r>
      <w:r>
        <w:t xml:space="preserve"> (</w:t>
      </w:r>
      <w:r w:rsidR="00EC5890">
        <w:t>DOC</w:t>
      </w:r>
      <w:r>
        <w:t>)</w:t>
      </w:r>
      <w:bookmarkEnd w:id="96"/>
    </w:p>
    <w:p w14:paraId="10458167" w14:textId="4F66312B" w:rsidR="00BB6614" w:rsidRDefault="00584B90" w:rsidP="00353B8B">
      <w:pPr>
        <w:spacing w:after="240"/>
        <w:rPr>
          <w:rFonts w:eastAsiaTheme="majorEastAsia"/>
        </w:rPr>
      </w:pPr>
      <w:r>
        <w:rPr>
          <w:rFonts w:eastAsiaTheme="majorEastAsia"/>
        </w:rPr>
        <w:t>DOC</w:t>
      </w:r>
      <w:r w:rsidR="00353B8B">
        <w:rPr>
          <w:rFonts w:eastAsiaTheme="majorEastAsia"/>
        </w:rPr>
        <w:t>’s</w:t>
      </w:r>
      <w:r w:rsidR="006A3974">
        <w:rPr>
          <w:rFonts w:eastAsiaTheme="majorEastAsia"/>
        </w:rPr>
        <w:t xml:space="preserve"> website has a Language Services page translated into ten languages.</w:t>
      </w:r>
      <w:r w:rsidR="00353B8B">
        <w:rPr>
          <w:rFonts w:eastAsiaTheme="majorEastAsia"/>
        </w:rPr>
        <w:t xml:space="preserve"> Interpretation and translation serves are managed by a dedicated Language Access Coordinator</w:t>
      </w:r>
      <w:r w:rsidR="006A3974">
        <w:rPr>
          <w:rFonts w:eastAsiaTheme="majorEastAsia"/>
        </w:rPr>
        <w:t xml:space="preserve"> </w:t>
      </w:r>
      <w:r w:rsidR="00353B8B">
        <w:rPr>
          <w:rFonts w:eastAsiaTheme="majorEastAsia"/>
        </w:rPr>
        <w:t xml:space="preserve">who oversees the agency’s Language Access Plan and serves as a direct point of contact for </w:t>
      </w:r>
      <w:r w:rsidR="00A6246B">
        <w:rPr>
          <w:rFonts w:eastAsiaTheme="majorEastAsia"/>
        </w:rPr>
        <w:t>language assistance</w:t>
      </w:r>
      <w:r w:rsidR="00353B8B">
        <w:rPr>
          <w:rFonts w:eastAsiaTheme="majorEastAsia"/>
        </w:rPr>
        <w:t xml:space="preserve"> services. </w:t>
      </w:r>
      <w:r w:rsidR="00885A42">
        <w:rPr>
          <w:rFonts w:eastAsiaTheme="majorEastAsia"/>
        </w:rPr>
        <w:t>DOC</w:t>
      </w:r>
      <w:r w:rsidR="006A3974">
        <w:rPr>
          <w:rFonts w:eastAsiaTheme="majorEastAsia"/>
        </w:rPr>
        <w:t xml:space="preserve"> provides service users an interpreter at no cost to the client. Posters in the office are displayed that will allow for clients to point to the phrase “</w:t>
      </w:r>
      <w:r w:rsidR="006A3974" w:rsidRPr="006A3974">
        <w:rPr>
          <w:rFonts w:eastAsiaTheme="majorEastAsia"/>
        </w:rPr>
        <w:t>You have the right to an interpreter at no cost to you. Please point</w:t>
      </w:r>
      <w:r w:rsidR="006A3974">
        <w:rPr>
          <w:rFonts w:eastAsiaTheme="majorEastAsia"/>
        </w:rPr>
        <w:t xml:space="preserve"> </w:t>
      </w:r>
      <w:r w:rsidR="006A3974" w:rsidRPr="006A3974">
        <w:rPr>
          <w:rFonts w:eastAsiaTheme="majorEastAsia"/>
        </w:rPr>
        <w:t>to your language. An interpreter will be called. Please wait</w:t>
      </w:r>
      <w:r w:rsidR="006A3974">
        <w:rPr>
          <w:rFonts w:eastAsiaTheme="majorEastAsia"/>
        </w:rPr>
        <w:t>,” in one of thirty languages to select the appropriate interpreter.</w:t>
      </w:r>
    </w:p>
    <w:p w14:paraId="71F9CE29" w14:textId="1E79302D" w:rsidR="00A6246B" w:rsidRDefault="00353B8B" w:rsidP="00353B8B">
      <w:pPr>
        <w:spacing w:after="240"/>
        <w:rPr>
          <w:rFonts w:eastAsiaTheme="majorEastAsia"/>
        </w:rPr>
      </w:pPr>
      <w:r>
        <w:rPr>
          <w:rFonts w:eastAsiaTheme="majorEastAsia"/>
        </w:rPr>
        <w:t>Translated vital documents are offered in the four most common non-English languages spoken in North Carolina according to US Census data: Spanish, Traditional Chinese, Vietnamese and French. Additional translations may be offered based on changes in data, experience, and other federal requirements.</w:t>
      </w:r>
      <w:r w:rsidR="00A6246B">
        <w:rPr>
          <w:rFonts w:eastAsiaTheme="majorEastAsia"/>
        </w:rPr>
        <w:t xml:space="preserve"> The contact form on the webpage, which is also capable of being translated, allows for clients to ask questions, request assistance, or make </w:t>
      </w:r>
      <w:proofErr w:type="gramStart"/>
      <w:r w:rsidR="00A6246B">
        <w:rPr>
          <w:rFonts w:eastAsiaTheme="majorEastAsia"/>
        </w:rPr>
        <w:t>complaints</w:t>
      </w:r>
      <w:proofErr w:type="gramEnd"/>
      <w:r w:rsidR="00A6246B">
        <w:rPr>
          <w:rFonts w:eastAsiaTheme="majorEastAsia"/>
        </w:rPr>
        <w:t xml:space="preserve"> </w:t>
      </w:r>
    </w:p>
    <w:p w14:paraId="2E638DF1" w14:textId="0035B467" w:rsidR="00B24613" w:rsidRDefault="00B24613" w:rsidP="00607FDC">
      <w:pPr>
        <w:pStyle w:val="Heading3"/>
      </w:pPr>
      <w:bookmarkStart w:id="97" w:name="_Toc66807949"/>
      <w:r>
        <w:t>North Carolina Housing Finance Agency</w:t>
      </w:r>
      <w:r w:rsidR="00BB6614">
        <w:t xml:space="preserve"> (NCHFA)</w:t>
      </w:r>
      <w:bookmarkEnd w:id="97"/>
    </w:p>
    <w:p w14:paraId="0FC6CF12" w14:textId="30B58164" w:rsidR="00EB16A7" w:rsidRDefault="0020114B" w:rsidP="00972C40">
      <w:pPr>
        <w:spacing w:after="240"/>
        <w:rPr>
          <w:rFonts w:eastAsiaTheme="majorEastAsia"/>
        </w:rPr>
      </w:pPr>
      <w:r>
        <w:rPr>
          <w:rFonts w:eastAsiaTheme="majorEastAsia"/>
        </w:rPr>
        <w:t>NCHFA is “</w:t>
      </w:r>
      <w:r w:rsidRPr="0020114B">
        <w:rPr>
          <w:rFonts w:eastAsiaTheme="majorEastAsia"/>
        </w:rPr>
        <w:t>is a self-supporting public agency that finances affordable housing opportunities for North Carolinians whose needs are not met by the market.</w:t>
      </w:r>
      <w:r>
        <w:rPr>
          <w:rFonts w:eastAsiaTheme="majorEastAsia"/>
        </w:rPr>
        <w:t xml:space="preserve">” </w:t>
      </w:r>
      <w:r w:rsidR="00972C40">
        <w:rPr>
          <w:rFonts w:eastAsiaTheme="majorEastAsia"/>
        </w:rPr>
        <w:t>NCHFA updated its LAP in September 2019</w:t>
      </w:r>
      <w:r w:rsidR="00605F6E">
        <w:rPr>
          <w:rFonts w:eastAsiaTheme="majorEastAsia"/>
        </w:rPr>
        <w:t>, detailing each aspect of the four-factor analysis they conducted.</w:t>
      </w:r>
      <w:r w:rsidR="00EB16A7">
        <w:rPr>
          <w:rFonts w:eastAsiaTheme="majorEastAsia"/>
        </w:rPr>
        <w:t xml:space="preserve"> The analysis determined that based on ACS data and program usage, that Spanish-speakers are the main LEP population using NCHFA programs. Since NCHFA does not directly provide services with individual households, instead providing funding to other organizations, NCHFA does not frequently interact with LEP persons. Additionally, any delay in access to NCHFA programs would primarily affect partner organizations rather than individual households. As a result, NCHFA requires all partner organizations to comply with Title VI regulations and conduct their own four-factor analysis to be provided to NCHFA. Current resources available to Spanish-speaking households in North Carolina include translations for their website, vital documents, program brochures, and other materials. Translations in other languages can also be provided upon request.</w:t>
      </w:r>
    </w:p>
    <w:p w14:paraId="0ACC1416" w14:textId="4D2801C4" w:rsidR="00972C40" w:rsidRPr="00BB6614" w:rsidRDefault="00EB16A7" w:rsidP="00972C40">
      <w:pPr>
        <w:spacing w:after="240"/>
        <w:rPr>
          <w:rFonts w:eastAsiaTheme="majorEastAsia"/>
        </w:rPr>
      </w:pPr>
      <w:r>
        <w:rPr>
          <w:rFonts w:eastAsiaTheme="majorEastAsia"/>
        </w:rPr>
        <w:t>Two</w:t>
      </w:r>
      <w:r w:rsidR="00972C40">
        <w:rPr>
          <w:rFonts w:eastAsiaTheme="majorEastAsia"/>
        </w:rPr>
        <w:t xml:space="preserve"> points of </w:t>
      </w:r>
      <w:r>
        <w:rPr>
          <w:rFonts w:eastAsiaTheme="majorEastAsia"/>
        </w:rPr>
        <w:t xml:space="preserve">contact are provided </w:t>
      </w:r>
      <w:r w:rsidR="00972C40">
        <w:rPr>
          <w:rFonts w:eastAsiaTheme="majorEastAsia"/>
        </w:rPr>
        <w:t xml:space="preserve">for </w:t>
      </w:r>
      <w:r>
        <w:rPr>
          <w:rFonts w:eastAsiaTheme="majorEastAsia"/>
        </w:rPr>
        <w:t>public comments</w:t>
      </w:r>
      <w:r w:rsidR="00972C40">
        <w:rPr>
          <w:rFonts w:eastAsiaTheme="majorEastAsia"/>
        </w:rPr>
        <w:t xml:space="preserve"> related to the LAP and will </w:t>
      </w:r>
      <w:r>
        <w:rPr>
          <w:rFonts w:eastAsiaTheme="majorEastAsia"/>
        </w:rPr>
        <w:t xml:space="preserve">be </w:t>
      </w:r>
      <w:r w:rsidR="00972C40">
        <w:rPr>
          <w:rFonts w:eastAsiaTheme="majorEastAsia"/>
        </w:rPr>
        <w:t>respond</w:t>
      </w:r>
      <w:r>
        <w:rPr>
          <w:rFonts w:eastAsiaTheme="majorEastAsia"/>
        </w:rPr>
        <w:t>ed to</w:t>
      </w:r>
      <w:r w:rsidR="00972C40">
        <w:rPr>
          <w:rFonts w:eastAsiaTheme="majorEastAsia"/>
        </w:rPr>
        <w:t xml:space="preserve"> within 15 business days.</w:t>
      </w:r>
      <w:r>
        <w:rPr>
          <w:rFonts w:eastAsiaTheme="majorEastAsia"/>
        </w:rPr>
        <w:t xml:space="preserve"> The LAP is expected to be re-examined once new Census data is released and </w:t>
      </w:r>
      <w:proofErr w:type="gramStart"/>
      <w:r>
        <w:rPr>
          <w:rFonts w:eastAsiaTheme="majorEastAsia"/>
        </w:rPr>
        <w:t>revised</w:t>
      </w:r>
      <w:proofErr w:type="gramEnd"/>
      <w:r>
        <w:rPr>
          <w:rFonts w:eastAsiaTheme="majorEastAsia"/>
        </w:rPr>
        <w:t xml:space="preserve"> as necessary.</w:t>
      </w:r>
    </w:p>
    <w:p w14:paraId="24037BFC" w14:textId="4A499DB5" w:rsidR="00F50083" w:rsidRDefault="00BB6614" w:rsidP="00607FDC">
      <w:pPr>
        <w:pStyle w:val="Heading3"/>
      </w:pPr>
      <w:bookmarkStart w:id="98" w:name="_Toc66807950"/>
      <w:r>
        <w:t xml:space="preserve">North Carolina </w:t>
      </w:r>
      <w:r w:rsidR="00F50083">
        <w:t>Department of Health and Human Services</w:t>
      </w:r>
      <w:r>
        <w:t xml:space="preserve"> (NC</w:t>
      </w:r>
      <w:r w:rsidR="00310D91">
        <w:t>D</w:t>
      </w:r>
      <w:r>
        <w:t>HHS)</w:t>
      </w:r>
      <w:bookmarkEnd w:id="98"/>
    </w:p>
    <w:p w14:paraId="7087070A" w14:textId="73869F90" w:rsidR="00310D91" w:rsidRDefault="00BB6614" w:rsidP="00310D91">
      <w:pPr>
        <w:spacing w:after="240"/>
        <w:rPr>
          <w:rFonts w:eastAsiaTheme="majorEastAsia"/>
        </w:rPr>
      </w:pPr>
      <w:r>
        <w:rPr>
          <w:rFonts w:eastAsiaTheme="majorEastAsia"/>
        </w:rPr>
        <w:t xml:space="preserve">While </w:t>
      </w:r>
      <w:r w:rsidR="00843C3F">
        <w:rPr>
          <w:rFonts w:eastAsiaTheme="majorEastAsia"/>
        </w:rPr>
        <w:t>D</w:t>
      </w:r>
      <w:r>
        <w:rPr>
          <w:rFonts w:eastAsiaTheme="majorEastAsia"/>
        </w:rPr>
        <w:t xml:space="preserve">HHS does not appear to have a publicly available </w:t>
      </w:r>
      <w:r w:rsidR="00605F6E">
        <w:rPr>
          <w:rFonts w:eastAsiaTheme="majorEastAsia"/>
        </w:rPr>
        <w:t>LAP,</w:t>
      </w:r>
      <w:r>
        <w:rPr>
          <w:rFonts w:eastAsiaTheme="majorEastAsia"/>
        </w:rPr>
        <w:t xml:space="preserve"> </w:t>
      </w:r>
      <w:r w:rsidR="00843C3F">
        <w:rPr>
          <w:rFonts w:eastAsiaTheme="majorEastAsia"/>
        </w:rPr>
        <w:t>it</w:t>
      </w:r>
      <w:r>
        <w:rPr>
          <w:rFonts w:eastAsiaTheme="majorEastAsia"/>
        </w:rPr>
        <w:t xml:space="preserve"> provides </w:t>
      </w:r>
      <w:proofErr w:type="gramStart"/>
      <w:r>
        <w:rPr>
          <w:rFonts w:eastAsiaTheme="majorEastAsia"/>
        </w:rPr>
        <w:t>a number of</w:t>
      </w:r>
      <w:proofErr w:type="gramEnd"/>
      <w:r>
        <w:rPr>
          <w:rFonts w:eastAsiaTheme="majorEastAsia"/>
        </w:rPr>
        <w:t xml:space="preserve"> resources for LEP persons on the</w:t>
      </w:r>
      <w:r w:rsidR="00843C3F">
        <w:rPr>
          <w:rFonts w:eastAsiaTheme="majorEastAsia"/>
        </w:rPr>
        <w:t xml:space="preserve"> agency’s</w:t>
      </w:r>
      <w:r>
        <w:rPr>
          <w:rFonts w:eastAsiaTheme="majorEastAsia"/>
        </w:rPr>
        <w:t xml:space="preserve"> website. </w:t>
      </w:r>
      <w:proofErr w:type="gramStart"/>
      <w:r>
        <w:rPr>
          <w:rFonts w:eastAsiaTheme="majorEastAsia"/>
        </w:rPr>
        <w:t xml:space="preserve">In particular, </w:t>
      </w:r>
      <w:r w:rsidR="00310D91">
        <w:rPr>
          <w:rFonts w:eastAsiaTheme="majorEastAsia"/>
        </w:rPr>
        <w:t>D</w:t>
      </w:r>
      <w:r w:rsidR="003E1163">
        <w:rPr>
          <w:rFonts w:eastAsiaTheme="majorEastAsia"/>
        </w:rPr>
        <w:t>HHS</w:t>
      </w:r>
      <w:proofErr w:type="gramEnd"/>
      <w:r w:rsidR="003E1163">
        <w:rPr>
          <w:rFonts w:eastAsiaTheme="majorEastAsia"/>
        </w:rPr>
        <w:t xml:space="preserve"> strongly emphasizes awareness of LEP rights and looking for signs of discrimination. “Know Your Right” brochures, providing examples of national origin discrimination, are available in ten different languages: Arabic, Cambodian, Chinese, Creole, English, Hmong, Korean, Russian, Spanish, and Vietnamese. These languages have the largest number of LEP persons in North Carolina as well, indicating an awareness of the needs for </w:t>
      </w:r>
      <w:r w:rsidR="00E94E4C">
        <w:rPr>
          <w:rFonts w:eastAsiaTheme="majorEastAsia"/>
        </w:rPr>
        <w:t>the state</w:t>
      </w:r>
      <w:r w:rsidR="00310D91">
        <w:rPr>
          <w:rFonts w:eastAsiaTheme="majorEastAsia"/>
        </w:rPr>
        <w:t>’s LEP population.</w:t>
      </w:r>
    </w:p>
    <w:p w14:paraId="085146B2" w14:textId="016DF67B" w:rsidR="00310D91" w:rsidRPr="00BB6614" w:rsidRDefault="00310D91" w:rsidP="00310D91">
      <w:pPr>
        <w:spacing w:after="240"/>
        <w:rPr>
          <w:rFonts w:eastAsiaTheme="majorEastAsia"/>
        </w:rPr>
      </w:pPr>
      <w:r>
        <w:rPr>
          <w:rFonts w:eastAsiaTheme="majorEastAsia"/>
        </w:rPr>
        <w:lastRenderedPageBreak/>
        <w:t>DHSS also provides the procedures for filing a Title VI complaint</w:t>
      </w:r>
      <w:r w:rsidR="00215D20">
        <w:rPr>
          <w:rFonts w:eastAsiaTheme="majorEastAsia"/>
        </w:rPr>
        <w:t xml:space="preserve"> for customers or clients participating in programs or activities provided by the U</w:t>
      </w:r>
      <w:r w:rsidR="00E94E4C">
        <w:rPr>
          <w:rFonts w:eastAsiaTheme="majorEastAsia"/>
        </w:rPr>
        <w:t>.</w:t>
      </w:r>
      <w:r w:rsidR="00215D20">
        <w:rPr>
          <w:rFonts w:eastAsiaTheme="majorEastAsia"/>
        </w:rPr>
        <w:t>S</w:t>
      </w:r>
      <w:r w:rsidR="00E94E4C">
        <w:rPr>
          <w:rFonts w:eastAsiaTheme="majorEastAsia"/>
        </w:rPr>
        <w:t>.</w:t>
      </w:r>
      <w:r w:rsidR="00215D20">
        <w:rPr>
          <w:rFonts w:eastAsiaTheme="majorEastAsia"/>
        </w:rPr>
        <w:t xml:space="preserve"> Department of Health and Human Services and the U</w:t>
      </w:r>
      <w:r w:rsidR="00E94E4C">
        <w:rPr>
          <w:rFonts w:eastAsiaTheme="majorEastAsia"/>
        </w:rPr>
        <w:t>.</w:t>
      </w:r>
      <w:r w:rsidR="00215D20">
        <w:rPr>
          <w:rFonts w:eastAsiaTheme="majorEastAsia"/>
        </w:rPr>
        <w:t>S</w:t>
      </w:r>
      <w:r w:rsidR="00E94E4C">
        <w:rPr>
          <w:rFonts w:eastAsiaTheme="majorEastAsia"/>
        </w:rPr>
        <w:t>.</w:t>
      </w:r>
      <w:r w:rsidR="00215D20">
        <w:rPr>
          <w:rFonts w:eastAsiaTheme="majorEastAsia"/>
        </w:rPr>
        <w:t xml:space="preserve"> Department of Agriculture. These forms are available in English and Spanish. Internal tools, such as “I Speak” flashcards to identify the language of an LEP person and oral interpretation services displayed at county offices are also publicly available.</w:t>
      </w:r>
      <w:r w:rsidR="00846F76">
        <w:rPr>
          <w:rFonts w:eastAsiaTheme="majorEastAsia"/>
        </w:rPr>
        <w:t xml:space="preserve"> </w:t>
      </w:r>
    </w:p>
    <w:p w14:paraId="4801AFBB" w14:textId="00AA89ED" w:rsidR="00F50083" w:rsidRDefault="00BB6614" w:rsidP="00607FDC">
      <w:pPr>
        <w:pStyle w:val="Heading3"/>
      </w:pPr>
      <w:bookmarkStart w:id="99" w:name="_Toc66807951"/>
      <w:r>
        <w:t xml:space="preserve">North Carolina </w:t>
      </w:r>
      <w:r w:rsidR="00165B61">
        <w:t>Department of Environmental Quality</w:t>
      </w:r>
      <w:r>
        <w:t xml:space="preserve"> (DEQ)</w:t>
      </w:r>
      <w:bookmarkEnd w:id="99"/>
    </w:p>
    <w:p w14:paraId="31C85A26" w14:textId="2A2F2A6A" w:rsidR="00BB6614" w:rsidRDefault="00846F76" w:rsidP="0024529B">
      <w:pPr>
        <w:spacing w:after="240"/>
        <w:rPr>
          <w:rFonts w:eastAsiaTheme="majorEastAsia"/>
        </w:rPr>
      </w:pPr>
      <w:r>
        <w:rPr>
          <w:rFonts w:eastAsiaTheme="majorEastAsia"/>
        </w:rPr>
        <w:t xml:space="preserve">DEQ updated their LAP in February 2020. The plan follows a two-step framework from EPA Guidance: </w:t>
      </w:r>
      <w:proofErr w:type="gramStart"/>
      <w:r>
        <w:rPr>
          <w:rFonts w:eastAsiaTheme="majorEastAsia"/>
        </w:rPr>
        <w:t>the</w:t>
      </w:r>
      <w:proofErr w:type="gramEnd"/>
      <w:r>
        <w:rPr>
          <w:rFonts w:eastAsiaTheme="majorEastAsia"/>
        </w:rPr>
        <w:t xml:space="preserve"> Program Assessment and the LEP Plan. The program assessment includes the four-factor analysis. The analysis determines that there is reason to expect that LEP persons will be using DEQ programs based on the </w:t>
      </w:r>
      <w:r w:rsidR="00E94E4C">
        <w:rPr>
          <w:rFonts w:eastAsiaTheme="majorEastAsia"/>
        </w:rPr>
        <w:t>s</w:t>
      </w:r>
      <w:r>
        <w:rPr>
          <w:rFonts w:eastAsiaTheme="majorEastAsia"/>
        </w:rPr>
        <w:t xml:space="preserve">tate’s LEP </w:t>
      </w:r>
      <w:r w:rsidR="0024529B">
        <w:rPr>
          <w:rFonts w:eastAsiaTheme="majorEastAsia"/>
        </w:rPr>
        <w:t>population and</w:t>
      </w:r>
      <w:r>
        <w:rPr>
          <w:rFonts w:eastAsiaTheme="majorEastAsia"/>
        </w:rPr>
        <w:t xml:space="preserve"> identifies the largest LEP populations in North Carolina: Spanish, Chinese, </w:t>
      </w:r>
      <w:proofErr w:type="gramStart"/>
      <w:r>
        <w:rPr>
          <w:rFonts w:eastAsiaTheme="majorEastAsia"/>
        </w:rPr>
        <w:t>Vietnamese</w:t>
      </w:r>
      <w:proofErr w:type="gramEnd"/>
      <w:r>
        <w:rPr>
          <w:rFonts w:eastAsiaTheme="majorEastAsia"/>
        </w:rPr>
        <w:t xml:space="preserve"> and other Asian languages. The nature and importance of DEQ programs vary in in terms of urgency and </w:t>
      </w:r>
      <w:r w:rsidR="0024529B">
        <w:rPr>
          <w:rFonts w:eastAsiaTheme="majorEastAsia"/>
        </w:rPr>
        <w:t>scale; communicating information regarding water source contamination compared to recycling programs will vastly differ. DEQ will conduct ongoing evaluation for LEP services provided for their programs as the plan is implemented. In terms of resources, DEQ has already leveraged funding toward translation of their website and vital documents, a phone line to access bilingual staff, and community outreach.</w:t>
      </w:r>
    </w:p>
    <w:p w14:paraId="60A5629D" w14:textId="7AA2A5DF" w:rsidR="0024529B" w:rsidRDefault="0024529B" w:rsidP="006B592F">
      <w:pPr>
        <w:spacing w:after="240"/>
        <w:rPr>
          <w:rFonts w:eastAsiaTheme="majorEastAsia"/>
        </w:rPr>
      </w:pPr>
      <w:r>
        <w:rPr>
          <w:rFonts w:eastAsiaTheme="majorEastAsia"/>
        </w:rPr>
        <w:t xml:space="preserve">To implement the LEP Plan, DEQ </w:t>
      </w:r>
      <w:r w:rsidR="00571D11">
        <w:rPr>
          <w:rFonts w:eastAsiaTheme="majorEastAsia"/>
        </w:rPr>
        <w:t xml:space="preserve">separates the plan into five </w:t>
      </w:r>
      <w:r w:rsidR="00205558">
        <w:rPr>
          <w:rFonts w:eastAsiaTheme="majorEastAsia"/>
        </w:rPr>
        <w:t xml:space="preserve">cyclical </w:t>
      </w:r>
      <w:r w:rsidR="00571D11">
        <w:rPr>
          <w:rFonts w:eastAsiaTheme="majorEastAsia"/>
        </w:rPr>
        <w:t>steps:</w:t>
      </w:r>
    </w:p>
    <w:p w14:paraId="3E3589BF" w14:textId="38FE101C" w:rsidR="00571D11" w:rsidRPr="00BE1D53" w:rsidRDefault="00571D11" w:rsidP="007A55D1">
      <w:pPr>
        <w:pStyle w:val="ListParagraph"/>
        <w:numPr>
          <w:ilvl w:val="0"/>
          <w:numId w:val="5"/>
        </w:numPr>
        <w:spacing w:after="240"/>
        <w:rPr>
          <w:rFonts w:eastAsiaTheme="majorEastAsia"/>
          <w:sz w:val="24"/>
        </w:rPr>
      </w:pPr>
      <w:r w:rsidRPr="00BE1D53">
        <w:rPr>
          <w:rFonts w:eastAsiaTheme="majorEastAsia"/>
          <w:sz w:val="24"/>
        </w:rPr>
        <w:t>Identifying LEP individuals who need language assistance – DEQ will coordinate with program staff, the DEQ Office of Public Affairs, and the DEQ Environmental Justice Program to identify communities in need of language assistance through ACS data, community outreach, and environmental justice reports.</w:t>
      </w:r>
    </w:p>
    <w:p w14:paraId="12B3DAED" w14:textId="3600EF2F" w:rsidR="00571D11" w:rsidRPr="00BE1D53" w:rsidRDefault="00571D11" w:rsidP="007A55D1">
      <w:pPr>
        <w:pStyle w:val="ListParagraph"/>
        <w:numPr>
          <w:ilvl w:val="0"/>
          <w:numId w:val="5"/>
        </w:numPr>
        <w:spacing w:after="240"/>
        <w:rPr>
          <w:rFonts w:eastAsiaTheme="majorEastAsia"/>
          <w:sz w:val="24"/>
        </w:rPr>
      </w:pPr>
      <w:r w:rsidRPr="00BE1D53">
        <w:rPr>
          <w:rFonts w:eastAsiaTheme="majorEastAsia"/>
          <w:sz w:val="24"/>
        </w:rPr>
        <w:t>Language Assistance Measures</w:t>
      </w:r>
      <w:r w:rsidR="006B592F" w:rsidRPr="00BE1D53">
        <w:rPr>
          <w:rFonts w:eastAsiaTheme="majorEastAsia"/>
          <w:sz w:val="24"/>
        </w:rPr>
        <w:t xml:space="preserve"> – DEQ identifies two principal methods of serving LEP </w:t>
      </w:r>
      <w:r w:rsidR="002712CF" w:rsidRPr="00BE1D53">
        <w:rPr>
          <w:rFonts w:eastAsiaTheme="majorEastAsia"/>
          <w:sz w:val="24"/>
        </w:rPr>
        <w:t>individuals</w:t>
      </w:r>
      <w:r w:rsidR="006B592F" w:rsidRPr="00BE1D53">
        <w:rPr>
          <w:rFonts w:eastAsiaTheme="majorEastAsia"/>
          <w:sz w:val="24"/>
        </w:rPr>
        <w:t xml:space="preserve">: oral services and written language services. Written Spanish translation or interpretation services from DEQ bilingual staff are available to DEQ programs. DEQ also uses third-party translation and interpretation services when appropriate. DEQ intends to provide its offices and vehicles with a supply of language assistance flashcards and materials translated into the languages of the five </w:t>
      </w:r>
      <w:proofErr w:type="gramStart"/>
      <w:r w:rsidR="006B592F" w:rsidRPr="00BE1D53">
        <w:rPr>
          <w:rFonts w:eastAsiaTheme="majorEastAsia"/>
          <w:sz w:val="24"/>
        </w:rPr>
        <w:t>most commonly needed</w:t>
      </w:r>
      <w:proofErr w:type="gramEnd"/>
      <w:r w:rsidR="006B592F" w:rsidRPr="00BE1D53">
        <w:rPr>
          <w:rFonts w:eastAsiaTheme="majorEastAsia"/>
          <w:sz w:val="24"/>
        </w:rPr>
        <w:t xml:space="preserve"> languages. When approached by an LEP person, DEQ staff can present the individual with a flashcard to facilitate the choice of the appropriate language. Once the language is identified, DEQ will attempt to provide appropriate language assistance onsite or collect contact information to seek appropriate support offsite.</w:t>
      </w:r>
    </w:p>
    <w:p w14:paraId="373416E0" w14:textId="4C9BA740" w:rsidR="006B592F" w:rsidRPr="00BE1D53" w:rsidRDefault="006B592F" w:rsidP="007A55D1">
      <w:pPr>
        <w:pStyle w:val="ListParagraph"/>
        <w:numPr>
          <w:ilvl w:val="0"/>
          <w:numId w:val="5"/>
        </w:numPr>
        <w:spacing w:after="240"/>
        <w:rPr>
          <w:rFonts w:eastAsiaTheme="majorEastAsia"/>
          <w:sz w:val="24"/>
        </w:rPr>
      </w:pPr>
      <w:r w:rsidRPr="00BE1D53">
        <w:rPr>
          <w:rFonts w:eastAsiaTheme="majorEastAsia"/>
          <w:sz w:val="24"/>
        </w:rPr>
        <w:t>Training of DEQ staff will focus on employees most likely to directly encounter LEP individuals and will include information on the LEP plan and related resources, policies, and procedures. Refresher training and the opportunity to provide feedback on the LEP plan will be conducted routinely.</w:t>
      </w:r>
    </w:p>
    <w:p w14:paraId="1C8D62C8" w14:textId="3835C70E" w:rsidR="00205558" w:rsidRPr="00BE1D53" w:rsidRDefault="00205558" w:rsidP="007A55D1">
      <w:pPr>
        <w:pStyle w:val="ListParagraph"/>
        <w:numPr>
          <w:ilvl w:val="0"/>
          <w:numId w:val="5"/>
        </w:numPr>
        <w:spacing w:after="240"/>
        <w:rPr>
          <w:rFonts w:eastAsiaTheme="majorEastAsia"/>
          <w:sz w:val="24"/>
        </w:rPr>
      </w:pPr>
      <w:r w:rsidRPr="00BE1D53">
        <w:rPr>
          <w:rFonts w:eastAsiaTheme="majorEastAsia"/>
          <w:sz w:val="24"/>
        </w:rPr>
        <w:t>Providing notice to LEP persons</w:t>
      </w:r>
      <w:r w:rsidR="00742F2B" w:rsidRPr="00BE1D53">
        <w:rPr>
          <w:rFonts w:eastAsiaTheme="majorEastAsia"/>
          <w:sz w:val="24"/>
        </w:rPr>
        <w:t xml:space="preserve"> – DEQ looks to inform LEP persons of language services through public announcements, media releases, and communicating with community groups.</w:t>
      </w:r>
      <w:r w:rsidR="002712CF" w:rsidRPr="00BE1D53">
        <w:rPr>
          <w:rFonts w:eastAsiaTheme="majorEastAsia"/>
          <w:sz w:val="24"/>
        </w:rPr>
        <w:t xml:space="preserve"> A centralized contact system, utilizing a dropdown list for the preferred language, is also being considered. This will allow for LEP persons </w:t>
      </w:r>
      <w:r w:rsidR="00997529">
        <w:rPr>
          <w:rFonts w:eastAsiaTheme="majorEastAsia"/>
          <w:sz w:val="24"/>
        </w:rPr>
        <w:t xml:space="preserve">to </w:t>
      </w:r>
      <w:r w:rsidR="002712CF" w:rsidRPr="00BE1D53">
        <w:rPr>
          <w:rFonts w:eastAsiaTheme="majorEastAsia"/>
          <w:sz w:val="24"/>
        </w:rPr>
        <w:t>directly contact NCDEQ</w:t>
      </w:r>
      <w:r w:rsidR="00997529">
        <w:rPr>
          <w:rFonts w:eastAsiaTheme="majorEastAsia"/>
          <w:sz w:val="24"/>
        </w:rPr>
        <w:t xml:space="preserve">, </w:t>
      </w:r>
      <w:r w:rsidR="002712CF" w:rsidRPr="00BE1D53">
        <w:rPr>
          <w:rFonts w:eastAsiaTheme="majorEastAsia"/>
          <w:sz w:val="24"/>
        </w:rPr>
        <w:t>facilitat</w:t>
      </w:r>
      <w:r w:rsidR="00997529">
        <w:rPr>
          <w:rFonts w:eastAsiaTheme="majorEastAsia"/>
          <w:sz w:val="24"/>
        </w:rPr>
        <w:t>ing</w:t>
      </w:r>
      <w:r w:rsidR="002712CF" w:rsidRPr="00BE1D53">
        <w:rPr>
          <w:rFonts w:eastAsiaTheme="majorEastAsia"/>
          <w:sz w:val="24"/>
        </w:rPr>
        <w:t xml:space="preserve"> faster </w:t>
      </w:r>
      <w:r w:rsidR="00997529">
        <w:rPr>
          <w:rFonts w:eastAsiaTheme="majorEastAsia"/>
          <w:sz w:val="24"/>
        </w:rPr>
        <w:t>responses</w:t>
      </w:r>
      <w:r w:rsidR="002712CF" w:rsidRPr="00BE1D53">
        <w:rPr>
          <w:rFonts w:eastAsiaTheme="majorEastAsia"/>
          <w:sz w:val="24"/>
        </w:rPr>
        <w:t xml:space="preserve"> from DEQ itself. DEQ currently has a Spanish webpage that will continue to be expanded and improved.</w:t>
      </w:r>
    </w:p>
    <w:p w14:paraId="5C085C82" w14:textId="73F11E52" w:rsidR="006B592F" w:rsidRPr="00BE1D53" w:rsidRDefault="006B592F" w:rsidP="007A55D1">
      <w:pPr>
        <w:pStyle w:val="ListParagraph"/>
        <w:numPr>
          <w:ilvl w:val="0"/>
          <w:numId w:val="5"/>
        </w:numPr>
        <w:spacing w:after="240"/>
        <w:rPr>
          <w:rFonts w:eastAsiaTheme="majorEastAsia"/>
          <w:sz w:val="24"/>
        </w:rPr>
      </w:pPr>
      <w:r w:rsidRPr="00BE1D53">
        <w:rPr>
          <w:rFonts w:eastAsiaTheme="majorEastAsia"/>
          <w:sz w:val="24"/>
        </w:rPr>
        <w:lastRenderedPageBreak/>
        <w:t xml:space="preserve">Monitoring and updating the LEP plan – DEQ </w:t>
      </w:r>
      <w:proofErr w:type="gramStart"/>
      <w:r w:rsidRPr="00BE1D53">
        <w:rPr>
          <w:rFonts w:eastAsiaTheme="majorEastAsia"/>
          <w:sz w:val="24"/>
        </w:rPr>
        <w:t>commits</w:t>
      </w:r>
      <w:proofErr w:type="gramEnd"/>
      <w:r w:rsidRPr="00BE1D53">
        <w:rPr>
          <w:rFonts w:eastAsiaTheme="majorEastAsia"/>
          <w:sz w:val="24"/>
        </w:rPr>
        <w:t xml:space="preserve"> to reviewing the plan every two years in terms of effectiveness for language assistance measures and staff training. Feedback from agency staff and the public will be taken into consideration along with evaluating other resources that could be used for language assistance services.</w:t>
      </w:r>
    </w:p>
    <w:p w14:paraId="1B435433" w14:textId="22D43EC2" w:rsidR="00646526" w:rsidRPr="00646526" w:rsidRDefault="00646526" w:rsidP="00646526">
      <w:pPr>
        <w:spacing w:after="240"/>
        <w:rPr>
          <w:rFonts w:eastAsiaTheme="majorEastAsia"/>
        </w:rPr>
      </w:pPr>
      <w:r>
        <w:rPr>
          <w:rFonts w:eastAsiaTheme="majorEastAsia"/>
        </w:rPr>
        <w:t xml:space="preserve">Overall, the DEQ LAP provides a </w:t>
      </w:r>
      <w:r w:rsidR="003C2A19">
        <w:rPr>
          <w:rFonts w:eastAsiaTheme="majorEastAsia"/>
        </w:rPr>
        <w:t>complete framework, including policy directives, planning, and procedures, including areas to consider for re-evaluation in the future.</w:t>
      </w:r>
      <w:r>
        <w:rPr>
          <w:rFonts w:eastAsiaTheme="majorEastAsia"/>
        </w:rPr>
        <w:t xml:space="preserve"> </w:t>
      </w:r>
    </w:p>
    <w:p w14:paraId="71FA1CBC" w14:textId="19972E01" w:rsidR="00165B61" w:rsidRPr="003B576C" w:rsidRDefault="00BB6614" w:rsidP="00607FDC">
      <w:pPr>
        <w:pStyle w:val="Heading3"/>
      </w:pPr>
      <w:bookmarkStart w:id="100" w:name="_Toc66807952"/>
      <w:bookmarkStart w:id="101" w:name="_Hlk53068639"/>
      <w:r>
        <w:t xml:space="preserve">North Carolina </w:t>
      </w:r>
      <w:r w:rsidR="003B576C">
        <w:t>Office of Recovery and Resiliency</w:t>
      </w:r>
      <w:r>
        <w:t xml:space="preserve"> (NCORR)</w:t>
      </w:r>
      <w:bookmarkEnd w:id="100"/>
    </w:p>
    <w:bookmarkEnd w:id="101"/>
    <w:p w14:paraId="196FAE91" w14:textId="037B42BC" w:rsidR="00BF6356" w:rsidRDefault="00BF6356" w:rsidP="00BF6356">
      <w:pPr>
        <w:spacing w:after="240"/>
        <w:rPr>
          <w:rFonts w:eastAsiaTheme="majorEastAsia"/>
        </w:rPr>
      </w:pPr>
      <w:r>
        <w:rPr>
          <w:rFonts w:eastAsiaTheme="majorEastAsia"/>
        </w:rPr>
        <w:t>ORR is committed to “</w:t>
      </w:r>
      <w:r w:rsidRPr="00BF6356">
        <w:rPr>
          <w:rFonts w:eastAsiaTheme="majorEastAsia"/>
        </w:rPr>
        <w:t>the resiliency of rebuilding efforts, planning, and exploring opportunities for mitigation against future natural disasters with an emphasis on improving conditions for low- and moderate-income beneficiaries.</w:t>
      </w:r>
      <w:r>
        <w:rPr>
          <w:rFonts w:eastAsiaTheme="majorEastAsia"/>
        </w:rPr>
        <w:t xml:space="preserve">” The LAP for ORR was last updated in December 2019. </w:t>
      </w:r>
      <w:r w:rsidR="0002646E">
        <w:rPr>
          <w:rFonts w:eastAsiaTheme="majorEastAsia"/>
        </w:rPr>
        <w:t>While t</w:t>
      </w:r>
      <w:r>
        <w:rPr>
          <w:rFonts w:eastAsiaTheme="majorEastAsia"/>
        </w:rPr>
        <w:t xml:space="preserve">he plan </w:t>
      </w:r>
      <w:r w:rsidR="0002646E">
        <w:rPr>
          <w:rFonts w:eastAsiaTheme="majorEastAsia"/>
        </w:rPr>
        <w:t>states</w:t>
      </w:r>
      <w:r>
        <w:rPr>
          <w:rFonts w:eastAsiaTheme="majorEastAsia"/>
        </w:rPr>
        <w:t xml:space="preserve"> the four-factor analysis</w:t>
      </w:r>
      <w:r w:rsidR="0002646E">
        <w:rPr>
          <w:rFonts w:eastAsiaTheme="majorEastAsia"/>
        </w:rPr>
        <w:t xml:space="preserve"> was conducted</w:t>
      </w:r>
      <w:r>
        <w:rPr>
          <w:rFonts w:eastAsiaTheme="majorEastAsia"/>
        </w:rPr>
        <w:t>,</w:t>
      </w:r>
      <w:r w:rsidR="0002646E">
        <w:rPr>
          <w:rFonts w:eastAsiaTheme="majorEastAsia"/>
        </w:rPr>
        <w:t xml:space="preserve"> only the number of LEP persons served or encountered and the resources available to ORR are made clear.</w:t>
      </w:r>
      <w:r>
        <w:rPr>
          <w:rFonts w:eastAsiaTheme="majorEastAsia"/>
        </w:rPr>
        <w:t xml:space="preserve"> </w:t>
      </w:r>
      <w:r w:rsidR="0002646E">
        <w:rPr>
          <w:rFonts w:eastAsiaTheme="majorEastAsia"/>
        </w:rPr>
        <w:t>ORR determined</w:t>
      </w:r>
      <w:r>
        <w:rPr>
          <w:rFonts w:eastAsiaTheme="majorEastAsia"/>
        </w:rPr>
        <w:t xml:space="preserve"> that North Carolina has a substantial LEP population, especially in Spanish-speakers, and is expected to grow in the future</w:t>
      </w:r>
      <w:r w:rsidR="0002646E">
        <w:rPr>
          <w:rFonts w:eastAsiaTheme="majorEastAsia"/>
        </w:rPr>
        <w:t xml:space="preserve"> based on ACS data</w:t>
      </w:r>
      <w:r>
        <w:rPr>
          <w:rFonts w:eastAsiaTheme="majorEastAsia"/>
        </w:rPr>
        <w:t xml:space="preserve">. </w:t>
      </w:r>
      <w:r w:rsidR="0002646E">
        <w:rPr>
          <w:rFonts w:eastAsiaTheme="majorEastAsia"/>
        </w:rPr>
        <w:t>As an organization, ORR is willing to provide oral language assistance, written translation services, staff training related to LEP policies and procedures, and notice of free language services. Guidelines for each of these resources are detailed in the plan.</w:t>
      </w:r>
      <w:r w:rsidR="00445552">
        <w:rPr>
          <w:rFonts w:eastAsiaTheme="majorEastAsia"/>
        </w:rPr>
        <w:t xml:space="preserve"> Finally, ORR intends to monitor and update the LAP on an ongoing basis when new demographic data is released by the federal or state government.</w:t>
      </w:r>
      <w:r w:rsidR="00AD776A">
        <w:rPr>
          <w:rFonts w:eastAsiaTheme="majorEastAsia"/>
        </w:rPr>
        <w:t xml:space="preserve"> Of note, ORR mentioned incorporating the LAP into ORRs’ Assessment of Fair Housing.</w:t>
      </w:r>
    </w:p>
    <w:p w14:paraId="2CEB9456" w14:textId="63C537C9" w:rsidR="000505BF" w:rsidRPr="007F3B15" w:rsidRDefault="0002646E" w:rsidP="007F3B15">
      <w:pPr>
        <w:spacing w:after="240"/>
        <w:rPr>
          <w:rFonts w:eastAsiaTheme="majorEastAsia"/>
        </w:rPr>
      </w:pPr>
      <w:r>
        <w:rPr>
          <w:rFonts w:eastAsiaTheme="majorEastAsia"/>
        </w:rPr>
        <w:t>The</w:t>
      </w:r>
      <w:r w:rsidR="00BF6356">
        <w:rPr>
          <w:rFonts w:eastAsiaTheme="majorEastAsia"/>
        </w:rPr>
        <w:t xml:space="preserve"> frequency in which LEP persons </w:t>
      </w:r>
      <w:proofErr w:type="gramStart"/>
      <w:r w:rsidR="00BF6356">
        <w:rPr>
          <w:rFonts w:eastAsiaTheme="majorEastAsia"/>
        </w:rPr>
        <w:t>come into contact with</w:t>
      </w:r>
      <w:proofErr w:type="gramEnd"/>
      <w:r w:rsidR="00BF6356">
        <w:rPr>
          <w:rFonts w:eastAsiaTheme="majorEastAsia"/>
        </w:rPr>
        <w:t xml:space="preserve"> ORR programs and the nature and importance of the program are not explicit in the plan</w:t>
      </w:r>
      <w:r>
        <w:rPr>
          <w:rFonts w:eastAsiaTheme="majorEastAsia"/>
        </w:rPr>
        <w:t>. However,</w:t>
      </w:r>
      <w:r w:rsidR="00BF6356">
        <w:rPr>
          <w:rFonts w:eastAsiaTheme="majorEastAsia"/>
        </w:rPr>
        <w:t xml:space="preserve"> the pressing and often unpredictable nature of disaster </w:t>
      </w:r>
      <w:r>
        <w:rPr>
          <w:rFonts w:eastAsiaTheme="majorEastAsia"/>
        </w:rPr>
        <w:t>preparedness, response, recovery, and resiliency would imply the importance of communicating ORR programs to LEP populations.</w:t>
      </w:r>
      <w:bookmarkStart w:id="102" w:name="_Toc47639998"/>
    </w:p>
    <w:p w14:paraId="0333EB22" w14:textId="77777777" w:rsidR="00A20A90" w:rsidRDefault="00A20A90">
      <w:pPr>
        <w:spacing w:after="160" w:line="259" w:lineRule="auto"/>
        <w:rPr>
          <w:rFonts w:asciiTheme="majorHAnsi" w:eastAsiaTheme="majorEastAsia" w:hAnsiTheme="majorHAnsi" w:cstheme="majorBidi"/>
          <w:color w:val="ED7D31" w:themeColor="accent2"/>
          <w:sz w:val="36"/>
          <w:szCs w:val="36"/>
        </w:rPr>
      </w:pPr>
      <w:r>
        <w:br w:type="page"/>
      </w:r>
    </w:p>
    <w:p w14:paraId="65D152E1" w14:textId="71346C84" w:rsidR="003F5EBB" w:rsidRPr="003F5EBB" w:rsidRDefault="003F5EBB" w:rsidP="00B3381F">
      <w:pPr>
        <w:pStyle w:val="Heading1"/>
      </w:pPr>
      <w:bookmarkStart w:id="103" w:name="_Toc66807953"/>
      <w:r w:rsidRPr="003F5EBB">
        <w:lastRenderedPageBreak/>
        <w:t>Private Sector Policy Review</w:t>
      </w:r>
      <w:bookmarkEnd w:id="102"/>
      <w:bookmarkEnd w:id="103"/>
    </w:p>
    <w:p w14:paraId="0E54647C" w14:textId="53B097FE" w:rsidR="003F5EBB" w:rsidRPr="003F5EBB" w:rsidRDefault="003F5EBB" w:rsidP="003B576C">
      <w:pPr>
        <w:rPr>
          <w:rFonts w:eastAsiaTheme="minorEastAsia"/>
        </w:rPr>
      </w:pPr>
      <w:r w:rsidRPr="003F5EBB">
        <w:rPr>
          <w:rFonts w:eastAsiaTheme="minorEastAsia"/>
        </w:rPr>
        <w:t xml:space="preserve">In addition to the public sector policies that influence fair housing choice, there are private sector policies that can influence the development, </w:t>
      </w:r>
      <w:proofErr w:type="gramStart"/>
      <w:r w:rsidRPr="003F5EBB">
        <w:rPr>
          <w:rFonts w:eastAsiaTheme="minorEastAsia"/>
        </w:rPr>
        <w:t>financing</w:t>
      </w:r>
      <w:proofErr w:type="gramEnd"/>
      <w:r w:rsidRPr="003F5EBB">
        <w:rPr>
          <w:rFonts w:eastAsiaTheme="minorEastAsia"/>
        </w:rPr>
        <w:t xml:space="preserve"> and advertising of real estate</w:t>
      </w:r>
      <w:r w:rsidR="00136093">
        <w:rPr>
          <w:rFonts w:eastAsiaTheme="minorEastAsia"/>
        </w:rPr>
        <w:t xml:space="preserve">. </w:t>
      </w:r>
      <w:r w:rsidRPr="003F5EBB">
        <w:rPr>
          <w:rFonts w:eastAsiaTheme="minorEastAsia"/>
        </w:rPr>
        <w:t>In this section of the AI, mortgage lending practices, high-cost lending and real estate advertising are analyzed.</w:t>
      </w:r>
    </w:p>
    <w:p w14:paraId="569F91A8" w14:textId="77777777" w:rsidR="003F5EBB" w:rsidRPr="003F5EBB" w:rsidRDefault="003F5EBB" w:rsidP="00B3381F">
      <w:pPr>
        <w:pStyle w:val="Heading2"/>
      </w:pPr>
      <w:bookmarkStart w:id="104" w:name="_Toc47639999"/>
      <w:bookmarkStart w:id="105" w:name="_Toc66807954"/>
      <w:r w:rsidRPr="00444D68">
        <w:t>Home Mortgage Lending</w:t>
      </w:r>
      <w:bookmarkEnd w:id="104"/>
      <w:bookmarkEnd w:id="105"/>
    </w:p>
    <w:p w14:paraId="42A3C51B" w14:textId="77777777" w:rsidR="003F5EBB" w:rsidRPr="003F5EBB" w:rsidRDefault="003F5EBB" w:rsidP="003B576C">
      <w:pPr>
        <w:rPr>
          <w:rFonts w:eastAsiaTheme="minorEastAsia"/>
        </w:rPr>
      </w:pPr>
      <w:r w:rsidRPr="003F5EBB">
        <w:rPr>
          <w:rFonts w:eastAsiaTheme="minorEastAsia"/>
        </w:rPr>
        <w:t xml:space="preserve">Under the terms of the Financial Institutions Reform, Recovery, and Enforcement Act of 1989 (F.I.R.R.E.A.), any commercial lending institution that makes five or more home mortgage loans must report all residential loan activity to the Federal Reserve Bank under the terms of the Home Mortgage Disclosure Act (HMDA). The HMDA regulations require most institutions involved in lending to comply and report information on loans denied, withdrawn, or incomplete by race, sex, and income of the applicant. The information from the HMDA statements assists in determining whether financial institutions are serving the housing needs of their communities. The data also helps to identify possible discriminatory lending practices and patterns. </w:t>
      </w:r>
    </w:p>
    <w:p w14:paraId="11F76541" w14:textId="77777777" w:rsidR="00BA2E8A" w:rsidRDefault="00BA2E8A" w:rsidP="003B576C">
      <w:pPr>
        <w:rPr>
          <w:rFonts w:eastAsiaTheme="minorEastAsia"/>
        </w:rPr>
      </w:pPr>
    </w:p>
    <w:p w14:paraId="5FCF115F" w14:textId="58DBB6CD" w:rsidR="00DE644C" w:rsidRPr="003F5EBB" w:rsidRDefault="003F5EBB" w:rsidP="00DE644C">
      <w:pPr>
        <w:spacing w:after="240"/>
        <w:rPr>
          <w:rFonts w:eastAsiaTheme="minorEastAsia"/>
        </w:rPr>
      </w:pPr>
      <w:r w:rsidRPr="003F5EBB">
        <w:rPr>
          <w:rFonts w:eastAsiaTheme="minorEastAsia"/>
        </w:rPr>
        <w:t xml:space="preserve">The most recent HMDA data available for </w:t>
      </w:r>
      <w:r w:rsidR="008913DE">
        <w:rPr>
          <w:rFonts w:eastAsiaTheme="minorEastAsia"/>
        </w:rPr>
        <w:t>North Carolina is from 2017 to 2019</w:t>
      </w:r>
      <w:r w:rsidRPr="003F5EBB">
        <w:rPr>
          <w:rFonts w:eastAsiaTheme="minorEastAsia"/>
        </w:rPr>
        <w:t xml:space="preserve">. Reviewing this data helps to determine the need to encourage area lenders, other business lenders, and the community at large to actively promote existing programs and develop new programs to assist residents in securing home mortgage loans for home purchases. The data focuses on the number of homeowner mortgage applications received by lenders for home purchase of one- to four-family dwellings and manufactured housing units. The information provided is for the primary applicant only. Co-applicants were not included in the analysis. In addition, where no information is provided or categorized as not applicable, no analysis has been conducted due to lack of information. </w:t>
      </w:r>
      <w:r w:rsidR="00DE644C">
        <w:rPr>
          <w:rFonts w:eastAsiaTheme="minorEastAsia"/>
        </w:rPr>
        <w:t xml:space="preserve">The data </w:t>
      </w:r>
      <w:r w:rsidR="00DE644C" w:rsidRPr="00DE644C">
        <w:rPr>
          <w:rFonts w:eastAsiaTheme="minorEastAsia"/>
        </w:rPr>
        <w:t>indicates that Black applicants faced higher denial rates and lower origination rates (approvals) than White applicants; denial rates for Blacks and Whites were 3</w:t>
      </w:r>
      <w:r w:rsidR="00DE644C">
        <w:rPr>
          <w:rFonts w:eastAsiaTheme="minorEastAsia"/>
        </w:rPr>
        <w:t>5.0</w:t>
      </w:r>
      <w:r w:rsidR="00DE644C" w:rsidRPr="00DE644C">
        <w:rPr>
          <w:rFonts w:eastAsiaTheme="minorEastAsia"/>
        </w:rPr>
        <w:t xml:space="preserve">% and </w:t>
      </w:r>
      <w:r w:rsidR="00DE644C">
        <w:rPr>
          <w:rFonts w:eastAsiaTheme="minorEastAsia"/>
        </w:rPr>
        <w:t>18.4</w:t>
      </w:r>
      <w:r w:rsidR="00DE644C" w:rsidRPr="00DE644C">
        <w:rPr>
          <w:rFonts w:eastAsiaTheme="minorEastAsia"/>
        </w:rPr>
        <w:t xml:space="preserve">%, respectively. Hispanic applicants </w:t>
      </w:r>
      <w:r w:rsidR="00DE644C">
        <w:rPr>
          <w:rFonts w:eastAsiaTheme="minorEastAsia"/>
        </w:rPr>
        <w:t>also showed above average</w:t>
      </w:r>
      <w:r w:rsidR="00DE644C" w:rsidRPr="00DE644C">
        <w:rPr>
          <w:rFonts w:eastAsiaTheme="minorEastAsia"/>
        </w:rPr>
        <w:t xml:space="preserve"> </w:t>
      </w:r>
      <w:r w:rsidR="00DE644C">
        <w:rPr>
          <w:rFonts w:eastAsiaTheme="minorEastAsia"/>
        </w:rPr>
        <w:t>loan</w:t>
      </w:r>
      <w:r w:rsidR="00DE644C" w:rsidRPr="00DE644C">
        <w:rPr>
          <w:rFonts w:eastAsiaTheme="minorEastAsia"/>
        </w:rPr>
        <w:t xml:space="preserve"> denial rate</w:t>
      </w:r>
      <w:r w:rsidR="00DE644C">
        <w:rPr>
          <w:rFonts w:eastAsiaTheme="minorEastAsia"/>
        </w:rPr>
        <w:t>s (21.6%)</w:t>
      </w:r>
    </w:p>
    <w:p w14:paraId="25CC8CD1" w14:textId="77777777" w:rsidR="003F5EBB" w:rsidRPr="003F5EBB" w:rsidRDefault="003F5EBB" w:rsidP="003F5EBB">
      <w:pPr>
        <w:spacing w:after="160" w:line="276" w:lineRule="auto"/>
        <w:rPr>
          <w:rFonts w:asciiTheme="minorHAnsi" w:eastAsiaTheme="minorEastAsia" w:hAnsiTheme="minorHAnsi" w:cstheme="minorBidi"/>
          <w:sz w:val="22"/>
          <w:szCs w:val="21"/>
        </w:rPr>
      </w:pPr>
    </w:p>
    <w:p w14:paraId="6A2E54D0" w14:textId="77777777" w:rsidR="008913DE" w:rsidRDefault="008913DE" w:rsidP="008913DE">
      <w:pPr>
        <w:pStyle w:val="Caption"/>
        <w:sectPr w:rsidR="008913DE">
          <w:pgSz w:w="12240" w:h="15840"/>
          <w:pgMar w:top="1440" w:right="1440" w:bottom="1440" w:left="1440" w:header="720" w:footer="720" w:gutter="0"/>
          <w:cols w:space="720"/>
          <w:docGrid w:linePitch="360"/>
        </w:sectPr>
      </w:pPr>
    </w:p>
    <w:p w14:paraId="33430598" w14:textId="2C787405" w:rsidR="003F5EBB" w:rsidRDefault="008913DE" w:rsidP="008913DE">
      <w:pPr>
        <w:pStyle w:val="Caption"/>
      </w:pPr>
      <w:r>
        <w:lastRenderedPageBreak/>
        <w:t xml:space="preserve">Table </w:t>
      </w:r>
      <w:fldSimple w:instr=" SEQ Table \* ARABIC ">
        <w:r w:rsidR="0055251A">
          <w:rPr>
            <w:noProof/>
          </w:rPr>
          <w:t>28</w:t>
        </w:r>
      </w:fldSimple>
      <w:r>
        <w:t xml:space="preserve"> </w:t>
      </w:r>
      <w:r w:rsidRPr="008913DE">
        <w:t>Mortgage application outcomes by race/ethnicity</w:t>
      </w:r>
      <w:r>
        <w:t xml:space="preserve"> in North Carolina</w:t>
      </w:r>
      <w:r w:rsidRPr="008913DE">
        <w:t>, 2017-2019</w:t>
      </w:r>
    </w:p>
    <w:tbl>
      <w:tblPr>
        <w:tblW w:w="12546" w:type="dxa"/>
        <w:tblLook w:val="04A0" w:firstRow="1" w:lastRow="0" w:firstColumn="1" w:lastColumn="0" w:noHBand="0" w:noVBand="1"/>
      </w:tblPr>
      <w:tblGrid>
        <w:gridCol w:w="1012"/>
        <w:gridCol w:w="1162"/>
        <w:gridCol w:w="815"/>
        <w:gridCol w:w="1161"/>
        <w:gridCol w:w="815"/>
        <w:gridCol w:w="1073"/>
        <w:gridCol w:w="815"/>
        <w:gridCol w:w="1232"/>
        <w:gridCol w:w="714"/>
        <w:gridCol w:w="1073"/>
        <w:gridCol w:w="815"/>
        <w:gridCol w:w="1342"/>
        <w:gridCol w:w="815"/>
      </w:tblGrid>
      <w:tr w:rsidR="008913DE" w:rsidRPr="008913DE" w14:paraId="53F8791C" w14:textId="77777777" w:rsidTr="002551CB">
        <w:trPr>
          <w:trHeight w:val="184"/>
        </w:trPr>
        <w:tc>
          <w:tcPr>
            <w:tcW w:w="960" w:type="dxa"/>
            <w:tcBorders>
              <w:top w:val="single" w:sz="8" w:space="0" w:color="auto"/>
              <w:left w:val="single" w:sz="8" w:space="0" w:color="auto"/>
              <w:bottom w:val="single" w:sz="8" w:space="0" w:color="auto"/>
              <w:right w:val="single" w:sz="8" w:space="0" w:color="auto"/>
            </w:tcBorders>
            <w:shd w:val="clear" w:color="auto" w:fill="4472C4"/>
            <w:noWrap/>
            <w:vAlign w:val="center"/>
            <w:hideMark/>
          </w:tcPr>
          <w:p w14:paraId="4A1A0807" w14:textId="4D435B99" w:rsidR="008913DE" w:rsidRPr="008913DE" w:rsidRDefault="008913DE" w:rsidP="008913DE">
            <w:pPr>
              <w:jc w:val="center"/>
              <w:rPr>
                <w:rFonts w:ascii="Calibri" w:hAnsi="Calibri" w:cs="Calibri"/>
                <w:b/>
                <w:bCs/>
                <w:color w:val="FFFFFF"/>
                <w:sz w:val="20"/>
                <w:szCs w:val="20"/>
              </w:rPr>
            </w:pPr>
          </w:p>
        </w:tc>
        <w:tc>
          <w:tcPr>
            <w:tcW w:w="1935"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63B2C35E"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White</w:t>
            </w:r>
          </w:p>
        </w:tc>
        <w:tc>
          <w:tcPr>
            <w:tcW w:w="1934"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5BFDCA48"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Black</w:t>
            </w:r>
          </w:p>
        </w:tc>
        <w:tc>
          <w:tcPr>
            <w:tcW w:w="1846"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324623E5"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Asian</w:t>
            </w:r>
          </w:p>
        </w:tc>
        <w:tc>
          <w:tcPr>
            <w:tcW w:w="1910"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47DBC5B5"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Other</w:t>
            </w:r>
          </w:p>
        </w:tc>
        <w:tc>
          <w:tcPr>
            <w:tcW w:w="1846"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553C8F76"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Hispanic</w:t>
            </w:r>
          </w:p>
        </w:tc>
        <w:tc>
          <w:tcPr>
            <w:tcW w:w="2115"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0F58927D"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Total</w:t>
            </w:r>
          </w:p>
        </w:tc>
      </w:tr>
      <w:tr w:rsidR="008913DE" w:rsidRPr="008913DE" w14:paraId="62E4BCD8" w14:textId="77777777" w:rsidTr="008913DE">
        <w:trPr>
          <w:trHeight w:val="184"/>
        </w:trPr>
        <w:tc>
          <w:tcPr>
            <w:tcW w:w="960" w:type="dxa"/>
            <w:tcBorders>
              <w:top w:val="nil"/>
              <w:left w:val="single" w:sz="8" w:space="0" w:color="auto"/>
              <w:bottom w:val="single" w:sz="8" w:space="0" w:color="auto"/>
              <w:right w:val="single" w:sz="8" w:space="0" w:color="auto"/>
            </w:tcBorders>
            <w:shd w:val="clear" w:color="000000" w:fill="A8D9E4"/>
            <w:noWrap/>
            <w:vAlign w:val="center"/>
            <w:hideMark/>
          </w:tcPr>
          <w:p w14:paraId="7E4B0DBF" w14:textId="2C1DED80" w:rsidR="008913DE" w:rsidRPr="008913DE" w:rsidRDefault="008913DE" w:rsidP="008913DE">
            <w:pPr>
              <w:jc w:val="center"/>
              <w:rPr>
                <w:rFonts w:ascii="Calibri" w:hAnsi="Calibri" w:cs="Calibri"/>
                <w:color w:val="000000"/>
                <w:sz w:val="20"/>
                <w:szCs w:val="20"/>
              </w:rPr>
            </w:pPr>
          </w:p>
        </w:tc>
        <w:tc>
          <w:tcPr>
            <w:tcW w:w="1162" w:type="dxa"/>
            <w:tcBorders>
              <w:top w:val="nil"/>
              <w:left w:val="nil"/>
              <w:bottom w:val="single" w:sz="8" w:space="0" w:color="auto"/>
              <w:right w:val="single" w:sz="8" w:space="0" w:color="auto"/>
            </w:tcBorders>
            <w:shd w:val="clear" w:color="000000" w:fill="A8D9E4"/>
            <w:noWrap/>
            <w:vAlign w:val="center"/>
            <w:hideMark/>
          </w:tcPr>
          <w:p w14:paraId="205B4BC7"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772" w:type="dxa"/>
            <w:tcBorders>
              <w:top w:val="nil"/>
              <w:left w:val="nil"/>
              <w:bottom w:val="single" w:sz="8" w:space="0" w:color="auto"/>
              <w:right w:val="single" w:sz="8" w:space="0" w:color="auto"/>
            </w:tcBorders>
            <w:shd w:val="clear" w:color="000000" w:fill="A8D9E4"/>
            <w:noWrap/>
            <w:vAlign w:val="center"/>
            <w:hideMark/>
          </w:tcPr>
          <w:p w14:paraId="6976E0A4"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1161" w:type="dxa"/>
            <w:tcBorders>
              <w:top w:val="nil"/>
              <w:left w:val="nil"/>
              <w:bottom w:val="single" w:sz="8" w:space="0" w:color="auto"/>
              <w:right w:val="single" w:sz="8" w:space="0" w:color="auto"/>
            </w:tcBorders>
            <w:shd w:val="clear" w:color="000000" w:fill="A8D9E4"/>
            <w:noWrap/>
            <w:vAlign w:val="center"/>
            <w:hideMark/>
          </w:tcPr>
          <w:p w14:paraId="1094DB22"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772" w:type="dxa"/>
            <w:tcBorders>
              <w:top w:val="nil"/>
              <w:left w:val="nil"/>
              <w:bottom w:val="single" w:sz="8" w:space="0" w:color="auto"/>
              <w:right w:val="single" w:sz="8" w:space="0" w:color="auto"/>
            </w:tcBorders>
            <w:shd w:val="clear" w:color="000000" w:fill="A8D9E4"/>
            <w:noWrap/>
            <w:vAlign w:val="center"/>
            <w:hideMark/>
          </w:tcPr>
          <w:p w14:paraId="39A75BE1"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1073" w:type="dxa"/>
            <w:tcBorders>
              <w:top w:val="nil"/>
              <w:left w:val="nil"/>
              <w:bottom w:val="single" w:sz="8" w:space="0" w:color="auto"/>
              <w:right w:val="single" w:sz="8" w:space="0" w:color="auto"/>
            </w:tcBorders>
            <w:shd w:val="clear" w:color="000000" w:fill="A8D9E4"/>
            <w:noWrap/>
            <w:vAlign w:val="center"/>
            <w:hideMark/>
          </w:tcPr>
          <w:p w14:paraId="647C86E0"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772" w:type="dxa"/>
            <w:tcBorders>
              <w:top w:val="nil"/>
              <w:left w:val="nil"/>
              <w:bottom w:val="single" w:sz="8" w:space="0" w:color="auto"/>
              <w:right w:val="single" w:sz="8" w:space="0" w:color="auto"/>
            </w:tcBorders>
            <w:shd w:val="clear" w:color="000000" w:fill="A8D9E4"/>
            <w:noWrap/>
            <w:vAlign w:val="center"/>
            <w:hideMark/>
          </w:tcPr>
          <w:p w14:paraId="184F2BCD"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1232" w:type="dxa"/>
            <w:tcBorders>
              <w:top w:val="nil"/>
              <w:left w:val="nil"/>
              <w:bottom w:val="single" w:sz="8" w:space="0" w:color="auto"/>
              <w:right w:val="single" w:sz="8" w:space="0" w:color="auto"/>
            </w:tcBorders>
            <w:shd w:val="clear" w:color="000000" w:fill="A8D9E4"/>
            <w:noWrap/>
            <w:vAlign w:val="center"/>
            <w:hideMark/>
          </w:tcPr>
          <w:p w14:paraId="30500495"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677" w:type="dxa"/>
            <w:tcBorders>
              <w:top w:val="nil"/>
              <w:left w:val="nil"/>
              <w:bottom w:val="single" w:sz="8" w:space="0" w:color="auto"/>
              <w:right w:val="single" w:sz="8" w:space="0" w:color="auto"/>
            </w:tcBorders>
            <w:shd w:val="clear" w:color="000000" w:fill="A8D9E4"/>
            <w:noWrap/>
            <w:vAlign w:val="center"/>
            <w:hideMark/>
          </w:tcPr>
          <w:p w14:paraId="08CC88F2"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1073" w:type="dxa"/>
            <w:tcBorders>
              <w:top w:val="nil"/>
              <w:left w:val="nil"/>
              <w:bottom w:val="single" w:sz="8" w:space="0" w:color="auto"/>
              <w:right w:val="single" w:sz="8" w:space="0" w:color="auto"/>
            </w:tcBorders>
            <w:shd w:val="clear" w:color="000000" w:fill="A8D9E4"/>
            <w:noWrap/>
            <w:vAlign w:val="center"/>
            <w:hideMark/>
          </w:tcPr>
          <w:p w14:paraId="29AE63F6"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772" w:type="dxa"/>
            <w:tcBorders>
              <w:top w:val="nil"/>
              <w:left w:val="nil"/>
              <w:bottom w:val="single" w:sz="8" w:space="0" w:color="auto"/>
              <w:right w:val="single" w:sz="8" w:space="0" w:color="auto"/>
            </w:tcBorders>
            <w:shd w:val="clear" w:color="000000" w:fill="A8D9E4"/>
            <w:noWrap/>
            <w:vAlign w:val="center"/>
            <w:hideMark/>
          </w:tcPr>
          <w:p w14:paraId="223DA91D"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1342" w:type="dxa"/>
            <w:tcBorders>
              <w:top w:val="nil"/>
              <w:left w:val="nil"/>
              <w:bottom w:val="single" w:sz="8" w:space="0" w:color="auto"/>
              <w:right w:val="single" w:sz="8" w:space="0" w:color="auto"/>
            </w:tcBorders>
            <w:shd w:val="clear" w:color="000000" w:fill="A8D9E4"/>
            <w:noWrap/>
            <w:vAlign w:val="center"/>
            <w:hideMark/>
          </w:tcPr>
          <w:p w14:paraId="328D81B9"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c>
          <w:tcPr>
            <w:tcW w:w="772" w:type="dxa"/>
            <w:tcBorders>
              <w:top w:val="nil"/>
              <w:left w:val="nil"/>
              <w:bottom w:val="single" w:sz="8" w:space="0" w:color="auto"/>
              <w:right w:val="single" w:sz="8" w:space="0" w:color="auto"/>
            </w:tcBorders>
            <w:shd w:val="clear" w:color="000000" w:fill="A8D9E4"/>
            <w:noWrap/>
            <w:vAlign w:val="center"/>
            <w:hideMark/>
          </w:tcPr>
          <w:p w14:paraId="79B654EB"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w:t>
            </w:r>
          </w:p>
        </w:tc>
      </w:tr>
      <w:tr w:rsidR="008913DE" w:rsidRPr="008913DE" w14:paraId="380587C3" w14:textId="77777777" w:rsidTr="008913DE">
        <w:trPr>
          <w:trHeight w:val="18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C2DA5DF"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Approved</w:t>
            </w:r>
          </w:p>
        </w:tc>
        <w:tc>
          <w:tcPr>
            <w:tcW w:w="1162" w:type="dxa"/>
            <w:tcBorders>
              <w:top w:val="nil"/>
              <w:left w:val="nil"/>
              <w:bottom w:val="single" w:sz="8" w:space="0" w:color="auto"/>
              <w:right w:val="single" w:sz="8" w:space="0" w:color="auto"/>
            </w:tcBorders>
            <w:shd w:val="clear" w:color="auto" w:fill="auto"/>
            <w:noWrap/>
            <w:vAlign w:val="center"/>
            <w:hideMark/>
          </w:tcPr>
          <w:p w14:paraId="7E41626E" w14:textId="43DB09FF"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622,247</w:t>
            </w:r>
          </w:p>
        </w:tc>
        <w:tc>
          <w:tcPr>
            <w:tcW w:w="772" w:type="dxa"/>
            <w:tcBorders>
              <w:top w:val="nil"/>
              <w:left w:val="nil"/>
              <w:bottom w:val="single" w:sz="8" w:space="0" w:color="auto"/>
              <w:right w:val="single" w:sz="8" w:space="0" w:color="auto"/>
            </w:tcBorders>
            <w:shd w:val="clear" w:color="auto" w:fill="auto"/>
            <w:noWrap/>
            <w:vAlign w:val="center"/>
            <w:hideMark/>
          </w:tcPr>
          <w:p w14:paraId="2D6A1112"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81.57%</w:t>
            </w:r>
          </w:p>
        </w:tc>
        <w:tc>
          <w:tcPr>
            <w:tcW w:w="1161" w:type="dxa"/>
            <w:tcBorders>
              <w:top w:val="nil"/>
              <w:left w:val="nil"/>
              <w:bottom w:val="single" w:sz="8" w:space="0" w:color="auto"/>
              <w:right w:val="single" w:sz="8" w:space="0" w:color="auto"/>
            </w:tcBorders>
            <w:shd w:val="clear" w:color="auto" w:fill="auto"/>
            <w:noWrap/>
            <w:vAlign w:val="center"/>
            <w:hideMark/>
          </w:tcPr>
          <w:p w14:paraId="591DA3CC" w14:textId="42F8EE85"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90,811</w:t>
            </w:r>
          </w:p>
        </w:tc>
        <w:tc>
          <w:tcPr>
            <w:tcW w:w="772" w:type="dxa"/>
            <w:tcBorders>
              <w:top w:val="nil"/>
              <w:left w:val="nil"/>
              <w:bottom w:val="single" w:sz="8" w:space="0" w:color="auto"/>
              <w:right w:val="single" w:sz="8" w:space="0" w:color="auto"/>
            </w:tcBorders>
            <w:shd w:val="clear" w:color="auto" w:fill="auto"/>
            <w:noWrap/>
            <w:vAlign w:val="center"/>
            <w:hideMark/>
          </w:tcPr>
          <w:p w14:paraId="6121B527"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65.00%</w:t>
            </w:r>
          </w:p>
        </w:tc>
        <w:tc>
          <w:tcPr>
            <w:tcW w:w="1073" w:type="dxa"/>
            <w:tcBorders>
              <w:top w:val="nil"/>
              <w:left w:val="nil"/>
              <w:bottom w:val="single" w:sz="8" w:space="0" w:color="auto"/>
              <w:right w:val="single" w:sz="8" w:space="0" w:color="auto"/>
            </w:tcBorders>
            <w:shd w:val="clear" w:color="auto" w:fill="auto"/>
            <w:noWrap/>
            <w:vAlign w:val="center"/>
            <w:hideMark/>
          </w:tcPr>
          <w:p w14:paraId="652F9685" w14:textId="4407E85E"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29,558</w:t>
            </w:r>
          </w:p>
        </w:tc>
        <w:tc>
          <w:tcPr>
            <w:tcW w:w="772" w:type="dxa"/>
            <w:tcBorders>
              <w:top w:val="nil"/>
              <w:left w:val="nil"/>
              <w:bottom w:val="single" w:sz="8" w:space="0" w:color="auto"/>
              <w:right w:val="single" w:sz="8" w:space="0" w:color="auto"/>
            </w:tcBorders>
            <w:shd w:val="clear" w:color="auto" w:fill="auto"/>
            <w:noWrap/>
            <w:vAlign w:val="center"/>
            <w:hideMark/>
          </w:tcPr>
          <w:p w14:paraId="6DAE6818"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81.99%</w:t>
            </w:r>
          </w:p>
        </w:tc>
        <w:tc>
          <w:tcPr>
            <w:tcW w:w="1232" w:type="dxa"/>
            <w:tcBorders>
              <w:top w:val="nil"/>
              <w:left w:val="nil"/>
              <w:bottom w:val="single" w:sz="8" w:space="0" w:color="auto"/>
              <w:right w:val="single" w:sz="8" w:space="0" w:color="auto"/>
            </w:tcBorders>
            <w:shd w:val="clear" w:color="auto" w:fill="auto"/>
            <w:noWrap/>
            <w:vAlign w:val="center"/>
            <w:hideMark/>
          </w:tcPr>
          <w:p w14:paraId="56DC639E" w14:textId="490A3814"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125,597</w:t>
            </w:r>
          </w:p>
        </w:tc>
        <w:tc>
          <w:tcPr>
            <w:tcW w:w="677" w:type="dxa"/>
            <w:tcBorders>
              <w:top w:val="nil"/>
              <w:left w:val="nil"/>
              <w:bottom w:val="single" w:sz="8" w:space="0" w:color="auto"/>
              <w:right w:val="single" w:sz="8" w:space="0" w:color="auto"/>
            </w:tcBorders>
            <w:shd w:val="clear" w:color="auto" w:fill="auto"/>
            <w:noWrap/>
            <w:vAlign w:val="center"/>
            <w:hideMark/>
          </w:tcPr>
          <w:p w14:paraId="5FE68AD3"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74.6%</w:t>
            </w:r>
          </w:p>
        </w:tc>
        <w:tc>
          <w:tcPr>
            <w:tcW w:w="1073" w:type="dxa"/>
            <w:tcBorders>
              <w:top w:val="nil"/>
              <w:left w:val="nil"/>
              <w:bottom w:val="single" w:sz="8" w:space="0" w:color="auto"/>
              <w:right w:val="single" w:sz="8" w:space="0" w:color="auto"/>
            </w:tcBorders>
            <w:shd w:val="clear" w:color="auto" w:fill="auto"/>
            <w:noWrap/>
            <w:vAlign w:val="center"/>
            <w:hideMark/>
          </w:tcPr>
          <w:p w14:paraId="2A68A61B" w14:textId="7552B6E5"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37,680</w:t>
            </w:r>
          </w:p>
        </w:tc>
        <w:tc>
          <w:tcPr>
            <w:tcW w:w="772" w:type="dxa"/>
            <w:tcBorders>
              <w:top w:val="nil"/>
              <w:left w:val="nil"/>
              <w:bottom w:val="single" w:sz="8" w:space="0" w:color="auto"/>
              <w:right w:val="single" w:sz="8" w:space="0" w:color="auto"/>
            </w:tcBorders>
            <w:shd w:val="clear" w:color="auto" w:fill="auto"/>
            <w:noWrap/>
            <w:vAlign w:val="center"/>
            <w:hideMark/>
          </w:tcPr>
          <w:p w14:paraId="0BB93167"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73.28%</w:t>
            </w:r>
          </w:p>
        </w:tc>
        <w:tc>
          <w:tcPr>
            <w:tcW w:w="1342" w:type="dxa"/>
            <w:tcBorders>
              <w:top w:val="nil"/>
              <w:left w:val="nil"/>
              <w:bottom w:val="single" w:sz="8" w:space="0" w:color="auto"/>
              <w:right w:val="single" w:sz="8" w:space="0" w:color="auto"/>
            </w:tcBorders>
            <w:shd w:val="clear" w:color="auto" w:fill="auto"/>
            <w:noWrap/>
            <w:vAlign w:val="center"/>
            <w:hideMark/>
          </w:tcPr>
          <w:p w14:paraId="5AA8FCDB" w14:textId="759C35BC"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868,213</w:t>
            </w:r>
          </w:p>
        </w:tc>
        <w:tc>
          <w:tcPr>
            <w:tcW w:w="772" w:type="dxa"/>
            <w:tcBorders>
              <w:top w:val="nil"/>
              <w:left w:val="nil"/>
              <w:bottom w:val="single" w:sz="8" w:space="0" w:color="auto"/>
              <w:right w:val="single" w:sz="8" w:space="0" w:color="auto"/>
            </w:tcBorders>
            <w:shd w:val="clear" w:color="auto" w:fill="auto"/>
            <w:noWrap/>
            <w:vAlign w:val="center"/>
            <w:hideMark/>
          </w:tcPr>
          <w:p w14:paraId="1FF93F7E"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78.43%</w:t>
            </w:r>
          </w:p>
        </w:tc>
      </w:tr>
      <w:tr w:rsidR="008913DE" w:rsidRPr="008913DE" w14:paraId="19DBA5D7" w14:textId="77777777" w:rsidTr="008913DE">
        <w:trPr>
          <w:trHeight w:val="18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7360627"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Denied</w:t>
            </w:r>
          </w:p>
        </w:tc>
        <w:tc>
          <w:tcPr>
            <w:tcW w:w="1162" w:type="dxa"/>
            <w:tcBorders>
              <w:top w:val="nil"/>
              <w:left w:val="nil"/>
              <w:bottom w:val="single" w:sz="8" w:space="0" w:color="auto"/>
              <w:right w:val="single" w:sz="8" w:space="0" w:color="auto"/>
            </w:tcBorders>
            <w:shd w:val="clear" w:color="auto" w:fill="auto"/>
            <w:noWrap/>
            <w:vAlign w:val="center"/>
            <w:hideMark/>
          </w:tcPr>
          <w:p w14:paraId="7E96D67D" w14:textId="493E9D69"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140,556</w:t>
            </w:r>
          </w:p>
        </w:tc>
        <w:tc>
          <w:tcPr>
            <w:tcW w:w="772" w:type="dxa"/>
            <w:tcBorders>
              <w:top w:val="nil"/>
              <w:left w:val="nil"/>
              <w:bottom w:val="single" w:sz="8" w:space="0" w:color="auto"/>
              <w:right w:val="single" w:sz="8" w:space="0" w:color="auto"/>
            </w:tcBorders>
            <w:shd w:val="clear" w:color="auto" w:fill="auto"/>
            <w:noWrap/>
            <w:vAlign w:val="center"/>
            <w:hideMark/>
          </w:tcPr>
          <w:p w14:paraId="7BAF6ED2"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18.43%</w:t>
            </w:r>
          </w:p>
        </w:tc>
        <w:tc>
          <w:tcPr>
            <w:tcW w:w="1161" w:type="dxa"/>
            <w:tcBorders>
              <w:top w:val="nil"/>
              <w:left w:val="nil"/>
              <w:bottom w:val="single" w:sz="8" w:space="0" w:color="auto"/>
              <w:right w:val="single" w:sz="8" w:space="0" w:color="auto"/>
            </w:tcBorders>
            <w:shd w:val="clear" w:color="auto" w:fill="auto"/>
            <w:noWrap/>
            <w:vAlign w:val="center"/>
            <w:hideMark/>
          </w:tcPr>
          <w:p w14:paraId="143B6068" w14:textId="14853B89"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48,888</w:t>
            </w:r>
          </w:p>
        </w:tc>
        <w:tc>
          <w:tcPr>
            <w:tcW w:w="772" w:type="dxa"/>
            <w:tcBorders>
              <w:top w:val="nil"/>
              <w:left w:val="nil"/>
              <w:bottom w:val="single" w:sz="8" w:space="0" w:color="auto"/>
              <w:right w:val="single" w:sz="8" w:space="0" w:color="auto"/>
            </w:tcBorders>
            <w:shd w:val="clear" w:color="auto" w:fill="auto"/>
            <w:noWrap/>
            <w:vAlign w:val="center"/>
            <w:hideMark/>
          </w:tcPr>
          <w:p w14:paraId="44EE41D5"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35.00%</w:t>
            </w:r>
          </w:p>
        </w:tc>
        <w:tc>
          <w:tcPr>
            <w:tcW w:w="1073" w:type="dxa"/>
            <w:tcBorders>
              <w:top w:val="nil"/>
              <w:left w:val="nil"/>
              <w:bottom w:val="single" w:sz="8" w:space="0" w:color="auto"/>
              <w:right w:val="single" w:sz="8" w:space="0" w:color="auto"/>
            </w:tcBorders>
            <w:shd w:val="clear" w:color="auto" w:fill="auto"/>
            <w:noWrap/>
            <w:vAlign w:val="center"/>
            <w:hideMark/>
          </w:tcPr>
          <w:p w14:paraId="0360703C" w14:textId="66EF0F33"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6,493</w:t>
            </w:r>
          </w:p>
        </w:tc>
        <w:tc>
          <w:tcPr>
            <w:tcW w:w="772" w:type="dxa"/>
            <w:tcBorders>
              <w:top w:val="nil"/>
              <w:left w:val="nil"/>
              <w:bottom w:val="single" w:sz="8" w:space="0" w:color="auto"/>
              <w:right w:val="single" w:sz="8" w:space="0" w:color="auto"/>
            </w:tcBorders>
            <w:shd w:val="clear" w:color="auto" w:fill="auto"/>
            <w:noWrap/>
            <w:vAlign w:val="center"/>
            <w:hideMark/>
          </w:tcPr>
          <w:p w14:paraId="25BE57D5"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18.01%</w:t>
            </w:r>
          </w:p>
        </w:tc>
        <w:tc>
          <w:tcPr>
            <w:tcW w:w="1232" w:type="dxa"/>
            <w:tcBorders>
              <w:top w:val="nil"/>
              <w:left w:val="nil"/>
              <w:bottom w:val="single" w:sz="8" w:space="0" w:color="auto"/>
              <w:right w:val="single" w:sz="8" w:space="0" w:color="auto"/>
            </w:tcBorders>
            <w:shd w:val="clear" w:color="auto" w:fill="auto"/>
            <w:noWrap/>
            <w:vAlign w:val="center"/>
            <w:hideMark/>
          </w:tcPr>
          <w:p w14:paraId="123C5C66" w14:textId="023C38D1"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42,797</w:t>
            </w:r>
          </w:p>
        </w:tc>
        <w:tc>
          <w:tcPr>
            <w:tcW w:w="677" w:type="dxa"/>
            <w:tcBorders>
              <w:top w:val="nil"/>
              <w:left w:val="nil"/>
              <w:bottom w:val="single" w:sz="8" w:space="0" w:color="auto"/>
              <w:right w:val="single" w:sz="8" w:space="0" w:color="auto"/>
            </w:tcBorders>
            <w:shd w:val="clear" w:color="auto" w:fill="auto"/>
            <w:noWrap/>
            <w:vAlign w:val="center"/>
            <w:hideMark/>
          </w:tcPr>
          <w:p w14:paraId="30B17C9D"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25.4%</w:t>
            </w:r>
          </w:p>
        </w:tc>
        <w:tc>
          <w:tcPr>
            <w:tcW w:w="1073" w:type="dxa"/>
            <w:tcBorders>
              <w:top w:val="nil"/>
              <w:left w:val="nil"/>
              <w:bottom w:val="single" w:sz="8" w:space="0" w:color="auto"/>
              <w:right w:val="single" w:sz="8" w:space="0" w:color="auto"/>
            </w:tcBorders>
            <w:shd w:val="clear" w:color="auto" w:fill="auto"/>
            <w:noWrap/>
            <w:vAlign w:val="center"/>
            <w:hideMark/>
          </w:tcPr>
          <w:p w14:paraId="2406586C" w14:textId="02528044"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13,740</w:t>
            </w:r>
          </w:p>
        </w:tc>
        <w:tc>
          <w:tcPr>
            <w:tcW w:w="772" w:type="dxa"/>
            <w:tcBorders>
              <w:top w:val="nil"/>
              <w:left w:val="nil"/>
              <w:bottom w:val="single" w:sz="8" w:space="0" w:color="auto"/>
              <w:right w:val="single" w:sz="8" w:space="0" w:color="auto"/>
            </w:tcBorders>
            <w:shd w:val="clear" w:color="auto" w:fill="auto"/>
            <w:noWrap/>
            <w:vAlign w:val="center"/>
            <w:hideMark/>
          </w:tcPr>
          <w:p w14:paraId="227AE25B"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26.72%</w:t>
            </w:r>
          </w:p>
        </w:tc>
        <w:tc>
          <w:tcPr>
            <w:tcW w:w="1342" w:type="dxa"/>
            <w:tcBorders>
              <w:top w:val="nil"/>
              <w:left w:val="nil"/>
              <w:bottom w:val="single" w:sz="8" w:space="0" w:color="auto"/>
              <w:right w:val="single" w:sz="8" w:space="0" w:color="auto"/>
            </w:tcBorders>
            <w:shd w:val="clear" w:color="auto" w:fill="auto"/>
            <w:noWrap/>
            <w:vAlign w:val="center"/>
            <w:hideMark/>
          </w:tcPr>
          <w:p w14:paraId="5F4A7C99" w14:textId="15F2CE53"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238,734</w:t>
            </w:r>
          </w:p>
        </w:tc>
        <w:tc>
          <w:tcPr>
            <w:tcW w:w="772" w:type="dxa"/>
            <w:tcBorders>
              <w:top w:val="nil"/>
              <w:left w:val="nil"/>
              <w:bottom w:val="single" w:sz="8" w:space="0" w:color="auto"/>
              <w:right w:val="single" w:sz="8" w:space="0" w:color="auto"/>
            </w:tcBorders>
            <w:shd w:val="clear" w:color="auto" w:fill="auto"/>
            <w:noWrap/>
            <w:vAlign w:val="center"/>
            <w:hideMark/>
          </w:tcPr>
          <w:p w14:paraId="479AD49F"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21.57%</w:t>
            </w:r>
          </w:p>
        </w:tc>
      </w:tr>
      <w:tr w:rsidR="008913DE" w:rsidRPr="008913DE" w14:paraId="36850B8A" w14:textId="77777777" w:rsidTr="008913DE">
        <w:trPr>
          <w:trHeight w:val="184"/>
        </w:trPr>
        <w:tc>
          <w:tcPr>
            <w:tcW w:w="960" w:type="dxa"/>
            <w:tcBorders>
              <w:top w:val="nil"/>
              <w:left w:val="single" w:sz="8" w:space="0" w:color="auto"/>
              <w:bottom w:val="single" w:sz="8" w:space="0" w:color="auto"/>
              <w:right w:val="single" w:sz="8" w:space="0" w:color="auto"/>
            </w:tcBorders>
            <w:shd w:val="clear" w:color="000000" w:fill="D9E1F2"/>
            <w:noWrap/>
            <w:vAlign w:val="center"/>
            <w:hideMark/>
          </w:tcPr>
          <w:p w14:paraId="1A75E6ED" w14:textId="77777777" w:rsidR="008913DE" w:rsidRPr="008913DE" w:rsidRDefault="008913DE" w:rsidP="008913DE">
            <w:pPr>
              <w:jc w:val="center"/>
              <w:rPr>
                <w:rFonts w:ascii="Calibri" w:hAnsi="Calibri" w:cs="Calibri"/>
                <w:color w:val="000000"/>
                <w:sz w:val="20"/>
                <w:szCs w:val="20"/>
              </w:rPr>
            </w:pPr>
            <w:r w:rsidRPr="008913DE">
              <w:rPr>
                <w:rFonts w:ascii="Calibri" w:hAnsi="Calibri" w:cs="Calibri"/>
                <w:color w:val="000000"/>
                <w:sz w:val="20"/>
                <w:szCs w:val="20"/>
              </w:rPr>
              <w:t>Total</w:t>
            </w:r>
          </w:p>
        </w:tc>
        <w:tc>
          <w:tcPr>
            <w:tcW w:w="1162" w:type="dxa"/>
            <w:tcBorders>
              <w:top w:val="nil"/>
              <w:left w:val="nil"/>
              <w:bottom w:val="single" w:sz="8" w:space="0" w:color="auto"/>
              <w:right w:val="single" w:sz="8" w:space="0" w:color="auto"/>
            </w:tcBorders>
            <w:shd w:val="clear" w:color="000000" w:fill="D9E1F2"/>
            <w:noWrap/>
            <w:vAlign w:val="center"/>
            <w:hideMark/>
          </w:tcPr>
          <w:p w14:paraId="3828BFF4" w14:textId="5FCA94CB"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762,803</w:t>
            </w:r>
          </w:p>
        </w:tc>
        <w:tc>
          <w:tcPr>
            <w:tcW w:w="772" w:type="dxa"/>
            <w:tcBorders>
              <w:top w:val="nil"/>
              <w:left w:val="nil"/>
              <w:bottom w:val="single" w:sz="8" w:space="0" w:color="auto"/>
              <w:right w:val="single" w:sz="8" w:space="0" w:color="auto"/>
            </w:tcBorders>
            <w:shd w:val="clear" w:color="000000" w:fill="D9E1F2"/>
            <w:noWrap/>
            <w:vAlign w:val="center"/>
            <w:hideMark/>
          </w:tcPr>
          <w:p w14:paraId="0E58D3C7"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161" w:type="dxa"/>
            <w:tcBorders>
              <w:top w:val="nil"/>
              <w:left w:val="nil"/>
              <w:bottom w:val="single" w:sz="8" w:space="0" w:color="auto"/>
              <w:right w:val="single" w:sz="8" w:space="0" w:color="auto"/>
            </w:tcBorders>
            <w:shd w:val="clear" w:color="000000" w:fill="D9E1F2"/>
            <w:noWrap/>
            <w:vAlign w:val="center"/>
            <w:hideMark/>
          </w:tcPr>
          <w:p w14:paraId="00C12E7F" w14:textId="1BA4608A"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139,699</w:t>
            </w:r>
          </w:p>
        </w:tc>
        <w:tc>
          <w:tcPr>
            <w:tcW w:w="772" w:type="dxa"/>
            <w:tcBorders>
              <w:top w:val="nil"/>
              <w:left w:val="nil"/>
              <w:bottom w:val="single" w:sz="8" w:space="0" w:color="auto"/>
              <w:right w:val="single" w:sz="8" w:space="0" w:color="auto"/>
            </w:tcBorders>
            <w:shd w:val="clear" w:color="000000" w:fill="D9E1F2"/>
            <w:noWrap/>
            <w:vAlign w:val="center"/>
            <w:hideMark/>
          </w:tcPr>
          <w:p w14:paraId="0E21704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073" w:type="dxa"/>
            <w:tcBorders>
              <w:top w:val="nil"/>
              <w:left w:val="nil"/>
              <w:bottom w:val="single" w:sz="8" w:space="0" w:color="auto"/>
              <w:right w:val="single" w:sz="8" w:space="0" w:color="auto"/>
            </w:tcBorders>
            <w:shd w:val="clear" w:color="000000" w:fill="D9E1F2"/>
            <w:noWrap/>
            <w:vAlign w:val="center"/>
            <w:hideMark/>
          </w:tcPr>
          <w:p w14:paraId="33DCA809" w14:textId="1D0F2784"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36,051</w:t>
            </w:r>
          </w:p>
        </w:tc>
        <w:tc>
          <w:tcPr>
            <w:tcW w:w="772" w:type="dxa"/>
            <w:tcBorders>
              <w:top w:val="nil"/>
              <w:left w:val="nil"/>
              <w:bottom w:val="single" w:sz="8" w:space="0" w:color="auto"/>
              <w:right w:val="single" w:sz="8" w:space="0" w:color="auto"/>
            </w:tcBorders>
            <w:shd w:val="clear" w:color="000000" w:fill="D9E1F2"/>
            <w:noWrap/>
            <w:vAlign w:val="center"/>
            <w:hideMark/>
          </w:tcPr>
          <w:p w14:paraId="3327439D"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232" w:type="dxa"/>
            <w:tcBorders>
              <w:top w:val="nil"/>
              <w:left w:val="nil"/>
              <w:bottom w:val="single" w:sz="8" w:space="0" w:color="auto"/>
              <w:right w:val="single" w:sz="8" w:space="0" w:color="auto"/>
            </w:tcBorders>
            <w:shd w:val="clear" w:color="000000" w:fill="D9E1F2"/>
            <w:noWrap/>
            <w:vAlign w:val="center"/>
            <w:hideMark/>
          </w:tcPr>
          <w:p w14:paraId="0459B42B" w14:textId="614CE219"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168,394</w:t>
            </w:r>
          </w:p>
        </w:tc>
        <w:tc>
          <w:tcPr>
            <w:tcW w:w="677" w:type="dxa"/>
            <w:tcBorders>
              <w:top w:val="nil"/>
              <w:left w:val="nil"/>
              <w:bottom w:val="single" w:sz="8" w:space="0" w:color="auto"/>
              <w:right w:val="single" w:sz="8" w:space="0" w:color="auto"/>
            </w:tcBorders>
            <w:shd w:val="clear" w:color="000000" w:fill="D9E1F2"/>
            <w:noWrap/>
            <w:vAlign w:val="center"/>
            <w:hideMark/>
          </w:tcPr>
          <w:p w14:paraId="0061947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073" w:type="dxa"/>
            <w:tcBorders>
              <w:top w:val="nil"/>
              <w:left w:val="nil"/>
              <w:bottom w:val="single" w:sz="8" w:space="0" w:color="auto"/>
              <w:right w:val="single" w:sz="8" w:space="0" w:color="auto"/>
            </w:tcBorders>
            <w:shd w:val="clear" w:color="000000" w:fill="D9E1F2"/>
            <w:noWrap/>
            <w:vAlign w:val="center"/>
            <w:hideMark/>
          </w:tcPr>
          <w:p w14:paraId="3A88D229" w14:textId="2F0FC19D"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51,420</w:t>
            </w:r>
          </w:p>
        </w:tc>
        <w:tc>
          <w:tcPr>
            <w:tcW w:w="772" w:type="dxa"/>
            <w:tcBorders>
              <w:top w:val="nil"/>
              <w:left w:val="nil"/>
              <w:bottom w:val="single" w:sz="8" w:space="0" w:color="auto"/>
              <w:right w:val="single" w:sz="8" w:space="0" w:color="auto"/>
            </w:tcBorders>
            <w:shd w:val="clear" w:color="000000" w:fill="D9E1F2"/>
            <w:noWrap/>
            <w:vAlign w:val="center"/>
            <w:hideMark/>
          </w:tcPr>
          <w:p w14:paraId="2DF350F1"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342" w:type="dxa"/>
            <w:tcBorders>
              <w:top w:val="nil"/>
              <w:left w:val="nil"/>
              <w:bottom w:val="single" w:sz="8" w:space="0" w:color="auto"/>
              <w:right w:val="single" w:sz="8" w:space="0" w:color="auto"/>
            </w:tcBorders>
            <w:shd w:val="clear" w:color="000000" w:fill="D9E1F2"/>
            <w:noWrap/>
            <w:vAlign w:val="center"/>
            <w:hideMark/>
          </w:tcPr>
          <w:p w14:paraId="6A74F627" w14:textId="6D08BF84"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1,106,947</w:t>
            </w:r>
          </w:p>
        </w:tc>
        <w:tc>
          <w:tcPr>
            <w:tcW w:w="772" w:type="dxa"/>
            <w:tcBorders>
              <w:top w:val="nil"/>
              <w:left w:val="nil"/>
              <w:bottom w:val="single" w:sz="8" w:space="0" w:color="auto"/>
              <w:right w:val="single" w:sz="8" w:space="0" w:color="auto"/>
            </w:tcBorders>
            <w:shd w:val="clear" w:color="000000" w:fill="D9E1F2"/>
            <w:noWrap/>
            <w:vAlign w:val="center"/>
            <w:hideMark/>
          </w:tcPr>
          <w:p w14:paraId="241436BF"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r>
    </w:tbl>
    <w:p w14:paraId="53FC63D6" w14:textId="43E7E5E4" w:rsidR="008913DE" w:rsidRPr="008913DE" w:rsidRDefault="008913DE" w:rsidP="008913DE">
      <w:pPr>
        <w:rPr>
          <w:rFonts w:eastAsiaTheme="minorEastAsia"/>
          <w:sz w:val="16"/>
          <w:szCs w:val="16"/>
        </w:rPr>
      </w:pPr>
      <w:r w:rsidRPr="008913DE">
        <w:rPr>
          <w:rFonts w:eastAsiaTheme="minorEastAsia"/>
          <w:sz w:val="16"/>
          <w:szCs w:val="16"/>
        </w:rPr>
        <w:t>Source: FFIEC HMDA</w:t>
      </w:r>
    </w:p>
    <w:p w14:paraId="551F1C7E" w14:textId="77777777" w:rsidR="008913DE" w:rsidRDefault="008913DE" w:rsidP="00DE644C">
      <w:bookmarkStart w:id="106" w:name="_Toc47640000"/>
    </w:p>
    <w:p w14:paraId="743D2051" w14:textId="5D57F23D" w:rsidR="008913DE" w:rsidRDefault="008913DE" w:rsidP="008913DE">
      <w:pPr>
        <w:pStyle w:val="Caption"/>
      </w:pPr>
      <w:r>
        <w:t xml:space="preserve">Table </w:t>
      </w:r>
      <w:fldSimple w:instr=" SEQ Table \* ARABIC ">
        <w:r w:rsidR="0055251A">
          <w:rPr>
            <w:noProof/>
          </w:rPr>
          <w:t>29</w:t>
        </w:r>
      </w:fldSimple>
      <w:r>
        <w:t xml:space="preserve"> </w:t>
      </w:r>
      <w:r w:rsidRPr="008913DE">
        <w:t xml:space="preserve">Rate of </w:t>
      </w:r>
      <w:proofErr w:type="gramStart"/>
      <w:r w:rsidRPr="008913DE">
        <w:t>high cost</w:t>
      </w:r>
      <w:proofErr w:type="gramEnd"/>
      <w:r w:rsidRPr="008913DE">
        <w:t xml:space="preserve"> loan originations by race/ethnicity, 2017-2019</w:t>
      </w:r>
    </w:p>
    <w:tbl>
      <w:tblPr>
        <w:tblW w:w="12842" w:type="dxa"/>
        <w:tblLook w:val="04A0" w:firstRow="1" w:lastRow="0" w:firstColumn="1" w:lastColumn="0" w:noHBand="0" w:noVBand="1"/>
      </w:tblPr>
      <w:tblGrid>
        <w:gridCol w:w="959"/>
        <w:gridCol w:w="1166"/>
        <w:gridCol w:w="815"/>
        <w:gridCol w:w="1164"/>
        <w:gridCol w:w="815"/>
        <w:gridCol w:w="1075"/>
        <w:gridCol w:w="815"/>
        <w:gridCol w:w="1164"/>
        <w:gridCol w:w="815"/>
        <w:gridCol w:w="1077"/>
        <w:gridCol w:w="815"/>
        <w:gridCol w:w="1347"/>
        <w:gridCol w:w="815"/>
      </w:tblGrid>
      <w:tr w:rsidR="008913DE" w:rsidRPr="008913DE" w14:paraId="447FAB15" w14:textId="77777777" w:rsidTr="002551CB">
        <w:trPr>
          <w:trHeight w:val="196"/>
        </w:trPr>
        <w:tc>
          <w:tcPr>
            <w:tcW w:w="959" w:type="dxa"/>
            <w:tcBorders>
              <w:top w:val="single" w:sz="8" w:space="0" w:color="auto"/>
              <w:left w:val="single" w:sz="8" w:space="0" w:color="auto"/>
              <w:bottom w:val="single" w:sz="8" w:space="0" w:color="auto"/>
              <w:right w:val="single" w:sz="8" w:space="0" w:color="auto"/>
            </w:tcBorders>
            <w:shd w:val="clear" w:color="auto" w:fill="4472C4"/>
            <w:noWrap/>
            <w:vAlign w:val="bottom"/>
            <w:hideMark/>
          </w:tcPr>
          <w:p w14:paraId="384A851E" w14:textId="77777777" w:rsidR="008913DE" w:rsidRPr="008913DE" w:rsidRDefault="008913DE" w:rsidP="008913DE">
            <w:pPr>
              <w:rPr>
                <w:rFonts w:ascii="Segoe UI" w:hAnsi="Segoe UI" w:cs="Segoe UI"/>
                <w:color w:val="000000"/>
                <w:sz w:val="22"/>
                <w:szCs w:val="22"/>
              </w:rPr>
            </w:pPr>
            <w:r w:rsidRPr="008913DE">
              <w:rPr>
                <w:rFonts w:ascii="Segoe UI" w:hAnsi="Segoe UI" w:cs="Segoe UI"/>
                <w:color w:val="000000"/>
                <w:sz w:val="22"/>
                <w:szCs w:val="22"/>
              </w:rPr>
              <w:t> </w:t>
            </w:r>
          </w:p>
        </w:tc>
        <w:tc>
          <w:tcPr>
            <w:tcW w:w="1981"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1DE1A249"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White</w:t>
            </w:r>
          </w:p>
        </w:tc>
        <w:tc>
          <w:tcPr>
            <w:tcW w:w="1979"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741B8629"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Black</w:t>
            </w:r>
          </w:p>
        </w:tc>
        <w:tc>
          <w:tcPr>
            <w:tcW w:w="1890"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5EF6C336"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Asian</w:t>
            </w:r>
          </w:p>
        </w:tc>
        <w:tc>
          <w:tcPr>
            <w:tcW w:w="1979"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3BABD33F"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Other</w:t>
            </w:r>
          </w:p>
        </w:tc>
        <w:tc>
          <w:tcPr>
            <w:tcW w:w="1892"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49D3EF8D"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Hispanic</w:t>
            </w:r>
          </w:p>
        </w:tc>
        <w:tc>
          <w:tcPr>
            <w:tcW w:w="2162"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6299E1FE" w14:textId="77777777" w:rsidR="008913DE" w:rsidRPr="008913DE" w:rsidRDefault="008913DE" w:rsidP="008913DE">
            <w:pPr>
              <w:jc w:val="center"/>
              <w:rPr>
                <w:rFonts w:ascii="Calibri" w:hAnsi="Calibri" w:cs="Calibri"/>
                <w:b/>
                <w:bCs/>
                <w:color w:val="FFFFFF"/>
                <w:sz w:val="20"/>
                <w:szCs w:val="20"/>
              </w:rPr>
            </w:pPr>
            <w:r w:rsidRPr="008913DE">
              <w:rPr>
                <w:rFonts w:ascii="Calibri" w:hAnsi="Calibri" w:cs="Calibri"/>
                <w:b/>
                <w:bCs/>
                <w:color w:val="FFFFFF"/>
                <w:sz w:val="20"/>
                <w:szCs w:val="20"/>
              </w:rPr>
              <w:t>Total</w:t>
            </w:r>
          </w:p>
        </w:tc>
      </w:tr>
      <w:tr w:rsidR="00DE644C" w:rsidRPr="008913DE" w14:paraId="21A4C587" w14:textId="77777777" w:rsidTr="008913DE">
        <w:trPr>
          <w:trHeight w:val="196"/>
        </w:trPr>
        <w:tc>
          <w:tcPr>
            <w:tcW w:w="959" w:type="dxa"/>
            <w:tcBorders>
              <w:top w:val="nil"/>
              <w:left w:val="single" w:sz="8" w:space="0" w:color="auto"/>
              <w:bottom w:val="single" w:sz="8" w:space="0" w:color="auto"/>
              <w:right w:val="single" w:sz="8" w:space="0" w:color="auto"/>
            </w:tcBorders>
            <w:shd w:val="clear" w:color="000000" w:fill="A8D9E4"/>
            <w:noWrap/>
            <w:vAlign w:val="bottom"/>
            <w:hideMark/>
          </w:tcPr>
          <w:p w14:paraId="70D32E5A" w14:textId="319CBB73" w:rsidR="008913DE" w:rsidRPr="008913DE" w:rsidRDefault="008913DE" w:rsidP="008913DE">
            <w:pPr>
              <w:jc w:val="right"/>
              <w:rPr>
                <w:rFonts w:ascii="Segoe UI" w:hAnsi="Segoe UI" w:cs="Segoe UI"/>
                <w:color w:val="000000"/>
                <w:sz w:val="22"/>
                <w:szCs w:val="22"/>
              </w:rPr>
            </w:pPr>
          </w:p>
        </w:tc>
        <w:tc>
          <w:tcPr>
            <w:tcW w:w="1166" w:type="dxa"/>
            <w:tcBorders>
              <w:top w:val="nil"/>
              <w:left w:val="nil"/>
              <w:bottom w:val="single" w:sz="8" w:space="0" w:color="auto"/>
              <w:right w:val="single" w:sz="8" w:space="0" w:color="auto"/>
            </w:tcBorders>
            <w:shd w:val="clear" w:color="000000" w:fill="A8D9E4"/>
            <w:noWrap/>
            <w:vAlign w:val="center"/>
            <w:hideMark/>
          </w:tcPr>
          <w:p w14:paraId="70A617D9"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2EEDC210"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164" w:type="dxa"/>
            <w:tcBorders>
              <w:top w:val="nil"/>
              <w:left w:val="nil"/>
              <w:bottom w:val="single" w:sz="8" w:space="0" w:color="auto"/>
              <w:right w:val="single" w:sz="8" w:space="0" w:color="auto"/>
            </w:tcBorders>
            <w:shd w:val="clear" w:color="000000" w:fill="A8D9E4"/>
            <w:noWrap/>
            <w:vAlign w:val="center"/>
            <w:hideMark/>
          </w:tcPr>
          <w:p w14:paraId="723ABEBE"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52B4848B"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075" w:type="dxa"/>
            <w:tcBorders>
              <w:top w:val="nil"/>
              <w:left w:val="nil"/>
              <w:bottom w:val="single" w:sz="8" w:space="0" w:color="auto"/>
              <w:right w:val="single" w:sz="8" w:space="0" w:color="auto"/>
            </w:tcBorders>
            <w:shd w:val="clear" w:color="000000" w:fill="A8D9E4"/>
            <w:noWrap/>
            <w:vAlign w:val="center"/>
            <w:hideMark/>
          </w:tcPr>
          <w:p w14:paraId="724DBCB5"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2B4D6165"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164" w:type="dxa"/>
            <w:tcBorders>
              <w:top w:val="nil"/>
              <w:left w:val="nil"/>
              <w:bottom w:val="single" w:sz="8" w:space="0" w:color="auto"/>
              <w:right w:val="single" w:sz="8" w:space="0" w:color="auto"/>
            </w:tcBorders>
            <w:shd w:val="clear" w:color="000000" w:fill="A8D9E4"/>
            <w:noWrap/>
            <w:vAlign w:val="center"/>
            <w:hideMark/>
          </w:tcPr>
          <w:p w14:paraId="529E1A0F"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165A9E66"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077" w:type="dxa"/>
            <w:tcBorders>
              <w:top w:val="nil"/>
              <w:left w:val="nil"/>
              <w:bottom w:val="single" w:sz="8" w:space="0" w:color="auto"/>
              <w:right w:val="single" w:sz="8" w:space="0" w:color="auto"/>
            </w:tcBorders>
            <w:shd w:val="clear" w:color="000000" w:fill="A8D9E4"/>
            <w:noWrap/>
            <w:vAlign w:val="center"/>
            <w:hideMark/>
          </w:tcPr>
          <w:p w14:paraId="2D7B669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721B0617"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347" w:type="dxa"/>
            <w:tcBorders>
              <w:top w:val="nil"/>
              <w:left w:val="nil"/>
              <w:bottom w:val="single" w:sz="8" w:space="0" w:color="auto"/>
              <w:right w:val="single" w:sz="8" w:space="0" w:color="auto"/>
            </w:tcBorders>
            <w:shd w:val="clear" w:color="000000" w:fill="A8D9E4"/>
            <w:noWrap/>
            <w:vAlign w:val="center"/>
            <w:hideMark/>
          </w:tcPr>
          <w:p w14:paraId="11C5A7C1"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66C15347"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r>
      <w:tr w:rsidR="008913DE" w:rsidRPr="008913DE" w14:paraId="6AD8C630" w14:textId="77777777" w:rsidTr="008913DE">
        <w:trPr>
          <w:trHeight w:val="179"/>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493A93C0" w14:textId="77777777" w:rsidR="008913DE" w:rsidRPr="008913DE" w:rsidRDefault="008913DE" w:rsidP="008913DE">
            <w:pPr>
              <w:rPr>
                <w:rFonts w:ascii="Calibri" w:hAnsi="Calibri" w:cs="Calibri"/>
                <w:color w:val="000000"/>
                <w:sz w:val="20"/>
                <w:szCs w:val="20"/>
              </w:rPr>
            </w:pPr>
            <w:r w:rsidRPr="008913DE">
              <w:rPr>
                <w:rFonts w:ascii="Calibri" w:hAnsi="Calibri" w:cs="Calibri"/>
                <w:color w:val="000000"/>
                <w:sz w:val="20"/>
                <w:szCs w:val="20"/>
              </w:rPr>
              <w:t>Not high cost</w:t>
            </w:r>
          </w:p>
        </w:tc>
        <w:tc>
          <w:tcPr>
            <w:tcW w:w="1166" w:type="dxa"/>
            <w:tcBorders>
              <w:top w:val="nil"/>
              <w:left w:val="nil"/>
              <w:bottom w:val="single" w:sz="8" w:space="0" w:color="auto"/>
              <w:right w:val="single" w:sz="8" w:space="0" w:color="auto"/>
            </w:tcBorders>
            <w:shd w:val="clear" w:color="auto" w:fill="auto"/>
            <w:noWrap/>
            <w:vAlign w:val="center"/>
            <w:hideMark/>
          </w:tcPr>
          <w:p w14:paraId="67430011" w14:textId="1A737CE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762,649</w:t>
            </w:r>
          </w:p>
        </w:tc>
        <w:tc>
          <w:tcPr>
            <w:tcW w:w="815" w:type="dxa"/>
            <w:tcBorders>
              <w:top w:val="nil"/>
              <w:left w:val="nil"/>
              <w:bottom w:val="single" w:sz="8" w:space="0" w:color="auto"/>
              <w:right w:val="single" w:sz="8" w:space="0" w:color="auto"/>
            </w:tcBorders>
            <w:shd w:val="clear" w:color="auto" w:fill="auto"/>
            <w:noWrap/>
            <w:vAlign w:val="center"/>
            <w:hideMark/>
          </w:tcPr>
          <w:p w14:paraId="10668BC8"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99.98%</w:t>
            </w:r>
          </w:p>
        </w:tc>
        <w:tc>
          <w:tcPr>
            <w:tcW w:w="1164" w:type="dxa"/>
            <w:tcBorders>
              <w:top w:val="nil"/>
              <w:left w:val="nil"/>
              <w:bottom w:val="single" w:sz="8" w:space="0" w:color="auto"/>
              <w:right w:val="single" w:sz="8" w:space="0" w:color="auto"/>
            </w:tcBorders>
            <w:shd w:val="clear" w:color="auto" w:fill="auto"/>
            <w:noWrap/>
            <w:vAlign w:val="center"/>
            <w:hideMark/>
          </w:tcPr>
          <w:p w14:paraId="490D37F2" w14:textId="0D6AF34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139,671</w:t>
            </w:r>
          </w:p>
        </w:tc>
        <w:tc>
          <w:tcPr>
            <w:tcW w:w="815" w:type="dxa"/>
            <w:tcBorders>
              <w:top w:val="nil"/>
              <w:left w:val="nil"/>
              <w:bottom w:val="single" w:sz="8" w:space="0" w:color="auto"/>
              <w:right w:val="single" w:sz="8" w:space="0" w:color="auto"/>
            </w:tcBorders>
            <w:shd w:val="clear" w:color="auto" w:fill="auto"/>
            <w:noWrap/>
            <w:vAlign w:val="center"/>
            <w:hideMark/>
          </w:tcPr>
          <w:p w14:paraId="1B2812E9"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99.98%</w:t>
            </w:r>
          </w:p>
        </w:tc>
        <w:tc>
          <w:tcPr>
            <w:tcW w:w="1075" w:type="dxa"/>
            <w:tcBorders>
              <w:top w:val="nil"/>
              <w:left w:val="nil"/>
              <w:bottom w:val="single" w:sz="8" w:space="0" w:color="auto"/>
              <w:right w:val="single" w:sz="8" w:space="0" w:color="auto"/>
            </w:tcBorders>
            <w:shd w:val="clear" w:color="auto" w:fill="auto"/>
            <w:noWrap/>
            <w:vAlign w:val="center"/>
            <w:hideMark/>
          </w:tcPr>
          <w:p w14:paraId="6B6A3FDF" w14:textId="385C6664"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36,047</w:t>
            </w:r>
          </w:p>
        </w:tc>
        <w:tc>
          <w:tcPr>
            <w:tcW w:w="815" w:type="dxa"/>
            <w:tcBorders>
              <w:top w:val="nil"/>
              <w:left w:val="nil"/>
              <w:bottom w:val="single" w:sz="8" w:space="0" w:color="auto"/>
              <w:right w:val="single" w:sz="8" w:space="0" w:color="auto"/>
            </w:tcBorders>
            <w:shd w:val="clear" w:color="auto" w:fill="auto"/>
            <w:noWrap/>
            <w:vAlign w:val="center"/>
            <w:hideMark/>
          </w:tcPr>
          <w:p w14:paraId="662135EF"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99.99%</w:t>
            </w:r>
          </w:p>
        </w:tc>
        <w:tc>
          <w:tcPr>
            <w:tcW w:w="1164" w:type="dxa"/>
            <w:tcBorders>
              <w:top w:val="nil"/>
              <w:left w:val="nil"/>
              <w:bottom w:val="single" w:sz="8" w:space="0" w:color="auto"/>
              <w:right w:val="single" w:sz="8" w:space="0" w:color="auto"/>
            </w:tcBorders>
            <w:shd w:val="clear" w:color="auto" w:fill="auto"/>
            <w:noWrap/>
            <w:vAlign w:val="center"/>
            <w:hideMark/>
          </w:tcPr>
          <w:p w14:paraId="231F0FA2" w14:textId="24C5FA3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168,349</w:t>
            </w:r>
          </w:p>
        </w:tc>
        <w:tc>
          <w:tcPr>
            <w:tcW w:w="815" w:type="dxa"/>
            <w:tcBorders>
              <w:top w:val="nil"/>
              <w:left w:val="nil"/>
              <w:bottom w:val="single" w:sz="8" w:space="0" w:color="auto"/>
              <w:right w:val="single" w:sz="8" w:space="0" w:color="auto"/>
            </w:tcBorders>
            <w:shd w:val="clear" w:color="auto" w:fill="auto"/>
            <w:noWrap/>
            <w:vAlign w:val="center"/>
            <w:hideMark/>
          </w:tcPr>
          <w:p w14:paraId="79A76C5A"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99.97%</w:t>
            </w:r>
          </w:p>
        </w:tc>
        <w:tc>
          <w:tcPr>
            <w:tcW w:w="1077" w:type="dxa"/>
            <w:tcBorders>
              <w:top w:val="nil"/>
              <w:left w:val="nil"/>
              <w:bottom w:val="single" w:sz="8" w:space="0" w:color="auto"/>
              <w:right w:val="single" w:sz="8" w:space="0" w:color="auto"/>
            </w:tcBorders>
            <w:shd w:val="clear" w:color="auto" w:fill="auto"/>
            <w:noWrap/>
            <w:vAlign w:val="center"/>
            <w:hideMark/>
          </w:tcPr>
          <w:p w14:paraId="26F4A2DF" w14:textId="1C77B1B2"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51,406</w:t>
            </w:r>
          </w:p>
        </w:tc>
        <w:tc>
          <w:tcPr>
            <w:tcW w:w="815" w:type="dxa"/>
            <w:tcBorders>
              <w:top w:val="nil"/>
              <w:left w:val="nil"/>
              <w:bottom w:val="single" w:sz="8" w:space="0" w:color="auto"/>
              <w:right w:val="single" w:sz="8" w:space="0" w:color="auto"/>
            </w:tcBorders>
            <w:shd w:val="clear" w:color="auto" w:fill="auto"/>
            <w:noWrap/>
            <w:vAlign w:val="center"/>
            <w:hideMark/>
          </w:tcPr>
          <w:p w14:paraId="1219075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99.97%</w:t>
            </w:r>
          </w:p>
        </w:tc>
        <w:tc>
          <w:tcPr>
            <w:tcW w:w="1347" w:type="dxa"/>
            <w:tcBorders>
              <w:top w:val="nil"/>
              <w:left w:val="nil"/>
              <w:bottom w:val="single" w:sz="8" w:space="0" w:color="auto"/>
              <w:right w:val="single" w:sz="8" w:space="0" w:color="auto"/>
            </w:tcBorders>
            <w:shd w:val="clear" w:color="auto" w:fill="auto"/>
            <w:noWrap/>
            <w:vAlign w:val="center"/>
            <w:hideMark/>
          </w:tcPr>
          <w:p w14:paraId="653ACB79" w14:textId="19AE3414"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1,106,716</w:t>
            </w:r>
          </w:p>
        </w:tc>
        <w:tc>
          <w:tcPr>
            <w:tcW w:w="815" w:type="dxa"/>
            <w:tcBorders>
              <w:top w:val="nil"/>
              <w:left w:val="nil"/>
              <w:bottom w:val="single" w:sz="8" w:space="0" w:color="auto"/>
              <w:right w:val="single" w:sz="8" w:space="0" w:color="auto"/>
            </w:tcBorders>
            <w:shd w:val="clear" w:color="auto" w:fill="auto"/>
            <w:noWrap/>
            <w:vAlign w:val="center"/>
            <w:hideMark/>
          </w:tcPr>
          <w:p w14:paraId="1B9CD65F"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99.98%</w:t>
            </w:r>
          </w:p>
        </w:tc>
      </w:tr>
      <w:tr w:rsidR="008913DE" w:rsidRPr="008913DE" w14:paraId="1842A2AE" w14:textId="77777777" w:rsidTr="008913DE">
        <w:trPr>
          <w:trHeight w:val="179"/>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9380AD0" w14:textId="77777777" w:rsidR="008913DE" w:rsidRPr="008913DE" w:rsidRDefault="008913DE" w:rsidP="008913DE">
            <w:pPr>
              <w:rPr>
                <w:rFonts w:ascii="Calibri" w:hAnsi="Calibri" w:cs="Calibri"/>
                <w:color w:val="000000"/>
                <w:sz w:val="20"/>
                <w:szCs w:val="20"/>
              </w:rPr>
            </w:pPr>
            <w:r w:rsidRPr="008913DE">
              <w:rPr>
                <w:rFonts w:ascii="Calibri" w:hAnsi="Calibri" w:cs="Calibri"/>
                <w:color w:val="000000"/>
                <w:sz w:val="20"/>
                <w:szCs w:val="20"/>
              </w:rPr>
              <w:t>High cost</w:t>
            </w:r>
          </w:p>
        </w:tc>
        <w:tc>
          <w:tcPr>
            <w:tcW w:w="1166" w:type="dxa"/>
            <w:tcBorders>
              <w:top w:val="nil"/>
              <w:left w:val="nil"/>
              <w:bottom w:val="single" w:sz="8" w:space="0" w:color="auto"/>
              <w:right w:val="single" w:sz="8" w:space="0" w:color="auto"/>
            </w:tcBorders>
            <w:shd w:val="clear" w:color="auto" w:fill="auto"/>
            <w:noWrap/>
            <w:vAlign w:val="center"/>
            <w:hideMark/>
          </w:tcPr>
          <w:p w14:paraId="16038C48" w14:textId="5673C8B2"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154</w:t>
            </w:r>
          </w:p>
        </w:tc>
        <w:tc>
          <w:tcPr>
            <w:tcW w:w="815" w:type="dxa"/>
            <w:tcBorders>
              <w:top w:val="nil"/>
              <w:left w:val="nil"/>
              <w:bottom w:val="single" w:sz="8" w:space="0" w:color="auto"/>
              <w:right w:val="single" w:sz="8" w:space="0" w:color="auto"/>
            </w:tcBorders>
            <w:shd w:val="clear" w:color="auto" w:fill="auto"/>
            <w:noWrap/>
            <w:vAlign w:val="center"/>
            <w:hideMark/>
          </w:tcPr>
          <w:p w14:paraId="21295AE8"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0.02%</w:t>
            </w:r>
          </w:p>
        </w:tc>
        <w:tc>
          <w:tcPr>
            <w:tcW w:w="1164" w:type="dxa"/>
            <w:tcBorders>
              <w:top w:val="nil"/>
              <w:left w:val="nil"/>
              <w:bottom w:val="single" w:sz="8" w:space="0" w:color="auto"/>
              <w:right w:val="single" w:sz="8" w:space="0" w:color="auto"/>
            </w:tcBorders>
            <w:shd w:val="clear" w:color="auto" w:fill="auto"/>
            <w:noWrap/>
            <w:vAlign w:val="center"/>
            <w:hideMark/>
          </w:tcPr>
          <w:p w14:paraId="4A914B53" w14:textId="69DE9D4F"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28</w:t>
            </w:r>
          </w:p>
        </w:tc>
        <w:tc>
          <w:tcPr>
            <w:tcW w:w="815" w:type="dxa"/>
            <w:tcBorders>
              <w:top w:val="nil"/>
              <w:left w:val="nil"/>
              <w:bottom w:val="single" w:sz="8" w:space="0" w:color="auto"/>
              <w:right w:val="single" w:sz="8" w:space="0" w:color="auto"/>
            </w:tcBorders>
            <w:shd w:val="clear" w:color="auto" w:fill="auto"/>
            <w:noWrap/>
            <w:vAlign w:val="center"/>
            <w:hideMark/>
          </w:tcPr>
          <w:p w14:paraId="43038F36"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0.02%</w:t>
            </w:r>
          </w:p>
        </w:tc>
        <w:tc>
          <w:tcPr>
            <w:tcW w:w="1075" w:type="dxa"/>
            <w:tcBorders>
              <w:top w:val="nil"/>
              <w:left w:val="nil"/>
              <w:bottom w:val="single" w:sz="8" w:space="0" w:color="auto"/>
              <w:right w:val="single" w:sz="8" w:space="0" w:color="auto"/>
            </w:tcBorders>
            <w:shd w:val="clear" w:color="auto" w:fill="auto"/>
            <w:noWrap/>
            <w:vAlign w:val="center"/>
            <w:hideMark/>
          </w:tcPr>
          <w:p w14:paraId="7A99DF35" w14:textId="3D8F0AE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4</w:t>
            </w:r>
          </w:p>
        </w:tc>
        <w:tc>
          <w:tcPr>
            <w:tcW w:w="815" w:type="dxa"/>
            <w:tcBorders>
              <w:top w:val="nil"/>
              <w:left w:val="nil"/>
              <w:bottom w:val="single" w:sz="8" w:space="0" w:color="auto"/>
              <w:right w:val="single" w:sz="8" w:space="0" w:color="auto"/>
            </w:tcBorders>
            <w:shd w:val="clear" w:color="auto" w:fill="auto"/>
            <w:noWrap/>
            <w:vAlign w:val="center"/>
            <w:hideMark/>
          </w:tcPr>
          <w:p w14:paraId="7C14F73A"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0.01%</w:t>
            </w:r>
          </w:p>
        </w:tc>
        <w:tc>
          <w:tcPr>
            <w:tcW w:w="1164" w:type="dxa"/>
            <w:tcBorders>
              <w:top w:val="nil"/>
              <w:left w:val="nil"/>
              <w:bottom w:val="single" w:sz="8" w:space="0" w:color="auto"/>
              <w:right w:val="single" w:sz="8" w:space="0" w:color="auto"/>
            </w:tcBorders>
            <w:shd w:val="clear" w:color="auto" w:fill="auto"/>
            <w:noWrap/>
            <w:vAlign w:val="center"/>
            <w:hideMark/>
          </w:tcPr>
          <w:p w14:paraId="4B5D5964" w14:textId="6DD12CFD"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45</w:t>
            </w:r>
          </w:p>
        </w:tc>
        <w:tc>
          <w:tcPr>
            <w:tcW w:w="815" w:type="dxa"/>
            <w:tcBorders>
              <w:top w:val="nil"/>
              <w:left w:val="nil"/>
              <w:bottom w:val="single" w:sz="8" w:space="0" w:color="auto"/>
              <w:right w:val="single" w:sz="8" w:space="0" w:color="auto"/>
            </w:tcBorders>
            <w:shd w:val="clear" w:color="auto" w:fill="auto"/>
            <w:noWrap/>
            <w:vAlign w:val="center"/>
            <w:hideMark/>
          </w:tcPr>
          <w:p w14:paraId="573B2BC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0.03%</w:t>
            </w:r>
          </w:p>
        </w:tc>
        <w:tc>
          <w:tcPr>
            <w:tcW w:w="1077" w:type="dxa"/>
            <w:tcBorders>
              <w:top w:val="nil"/>
              <w:left w:val="nil"/>
              <w:bottom w:val="single" w:sz="8" w:space="0" w:color="auto"/>
              <w:right w:val="single" w:sz="8" w:space="0" w:color="auto"/>
            </w:tcBorders>
            <w:shd w:val="clear" w:color="auto" w:fill="auto"/>
            <w:noWrap/>
            <w:vAlign w:val="center"/>
            <w:hideMark/>
          </w:tcPr>
          <w:p w14:paraId="140AE143" w14:textId="0562BF8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15</w:t>
            </w:r>
          </w:p>
        </w:tc>
        <w:tc>
          <w:tcPr>
            <w:tcW w:w="815" w:type="dxa"/>
            <w:tcBorders>
              <w:top w:val="nil"/>
              <w:left w:val="nil"/>
              <w:bottom w:val="single" w:sz="8" w:space="0" w:color="auto"/>
              <w:right w:val="single" w:sz="8" w:space="0" w:color="auto"/>
            </w:tcBorders>
            <w:shd w:val="clear" w:color="auto" w:fill="auto"/>
            <w:noWrap/>
            <w:vAlign w:val="center"/>
            <w:hideMark/>
          </w:tcPr>
          <w:p w14:paraId="00707FC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0.03%</w:t>
            </w:r>
          </w:p>
        </w:tc>
        <w:tc>
          <w:tcPr>
            <w:tcW w:w="1347" w:type="dxa"/>
            <w:tcBorders>
              <w:top w:val="nil"/>
              <w:left w:val="nil"/>
              <w:bottom w:val="single" w:sz="8" w:space="0" w:color="auto"/>
              <w:right w:val="single" w:sz="8" w:space="0" w:color="auto"/>
            </w:tcBorders>
            <w:shd w:val="clear" w:color="auto" w:fill="auto"/>
            <w:noWrap/>
            <w:vAlign w:val="center"/>
            <w:hideMark/>
          </w:tcPr>
          <w:p w14:paraId="76E22D0F" w14:textId="7D0740B3"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231</w:t>
            </w:r>
          </w:p>
        </w:tc>
        <w:tc>
          <w:tcPr>
            <w:tcW w:w="815" w:type="dxa"/>
            <w:tcBorders>
              <w:top w:val="nil"/>
              <w:left w:val="nil"/>
              <w:bottom w:val="single" w:sz="8" w:space="0" w:color="auto"/>
              <w:right w:val="single" w:sz="8" w:space="0" w:color="auto"/>
            </w:tcBorders>
            <w:shd w:val="clear" w:color="auto" w:fill="auto"/>
            <w:noWrap/>
            <w:vAlign w:val="center"/>
            <w:hideMark/>
          </w:tcPr>
          <w:p w14:paraId="5DE794C1"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0.02%</w:t>
            </w:r>
          </w:p>
        </w:tc>
      </w:tr>
      <w:tr w:rsidR="00DE644C" w:rsidRPr="008913DE" w14:paraId="4DE3178E" w14:textId="77777777" w:rsidTr="008913DE">
        <w:trPr>
          <w:trHeight w:val="179"/>
        </w:trPr>
        <w:tc>
          <w:tcPr>
            <w:tcW w:w="959" w:type="dxa"/>
            <w:tcBorders>
              <w:top w:val="nil"/>
              <w:left w:val="single" w:sz="8" w:space="0" w:color="auto"/>
              <w:bottom w:val="single" w:sz="8" w:space="0" w:color="auto"/>
              <w:right w:val="single" w:sz="8" w:space="0" w:color="auto"/>
            </w:tcBorders>
            <w:shd w:val="clear" w:color="000000" w:fill="D9E1F2"/>
            <w:noWrap/>
            <w:vAlign w:val="center"/>
            <w:hideMark/>
          </w:tcPr>
          <w:p w14:paraId="4F67BCA2"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Total</w:t>
            </w:r>
          </w:p>
        </w:tc>
        <w:tc>
          <w:tcPr>
            <w:tcW w:w="1166" w:type="dxa"/>
            <w:tcBorders>
              <w:top w:val="nil"/>
              <w:left w:val="nil"/>
              <w:bottom w:val="single" w:sz="8" w:space="0" w:color="auto"/>
              <w:right w:val="single" w:sz="8" w:space="0" w:color="auto"/>
            </w:tcBorders>
            <w:shd w:val="clear" w:color="000000" w:fill="D9E1F2"/>
            <w:noWrap/>
            <w:vAlign w:val="center"/>
            <w:hideMark/>
          </w:tcPr>
          <w:p w14:paraId="59BC815F" w14:textId="25917E76"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762,803</w:t>
            </w:r>
          </w:p>
        </w:tc>
        <w:tc>
          <w:tcPr>
            <w:tcW w:w="815" w:type="dxa"/>
            <w:tcBorders>
              <w:top w:val="nil"/>
              <w:left w:val="nil"/>
              <w:bottom w:val="single" w:sz="8" w:space="0" w:color="auto"/>
              <w:right w:val="single" w:sz="8" w:space="0" w:color="auto"/>
            </w:tcBorders>
            <w:shd w:val="clear" w:color="000000" w:fill="D9E1F2"/>
            <w:noWrap/>
            <w:vAlign w:val="center"/>
            <w:hideMark/>
          </w:tcPr>
          <w:p w14:paraId="2FBBF048"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164" w:type="dxa"/>
            <w:tcBorders>
              <w:top w:val="nil"/>
              <w:left w:val="nil"/>
              <w:bottom w:val="single" w:sz="8" w:space="0" w:color="auto"/>
              <w:right w:val="single" w:sz="8" w:space="0" w:color="auto"/>
            </w:tcBorders>
            <w:shd w:val="clear" w:color="000000" w:fill="D9E1F2"/>
            <w:noWrap/>
            <w:vAlign w:val="center"/>
            <w:hideMark/>
          </w:tcPr>
          <w:p w14:paraId="57FDBAAB" w14:textId="682FED3E"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139,699</w:t>
            </w:r>
          </w:p>
        </w:tc>
        <w:tc>
          <w:tcPr>
            <w:tcW w:w="815" w:type="dxa"/>
            <w:tcBorders>
              <w:top w:val="nil"/>
              <w:left w:val="nil"/>
              <w:bottom w:val="single" w:sz="8" w:space="0" w:color="auto"/>
              <w:right w:val="single" w:sz="8" w:space="0" w:color="auto"/>
            </w:tcBorders>
            <w:shd w:val="clear" w:color="000000" w:fill="D9E1F2"/>
            <w:noWrap/>
            <w:vAlign w:val="center"/>
            <w:hideMark/>
          </w:tcPr>
          <w:p w14:paraId="3BEF1B05"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075" w:type="dxa"/>
            <w:tcBorders>
              <w:top w:val="nil"/>
              <w:left w:val="nil"/>
              <w:bottom w:val="single" w:sz="8" w:space="0" w:color="auto"/>
              <w:right w:val="single" w:sz="8" w:space="0" w:color="auto"/>
            </w:tcBorders>
            <w:shd w:val="clear" w:color="000000" w:fill="D9E1F2"/>
            <w:noWrap/>
            <w:vAlign w:val="center"/>
            <w:hideMark/>
          </w:tcPr>
          <w:p w14:paraId="5EEC740B" w14:textId="42D21403"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36,051</w:t>
            </w:r>
          </w:p>
        </w:tc>
        <w:tc>
          <w:tcPr>
            <w:tcW w:w="815" w:type="dxa"/>
            <w:tcBorders>
              <w:top w:val="nil"/>
              <w:left w:val="nil"/>
              <w:bottom w:val="single" w:sz="8" w:space="0" w:color="auto"/>
              <w:right w:val="single" w:sz="8" w:space="0" w:color="auto"/>
            </w:tcBorders>
            <w:shd w:val="clear" w:color="000000" w:fill="D9E1F2"/>
            <w:noWrap/>
            <w:vAlign w:val="center"/>
            <w:hideMark/>
          </w:tcPr>
          <w:p w14:paraId="302CB30C"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164" w:type="dxa"/>
            <w:tcBorders>
              <w:top w:val="nil"/>
              <w:left w:val="nil"/>
              <w:bottom w:val="single" w:sz="8" w:space="0" w:color="auto"/>
              <w:right w:val="single" w:sz="8" w:space="0" w:color="auto"/>
            </w:tcBorders>
            <w:shd w:val="clear" w:color="000000" w:fill="D9E1F2"/>
            <w:noWrap/>
            <w:vAlign w:val="center"/>
            <w:hideMark/>
          </w:tcPr>
          <w:p w14:paraId="3DDDA029" w14:textId="62A6FBC8"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168,394</w:t>
            </w:r>
          </w:p>
        </w:tc>
        <w:tc>
          <w:tcPr>
            <w:tcW w:w="815" w:type="dxa"/>
            <w:tcBorders>
              <w:top w:val="nil"/>
              <w:left w:val="nil"/>
              <w:bottom w:val="single" w:sz="8" w:space="0" w:color="auto"/>
              <w:right w:val="single" w:sz="8" w:space="0" w:color="auto"/>
            </w:tcBorders>
            <w:shd w:val="clear" w:color="000000" w:fill="D9E1F2"/>
            <w:noWrap/>
            <w:vAlign w:val="center"/>
            <w:hideMark/>
          </w:tcPr>
          <w:p w14:paraId="7A5625B3"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077" w:type="dxa"/>
            <w:tcBorders>
              <w:top w:val="nil"/>
              <w:left w:val="nil"/>
              <w:bottom w:val="single" w:sz="8" w:space="0" w:color="auto"/>
              <w:right w:val="single" w:sz="8" w:space="0" w:color="auto"/>
            </w:tcBorders>
            <w:shd w:val="clear" w:color="000000" w:fill="D9E1F2"/>
            <w:noWrap/>
            <w:vAlign w:val="center"/>
            <w:hideMark/>
          </w:tcPr>
          <w:p w14:paraId="55F137F1" w14:textId="563017B6"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51,421</w:t>
            </w:r>
          </w:p>
        </w:tc>
        <w:tc>
          <w:tcPr>
            <w:tcW w:w="815" w:type="dxa"/>
            <w:tcBorders>
              <w:top w:val="nil"/>
              <w:left w:val="nil"/>
              <w:bottom w:val="single" w:sz="8" w:space="0" w:color="auto"/>
              <w:right w:val="single" w:sz="8" w:space="0" w:color="auto"/>
            </w:tcBorders>
            <w:shd w:val="clear" w:color="000000" w:fill="D9E1F2"/>
            <w:noWrap/>
            <w:vAlign w:val="center"/>
            <w:hideMark/>
          </w:tcPr>
          <w:p w14:paraId="21FBF264"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c>
          <w:tcPr>
            <w:tcW w:w="1347" w:type="dxa"/>
            <w:tcBorders>
              <w:top w:val="nil"/>
              <w:left w:val="nil"/>
              <w:bottom w:val="single" w:sz="8" w:space="0" w:color="auto"/>
              <w:right w:val="single" w:sz="8" w:space="0" w:color="auto"/>
            </w:tcBorders>
            <w:shd w:val="clear" w:color="000000" w:fill="D9E1F2"/>
            <w:noWrap/>
            <w:vAlign w:val="center"/>
            <w:hideMark/>
          </w:tcPr>
          <w:p w14:paraId="598EB800" w14:textId="475D49A9"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1,106,947</w:t>
            </w:r>
          </w:p>
        </w:tc>
        <w:tc>
          <w:tcPr>
            <w:tcW w:w="815" w:type="dxa"/>
            <w:tcBorders>
              <w:top w:val="nil"/>
              <w:left w:val="nil"/>
              <w:bottom w:val="single" w:sz="8" w:space="0" w:color="auto"/>
              <w:right w:val="single" w:sz="8" w:space="0" w:color="auto"/>
            </w:tcBorders>
            <w:shd w:val="clear" w:color="000000" w:fill="D9E1F2"/>
            <w:noWrap/>
            <w:vAlign w:val="center"/>
            <w:hideMark/>
          </w:tcPr>
          <w:p w14:paraId="5335B163" w14:textId="77777777" w:rsidR="008913DE" w:rsidRPr="008913DE" w:rsidRDefault="008913DE" w:rsidP="008913DE">
            <w:pPr>
              <w:jc w:val="right"/>
              <w:rPr>
                <w:rFonts w:ascii="Calibri" w:hAnsi="Calibri" w:cs="Calibri"/>
                <w:color w:val="000000"/>
                <w:sz w:val="20"/>
                <w:szCs w:val="20"/>
              </w:rPr>
            </w:pPr>
            <w:r w:rsidRPr="008913DE">
              <w:rPr>
                <w:rFonts w:ascii="Calibri" w:hAnsi="Calibri" w:cs="Calibri"/>
                <w:color w:val="000000"/>
                <w:sz w:val="20"/>
                <w:szCs w:val="20"/>
              </w:rPr>
              <w:t>-</w:t>
            </w:r>
          </w:p>
        </w:tc>
      </w:tr>
    </w:tbl>
    <w:p w14:paraId="3F09B2AC" w14:textId="77777777" w:rsidR="00DE644C" w:rsidRDefault="008913DE" w:rsidP="008913DE">
      <w:pPr>
        <w:rPr>
          <w:rFonts w:eastAsiaTheme="minorEastAsia"/>
          <w:sz w:val="16"/>
          <w:szCs w:val="16"/>
        </w:rPr>
      </w:pPr>
      <w:r w:rsidRPr="008913DE">
        <w:rPr>
          <w:rFonts w:eastAsiaTheme="minorEastAsia"/>
          <w:sz w:val="16"/>
          <w:szCs w:val="16"/>
        </w:rPr>
        <w:t>Source: FFIEC HMDA</w:t>
      </w:r>
    </w:p>
    <w:p w14:paraId="215B5E57" w14:textId="77777777" w:rsidR="00DE644C" w:rsidRDefault="00DE644C" w:rsidP="00DE644C">
      <w:pPr>
        <w:pStyle w:val="Caption"/>
      </w:pPr>
    </w:p>
    <w:p w14:paraId="7425A873" w14:textId="4B7C3BA3" w:rsidR="00DE644C" w:rsidRDefault="00DE644C" w:rsidP="00DE644C">
      <w:pPr>
        <w:pStyle w:val="Caption"/>
      </w:pPr>
      <w:r>
        <w:t xml:space="preserve">Table </w:t>
      </w:r>
      <w:fldSimple w:instr=" SEQ Table \* ARABIC ">
        <w:r w:rsidR="0055251A">
          <w:rPr>
            <w:noProof/>
          </w:rPr>
          <w:t>30</w:t>
        </w:r>
      </w:fldSimple>
      <w:r>
        <w:t xml:space="preserve"> </w:t>
      </w:r>
      <w:proofErr w:type="gramStart"/>
      <w:r w:rsidRPr="00DE644C">
        <w:t>High cost</w:t>
      </w:r>
      <w:proofErr w:type="gramEnd"/>
      <w:r w:rsidRPr="00DE644C">
        <w:t xml:space="preserve"> loan originations by income level by race, 2017-2019</w:t>
      </w:r>
    </w:p>
    <w:tbl>
      <w:tblPr>
        <w:tblW w:w="12859" w:type="dxa"/>
        <w:tblLook w:val="04A0" w:firstRow="1" w:lastRow="0" w:firstColumn="1" w:lastColumn="0" w:noHBand="0" w:noVBand="1"/>
      </w:tblPr>
      <w:tblGrid>
        <w:gridCol w:w="1949"/>
        <w:gridCol w:w="627"/>
        <w:gridCol w:w="1180"/>
        <w:gridCol w:w="488"/>
        <w:gridCol w:w="1319"/>
        <w:gridCol w:w="547"/>
        <w:gridCol w:w="1197"/>
        <w:gridCol w:w="488"/>
        <w:gridCol w:w="1319"/>
        <w:gridCol w:w="944"/>
        <w:gridCol w:w="815"/>
        <w:gridCol w:w="624"/>
        <w:gridCol w:w="1362"/>
      </w:tblGrid>
      <w:tr w:rsidR="00D467A3" w14:paraId="2638FA6C" w14:textId="77777777" w:rsidTr="002551CB">
        <w:trPr>
          <w:trHeight w:val="192"/>
        </w:trPr>
        <w:tc>
          <w:tcPr>
            <w:tcW w:w="1949" w:type="dxa"/>
            <w:tcBorders>
              <w:top w:val="single" w:sz="8" w:space="0" w:color="auto"/>
              <w:left w:val="single" w:sz="8" w:space="0" w:color="auto"/>
              <w:bottom w:val="single" w:sz="8" w:space="0" w:color="auto"/>
              <w:right w:val="single" w:sz="8" w:space="0" w:color="auto"/>
            </w:tcBorders>
            <w:shd w:val="clear" w:color="auto" w:fill="4472C4"/>
            <w:noWrap/>
            <w:vAlign w:val="center"/>
            <w:hideMark/>
          </w:tcPr>
          <w:p w14:paraId="5BE2976B" w14:textId="77777777" w:rsidR="00D467A3" w:rsidRDefault="00D467A3">
            <w:pPr>
              <w:rPr>
                <w:rFonts w:ascii="Calibri" w:hAnsi="Calibri" w:cs="Calibri"/>
                <w:b/>
                <w:bCs/>
                <w:color w:val="FFFFFF"/>
                <w:sz w:val="20"/>
                <w:szCs w:val="20"/>
              </w:rPr>
            </w:pPr>
            <w:r>
              <w:rPr>
                <w:rFonts w:ascii="Calibri" w:hAnsi="Calibri" w:cs="Calibri"/>
                <w:b/>
                <w:bCs/>
                <w:color w:val="FFFFFF"/>
                <w:sz w:val="20"/>
                <w:szCs w:val="20"/>
              </w:rPr>
              <w:t> </w:t>
            </w:r>
          </w:p>
        </w:tc>
        <w:tc>
          <w:tcPr>
            <w:tcW w:w="1807"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1ED7D504"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White</w:t>
            </w:r>
          </w:p>
        </w:tc>
        <w:tc>
          <w:tcPr>
            <w:tcW w:w="1807"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5913B891"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Black</w:t>
            </w:r>
          </w:p>
        </w:tc>
        <w:tc>
          <w:tcPr>
            <w:tcW w:w="1744"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649C82C4"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Asian</w:t>
            </w:r>
          </w:p>
        </w:tc>
        <w:tc>
          <w:tcPr>
            <w:tcW w:w="1807"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63518F37"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Other</w:t>
            </w:r>
          </w:p>
        </w:tc>
        <w:tc>
          <w:tcPr>
            <w:tcW w:w="944" w:type="dxa"/>
            <w:tcBorders>
              <w:top w:val="single" w:sz="8" w:space="0" w:color="auto"/>
              <w:left w:val="nil"/>
              <w:bottom w:val="single" w:sz="8" w:space="0" w:color="auto"/>
              <w:right w:val="nil"/>
            </w:tcBorders>
            <w:shd w:val="clear" w:color="auto" w:fill="4472C4"/>
            <w:noWrap/>
            <w:vAlign w:val="center"/>
            <w:hideMark/>
          </w:tcPr>
          <w:p w14:paraId="4AF00E0B"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Hispanic</w:t>
            </w:r>
          </w:p>
        </w:tc>
        <w:tc>
          <w:tcPr>
            <w:tcW w:w="815" w:type="dxa"/>
            <w:tcBorders>
              <w:top w:val="single" w:sz="8" w:space="0" w:color="auto"/>
              <w:left w:val="nil"/>
              <w:bottom w:val="single" w:sz="8" w:space="0" w:color="auto"/>
              <w:right w:val="single" w:sz="8" w:space="0" w:color="auto"/>
            </w:tcBorders>
            <w:shd w:val="clear" w:color="auto" w:fill="4472C4"/>
            <w:noWrap/>
            <w:vAlign w:val="center"/>
            <w:hideMark/>
          </w:tcPr>
          <w:p w14:paraId="76578666"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 </w:t>
            </w:r>
          </w:p>
        </w:tc>
        <w:tc>
          <w:tcPr>
            <w:tcW w:w="1986"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16CBDF0F" w14:textId="77777777" w:rsidR="00D467A3" w:rsidRDefault="00D467A3">
            <w:pPr>
              <w:jc w:val="center"/>
              <w:rPr>
                <w:rFonts w:ascii="Calibri" w:hAnsi="Calibri" w:cs="Calibri"/>
                <w:b/>
                <w:bCs/>
                <w:color w:val="FFFFFF"/>
                <w:sz w:val="20"/>
                <w:szCs w:val="20"/>
              </w:rPr>
            </w:pPr>
            <w:r>
              <w:rPr>
                <w:rFonts w:ascii="Calibri" w:hAnsi="Calibri" w:cs="Calibri"/>
                <w:b/>
                <w:bCs/>
                <w:color w:val="FFFFFF"/>
                <w:sz w:val="20"/>
                <w:szCs w:val="20"/>
              </w:rPr>
              <w:t>Total</w:t>
            </w:r>
          </w:p>
        </w:tc>
      </w:tr>
      <w:tr w:rsidR="00D467A3" w14:paraId="3C165954" w14:textId="77777777" w:rsidTr="00D467A3">
        <w:trPr>
          <w:trHeight w:val="192"/>
        </w:trPr>
        <w:tc>
          <w:tcPr>
            <w:tcW w:w="1949" w:type="dxa"/>
            <w:tcBorders>
              <w:top w:val="nil"/>
              <w:left w:val="single" w:sz="8" w:space="0" w:color="auto"/>
              <w:bottom w:val="single" w:sz="8" w:space="0" w:color="auto"/>
              <w:right w:val="single" w:sz="8" w:space="0" w:color="auto"/>
            </w:tcBorders>
            <w:shd w:val="clear" w:color="000000" w:fill="A8D9E4"/>
            <w:noWrap/>
            <w:vAlign w:val="center"/>
            <w:hideMark/>
          </w:tcPr>
          <w:p w14:paraId="72EBCF02" w14:textId="77777777" w:rsidR="00D467A3" w:rsidRDefault="00D467A3">
            <w:pPr>
              <w:rPr>
                <w:rFonts w:ascii="Calibri" w:hAnsi="Calibri" w:cs="Calibri"/>
                <w:color w:val="000000"/>
                <w:sz w:val="20"/>
                <w:szCs w:val="20"/>
              </w:rPr>
            </w:pPr>
            <w:r>
              <w:rPr>
                <w:rFonts w:ascii="Calibri" w:hAnsi="Calibri" w:cs="Calibri"/>
                <w:color w:val="000000"/>
                <w:sz w:val="20"/>
                <w:szCs w:val="20"/>
              </w:rPr>
              <w:t> </w:t>
            </w:r>
          </w:p>
        </w:tc>
        <w:tc>
          <w:tcPr>
            <w:tcW w:w="627" w:type="dxa"/>
            <w:tcBorders>
              <w:top w:val="nil"/>
              <w:left w:val="nil"/>
              <w:bottom w:val="single" w:sz="8" w:space="0" w:color="auto"/>
              <w:right w:val="single" w:sz="8" w:space="0" w:color="auto"/>
            </w:tcBorders>
            <w:shd w:val="clear" w:color="000000" w:fill="A8D9E4"/>
            <w:noWrap/>
            <w:vAlign w:val="center"/>
            <w:hideMark/>
          </w:tcPr>
          <w:p w14:paraId="5B716E65"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1180" w:type="dxa"/>
            <w:tcBorders>
              <w:top w:val="nil"/>
              <w:left w:val="nil"/>
              <w:bottom w:val="single" w:sz="8" w:space="0" w:color="auto"/>
              <w:right w:val="single" w:sz="8" w:space="0" w:color="auto"/>
            </w:tcBorders>
            <w:shd w:val="clear" w:color="000000" w:fill="A8D9E4"/>
            <w:noWrap/>
            <w:vAlign w:val="center"/>
            <w:hideMark/>
          </w:tcPr>
          <w:p w14:paraId="29A4FD79"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488" w:type="dxa"/>
            <w:tcBorders>
              <w:top w:val="nil"/>
              <w:left w:val="nil"/>
              <w:bottom w:val="single" w:sz="8" w:space="0" w:color="auto"/>
              <w:right w:val="single" w:sz="8" w:space="0" w:color="auto"/>
            </w:tcBorders>
            <w:shd w:val="clear" w:color="000000" w:fill="A8D9E4"/>
            <w:noWrap/>
            <w:vAlign w:val="center"/>
            <w:hideMark/>
          </w:tcPr>
          <w:p w14:paraId="399CCA32"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1319" w:type="dxa"/>
            <w:tcBorders>
              <w:top w:val="nil"/>
              <w:left w:val="nil"/>
              <w:bottom w:val="single" w:sz="8" w:space="0" w:color="auto"/>
              <w:right w:val="single" w:sz="8" w:space="0" w:color="auto"/>
            </w:tcBorders>
            <w:shd w:val="clear" w:color="000000" w:fill="A8D9E4"/>
            <w:noWrap/>
            <w:vAlign w:val="center"/>
            <w:hideMark/>
          </w:tcPr>
          <w:p w14:paraId="4F05C5B1"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547" w:type="dxa"/>
            <w:tcBorders>
              <w:top w:val="nil"/>
              <w:left w:val="nil"/>
              <w:bottom w:val="single" w:sz="8" w:space="0" w:color="auto"/>
              <w:right w:val="single" w:sz="8" w:space="0" w:color="auto"/>
            </w:tcBorders>
            <w:shd w:val="clear" w:color="000000" w:fill="A8D9E4"/>
            <w:noWrap/>
            <w:vAlign w:val="center"/>
            <w:hideMark/>
          </w:tcPr>
          <w:p w14:paraId="2B7DF5DD"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1197" w:type="dxa"/>
            <w:tcBorders>
              <w:top w:val="nil"/>
              <w:left w:val="nil"/>
              <w:bottom w:val="single" w:sz="8" w:space="0" w:color="auto"/>
              <w:right w:val="single" w:sz="8" w:space="0" w:color="auto"/>
            </w:tcBorders>
            <w:shd w:val="clear" w:color="000000" w:fill="A8D9E4"/>
            <w:noWrap/>
            <w:vAlign w:val="center"/>
            <w:hideMark/>
          </w:tcPr>
          <w:p w14:paraId="1A4DDB9B"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488" w:type="dxa"/>
            <w:tcBorders>
              <w:top w:val="nil"/>
              <w:left w:val="nil"/>
              <w:bottom w:val="single" w:sz="8" w:space="0" w:color="auto"/>
              <w:right w:val="single" w:sz="8" w:space="0" w:color="auto"/>
            </w:tcBorders>
            <w:shd w:val="clear" w:color="000000" w:fill="A8D9E4"/>
            <w:noWrap/>
            <w:vAlign w:val="center"/>
            <w:hideMark/>
          </w:tcPr>
          <w:p w14:paraId="37EE8541"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1319" w:type="dxa"/>
            <w:tcBorders>
              <w:top w:val="nil"/>
              <w:left w:val="nil"/>
              <w:bottom w:val="single" w:sz="8" w:space="0" w:color="auto"/>
              <w:right w:val="single" w:sz="8" w:space="0" w:color="auto"/>
            </w:tcBorders>
            <w:shd w:val="clear" w:color="000000" w:fill="A8D9E4"/>
            <w:noWrap/>
            <w:vAlign w:val="center"/>
            <w:hideMark/>
          </w:tcPr>
          <w:p w14:paraId="547ACE14"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944" w:type="dxa"/>
            <w:tcBorders>
              <w:top w:val="nil"/>
              <w:left w:val="nil"/>
              <w:bottom w:val="single" w:sz="8" w:space="0" w:color="auto"/>
              <w:right w:val="single" w:sz="8" w:space="0" w:color="auto"/>
            </w:tcBorders>
            <w:shd w:val="clear" w:color="000000" w:fill="A8D9E4"/>
            <w:noWrap/>
            <w:vAlign w:val="center"/>
            <w:hideMark/>
          </w:tcPr>
          <w:p w14:paraId="0640A957"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815" w:type="dxa"/>
            <w:tcBorders>
              <w:top w:val="nil"/>
              <w:left w:val="nil"/>
              <w:bottom w:val="single" w:sz="8" w:space="0" w:color="auto"/>
              <w:right w:val="single" w:sz="8" w:space="0" w:color="auto"/>
            </w:tcBorders>
            <w:shd w:val="clear" w:color="000000" w:fill="A8D9E4"/>
            <w:noWrap/>
            <w:vAlign w:val="center"/>
            <w:hideMark/>
          </w:tcPr>
          <w:p w14:paraId="79AD1A6F"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624" w:type="dxa"/>
            <w:tcBorders>
              <w:top w:val="nil"/>
              <w:left w:val="nil"/>
              <w:bottom w:val="single" w:sz="8" w:space="0" w:color="auto"/>
              <w:right w:val="single" w:sz="8" w:space="0" w:color="auto"/>
            </w:tcBorders>
            <w:shd w:val="clear" w:color="000000" w:fill="A8D9E4"/>
            <w:noWrap/>
            <w:vAlign w:val="center"/>
            <w:hideMark/>
          </w:tcPr>
          <w:p w14:paraId="00DC1E7F"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c>
          <w:tcPr>
            <w:tcW w:w="1362" w:type="dxa"/>
            <w:tcBorders>
              <w:top w:val="nil"/>
              <w:left w:val="nil"/>
              <w:bottom w:val="single" w:sz="8" w:space="0" w:color="auto"/>
              <w:right w:val="single" w:sz="8" w:space="0" w:color="auto"/>
            </w:tcBorders>
            <w:shd w:val="clear" w:color="000000" w:fill="A8D9E4"/>
            <w:noWrap/>
            <w:vAlign w:val="center"/>
            <w:hideMark/>
          </w:tcPr>
          <w:p w14:paraId="178A9F84" w14:textId="77777777" w:rsidR="00D467A3" w:rsidRDefault="00D467A3">
            <w:pPr>
              <w:jc w:val="center"/>
              <w:rPr>
                <w:rFonts w:ascii="Calibri" w:hAnsi="Calibri" w:cs="Calibri"/>
                <w:color w:val="000000"/>
                <w:sz w:val="20"/>
                <w:szCs w:val="20"/>
              </w:rPr>
            </w:pPr>
            <w:r>
              <w:rPr>
                <w:rFonts w:ascii="Calibri" w:hAnsi="Calibri" w:cs="Calibri"/>
                <w:color w:val="000000"/>
                <w:sz w:val="20"/>
                <w:szCs w:val="20"/>
              </w:rPr>
              <w:t>%</w:t>
            </w:r>
          </w:p>
        </w:tc>
      </w:tr>
      <w:tr w:rsidR="00D467A3" w14:paraId="04950091" w14:textId="77777777" w:rsidTr="00D467A3">
        <w:trPr>
          <w:trHeight w:val="192"/>
        </w:trPr>
        <w:tc>
          <w:tcPr>
            <w:tcW w:w="1949" w:type="dxa"/>
            <w:tcBorders>
              <w:top w:val="nil"/>
              <w:left w:val="single" w:sz="8" w:space="0" w:color="auto"/>
              <w:bottom w:val="single" w:sz="8" w:space="0" w:color="auto"/>
              <w:right w:val="single" w:sz="8" w:space="0" w:color="auto"/>
            </w:tcBorders>
            <w:shd w:val="clear" w:color="auto" w:fill="auto"/>
            <w:noWrap/>
            <w:vAlign w:val="center"/>
            <w:hideMark/>
          </w:tcPr>
          <w:p w14:paraId="406DD0B5" w14:textId="77777777" w:rsidR="00D467A3" w:rsidRDefault="00D467A3">
            <w:pPr>
              <w:rPr>
                <w:rFonts w:ascii="Calibri" w:hAnsi="Calibri" w:cs="Calibri"/>
                <w:color w:val="000000"/>
                <w:sz w:val="20"/>
                <w:szCs w:val="20"/>
              </w:rPr>
            </w:pPr>
            <w:proofErr w:type="gramStart"/>
            <w:r>
              <w:rPr>
                <w:rFonts w:ascii="Calibri" w:hAnsi="Calibri" w:cs="Calibri"/>
                <w:color w:val="000000"/>
                <w:sz w:val="20"/>
                <w:szCs w:val="20"/>
              </w:rPr>
              <w:t>High Cost</w:t>
            </w:r>
            <w:proofErr w:type="gramEnd"/>
            <w:r>
              <w:rPr>
                <w:rFonts w:ascii="Calibri" w:hAnsi="Calibri" w:cs="Calibri"/>
                <w:color w:val="000000"/>
                <w:sz w:val="20"/>
                <w:szCs w:val="20"/>
              </w:rPr>
              <w:t xml:space="preserve"> Loans Originated</w:t>
            </w:r>
          </w:p>
        </w:tc>
        <w:tc>
          <w:tcPr>
            <w:tcW w:w="627" w:type="dxa"/>
            <w:tcBorders>
              <w:top w:val="nil"/>
              <w:left w:val="nil"/>
              <w:bottom w:val="single" w:sz="8" w:space="0" w:color="auto"/>
              <w:right w:val="single" w:sz="8" w:space="0" w:color="auto"/>
            </w:tcBorders>
            <w:shd w:val="clear" w:color="auto" w:fill="auto"/>
            <w:noWrap/>
            <w:vAlign w:val="center"/>
            <w:hideMark/>
          </w:tcPr>
          <w:p w14:paraId="4FEC822D"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154</w:t>
            </w:r>
          </w:p>
        </w:tc>
        <w:tc>
          <w:tcPr>
            <w:tcW w:w="1180" w:type="dxa"/>
            <w:tcBorders>
              <w:top w:val="nil"/>
              <w:left w:val="nil"/>
              <w:bottom w:val="single" w:sz="8" w:space="0" w:color="auto"/>
              <w:right w:val="single" w:sz="8" w:space="0" w:color="auto"/>
            </w:tcBorders>
            <w:shd w:val="clear" w:color="auto" w:fill="auto"/>
            <w:noWrap/>
            <w:vAlign w:val="center"/>
            <w:hideMark/>
          </w:tcPr>
          <w:p w14:paraId="3F4ACAB2"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66.67%</w:t>
            </w:r>
          </w:p>
        </w:tc>
        <w:tc>
          <w:tcPr>
            <w:tcW w:w="488" w:type="dxa"/>
            <w:tcBorders>
              <w:top w:val="nil"/>
              <w:left w:val="nil"/>
              <w:bottom w:val="single" w:sz="8" w:space="0" w:color="auto"/>
              <w:right w:val="single" w:sz="8" w:space="0" w:color="auto"/>
            </w:tcBorders>
            <w:shd w:val="clear" w:color="auto" w:fill="auto"/>
            <w:noWrap/>
            <w:vAlign w:val="center"/>
            <w:hideMark/>
          </w:tcPr>
          <w:p w14:paraId="334EDA0B"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28</w:t>
            </w:r>
          </w:p>
        </w:tc>
        <w:tc>
          <w:tcPr>
            <w:tcW w:w="1319" w:type="dxa"/>
            <w:tcBorders>
              <w:top w:val="nil"/>
              <w:left w:val="nil"/>
              <w:bottom w:val="single" w:sz="8" w:space="0" w:color="auto"/>
              <w:right w:val="single" w:sz="8" w:space="0" w:color="auto"/>
            </w:tcBorders>
            <w:shd w:val="clear" w:color="auto" w:fill="auto"/>
            <w:noWrap/>
            <w:vAlign w:val="center"/>
            <w:hideMark/>
          </w:tcPr>
          <w:p w14:paraId="730FA77E"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12.12%</w:t>
            </w:r>
          </w:p>
        </w:tc>
        <w:tc>
          <w:tcPr>
            <w:tcW w:w="547" w:type="dxa"/>
            <w:tcBorders>
              <w:top w:val="nil"/>
              <w:left w:val="nil"/>
              <w:bottom w:val="single" w:sz="8" w:space="0" w:color="auto"/>
              <w:right w:val="single" w:sz="8" w:space="0" w:color="auto"/>
            </w:tcBorders>
            <w:shd w:val="clear" w:color="auto" w:fill="auto"/>
            <w:noWrap/>
            <w:vAlign w:val="center"/>
            <w:hideMark/>
          </w:tcPr>
          <w:p w14:paraId="3A998243"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4</w:t>
            </w:r>
          </w:p>
        </w:tc>
        <w:tc>
          <w:tcPr>
            <w:tcW w:w="1197" w:type="dxa"/>
            <w:tcBorders>
              <w:top w:val="nil"/>
              <w:left w:val="nil"/>
              <w:bottom w:val="single" w:sz="8" w:space="0" w:color="auto"/>
              <w:right w:val="single" w:sz="8" w:space="0" w:color="auto"/>
            </w:tcBorders>
            <w:shd w:val="clear" w:color="auto" w:fill="auto"/>
            <w:noWrap/>
            <w:vAlign w:val="center"/>
            <w:hideMark/>
          </w:tcPr>
          <w:p w14:paraId="2E2716FD"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1.73%</w:t>
            </w:r>
          </w:p>
        </w:tc>
        <w:tc>
          <w:tcPr>
            <w:tcW w:w="488" w:type="dxa"/>
            <w:tcBorders>
              <w:top w:val="nil"/>
              <w:left w:val="nil"/>
              <w:bottom w:val="single" w:sz="8" w:space="0" w:color="auto"/>
              <w:right w:val="single" w:sz="8" w:space="0" w:color="auto"/>
            </w:tcBorders>
            <w:shd w:val="clear" w:color="auto" w:fill="auto"/>
            <w:noWrap/>
            <w:vAlign w:val="center"/>
            <w:hideMark/>
          </w:tcPr>
          <w:p w14:paraId="2CA9A8CD"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45</w:t>
            </w:r>
          </w:p>
        </w:tc>
        <w:tc>
          <w:tcPr>
            <w:tcW w:w="1319" w:type="dxa"/>
            <w:tcBorders>
              <w:top w:val="nil"/>
              <w:left w:val="nil"/>
              <w:bottom w:val="single" w:sz="8" w:space="0" w:color="auto"/>
              <w:right w:val="single" w:sz="8" w:space="0" w:color="auto"/>
            </w:tcBorders>
            <w:shd w:val="clear" w:color="auto" w:fill="auto"/>
            <w:noWrap/>
            <w:vAlign w:val="center"/>
            <w:hideMark/>
          </w:tcPr>
          <w:p w14:paraId="03BD7F7E"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19.48%</w:t>
            </w:r>
          </w:p>
        </w:tc>
        <w:tc>
          <w:tcPr>
            <w:tcW w:w="944" w:type="dxa"/>
            <w:tcBorders>
              <w:top w:val="nil"/>
              <w:left w:val="nil"/>
              <w:bottom w:val="single" w:sz="8" w:space="0" w:color="auto"/>
              <w:right w:val="single" w:sz="8" w:space="0" w:color="auto"/>
            </w:tcBorders>
            <w:shd w:val="clear" w:color="auto" w:fill="auto"/>
            <w:noWrap/>
            <w:vAlign w:val="center"/>
            <w:hideMark/>
          </w:tcPr>
          <w:p w14:paraId="17D0AF09"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15</w:t>
            </w:r>
          </w:p>
        </w:tc>
        <w:tc>
          <w:tcPr>
            <w:tcW w:w="815" w:type="dxa"/>
            <w:tcBorders>
              <w:top w:val="nil"/>
              <w:left w:val="nil"/>
              <w:bottom w:val="single" w:sz="8" w:space="0" w:color="auto"/>
              <w:right w:val="single" w:sz="8" w:space="0" w:color="auto"/>
            </w:tcBorders>
            <w:shd w:val="clear" w:color="auto" w:fill="auto"/>
            <w:noWrap/>
            <w:vAlign w:val="center"/>
            <w:hideMark/>
          </w:tcPr>
          <w:p w14:paraId="3BD7B0D4"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6.49%</w:t>
            </w:r>
          </w:p>
        </w:tc>
        <w:tc>
          <w:tcPr>
            <w:tcW w:w="624" w:type="dxa"/>
            <w:tcBorders>
              <w:top w:val="nil"/>
              <w:left w:val="nil"/>
              <w:bottom w:val="single" w:sz="8" w:space="0" w:color="auto"/>
              <w:right w:val="single" w:sz="8" w:space="0" w:color="auto"/>
            </w:tcBorders>
            <w:shd w:val="clear" w:color="auto" w:fill="auto"/>
            <w:noWrap/>
            <w:vAlign w:val="center"/>
            <w:hideMark/>
          </w:tcPr>
          <w:p w14:paraId="5CA79692"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231</w:t>
            </w:r>
          </w:p>
        </w:tc>
        <w:tc>
          <w:tcPr>
            <w:tcW w:w="1362" w:type="dxa"/>
            <w:tcBorders>
              <w:top w:val="nil"/>
              <w:left w:val="nil"/>
              <w:bottom w:val="single" w:sz="8" w:space="0" w:color="auto"/>
              <w:right w:val="single" w:sz="8" w:space="0" w:color="auto"/>
            </w:tcBorders>
            <w:shd w:val="clear" w:color="auto" w:fill="auto"/>
            <w:noWrap/>
            <w:vAlign w:val="center"/>
            <w:hideMark/>
          </w:tcPr>
          <w:p w14:paraId="24484BE9"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100.00%</w:t>
            </w:r>
          </w:p>
        </w:tc>
      </w:tr>
      <w:tr w:rsidR="00D467A3" w14:paraId="60D1CCC5" w14:textId="77777777" w:rsidTr="00D467A3">
        <w:trPr>
          <w:trHeight w:val="192"/>
        </w:trPr>
        <w:tc>
          <w:tcPr>
            <w:tcW w:w="1949" w:type="dxa"/>
            <w:tcBorders>
              <w:top w:val="nil"/>
              <w:left w:val="single" w:sz="8" w:space="0" w:color="auto"/>
              <w:bottom w:val="single" w:sz="8" w:space="0" w:color="auto"/>
              <w:right w:val="single" w:sz="8" w:space="0" w:color="auto"/>
            </w:tcBorders>
            <w:shd w:val="clear" w:color="auto" w:fill="auto"/>
            <w:noWrap/>
            <w:vAlign w:val="center"/>
            <w:hideMark/>
          </w:tcPr>
          <w:p w14:paraId="634362C3" w14:textId="77777777" w:rsidR="00D467A3" w:rsidRDefault="00D467A3">
            <w:pPr>
              <w:rPr>
                <w:rFonts w:ascii="Calibri" w:hAnsi="Calibri" w:cs="Calibri"/>
                <w:color w:val="000000"/>
                <w:sz w:val="20"/>
                <w:szCs w:val="20"/>
              </w:rPr>
            </w:pPr>
            <w:r>
              <w:rPr>
                <w:rFonts w:ascii="Calibri" w:hAnsi="Calibri" w:cs="Calibri"/>
                <w:color w:val="000000"/>
                <w:sz w:val="20"/>
                <w:szCs w:val="20"/>
              </w:rPr>
              <w:t>Applicant Income Above AMI</w:t>
            </w:r>
          </w:p>
        </w:tc>
        <w:tc>
          <w:tcPr>
            <w:tcW w:w="627" w:type="dxa"/>
            <w:tcBorders>
              <w:top w:val="nil"/>
              <w:left w:val="nil"/>
              <w:bottom w:val="single" w:sz="8" w:space="0" w:color="auto"/>
              <w:right w:val="single" w:sz="8" w:space="0" w:color="auto"/>
            </w:tcBorders>
            <w:shd w:val="clear" w:color="auto" w:fill="auto"/>
            <w:noWrap/>
            <w:vAlign w:val="center"/>
            <w:hideMark/>
          </w:tcPr>
          <w:p w14:paraId="2B30B380"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73</w:t>
            </w:r>
          </w:p>
        </w:tc>
        <w:tc>
          <w:tcPr>
            <w:tcW w:w="1180" w:type="dxa"/>
            <w:tcBorders>
              <w:top w:val="nil"/>
              <w:left w:val="nil"/>
              <w:bottom w:val="single" w:sz="8" w:space="0" w:color="auto"/>
              <w:right w:val="single" w:sz="8" w:space="0" w:color="auto"/>
            </w:tcBorders>
            <w:shd w:val="clear" w:color="auto" w:fill="auto"/>
            <w:noWrap/>
            <w:vAlign w:val="center"/>
            <w:hideMark/>
          </w:tcPr>
          <w:p w14:paraId="0662F51E"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47.40%</w:t>
            </w:r>
          </w:p>
        </w:tc>
        <w:tc>
          <w:tcPr>
            <w:tcW w:w="488" w:type="dxa"/>
            <w:tcBorders>
              <w:top w:val="nil"/>
              <w:left w:val="nil"/>
              <w:bottom w:val="single" w:sz="8" w:space="0" w:color="auto"/>
              <w:right w:val="single" w:sz="8" w:space="0" w:color="auto"/>
            </w:tcBorders>
            <w:shd w:val="clear" w:color="auto" w:fill="auto"/>
            <w:noWrap/>
            <w:vAlign w:val="center"/>
            <w:hideMark/>
          </w:tcPr>
          <w:p w14:paraId="1D623B8B"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13</w:t>
            </w:r>
          </w:p>
        </w:tc>
        <w:tc>
          <w:tcPr>
            <w:tcW w:w="1319" w:type="dxa"/>
            <w:tcBorders>
              <w:top w:val="nil"/>
              <w:left w:val="nil"/>
              <w:bottom w:val="single" w:sz="8" w:space="0" w:color="auto"/>
              <w:right w:val="single" w:sz="8" w:space="0" w:color="auto"/>
            </w:tcBorders>
            <w:shd w:val="clear" w:color="auto" w:fill="auto"/>
            <w:noWrap/>
            <w:vAlign w:val="center"/>
            <w:hideMark/>
          </w:tcPr>
          <w:p w14:paraId="5C930D73"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46.43%</w:t>
            </w:r>
          </w:p>
        </w:tc>
        <w:tc>
          <w:tcPr>
            <w:tcW w:w="547" w:type="dxa"/>
            <w:tcBorders>
              <w:top w:val="nil"/>
              <w:left w:val="nil"/>
              <w:bottom w:val="single" w:sz="8" w:space="0" w:color="auto"/>
              <w:right w:val="single" w:sz="8" w:space="0" w:color="auto"/>
            </w:tcBorders>
            <w:shd w:val="clear" w:color="auto" w:fill="auto"/>
            <w:noWrap/>
            <w:vAlign w:val="center"/>
            <w:hideMark/>
          </w:tcPr>
          <w:p w14:paraId="1077D956"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3</w:t>
            </w:r>
          </w:p>
        </w:tc>
        <w:tc>
          <w:tcPr>
            <w:tcW w:w="1197" w:type="dxa"/>
            <w:tcBorders>
              <w:top w:val="nil"/>
              <w:left w:val="nil"/>
              <w:bottom w:val="single" w:sz="8" w:space="0" w:color="auto"/>
              <w:right w:val="single" w:sz="8" w:space="0" w:color="auto"/>
            </w:tcBorders>
            <w:shd w:val="clear" w:color="auto" w:fill="auto"/>
            <w:noWrap/>
            <w:vAlign w:val="center"/>
            <w:hideMark/>
          </w:tcPr>
          <w:p w14:paraId="60D96293"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75.00%</w:t>
            </w:r>
          </w:p>
        </w:tc>
        <w:tc>
          <w:tcPr>
            <w:tcW w:w="488" w:type="dxa"/>
            <w:tcBorders>
              <w:top w:val="nil"/>
              <w:left w:val="nil"/>
              <w:bottom w:val="single" w:sz="8" w:space="0" w:color="auto"/>
              <w:right w:val="single" w:sz="8" w:space="0" w:color="auto"/>
            </w:tcBorders>
            <w:shd w:val="clear" w:color="auto" w:fill="auto"/>
            <w:noWrap/>
            <w:vAlign w:val="center"/>
            <w:hideMark/>
          </w:tcPr>
          <w:p w14:paraId="0EA7934C"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29</w:t>
            </w:r>
          </w:p>
        </w:tc>
        <w:tc>
          <w:tcPr>
            <w:tcW w:w="1319" w:type="dxa"/>
            <w:tcBorders>
              <w:top w:val="nil"/>
              <w:left w:val="nil"/>
              <w:bottom w:val="single" w:sz="8" w:space="0" w:color="auto"/>
              <w:right w:val="single" w:sz="8" w:space="0" w:color="auto"/>
            </w:tcBorders>
            <w:shd w:val="clear" w:color="auto" w:fill="auto"/>
            <w:noWrap/>
            <w:vAlign w:val="center"/>
            <w:hideMark/>
          </w:tcPr>
          <w:p w14:paraId="4DCA81AE"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64.44%</w:t>
            </w:r>
          </w:p>
        </w:tc>
        <w:tc>
          <w:tcPr>
            <w:tcW w:w="944" w:type="dxa"/>
            <w:tcBorders>
              <w:top w:val="nil"/>
              <w:left w:val="nil"/>
              <w:bottom w:val="single" w:sz="8" w:space="0" w:color="auto"/>
              <w:right w:val="single" w:sz="8" w:space="0" w:color="auto"/>
            </w:tcBorders>
            <w:shd w:val="clear" w:color="auto" w:fill="auto"/>
            <w:noWrap/>
            <w:vAlign w:val="center"/>
            <w:hideMark/>
          </w:tcPr>
          <w:p w14:paraId="6CDDDD74"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5</w:t>
            </w:r>
          </w:p>
        </w:tc>
        <w:tc>
          <w:tcPr>
            <w:tcW w:w="815" w:type="dxa"/>
            <w:tcBorders>
              <w:top w:val="nil"/>
              <w:left w:val="nil"/>
              <w:bottom w:val="single" w:sz="8" w:space="0" w:color="auto"/>
              <w:right w:val="single" w:sz="8" w:space="0" w:color="auto"/>
            </w:tcBorders>
            <w:shd w:val="clear" w:color="auto" w:fill="auto"/>
            <w:noWrap/>
            <w:vAlign w:val="center"/>
            <w:hideMark/>
          </w:tcPr>
          <w:p w14:paraId="1685A4E7"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33.33%</w:t>
            </w:r>
          </w:p>
        </w:tc>
        <w:tc>
          <w:tcPr>
            <w:tcW w:w="624" w:type="dxa"/>
            <w:tcBorders>
              <w:top w:val="nil"/>
              <w:left w:val="nil"/>
              <w:bottom w:val="single" w:sz="8" w:space="0" w:color="auto"/>
              <w:right w:val="single" w:sz="8" w:space="0" w:color="auto"/>
            </w:tcBorders>
            <w:shd w:val="clear" w:color="auto" w:fill="auto"/>
            <w:noWrap/>
            <w:vAlign w:val="center"/>
            <w:hideMark/>
          </w:tcPr>
          <w:p w14:paraId="2013EBD7"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118</w:t>
            </w:r>
          </w:p>
        </w:tc>
        <w:tc>
          <w:tcPr>
            <w:tcW w:w="1362" w:type="dxa"/>
            <w:tcBorders>
              <w:top w:val="nil"/>
              <w:left w:val="nil"/>
              <w:bottom w:val="single" w:sz="8" w:space="0" w:color="auto"/>
              <w:right w:val="single" w:sz="8" w:space="0" w:color="auto"/>
            </w:tcBorders>
            <w:shd w:val="clear" w:color="auto" w:fill="auto"/>
            <w:noWrap/>
            <w:vAlign w:val="center"/>
            <w:hideMark/>
          </w:tcPr>
          <w:p w14:paraId="374B5A3E"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51.08%</w:t>
            </w:r>
          </w:p>
        </w:tc>
      </w:tr>
      <w:tr w:rsidR="00D467A3" w14:paraId="69D2A543" w14:textId="77777777" w:rsidTr="00D467A3">
        <w:trPr>
          <w:trHeight w:val="192"/>
        </w:trPr>
        <w:tc>
          <w:tcPr>
            <w:tcW w:w="1949" w:type="dxa"/>
            <w:tcBorders>
              <w:top w:val="nil"/>
              <w:left w:val="single" w:sz="8" w:space="0" w:color="auto"/>
              <w:bottom w:val="single" w:sz="8" w:space="0" w:color="auto"/>
              <w:right w:val="single" w:sz="8" w:space="0" w:color="auto"/>
            </w:tcBorders>
            <w:shd w:val="clear" w:color="auto" w:fill="auto"/>
            <w:noWrap/>
            <w:vAlign w:val="center"/>
            <w:hideMark/>
          </w:tcPr>
          <w:p w14:paraId="6BA99002" w14:textId="77777777" w:rsidR="00D467A3" w:rsidRDefault="00D467A3">
            <w:pPr>
              <w:rPr>
                <w:rFonts w:ascii="Calibri" w:hAnsi="Calibri" w:cs="Calibri"/>
                <w:color w:val="000000"/>
                <w:sz w:val="20"/>
                <w:szCs w:val="20"/>
              </w:rPr>
            </w:pPr>
            <w:r>
              <w:rPr>
                <w:rFonts w:ascii="Calibri" w:hAnsi="Calibri" w:cs="Calibri"/>
                <w:color w:val="000000"/>
                <w:sz w:val="20"/>
                <w:szCs w:val="20"/>
              </w:rPr>
              <w:t>Applicant Income Below AMI</w:t>
            </w:r>
          </w:p>
        </w:tc>
        <w:tc>
          <w:tcPr>
            <w:tcW w:w="627" w:type="dxa"/>
            <w:tcBorders>
              <w:top w:val="nil"/>
              <w:left w:val="nil"/>
              <w:bottom w:val="single" w:sz="8" w:space="0" w:color="auto"/>
              <w:right w:val="single" w:sz="8" w:space="0" w:color="auto"/>
            </w:tcBorders>
            <w:shd w:val="clear" w:color="auto" w:fill="auto"/>
            <w:noWrap/>
            <w:vAlign w:val="center"/>
            <w:hideMark/>
          </w:tcPr>
          <w:p w14:paraId="630692E3"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81</w:t>
            </w:r>
          </w:p>
        </w:tc>
        <w:tc>
          <w:tcPr>
            <w:tcW w:w="1180" w:type="dxa"/>
            <w:tcBorders>
              <w:top w:val="nil"/>
              <w:left w:val="nil"/>
              <w:bottom w:val="single" w:sz="8" w:space="0" w:color="auto"/>
              <w:right w:val="single" w:sz="8" w:space="0" w:color="auto"/>
            </w:tcBorders>
            <w:shd w:val="clear" w:color="auto" w:fill="auto"/>
            <w:noWrap/>
            <w:vAlign w:val="center"/>
            <w:hideMark/>
          </w:tcPr>
          <w:p w14:paraId="0E3DF98A"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52.60%</w:t>
            </w:r>
          </w:p>
        </w:tc>
        <w:tc>
          <w:tcPr>
            <w:tcW w:w="488" w:type="dxa"/>
            <w:tcBorders>
              <w:top w:val="nil"/>
              <w:left w:val="nil"/>
              <w:bottom w:val="single" w:sz="8" w:space="0" w:color="auto"/>
              <w:right w:val="single" w:sz="8" w:space="0" w:color="auto"/>
            </w:tcBorders>
            <w:shd w:val="clear" w:color="auto" w:fill="auto"/>
            <w:noWrap/>
            <w:vAlign w:val="center"/>
            <w:hideMark/>
          </w:tcPr>
          <w:p w14:paraId="7A9AEC42"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15</w:t>
            </w:r>
          </w:p>
        </w:tc>
        <w:tc>
          <w:tcPr>
            <w:tcW w:w="1319" w:type="dxa"/>
            <w:tcBorders>
              <w:top w:val="nil"/>
              <w:left w:val="nil"/>
              <w:bottom w:val="single" w:sz="8" w:space="0" w:color="auto"/>
              <w:right w:val="single" w:sz="8" w:space="0" w:color="auto"/>
            </w:tcBorders>
            <w:shd w:val="clear" w:color="auto" w:fill="auto"/>
            <w:noWrap/>
            <w:vAlign w:val="center"/>
            <w:hideMark/>
          </w:tcPr>
          <w:p w14:paraId="2466AAF8"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53.57%</w:t>
            </w:r>
          </w:p>
        </w:tc>
        <w:tc>
          <w:tcPr>
            <w:tcW w:w="547" w:type="dxa"/>
            <w:tcBorders>
              <w:top w:val="nil"/>
              <w:left w:val="nil"/>
              <w:bottom w:val="single" w:sz="8" w:space="0" w:color="auto"/>
              <w:right w:val="single" w:sz="8" w:space="0" w:color="auto"/>
            </w:tcBorders>
            <w:shd w:val="clear" w:color="auto" w:fill="auto"/>
            <w:noWrap/>
            <w:vAlign w:val="center"/>
            <w:hideMark/>
          </w:tcPr>
          <w:p w14:paraId="11B9C3D7"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w:t>
            </w:r>
          </w:p>
        </w:tc>
        <w:tc>
          <w:tcPr>
            <w:tcW w:w="1197" w:type="dxa"/>
            <w:tcBorders>
              <w:top w:val="nil"/>
              <w:left w:val="nil"/>
              <w:bottom w:val="single" w:sz="8" w:space="0" w:color="auto"/>
              <w:right w:val="single" w:sz="8" w:space="0" w:color="auto"/>
            </w:tcBorders>
            <w:shd w:val="clear" w:color="auto" w:fill="auto"/>
            <w:noWrap/>
            <w:vAlign w:val="center"/>
            <w:hideMark/>
          </w:tcPr>
          <w:p w14:paraId="1E9AB71F"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25.00%</w:t>
            </w:r>
          </w:p>
        </w:tc>
        <w:tc>
          <w:tcPr>
            <w:tcW w:w="488" w:type="dxa"/>
            <w:tcBorders>
              <w:top w:val="nil"/>
              <w:left w:val="nil"/>
              <w:bottom w:val="single" w:sz="8" w:space="0" w:color="auto"/>
              <w:right w:val="single" w:sz="8" w:space="0" w:color="auto"/>
            </w:tcBorders>
            <w:shd w:val="clear" w:color="auto" w:fill="auto"/>
            <w:noWrap/>
            <w:vAlign w:val="center"/>
            <w:hideMark/>
          </w:tcPr>
          <w:p w14:paraId="306FD397"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16</w:t>
            </w:r>
          </w:p>
        </w:tc>
        <w:tc>
          <w:tcPr>
            <w:tcW w:w="1319" w:type="dxa"/>
            <w:tcBorders>
              <w:top w:val="nil"/>
              <w:left w:val="nil"/>
              <w:bottom w:val="single" w:sz="8" w:space="0" w:color="auto"/>
              <w:right w:val="single" w:sz="8" w:space="0" w:color="auto"/>
            </w:tcBorders>
            <w:shd w:val="clear" w:color="auto" w:fill="auto"/>
            <w:noWrap/>
            <w:vAlign w:val="center"/>
            <w:hideMark/>
          </w:tcPr>
          <w:p w14:paraId="4D150B97"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35.56%</w:t>
            </w:r>
          </w:p>
        </w:tc>
        <w:tc>
          <w:tcPr>
            <w:tcW w:w="944" w:type="dxa"/>
            <w:tcBorders>
              <w:top w:val="nil"/>
              <w:left w:val="nil"/>
              <w:bottom w:val="single" w:sz="8" w:space="0" w:color="auto"/>
              <w:right w:val="single" w:sz="8" w:space="0" w:color="auto"/>
            </w:tcBorders>
            <w:shd w:val="clear" w:color="auto" w:fill="auto"/>
            <w:noWrap/>
            <w:vAlign w:val="center"/>
            <w:hideMark/>
          </w:tcPr>
          <w:p w14:paraId="3B6A817D"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10</w:t>
            </w:r>
          </w:p>
        </w:tc>
        <w:tc>
          <w:tcPr>
            <w:tcW w:w="815" w:type="dxa"/>
            <w:tcBorders>
              <w:top w:val="nil"/>
              <w:left w:val="nil"/>
              <w:bottom w:val="single" w:sz="8" w:space="0" w:color="auto"/>
              <w:right w:val="single" w:sz="8" w:space="0" w:color="auto"/>
            </w:tcBorders>
            <w:shd w:val="clear" w:color="auto" w:fill="auto"/>
            <w:noWrap/>
            <w:vAlign w:val="center"/>
            <w:hideMark/>
          </w:tcPr>
          <w:p w14:paraId="7FF665E2"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66.67%</w:t>
            </w:r>
          </w:p>
        </w:tc>
        <w:tc>
          <w:tcPr>
            <w:tcW w:w="624" w:type="dxa"/>
            <w:tcBorders>
              <w:top w:val="nil"/>
              <w:left w:val="nil"/>
              <w:bottom w:val="single" w:sz="8" w:space="0" w:color="auto"/>
              <w:right w:val="single" w:sz="8" w:space="0" w:color="auto"/>
            </w:tcBorders>
            <w:shd w:val="clear" w:color="auto" w:fill="auto"/>
            <w:noWrap/>
            <w:vAlign w:val="center"/>
            <w:hideMark/>
          </w:tcPr>
          <w:p w14:paraId="2AAF8843"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113</w:t>
            </w:r>
          </w:p>
        </w:tc>
        <w:tc>
          <w:tcPr>
            <w:tcW w:w="1362" w:type="dxa"/>
            <w:tcBorders>
              <w:top w:val="nil"/>
              <w:left w:val="nil"/>
              <w:bottom w:val="single" w:sz="8" w:space="0" w:color="auto"/>
              <w:right w:val="single" w:sz="8" w:space="0" w:color="auto"/>
            </w:tcBorders>
            <w:shd w:val="clear" w:color="auto" w:fill="auto"/>
            <w:noWrap/>
            <w:vAlign w:val="center"/>
            <w:hideMark/>
          </w:tcPr>
          <w:p w14:paraId="2B0B413E" w14:textId="77777777" w:rsidR="00D467A3" w:rsidRDefault="00D467A3">
            <w:pPr>
              <w:jc w:val="right"/>
              <w:rPr>
                <w:rFonts w:ascii="Calibri" w:hAnsi="Calibri" w:cs="Calibri"/>
                <w:color w:val="000000"/>
                <w:sz w:val="20"/>
                <w:szCs w:val="20"/>
              </w:rPr>
            </w:pPr>
            <w:r>
              <w:rPr>
                <w:rFonts w:ascii="Calibri" w:hAnsi="Calibri" w:cs="Calibri"/>
                <w:color w:val="000000"/>
                <w:sz w:val="20"/>
                <w:szCs w:val="20"/>
              </w:rPr>
              <w:t>48.92%</w:t>
            </w:r>
          </w:p>
        </w:tc>
      </w:tr>
    </w:tbl>
    <w:p w14:paraId="1ED4B2CB" w14:textId="77777777" w:rsidR="00DE644C" w:rsidRDefault="00DE644C" w:rsidP="00DE644C">
      <w:pPr>
        <w:rPr>
          <w:rFonts w:eastAsiaTheme="minorEastAsia"/>
          <w:sz w:val="16"/>
          <w:szCs w:val="16"/>
        </w:rPr>
      </w:pPr>
      <w:r w:rsidRPr="008913DE">
        <w:rPr>
          <w:rFonts w:eastAsiaTheme="minorEastAsia"/>
          <w:sz w:val="16"/>
          <w:szCs w:val="16"/>
        </w:rPr>
        <w:t>Source: FFIEC HMDA</w:t>
      </w:r>
    </w:p>
    <w:p w14:paraId="43E8274F" w14:textId="743D7104" w:rsidR="00DE644C" w:rsidRPr="00DE644C" w:rsidRDefault="00DE644C" w:rsidP="00DE644C">
      <w:pPr>
        <w:sectPr w:rsidR="00DE644C" w:rsidRPr="00DE644C" w:rsidSect="008913DE">
          <w:pgSz w:w="15840" w:h="12240" w:orient="landscape"/>
          <w:pgMar w:top="1440" w:right="1440" w:bottom="1440" w:left="1440" w:header="720" w:footer="720" w:gutter="0"/>
          <w:cols w:space="720"/>
          <w:docGrid w:linePitch="360"/>
        </w:sectPr>
      </w:pPr>
    </w:p>
    <w:p w14:paraId="2D3A5FA0" w14:textId="0E789B3D" w:rsidR="003F5EBB" w:rsidRPr="003F5EBB" w:rsidRDefault="003F5EBB" w:rsidP="0039740D">
      <w:pPr>
        <w:pStyle w:val="Heading3"/>
      </w:pPr>
      <w:bookmarkStart w:id="107" w:name="_Toc66807955"/>
      <w:r w:rsidRPr="003F5EBB">
        <w:lastRenderedPageBreak/>
        <w:t>High-Cost Lending Practices</w:t>
      </w:r>
      <w:bookmarkEnd w:id="106"/>
      <w:bookmarkEnd w:id="107"/>
    </w:p>
    <w:p w14:paraId="33735AF0" w14:textId="2C87F323" w:rsidR="003F5EBB" w:rsidRDefault="003F5EBB" w:rsidP="0039740D">
      <w:pPr>
        <w:rPr>
          <w:rFonts w:eastAsiaTheme="minorEastAsia"/>
        </w:rPr>
      </w:pPr>
      <w:r w:rsidRPr="003F5EBB">
        <w:rPr>
          <w:rFonts w:eastAsiaTheme="minorEastAsia"/>
        </w:rPr>
        <w:t xml:space="preserve">The widespread housing finance market crisis of </w:t>
      </w:r>
      <w:r w:rsidR="00F35821">
        <w:rPr>
          <w:rFonts w:eastAsiaTheme="minorEastAsia"/>
        </w:rPr>
        <w:t>2007-2009</w:t>
      </w:r>
      <w:r w:rsidRPr="003F5EBB">
        <w:rPr>
          <w:rFonts w:eastAsiaTheme="minorEastAsia"/>
        </w:rPr>
        <w:t xml:space="preserve"> brought a new level of public attention to lending practices that victimize vulnerable populations. Subprime lending, designed for borrowers who are considered a credit risk, increased the availability of credit to low-income persons. At the same time, subprime lending often exploited borrowers, piling on excessive fees, penalties and interest rates that make financial stability difficult to achieve. Higher monthly mortgage payments make housing less affordable, increasing the risk of mortgage delinquency and foreclosure and the likelihood that properties will fall into disrepair.</w:t>
      </w:r>
    </w:p>
    <w:p w14:paraId="76874FF7" w14:textId="77777777" w:rsidR="00F35821" w:rsidRPr="003F5EBB" w:rsidRDefault="00F35821" w:rsidP="0039740D">
      <w:pPr>
        <w:rPr>
          <w:rFonts w:eastAsiaTheme="minorEastAsia"/>
        </w:rPr>
      </w:pPr>
    </w:p>
    <w:p w14:paraId="6B746C8C" w14:textId="1D17E775" w:rsidR="003F5EBB" w:rsidRDefault="003F5EBB" w:rsidP="003B576C">
      <w:pPr>
        <w:rPr>
          <w:rFonts w:eastAsiaTheme="minorEastAsia"/>
        </w:rPr>
      </w:pPr>
      <w:r w:rsidRPr="003F5EBB">
        <w:rPr>
          <w:rFonts w:eastAsiaTheme="minorEastAsia"/>
        </w:rPr>
        <w:t>Some subprime borrowers have credit scores, income levels and down payments high enough to qualify for conventional, prime loans, but are nonetheless steered toward more expensive subprime mortgages. This is especially true of minority groups, which tend to fall disproportionately into the category of subprime borrowers.  The practice of targeting minorities for subprime lending qualifies as mortgage discrimination.</w:t>
      </w:r>
    </w:p>
    <w:p w14:paraId="3917457A" w14:textId="77777777" w:rsidR="003B576C" w:rsidRPr="003F5EBB" w:rsidRDefault="003B576C" w:rsidP="003B576C">
      <w:pPr>
        <w:rPr>
          <w:rFonts w:eastAsiaTheme="minorEastAsia"/>
        </w:rPr>
      </w:pPr>
    </w:p>
    <w:p w14:paraId="6C751C03" w14:textId="0C99BE4D" w:rsidR="003F5EBB" w:rsidRDefault="003F5EBB" w:rsidP="003B576C">
      <w:pPr>
        <w:rPr>
          <w:rFonts w:eastAsiaTheme="minorEastAsia"/>
        </w:rPr>
      </w:pPr>
      <w:r w:rsidRPr="003F5EBB">
        <w:rPr>
          <w:rFonts w:eastAsiaTheme="minorEastAsia"/>
        </w:rPr>
        <w:t xml:space="preserve">Since 2005, Housing Mortgage Disclosure Act data has included price information for loans priced above reporting thresholds set by the Federal Reserve Board. This data is provided by lenders via Loan Application Registers and can be aggregated to complete an analysis of loans by lender or for a specified geographic area. HMDA does not require lenders to report credit scores for applicants, so the data does not indicate which loans are subprime. It does, however, provide price information for loans considered “high-cost.” </w:t>
      </w:r>
    </w:p>
    <w:p w14:paraId="012645B3" w14:textId="77777777" w:rsidR="003B576C" w:rsidRPr="003F5EBB" w:rsidRDefault="003B576C" w:rsidP="003B576C">
      <w:pPr>
        <w:rPr>
          <w:rFonts w:eastAsiaTheme="minorEastAsia"/>
        </w:rPr>
      </w:pPr>
    </w:p>
    <w:p w14:paraId="63C08152" w14:textId="3A0831F2" w:rsidR="003F5EBB" w:rsidRPr="003F5EBB" w:rsidRDefault="003F5EBB" w:rsidP="003B576C">
      <w:pPr>
        <w:rPr>
          <w:rFonts w:eastAsiaTheme="minorEastAsia"/>
        </w:rPr>
      </w:pPr>
      <w:r w:rsidRPr="003F5EBB">
        <w:rPr>
          <w:rFonts w:eastAsiaTheme="minorEastAsia"/>
        </w:rPr>
        <w:t>A loan is considered high</w:t>
      </w:r>
      <w:r w:rsidR="00983F4D">
        <w:rPr>
          <w:rFonts w:eastAsiaTheme="minorEastAsia"/>
        </w:rPr>
        <w:t xml:space="preserve"> </w:t>
      </w:r>
      <w:r w:rsidRPr="003F5EBB">
        <w:rPr>
          <w:rFonts w:eastAsiaTheme="minorEastAsia"/>
        </w:rPr>
        <w:t>cost if it meets one of the following criteria:</w:t>
      </w:r>
    </w:p>
    <w:p w14:paraId="7AB8D1E2" w14:textId="7A86AC5F" w:rsidR="003B576C" w:rsidRPr="000A2E05" w:rsidRDefault="003F5EBB" w:rsidP="007A55D1">
      <w:pPr>
        <w:pStyle w:val="ListParagraph"/>
        <w:numPr>
          <w:ilvl w:val="0"/>
          <w:numId w:val="4"/>
        </w:numPr>
        <w:rPr>
          <w:rFonts w:eastAsiaTheme="minorEastAsia"/>
          <w:sz w:val="24"/>
        </w:rPr>
      </w:pPr>
      <w:r w:rsidRPr="000A2E05">
        <w:rPr>
          <w:rFonts w:eastAsiaTheme="minorEastAsia"/>
          <w:sz w:val="24"/>
        </w:rPr>
        <w:t>A first-lien loan with an interest rate at least three percentage points higher than the prevailing U.S. Treasury standard at the time the loan application was filed. The standard is equal to the current price of comparable-maturity Treasury securities.</w:t>
      </w:r>
    </w:p>
    <w:p w14:paraId="5F9E695D" w14:textId="77777777" w:rsidR="003F5EBB" w:rsidRPr="000A2E05" w:rsidRDefault="003F5EBB" w:rsidP="007A55D1">
      <w:pPr>
        <w:pStyle w:val="ListParagraph"/>
        <w:numPr>
          <w:ilvl w:val="0"/>
          <w:numId w:val="4"/>
        </w:numPr>
        <w:rPr>
          <w:rFonts w:eastAsiaTheme="minorEastAsia"/>
          <w:sz w:val="24"/>
        </w:rPr>
      </w:pPr>
      <w:r w:rsidRPr="000A2E05">
        <w:rPr>
          <w:rFonts w:eastAsiaTheme="minorEastAsia"/>
          <w:sz w:val="24"/>
        </w:rPr>
        <w:t>A second-lien loan with an interest rate at least five percentage points higher than the standard.</w:t>
      </w:r>
    </w:p>
    <w:p w14:paraId="34E62AB9" w14:textId="77777777" w:rsidR="003B576C" w:rsidRDefault="003B576C" w:rsidP="003B576C">
      <w:pPr>
        <w:rPr>
          <w:rFonts w:eastAsiaTheme="minorEastAsia"/>
        </w:rPr>
      </w:pPr>
    </w:p>
    <w:p w14:paraId="5B3D08FF" w14:textId="5FF1803E" w:rsidR="003F5EBB" w:rsidRDefault="003F5EBB" w:rsidP="00DE644C">
      <w:pPr>
        <w:spacing w:after="240"/>
        <w:rPr>
          <w:rFonts w:eastAsiaTheme="minorEastAsia"/>
        </w:rPr>
      </w:pPr>
      <w:r w:rsidRPr="003F5EBB">
        <w:rPr>
          <w:rFonts w:eastAsiaTheme="minorEastAsia"/>
        </w:rPr>
        <w:t>Not all loans carrying high APRs are subprime, and not all subprime loans carry high APRs. However, high-cost lending is a strong predictor of subprime lending, and it can also indicate a loan that applies a heavy cost burden on the borrower, increasing the risk of mortgage delinquency.</w:t>
      </w:r>
    </w:p>
    <w:p w14:paraId="4ED1AC61" w14:textId="02D3DE16" w:rsidR="00DE644C" w:rsidRPr="003F5EBB" w:rsidRDefault="009A1262" w:rsidP="00DE644C">
      <w:pPr>
        <w:spacing w:after="240"/>
        <w:rPr>
          <w:rFonts w:eastAsiaTheme="minorEastAsia"/>
        </w:rPr>
      </w:pPr>
      <w:r>
        <w:rPr>
          <w:rFonts w:eastAsiaTheme="minorEastAsia"/>
        </w:rPr>
        <w:t>O</w:t>
      </w:r>
      <w:r w:rsidR="00DE644C" w:rsidRPr="00DE644C">
        <w:rPr>
          <w:rFonts w:eastAsiaTheme="minorEastAsia"/>
        </w:rPr>
        <w:t>riginations of high</w:t>
      </w:r>
      <w:r w:rsidR="007941E7">
        <w:rPr>
          <w:rFonts w:eastAsiaTheme="minorEastAsia"/>
        </w:rPr>
        <w:t>-</w:t>
      </w:r>
      <w:r w:rsidR="00DE644C" w:rsidRPr="00DE644C">
        <w:rPr>
          <w:rFonts w:eastAsiaTheme="minorEastAsia"/>
        </w:rPr>
        <w:t>cost loans</w:t>
      </w:r>
      <w:r>
        <w:rPr>
          <w:rFonts w:eastAsiaTheme="minorEastAsia"/>
        </w:rPr>
        <w:t xml:space="preserve"> show </w:t>
      </w:r>
      <w:r w:rsidRPr="00DE644C">
        <w:rPr>
          <w:rFonts w:eastAsiaTheme="minorEastAsia"/>
        </w:rPr>
        <w:t>differences by race and ethnicity</w:t>
      </w:r>
      <w:r w:rsidR="00DE644C" w:rsidRPr="00DE644C">
        <w:rPr>
          <w:rFonts w:eastAsiaTheme="minorEastAsia"/>
        </w:rPr>
        <w:t xml:space="preserve">. </w:t>
      </w:r>
      <w:r>
        <w:rPr>
          <w:rFonts w:eastAsiaTheme="minorEastAsia"/>
        </w:rPr>
        <w:t>However, the small sample size makes it difficult to infer if these groups are disproportionately impacted by high</w:t>
      </w:r>
      <w:r w:rsidR="007941E7">
        <w:rPr>
          <w:rFonts w:eastAsiaTheme="minorEastAsia"/>
        </w:rPr>
        <w:t>-</w:t>
      </w:r>
      <w:r>
        <w:rPr>
          <w:rFonts w:eastAsiaTheme="minorEastAsia"/>
        </w:rPr>
        <w:t xml:space="preserve">cost loans. </w:t>
      </w:r>
      <w:r w:rsidR="00DE644C" w:rsidRPr="00DE644C">
        <w:rPr>
          <w:rFonts w:eastAsiaTheme="minorEastAsia"/>
        </w:rPr>
        <w:t>The overall rate of high</w:t>
      </w:r>
      <w:r w:rsidR="007941E7">
        <w:rPr>
          <w:rFonts w:eastAsiaTheme="minorEastAsia"/>
        </w:rPr>
        <w:t>-</w:t>
      </w:r>
      <w:r w:rsidR="00DE644C" w:rsidRPr="00DE644C">
        <w:rPr>
          <w:rFonts w:eastAsiaTheme="minorEastAsia"/>
        </w:rPr>
        <w:t>cost loan originations</w:t>
      </w:r>
      <w:r>
        <w:rPr>
          <w:rFonts w:eastAsiaTheme="minorEastAsia"/>
        </w:rPr>
        <w:t xml:space="preserve"> between 2017 and 2019</w:t>
      </w:r>
      <w:r w:rsidR="00DE644C" w:rsidRPr="00DE644C">
        <w:rPr>
          <w:rFonts w:eastAsiaTheme="minorEastAsia"/>
        </w:rPr>
        <w:t xml:space="preserve"> was low in </w:t>
      </w:r>
      <w:r w:rsidR="00DE644C">
        <w:rPr>
          <w:rFonts w:eastAsiaTheme="minorEastAsia"/>
        </w:rPr>
        <w:t>North Carolina</w:t>
      </w:r>
      <w:r w:rsidR="00DE644C" w:rsidRPr="00DE644C">
        <w:rPr>
          <w:rFonts w:eastAsiaTheme="minorEastAsia"/>
        </w:rPr>
        <w:t xml:space="preserve">; only </w:t>
      </w:r>
      <w:r w:rsidR="00DE644C">
        <w:rPr>
          <w:rFonts w:eastAsiaTheme="minorEastAsia"/>
        </w:rPr>
        <w:t>0.02</w:t>
      </w:r>
      <w:r w:rsidR="00DE644C" w:rsidRPr="00DE644C">
        <w:rPr>
          <w:rFonts w:eastAsiaTheme="minorEastAsia"/>
        </w:rPr>
        <w:t>% of originated loans were high</w:t>
      </w:r>
      <w:r w:rsidR="007941E7">
        <w:rPr>
          <w:rFonts w:eastAsiaTheme="minorEastAsia"/>
        </w:rPr>
        <w:t>-</w:t>
      </w:r>
      <w:r w:rsidR="00DE644C" w:rsidRPr="00DE644C">
        <w:rPr>
          <w:rFonts w:eastAsiaTheme="minorEastAsia"/>
        </w:rPr>
        <w:t xml:space="preserve">cost loans. </w:t>
      </w:r>
      <w:r w:rsidR="00DE644C">
        <w:rPr>
          <w:rFonts w:eastAsiaTheme="minorEastAsia"/>
        </w:rPr>
        <w:t>Rates of high</w:t>
      </w:r>
      <w:r w:rsidR="007941E7">
        <w:rPr>
          <w:rFonts w:eastAsiaTheme="minorEastAsia"/>
        </w:rPr>
        <w:t>-</w:t>
      </w:r>
      <w:r w:rsidR="00DE644C">
        <w:rPr>
          <w:rFonts w:eastAsiaTheme="minorEastAsia"/>
        </w:rPr>
        <w:t xml:space="preserve">cost loans were also low across race and ethnicity. When </w:t>
      </w:r>
      <w:r w:rsidR="004A4A33">
        <w:rPr>
          <w:rFonts w:eastAsiaTheme="minorEastAsia"/>
        </w:rPr>
        <w:t>considering</w:t>
      </w:r>
      <w:r w:rsidR="00DE644C">
        <w:rPr>
          <w:rFonts w:eastAsiaTheme="minorEastAsia"/>
        </w:rPr>
        <w:t xml:space="preserve"> income, there appears to similar rates of high</w:t>
      </w:r>
      <w:r w:rsidR="007941E7">
        <w:rPr>
          <w:rFonts w:eastAsiaTheme="minorEastAsia"/>
        </w:rPr>
        <w:t>-</w:t>
      </w:r>
      <w:r w:rsidR="00DE644C">
        <w:rPr>
          <w:rFonts w:eastAsiaTheme="minorEastAsia"/>
        </w:rPr>
        <w:t>cost loans for recipients above and below area median income across the state. However, when broken down by race and ethnicity, Hispanic</w:t>
      </w:r>
      <w:r w:rsidR="00670EE0">
        <w:rPr>
          <w:rFonts w:eastAsiaTheme="minorEastAsia"/>
        </w:rPr>
        <w:t xml:space="preserve"> applicant</w:t>
      </w:r>
      <w:r w:rsidR="004D5DA2">
        <w:rPr>
          <w:rFonts w:eastAsiaTheme="minorEastAsia"/>
        </w:rPr>
        <w:t xml:space="preserve">s with </w:t>
      </w:r>
      <w:r w:rsidR="00670EE0">
        <w:rPr>
          <w:rFonts w:eastAsiaTheme="minorEastAsia"/>
        </w:rPr>
        <w:t xml:space="preserve">incomes </w:t>
      </w:r>
      <w:r w:rsidR="004D5DA2">
        <w:rPr>
          <w:rFonts w:eastAsiaTheme="minorEastAsia"/>
        </w:rPr>
        <w:t>below</w:t>
      </w:r>
      <w:r w:rsidR="00670EE0">
        <w:rPr>
          <w:rFonts w:eastAsiaTheme="minorEastAsia"/>
        </w:rPr>
        <w:t xml:space="preserve"> AMI and Asian applicants with incomes </w:t>
      </w:r>
      <w:r w:rsidR="00D467A3">
        <w:rPr>
          <w:rFonts w:eastAsiaTheme="minorEastAsia"/>
        </w:rPr>
        <w:t xml:space="preserve">above AMI Asian </w:t>
      </w:r>
      <w:r w:rsidR="00670EE0">
        <w:rPr>
          <w:rFonts w:eastAsiaTheme="minorEastAsia"/>
        </w:rPr>
        <w:t>ha</w:t>
      </w:r>
      <w:r w:rsidR="00DE644C">
        <w:rPr>
          <w:rFonts w:eastAsiaTheme="minorEastAsia"/>
        </w:rPr>
        <w:t>d much higher rates of high</w:t>
      </w:r>
      <w:r w:rsidR="007941E7">
        <w:rPr>
          <w:rFonts w:eastAsiaTheme="minorEastAsia"/>
        </w:rPr>
        <w:t>-</w:t>
      </w:r>
      <w:r w:rsidR="00DE644C">
        <w:rPr>
          <w:rFonts w:eastAsiaTheme="minorEastAsia"/>
        </w:rPr>
        <w:t xml:space="preserve">cost loans. </w:t>
      </w:r>
    </w:p>
    <w:p w14:paraId="4F8F1446" w14:textId="77777777" w:rsidR="003F5EBB" w:rsidRPr="003F5EBB" w:rsidRDefault="003F5EBB" w:rsidP="003B576C">
      <w:pPr>
        <w:rPr>
          <w:rFonts w:eastAsiaTheme="minorEastAsia"/>
        </w:rPr>
      </w:pPr>
    </w:p>
    <w:p w14:paraId="3F09A203" w14:textId="77777777" w:rsidR="003F5EBB" w:rsidRPr="003F5EBB" w:rsidRDefault="003F5EBB" w:rsidP="003F5EBB">
      <w:pPr>
        <w:spacing w:after="160" w:line="276" w:lineRule="auto"/>
        <w:rPr>
          <w:rFonts w:asciiTheme="majorHAnsi" w:eastAsiaTheme="majorEastAsia" w:hAnsiTheme="majorHAnsi" w:cstheme="majorBidi"/>
          <w:color w:val="262626" w:themeColor="text1" w:themeTint="D9"/>
          <w:sz w:val="40"/>
          <w:szCs w:val="40"/>
        </w:rPr>
      </w:pPr>
      <w:r w:rsidRPr="003F5EBB">
        <w:rPr>
          <w:rFonts w:asciiTheme="minorHAnsi" w:eastAsiaTheme="minorEastAsia" w:hAnsiTheme="minorHAnsi" w:cstheme="minorBidi"/>
          <w:sz w:val="22"/>
          <w:szCs w:val="21"/>
        </w:rPr>
        <w:br w:type="page"/>
      </w:r>
    </w:p>
    <w:p w14:paraId="6F992C19" w14:textId="121AFDF9" w:rsidR="003F5EBB" w:rsidRPr="003F5EBB" w:rsidRDefault="00C31307" w:rsidP="00F73E68">
      <w:pPr>
        <w:pStyle w:val="Heading1"/>
      </w:pPr>
      <w:bookmarkStart w:id="108" w:name="_Toc47640001"/>
      <w:bookmarkStart w:id="109" w:name="_Toc66807956"/>
      <w:r>
        <w:lastRenderedPageBreak/>
        <w:t>Fair Housing Action Plan</w:t>
      </w:r>
      <w:bookmarkEnd w:id="108"/>
      <w:bookmarkEnd w:id="109"/>
    </w:p>
    <w:p w14:paraId="623DA135" w14:textId="46FD2FB8" w:rsidR="003F5EBB" w:rsidRDefault="008A52A0" w:rsidP="009F1D8F">
      <w:pPr>
        <w:spacing w:before="120" w:after="120"/>
        <w:rPr>
          <w:rFonts w:eastAsiaTheme="minorEastAsia"/>
        </w:rPr>
      </w:pPr>
      <w:r>
        <w:rPr>
          <w:rFonts w:eastAsiaTheme="minorEastAsia"/>
        </w:rPr>
        <w:t>The Fair Housing Action Plan includes a list of impediments to fair housing choice identified through the AI proce</w:t>
      </w:r>
      <w:r w:rsidR="008F7804">
        <w:rPr>
          <w:rFonts w:eastAsiaTheme="minorEastAsia"/>
        </w:rPr>
        <w:t xml:space="preserve">ss. This section of the AI lists each impediment and discusses briefly </w:t>
      </w:r>
      <w:r w:rsidR="003B613A">
        <w:rPr>
          <w:rFonts w:eastAsiaTheme="minorEastAsia"/>
        </w:rPr>
        <w:t xml:space="preserve">why it is a barrier to fair housing. </w:t>
      </w:r>
      <w:r w:rsidR="003746DF">
        <w:rPr>
          <w:rFonts w:eastAsiaTheme="minorEastAsia"/>
        </w:rPr>
        <w:t xml:space="preserve">Actions are recommended for each impediment along with measurable objectives to mark progress achieved. </w:t>
      </w:r>
      <w:r w:rsidR="00F06323">
        <w:rPr>
          <w:rFonts w:eastAsiaTheme="minorEastAsia"/>
        </w:rPr>
        <w:t xml:space="preserve">Most of the impediments </w:t>
      </w:r>
      <w:r w:rsidR="008118EC">
        <w:rPr>
          <w:rFonts w:eastAsiaTheme="minorEastAsia"/>
        </w:rPr>
        <w:t xml:space="preserve">listed below have been carried over from the 2015 AI as they remain relevant today. This is logical given that </w:t>
      </w:r>
      <w:r w:rsidR="00E8309F">
        <w:rPr>
          <w:rFonts w:eastAsiaTheme="minorEastAsia"/>
        </w:rPr>
        <w:t xml:space="preserve">the trends and conditions underlying the impediments occurred over decades and cannot be resolved </w:t>
      </w:r>
      <w:r w:rsidR="004A39E9">
        <w:rPr>
          <w:rFonts w:eastAsiaTheme="minorEastAsia"/>
        </w:rPr>
        <w:t>fully with</w:t>
      </w:r>
      <w:r w:rsidR="00E8309F">
        <w:rPr>
          <w:rFonts w:eastAsiaTheme="minorEastAsia"/>
        </w:rPr>
        <w:t>in five years.</w:t>
      </w:r>
    </w:p>
    <w:p w14:paraId="7A1C83F3" w14:textId="77777777" w:rsidR="00931427" w:rsidRDefault="00931427" w:rsidP="009F1D8F">
      <w:pPr>
        <w:spacing w:before="120" w:after="120"/>
        <w:rPr>
          <w:rFonts w:eastAsiaTheme="minorEastAsia"/>
        </w:rPr>
      </w:pPr>
    </w:p>
    <w:tbl>
      <w:tblPr>
        <w:tblStyle w:val="TableGrid"/>
        <w:tblW w:w="0" w:type="auto"/>
        <w:tblLook w:val="04A0" w:firstRow="1" w:lastRow="0" w:firstColumn="1" w:lastColumn="0" w:noHBand="0" w:noVBand="1"/>
      </w:tblPr>
      <w:tblGrid>
        <w:gridCol w:w="9350"/>
      </w:tblGrid>
      <w:tr w:rsidR="00712E93" w14:paraId="52694D4B" w14:textId="77777777" w:rsidTr="005409D2">
        <w:tc>
          <w:tcPr>
            <w:tcW w:w="9350" w:type="dxa"/>
            <w:tcBorders>
              <w:top w:val="nil"/>
              <w:left w:val="nil"/>
              <w:bottom w:val="nil"/>
              <w:right w:val="nil"/>
            </w:tcBorders>
            <w:shd w:val="clear" w:color="auto" w:fill="C45911" w:themeFill="accent2" w:themeFillShade="BF"/>
          </w:tcPr>
          <w:p w14:paraId="2AAD38D0" w14:textId="0DFE9FBA" w:rsidR="00712E93" w:rsidRPr="00931427" w:rsidRDefault="00712E93" w:rsidP="009F1D8F">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sidR="00AF7309">
              <w:rPr>
                <w:rFonts w:ascii="Arial" w:eastAsiaTheme="minorEastAsia" w:hAnsi="Arial" w:cs="Arial"/>
                <w:b/>
                <w:bCs/>
                <w:color w:val="FFFFFF" w:themeColor="background1"/>
                <w:sz w:val="22"/>
                <w:szCs w:val="22"/>
              </w:rPr>
              <w:t xml:space="preserve"> A</w:t>
            </w:r>
            <w:r w:rsidRPr="00931427">
              <w:rPr>
                <w:rFonts w:ascii="Arial" w:eastAsiaTheme="minorEastAsia" w:hAnsi="Arial" w:cs="Arial"/>
                <w:b/>
                <w:bCs/>
                <w:color w:val="FFFFFF" w:themeColor="background1"/>
                <w:sz w:val="22"/>
                <w:szCs w:val="22"/>
              </w:rPr>
              <w:t xml:space="preserve">: Expand fair housing awareness and compliance </w:t>
            </w:r>
            <w:r w:rsidR="00931427" w:rsidRPr="00931427">
              <w:rPr>
                <w:rFonts w:ascii="Arial" w:eastAsiaTheme="minorEastAsia" w:hAnsi="Arial" w:cs="Arial"/>
                <w:b/>
                <w:bCs/>
                <w:color w:val="FFFFFF" w:themeColor="background1"/>
                <w:sz w:val="22"/>
                <w:szCs w:val="22"/>
              </w:rPr>
              <w:t>to preserve and expand housing choice for members of the protected classes.</w:t>
            </w:r>
          </w:p>
        </w:tc>
      </w:tr>
    </w:tbl>
    <w:p w14:paraId="4EF2856A" w14:textId="46EA8D3F" w:rsidR="00B8524F" w:rsidRDefault="002761BB" w:rsidP="009F1D8F">
      <w:pPr>
        <w:spacing w:before="120" w:after="120"/>
        <w:rPr>
          <w:rFonts w:eastAsiaTheme="minorEastAsia"/>
        </w:rPr>
      </w:pPr>
      <w:r w:rsidRPr="0014132B">
        <w:rPr>
          <w:rFonts w:ascii="Arial" w:eastAsiaTheme="minorEastAsia" w:hAnsi="Arial" w:cs="Arial"/>
          <w:b/>
          <w:bCs/>
          <w:color w:val="C45911" w:themeColor="accent2" w:themeShade="BF"/>
          <w:sz w:val="22"/>
          <w:szCs w:val="22"/>
        </w:rPr>
        <w:t xml:space="preserve">Impediment </w:t>
      </w:r>
      <w:r w:rsidR="00AF7309">
        <w:rPr>
          <w:rFonts w:ascii="Arial" w:eastAsiaTheme="minorEastAsia" w:hAnsi="Arial" w:cs="Arial"/>
          <w:b/>
          <w:bCs/>
          <w:color w:val="C45911" w:themeColor="accent2" w:themeShade="BF"/>
          <w:sz w:val="22"/>
          <w:szCs w:val="22"/>
        </w:rPr>
        <w:t>A.</w:t>
      </w:r>
      <w:r w:rsidR="00524CBC">
        <w:rPr>
          <w:rFonts w:ascii="Arial" w:eastAsiaTheme="minorEastAsia" w:hAnsi="Arial" w:cs="Arial"/>
          <w:b/>
          <w:bCs/>
          <w:color w:val="C45911" w:themeColor="accent2" w:themeShade="BF"/>
          <w:sz w:val="22"/>
          <w:szCs w:val="22"/>
        </w:rPr>
        <w:t>1</w:t>
      </w:r>
      <w:r w:rsidRPr="0014132B">
        <w:rPr>
          <w:rFonts w:ascii="Arial" w:eastAsiaTheme="minorEastAsia" w:hAnsi="Arial" w:cs="Arial"/>
          <w:b/>
          <w:bCs/>
          <w:color w:val="C45911" w:themeColor="accent2" w:themeShade="BF"/>
          <w:sz w:val="22"/>
          <w:szCs w:val="22"/>
        </w:rPr>
        <w:t>:</w:t>
      </w:r>
      <w:r w:rsidR="0014132B" w:rsidRPr="0014132B">
        <w:rPr>
          <w:rFonts w:ascii="Arial" w:eastAsiaTheme="minorEastAsia" w:hAnsi="Arial" w:cs="Arial"/>
          <w:b/>
          <w:bCs/>
          <w:color w:val="C45911" w:themeColor="accent2" w:themeShade="BF"/>
          <w:sz w:val="22"/>
          <w:szCs w:val="22"/>
        </w:rPr>
        <w:t xml:space="preserve"> </w:t>
      </w:r>
      <w:r w:rsidRPr="0014132B">
        <w:rPr>
          <w:rFonts w:ascii="Arial" w:eastAsiaTheme="minorEastAsia" w:hAnsi="Arial" w:cs="Arial"/>
          <w:b/>
          <w:bCs/>
          <w:color w:val="C45911" w:themeColor="accent2" w:themeShade="BF"/>
          <w:sz w:val="22"/>
          <w:szCs w:val="22"/>
        </w:rPr>
        <w:t xml:space="preserve">Discrimination in the rental housing market </w:t>
      </w:r>
      <w:r w:rsidR="00547C0F">
        <w:rPr>
          <w:rFonts w:ascii="Arial" w:eastAsiaTheme="minorEastAsia" w:hAnsi="Arial" w:cs="Arial"/>
          <w:b/>
          <w:bCs/>
          <w:color w:val="C45911" w:themeColor="accent2" w:themeShade="BF"/>
          <w:sz w:val="22"/>
          <w:szCs w:val="22"/>
        </w:rPr>
        <w:t>persist</w:t>
      </w:r>
      <w:r w:rsidR="00076EBB">
        <w:rPr>
          <w:rFonts w:ascii="Arial" w:eastAsiaTheme="minorEastAsia" w:hAnsi="Arial" w:cs="Arial"/>
          <w:b/>
          <w:bCs/>
          <w:color w:val="C45911" w:themeColor="accent2" w:themeShade="BF"/>
          <w:sz w:val="22"/>
          <w:szCs w:val="22"/>
        </w:rPr>
        <w:t>s</w:t>
      </w:r>
      <w:r w:rsidRPr="0014132B">
        <w:rPr>
          <w:rFonts w:ascii="Arial" w:eastAsiaTheme="minorEastAsia" w:hAnsi="Arial" w:cs="Arial"/>
          <w:b/>
          <w:bCs/>
          <w:color w:val="C45911" w:themeColor="accent2" w:themeShade="BF"/>
          <w:sz w:val="22"/>
          <w:szCs w:val="22"/>
        </w:rPr>
        <w:t xml:space="preserve"> </w:t>
      </w:r>
      <w:r w:rsidR="00AB311E" w:rsidRPr="0014132B">
        <w:rPr>
          <w:rFonts w:ascii="Arial" w:eastAsiaTheme="minorEastAsia" w:hAnsi="Arial" w:cs="Arial"/>
          <w:b/>
          <w:bCs/>
          <w:color w:val="C45911" w:themeColor="accent2" w:themeShade="BF"/>
          <w:sz w:val="22"/>
          <w:szCs w:val="22"/>
        </w:rPr>
        <w:t xml:space="preserve">with </w:t>
      </w:r>
      <w:r w:rsidR="00A951EC" w:rsidRPr="0014132B">
        <w:rPr>
          <w:rFonts w:ascii="Arial" w:eastAsiaTheme="minorEastAsia" w:hAnsi="Arial" w:cs="Arial"/>
          <w:b/>
          <w:bCs/>
          <w:color w:val="C45911" w:themeColor="accent2" w:themeShade="BF"/>
          <w:sz w:val="22"/>
          <w:szCs w:val="22"/>
        </w:rPr>
        <w:t xml:space="preserve">disability and </w:t>
      </w:r>
      <w:r w:rsidR="006F5637" w:rsidRPr="0014132B">
        <w:rPr>
          <w:rFonts w:ascii="Arial" w:eastAsiaTheme="minorEastAsia" w:hAnsi="Arial" w:cs="Arial"/>
          <w:b/>
          <w:bCs/>
          <w:color w:val="C45911" w:themeColor="accent2" w:themeShade="BF"/>
          <w:sz w:val="22"/>
          <w:szCs w:val="22"/>
        </w:rPr>
        <w:t xml:space="preserve">race as the two most </w:t>
      </w:r>
      <w:r w:rsidR="00283896">
        <w:rPr>
          <w:rFonts w:ascii="Arial" w:eastAsiaTheme="minorEastAsia" w:hAnsi="Arial" w:cs="Arial"/>
          <w:b/>
          <w:bCs/>
          <w:color w:val="C45911" w:themeColor="accent2" w:themeShade="BF"/>
          <w:sz w:val="22"/>
          <w:szCs w:val="22"/>
        </w:rPr>
        <w:t xml:space="preserve">often </w:t>
      </w:r>
      <w:r w:rsidR="006F5637" w:rsidRPr="0014132B">
        <w:rPr>
          <w:rFonts w:ascii="Arial" w:eastAsiaTheme="minorEastAsia" w:hAnsi="Arial" w:cs="Arial"/>
          <w:b/>
          <w:bCs/>
          <w:color w:val="C45911" w:themeColor="accent2" w:themeShade="BF"/>
          <w:sz w:val="22"/>
          <w:szCs w:val="22"/>
        </w:rPr>
        <w:t>cited alleged bases of discrimination</w:t>
      </w:r>
      <w:r w:rsidR="00954193" w:rsidRPr="0014132B">
        <w:rPr>
          <w:rFonts w:ascii="Arial" w:eastAsiaTheme="minorEastAsia" w:hAnsi="Arial" w:cs="Arial"/>
          <w:b/>
          <w:bCs/>
          <w:color w:val="C45911" w:themeColor="accent2" w:themeShade="BF"/>
          <w:sz w:val="22"/>
          <w:szCs w:val="22"/>
        </w:rPr>
        <w:t>.</w:t>
      </w:r>
      <w:r w:rsidR="00941573" w:rsidRPr="00F61264">
        <w:rPr>
          <w:rFonts w:eastAsiaTheme="minorEastAsia"/>
          <w:color w:val="C45911" w:themeColor="accent2" w:themeShade="BF"/>
        </w:rPr>
        <w:t xml:space="preserve"> </w:t>
      </w:r>
      <w:r w:rsidR="00941573">
        <w:rPr>
          <w:rFonts w:eastAsiaTheme="minorEastAsia"/>
        </w:rPr>
        <w:t xml:space="preserve">Between 2015-2019, 55.4% of </w:t>
      </w:r>
      <w:r w:rsidR="0090050F">
        <w:rPr>
          <w:rFonts w:eastAsiaTheme="minorEastAsia"/>
        </w:rPr>
        <w:t>all cases alleged discrimination based on disability and 32.2% based on race.</w:t>
      </w:r>
      <w:r w:rsidR="00C623BA">
        <w:rPr>
          <w:rFonts w:eastAsiaTheme="minorEastAsia"/>
        </w:rPr>
        <w:t xml:space="preserve"> </w:t>
      </w:r>
      <w:r w:rsidR="00F94C53">
        <w:rPr>
          <w:rFonts w:eastAsiaTheme="minorEastAsia"/>
        </w:rPr>
        <w:t xml:space="preserve">In addition, </w:t>
      </w:r>
      <w:r w:rsidR="00935047">
        <w:rPr>
          <w:rFonts w:eastAsiaTheme="minorEastAsia"/>
        </w:rPr>
        <w:t>a</w:t>
      </w:r>
      <w:r w:rsidR="00F94C53" w:rsidRPr="00675482">
        <w:rPr>
          <w:rFonts w:eastAsiaTheme="minorEastAsia"/>
        </w:rPr>
        <w:t xml:space="preserve">ccording to </w:t>
      </w:r>
      <w:r w:rsidR="00F94C53">
        <w:rPr>
          <w:rFonts w:eastAsiaTheme="minorEastAsia"/>
        </w:rPr>
        <w:t>the NCHRC, r</w:t>
      </w:r>
      <w:r w:rsidR="00F94C53" w:rsidRPr="00675482">
        <w:rPr>
          <w:rFonts w:eastAsiaTheme="minorEastAsia"/>
        </w:rPr>
        <w:t xml:space="preserve">ecent trends </w:t>
      </w:r>
      <w:r w:rsidR="00F94C53">
        <w:rPr>
          <w:rFonts w:eastAsiaTheme="minorEastAsia"/>
        </w:rPr>
        <w:t xml:space="preserve">in discrimination against persons with disabilities involve </w:t>
      </w:r>
      <w:r w:rsidR="00F94C53" w:rsidRPr="00675482">
        <w:rPr>
          <w:rFonts w:eastAsiaTheme="minorEastAsia"/>
        </w:rPr>
        <w:t xml:space="preserve">discriminatory behavior against persons with emotional support animals (ESAs). Resistance from </w:t>
      </w:r>
      <w:r w:rsidR="00935047">
        <w:rPr>
          <w:rFonts w:eastAsiaTheme="minorEastAsia"/>
        </w:rPr>
        <w:t xml:space="preserve">rental </w:t>
      </w:r>
      <w:r w:rsidR="00F94C53" w:rsidRPr="00675482">
        <w:rPr>
          <w:rFonts w:eastAsiaTheme="minorEastAsia"/>
        </w:rPr>
        <w:t xml:space="preserve">housing providers in the form of “no pet” policies, requiring pet deposits and establishing animal breed, </w:t>
      </w:r>
      <w:proofErr w:type="gramStart"/>
      <w:r w:rsidR="00F94C53" w:rsidRPr="00675482">
        <w:rPr>
          <w:rFonts w:eastAsiaTheme="minorEastAsia"/>
        </w:rPr>
        <w:t>size</w:t>
      </w:r>
      <w:proofErr w:type="gramEnd"/>
      <w:r w:rsidR="00F94C53" w:rsidRPr="00675482">
        <w:rPr>
          <w:rFonts w:eastAsiaTheme="minorEastAsia"/>
        </w:rPr>
        <w:t xml:space="preserve"> and weight policies (even though ESAs are not considered pets under fair housing laws) are reflected in many of the inquiries and complaints filed with </w:t>
      </w:r>
      <w:r w:rsidR="00F94C53">
        <w:rPr>
          <w:rFonts w:eastAsiaTheme="minorEastAsia"/>
        </w:rPr>
        <w:t>the Commission</w:t>
      </w:r>
      <w:r w:rsidR="00935047">
        <w:rPr>
          <w:rFonts w:eastAsiaTheme="minorEastAsia"/>
        </w:rPr>
        <w:t>.</w:t>
      </w:r>
      <w:r w:rsidR="00DA354C">
        <w:rPr>
          <w:rFonts w:eastAsiaTheme="minorEastAsia"/>
        </w:rPr>
        <w:t xml:space="preserve"> </w:t>
      </w:r>
      <w:r w:rsidR="00CA30A6">
        <w:rPr>
          <w:rFonts w:eastAsiaTheme="minorEastAsia"/>
        </w:rPr>
        <w:t xml:space="preserve">Fair housing education and enforcement are the best tools to change this </w:t>
      </w:r>
      <w:r w:rsidR="009F1D8F">
        <w:rPr>
          <w:rFonts w:eastAsiaTheme="minorEastAsia"/>
        </w:rPr>
        <w:t>behavior.</w:t>
      </w:r>
    </w:p>
    <w:p w14:paraId="4309446C" w14:textId="163B4560" w:rsidR="009F1D8F" w:rsidRDefault="00A02050" w:rsidP="00011815">
      <w:pPr>
        <w:spacing w:before="120" w:after="120"/>
        <w:ind w:left="720"/>
        <w:rPr>
          <w:rFonts w:eastAsiaTheme="minorEastAsia"/>
        </w:rPr>
      </w:pPr>
      <w:r w:rsidRPr="00011815">
        <w:rPr>
          <w:rFonts w:ascii="Arial" w:eastAsiaTheme="minorEastAsia" w:hAnsi="Arial" w:cs="Arial"/>
          <w:b/>
          <w:bCs/>
          <w:color w:val="C45911" w:themeColor="accent2" w:themeShade="BF"/>
          <w:sz w:val="22"/>
          <w:szCs w:val="22"/>
        </w:rPr>
        <w:t>Action:</w:t>
      </w:r>
      <w:r w:rsidRPr="00011815">
        <w:rPr>
          <w:rFonts w:eastAsiaTheme="minorEastAsia"/>
          <w:color w:val="C45911" w:themeColor="accent2" w:themeShade="BF"/>
        </w:rPr>
        <w:t xml:space="preserve"> </w:t>
      </w:r>
      <w:r w:rsidR="00E00CA2">
        <w:rPr>
          <w:rFonts w:eastAsiaTheme="minorEastAsia"/>
        </w:rPr>
        <w:t xml:space="preserve">The Department of Commerce will collaborate with its AI partner agencies to expand </w:t>
      </w:r>
      <w:r w:rsidR="00EF51A5">
        <w:rPr>
          <w:rFonts w:eastAsiaTheme="minorEastAsia"/>
        </w:rPr>
        <w:t>fair housing education and enforcement under the guidance of the North Carolina Human Re</w:t>
      </w:r>
      <w:r w:rsidR="006F2419">
        <w:rPr>
          <w:rFonts w:eastAsiaTheme="minorEastAsia"/>
        </w:rPr>
        <w:t>lations Commission</w:t>
      </w:r>
      <w:r w:rsidR="00FE1AC3">
        <w:rPr>
          <w:rFonts w:eastAsiaTheme="minorEastAsia"/>
        </w:rPr>
        <w:t xml:space="preserve"> with e</w:t>
      </w:r>
      <w:r w:rsidR="00B0490A">
        <w:rPr>
          <w:rFonts w:eastAsiaTheme="minorEastAsia"/>
        </w:rPr>
        <w:t xml:space="preserve">mphasis </w:t>
      </w:r>
      <w:r w:rsidR="00FE1AC3">
        <w:rPr>
          <w:rFonts w:eastAsiaTheme="minorEastAsia"/>
        </w:rPr>
        <w:t>on the rental market.</w:t>
      </w:r>
    </w:p>
    <w:p w14:paraId="46B98156" w14:textId="10ED0547" w:rsidR="00E431BA" w:rsidRDefault="00E431BA" w:rsidP="00376582">
      <w:pPr>
        <w:spacing w:before="120" w:after="120"/>
        <w:ind w:left="1440"/>
        <w:rPr>
          <w:rFonts w:eastAsiaTheme="minorEastAsia"/>
        </w:rPr>
      </w:pPr>
      <w:r>
        <w:rPr>
          <w:rFonts w:ascii="Arial" w:eastAsiaTheme="minorEastAsia" w:hAnsi="Arial" w:cs="Arial"/>
          <w:b/>
          <w:bCs/>
          <w:color w:val="C45911" w:themeColor="accent2" w:themeShade="BF"/>
          <w:sz w:val="22"/>
          <w:szCs w:val="22"/>
        </w:rPr>
        <w:t>Measurable Objectives:</w:t>
      </w:r>
      <w:r>
        <w:rPr>
          <w:rFonts w:eastAsiaTheme="minorEastAsia"/>
        </w:rPr>
        <w:t xml:space="preserve"> Number of trainings</w:t>
      </w:r>
      <w:r w:rsidR="00D9553C">
        <w:rPr>
          <w:rFonts w:eastAsiaTheme="minorEastAsia"/>
        </w:rPr>
        <w:t xml:space="preserve"> annually</w:t>
      </w:r>
      <w:r>
        <w:rPr>
          <w:rFonts w:eastAsiaTheme="minorEastAsia"/>
        </w:rPr>
        <w:t xml:space="preserve">, </w:t>
      </w:r>
      <w:r w:rsidR="008D02B6">
        <w:rPr>
          <w:rFonts w:eastAsiaTheme="minorEastAsia"/>
        </w:rPr>
        <w:t>county locations, number of participants</w:t>
      </w:r>
      <w:r w:rsidR="001D408D">
        <w:rPr>
          <w:rFonts w:eastAsiaTheme="minorEastAsia"/>
        </w:rPr>
        <w:t xml:space="preserve">, </w:t>
      </w:r>
      <w:r w:rsidR="009B05B7">
        <w:rPr>
          <w:rFonts w:eastAsiaTheme="minorEastAsia"/>
        </w:rPr>
        <w:t xml:space="preserve">topics covered, </w:t>
      </w:r>
      <w:r w:rsidR="00816596">
        <w:rPr>
          <w:rFonts w:eastAsiaTheme="minorEastAsia"/>
        </w:rPr>
        <w:t xml:space="preserve">number of cases filed (an increase can indicate a </w:t>
      </w:r>
      <w:r w:rsidR="009B05B7">
        <w:rPr>
          <w:rFonts w:eastAsiaTheme="minorEastAsia"/>
        </w:rPr>
        <w:t xml:space="preserve">more </w:t>
      </w:r>
      <w:r w:rsidR="00816596">
        <w:rPr>
          <w:rFonts w:eastAsiaTheme="minorEastAsia"/>
        </w:rPr>
        <w:t xml:space="preserve">informed </w:t>
      </w:r>
      <w:r w:rsidR="00D9553C">
        <w:rPr>
          <w:rFonts w:eastAsiaTheme="minorEastAsia"/>
        </w:rPr>
        <w:t>citizenry).</w:t>
      </w:r>
    </w:p>
    <w:p w14:paraId="07743311" w14:textId="4F3CA8B0" w:rsidR="006044E4" w:rsidRDefault="008704A0" w:rsidP="00376582">
      <w:pPr>
        <w:spacing w:before="120" w:after="120"/>
      </w:pPr>
      <w:r>
        <w:rPr>
          <w:rFonts w:ascii="Arial" w:eastAsiaTheme="minorEastAsia" w:hAnsi="Arial" w:cs="Arial"/>
          <w:b/>
          <w:bCs/>
          <w:color w:val="C45911" w:themeColor="accent2" w:themeShade="BF"/>
          <w:sz w:val="22"/>
          <w:szCs w:val="22"/>
        </w:rPr>
        <w:t xml:space="preserve">Impediment </w:t>
      </w:r>
      <w:r w:rsidR="00AF7309">
        <w:rPr>
          <w:rFonts w:ascii="Arial" w:eastAsiaTheme="minorEastAsia" w:hAnsi="Arial" w:cs="Arial"/>
          <w:b/>
          <w:bCs/>
          <w:color w:val="C45911" w:themeColor="accent2" w:themeShade="BF"/>
          <w:sz w:val="22"/>
          <w:szCs w:val="22"/>
        </w:rPr>
        <w:t>A.</w:t>
      </w:r>
      <w:r w:rsidR="00524CBC">
        <w:rPr>
          <w:rFonts w:ascii="Arial" w:eastAsiaTheme="minorEastAsia" w:hAnsi="Arial" w:cs="Arial"/>
          <w:b/>
          <w:bCs/>
          <w:color w:val="C45911" w:themeColor="accent2" w:themeShade="BF"/>
          <w:sz w:val="22"/>
          <w:szCs w:val="22"/>
        </w:rPr>
        <w:t>2:</w:t>
      </w:r>
      <w:r w:rsidR="00A05F47">
        <w:rPr>
          <w:rFonts w:ascii="Arial" w:eastAsiaTheme="minorEastAsia" w:hAnsi="Arial" w:cs="Arial"/>
          <w:b/>
          <w:bCs/>
          <w:color w:val="C45911" w:themeColor="accent2" w:themeShade="BF"/>
          <w:sz w:val="22"/>
          <w:szCs w:val="22"/>
        </w:rPr>
        <w:t xml:space="preserve"> A lack of awareness and knowledge of fair housing laws in rural areas among both consumers and providers </w:t>
      </w:r>
      <w:r w:rsidR="00055E75">
        <w:rPr>
          <w:rFonts w:ascii="Arial" w:eastAsiaTheme="minorEastAsia" w:hAnsi="Arial" w:cs="Arial"/>
          <w:b/>
          <w:bCs/>
          <w:color w:val="C45911" w:themeColor="accent2" w:themeShade="BF"/>
          <w:sz w:val="22"/>
          <w:szCs w:val="22"/>
        </w:rPr>
        <w:t>restricts housing choice where enforcement resources are the most</w:t>
      </w:r>
      <w:r w:rsidR="00033BA3">
        <w:rPr>
          <w:rFonts w:ascii="Arial" w:eastAsiaTheme="minorEastAsia" w:hAnsi="Arial" w:cs="Arial"/>
          <w:b/>
          <w:bCs/>
          <w:color w:val="C45911" w:themeColor="accent2" w:themeShade="BF"/>
          <w:sz w:val="22"/>
          <w:szCs w:val="22"/>
        </w:rPr>
        <w:t xml:space="preserve"> limited but where housing is more affordable.</w:t>
      </w:r>
      <w:r w:rsidR="006044E4">
        <w:rPr>
          <w:rFonts w:ascii="Arial" w:eastAsiaTheme="minorEastAsia" w:hAnsi="Arial" w:cs="Arial"/>
          <w:b/>
          <w:bCs/>
          <w:color w:val="C45911" w:themeColor="accent2" w:themeShade="BF"/>
          <w:sz w:val="22"/>
          <w:szCs w:val="22"/>
        </w:rPr>
        <w:t xml:space="preserve"> </w:t>
      </w:r>
      <w:r w:rsidR="00590528">
        <w:t>T</w:t>
      </w:r>
      <w:r w:rsidR="006044E4" w:rsidRPr="0058443E">
        <w:t xml:space="preserve">he NCHRC has identified increasing cases filed from residents in Wake, Buncombe, New Hanover, </w:t>
      </w:r>
      <w:proofErr w:type="gramStart"/>
      <w:r w:rsidR="006044E4" w:rsidRPr="0058443E">
        <w:t>Pitt</w:t>
      </w:r>
      <w:proofErr w:type="gramEnd"/>
      <w:r w:rsidR="006044E4" w:rsidRPr="0058443E">
        <w:t xml:space="preserve"> and Cumberland counties</w:t>
      </w:r>
      <w:r w:rsidR="00590528">
        <w:t xml:space="preserve">—all higher </w:t>
      </w:r>
      <w:r w:rsidR="006044E4" w:rsidRPr="0058443E">
        <w:t xml:space="preserve">growth counties where significant residential development has occurred in rural areas. </w:t>
      </w:r>
      <w:r w:rsidR="006044E4">
        <w:t xml:space="preserve">It is </w:t>
      </w:r>
      <w:r w:rsidR="006044E4" w:rsidRPr="0058443E">
        <w:t>in these previously rural areas where landlords, primarily, may feel they can continue discriminatory practices that were more commonly accepted before and went unchecked. As a result, HUD issued a directive to the NCHRC to target rural areas with more fair housing education and outreach, partnering with local human relations commissions to achieve this objective.</w:t>
      </w:r>
    </w:p>
    <w:p w14:paraId="2B9A5F18" w14:textId="73728E09" w:rsidR="007B2C5E" w:rsidRDefault="007B2C5E" w:rsidP="00376582">
      <w:pPr>
        <w:spacing w:before="120" w:after="120"/>
        <w:ind w:left="720"/>
      </w:pPr>
      <w:r w:rsidRPr="00376582">
        <w:rPr>
          <w:rFonts w:ascii="Arial" w:hAnsi="Arial" w:cs="Arial"/>
          <w:b/>
          <w:bCs/>
          <w:color w:val="C45911" w:themeColor="accent2" w:themeShade="BF"/>
          <w:sz w:val="22"/>
          <w:szCs w:val="22"/>
        </w:rPr>
        <w:t>Action</w:t>
      </w:r>
      <w:r>
        <w:t>:</w:t>
      </w:r>
      <w:r w:rsidR="00EC436E">
        <w:t xml:space="preserve"> The DOC in collaboration with its AI partner agencies</w:t>
      </w:r>
      <w:r w:rsidR="00BD5431">
        <w:t xml:space="preserve"> will target fair housing resources to rural areas on the fringes of </w:t>
      </w:r>
      <w:r w:rsidR="00376582">
        <w:t>growing communities.</w:t>
      </w:r>
    </w:p>
    <w:p w14:paraId="6A8A323C" w14:textId="5C80994B" w:rsidR="00376582" w:rsidRPr="0058443E" w:rsidRDefault="00376582" w:rsidP="00376582">
      <w:pPr>
        <w:spacing w:before="120" w:after="120"/>
        <w:ind w:left="720"/>
      </w:pPr>
      <w:r w:rsidRPr="00EB26E9">
        <w:rPr>
          <w:rFonts w:ascii="Arial" w:hAnsi="Arial" w:cs="Arial"/>
          <w:b/>
          <w:bCs/>
          <w:color w:val="C45911" w:themeColor="accent2" w:themeShade="BF"/>
          <w:sz w:val="22"/>
          <w:szCs w:val="22"/>
        </w:rPr>
        <w:lastRenderedPageBreak/>
        <w:t>Measurable Objectives</w:t>
      </w:r>
      <w:r>
        <w:t xml:space="preserve">: </w:t>
      </w:r>
      <w:r>
        <w:rPr>
          <w:rFonts w:eastAsiaTheme="minorEastAsia"/>
        </w:rPr>
        <w:t>Number of trainings annually, county locations, number of participants, topics covered, number of cases filed (an increase can indicate a more informed citizenry).</w:t>
      </w:r>
    </w:p>
    <w:p w14:paraId="71FD9C60" w14:textId="77777777" w:rsidR="00326FEE" w:rsidRDefault="00326FEE" w:rsidP="00326FEE">
      <w:pPr>
        <w:spacing w:before="120" w:after="120"/>
        <w:rPr>
          <w:rFonts w:eastAsiaTheme="minorEastAsia"/>
        </w:rPr>
      </w:pPr>
    </w:p>
    <w:tbl>
      <w:tblPr>
        <w:tblStyle w:val="TableGrid"/>
        <w:tblW w:w="0" w:type="auto"/>
        <w:tblLook w:val="04A0" w:firstRow="1" w:lastRow="0" w:firstColumn="1" w:lastColumn="0" w:noHBand="0" w:noVBand="1"/>
      </w:tblPr>
      <w:tblGrid>
        <w:gridCol w:w="9350"/>
      </w:tblGrid>
      <w:tr w:rsidR="00326FEE" w14:paraId="25705F0C" w14:textId="77777777" w:rsidTr="0058533B">
        <w:tc>
          <w:tcPr>
            <w:tcW w:w="9350" w:type="dxa"/>
            <w:tcBorders>
              <w:top w:val="nil"/>
              <w:left w:val="nil"/>
              <w:bottom w:val="nil"/>
              <w:right w:val="nil"/>
            </w:tcBorders>
            <w:shd w:val="clear" w:color="auto" w:fill="C45911" w:themeFill="accent2" w:themeFillShade="BF"/>
          </w:tcPr>
          <w:p w14:paraId="29651200" w14:textId="3A3607FF" w:rsidR="00326FEE" w:rsidRPr="00931427" w:rsidRDefault="00326FEE"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sidR="00F63720">
              <w:rPr>
                <w:rFonts w:ascii="Arial" w:eastAsiaTheme="minorEastAsia" w:hAnsi="Arial" w:cs="Arial"/>
                <w:b/>
                <w:bCs/>
                <w:color w:val="FFFFFF" w:themeColor="background1"/>
                <w:sz w:val="22"/>
                <w:szCs w:val="22"/>
              </w:rPr>
              <w:t xml:space="preserve"> B</w:t>
            </w:r>
            <w:r w:rsidRPr="00931427">
              <w:rPr>
                <w:rFonts w:ascii="Arial" w:eastAsiaTheme="minorEastAsia" w:hAnsi="Arial" w:cs="Arial"/>
                <w:b/>
                <w:bCs/>
                <w:color w:val="FFFFFF" w:themeColor="background1"/>
                <w:sz w:val="22"/>
                <w:szCs w:val="22"/>
              </w:rPr>
              <w:t xml:space="preserve">: Expand </w:t>
            </w:r>
            <w:r w:rsidR="009E1C24">
              <w:rPr>
                <w:rFonts w:ascii="Arial" w:eastAsiaTheme="minorEastAsia" w:hAnsi="Arial" w:cs="Arial"/>
                <w:b/>
                <w:bCs/>
                <w:color w:val="FFFFFF" w:themeColor="background1"/>
                <w:sz w:val="22"/>
                <w:szCs w:val="22"/>
              </w:rPr>
              <w:t>inventory of affordable housing for members of the protected classes.</w:t>
            </w:r>
            <w:r w:rsidRPr="00931427">
              <w:rPr>
                <w:rFonts w:ascii="Arial" w:eastAsiaTheme="minorEastAsia" w:hAnsi="Arial" w:cs="Arial"/>
                <w:b/>
                <w:bCs/>
                <w:color w:val="FFFFFF" w:themeColor="background1"/>
                <w:sz w:val="22"/>
                <w:szCs w:val="22"/>
              </w:rPr>
              <w:t xml:space="preserve"> </w:t>
            </w:r>
          </w:p>
        </w:tc>
      </w:tr>
    </w:tbl>
    <w:p w14:paraId="5E805A97" w14:textId="4D57DA45" w:rsidR="00464D9C" w:rsidRDefault="00880DE6" w:rsidP="003F1BA5">
      <w:pPr>
        <w:spacing w:before="120" w:after="120"/>
      </w:pPr>
      <w:r w:rsidRPr="00DD6E72">
        <w:rPr>
          <w:rFonts w:ascii="Arial" w:eastAsiaTheme="minorEastAsia" w:hAnsi="Arial" w:cs="Arial"/>
          <w:b/>
          <w:bCs/>
          <w:color w:val="C45911" w:themeColor="accent2" w:themeShade="BF"/>
          <w:sz w:val="22"/>
          <w:szCs w:val="22"/>
        </w:rPr>
        <w:t xml:space="preserve">Impediment </w:t>
      </w:r>
      <w:r w:rsidR="00F63720">
        <w:rPr>
          <w:rFonts w:ascii="Arial" w:eastAsiaTheme="minorEastAsia" w:hAnsi="Arial" w:cs="Arial"/>
          <w:b/>
          <w:bCs/>
          <w:color w:val="C45911" w:themeColor="accent2" w:themeShade="BF"/>
          <w:sz w:val="22"/>
          <w:szCs w:val="22"/>
        </w:rPr>
        <w:t>B.1</w:t>
      </w:r>
      <w:r w:rsidRPr="00DD6E72">
        <w:rPr>
          <w:rFonts w:ascii="Arial" w:eastAsiaTheme="minorEastAsia" w:hAnsi="Arial" w:cs="Arial"/>
          <w:b/>
          <w:bCs/>
          <w:color w:val="C45911" w:themeColor="accent2" w:themeShade="BF"/>
          <w:sz w:val="22"/>
          <w:szCs w:val="22"/>
        </w:rPr>
        <w:t xml:space="preserve">: </w:t>
      </w:r>
      <w:r w:rsidR="00554EB9" w:rsidRPr="00DD6E72">
        <w:rPr>
          <w:rFonts w:ascii="Arial" w:eastAsiaTheme="minorEastAsia" w:hAnsi="Arial" w:cs="Arial"/>
          <w:b/>
          <w:bCs/>
          <w:color w:val="C45911" w:themeColor="accent2" w:themeShade="BF"/>
          <w:sz w:val="22"/>
          <w:szCs w:val="22"/>
        </w:rPr>
        <w:t xml:space="preserve">An inadequate supply of </w:t>
      </w:r>
      <w:r w:rsidR="008A172D" w:rsidRPr="00DD6E72">
        <w:rPr>
          <w:rFonts w:ascii="Arial" w:eastAsiaTheme="minorEastAsia" w:hAnsi="Arial" w:cs="Arial"/>
          <w:b/>
          <w:bCs/>
          <w:color w:val="C45911" w:themeColor="accent2" w:themeShade="BF"/>
          <w:sz w:val="22"/>
          <w:szCs w:val="22"/>
        </w:rPr>
        <w:t xml:space="preserve">rental </w:t>
      </w:r>
      <w:r w:rsidR="00554EB9" w:rsidRPr="00DD6E72">
        <w:rPr>
          <w:rFonts w:ascii="Arial" w:eastAsiaTheme="minorEastAsia" w:hAnsi="Arial" w:cs="Arial"/>
          <w:b/>
          <w:bCs/>
          <w:color w:val="C45911" w:themeColor="accent2" w:themeShade="BF"/>
          <w:sz w:val="22"/>
          <w:szCs w:val="22"/>
        </w:rPr>
        <w:t>housing that is affordable</w:t>
      </w:r>
      <w:r w:rsidR="00E04CDA" w:rsidRPr="00DD6E72">
        <w:rPr>
          <w:rFonts w:ascii="Arial" w:eastAsiaTheme="minorEastAsia" w:hAnsi="Arial" w:cs="Arial"/>
          <w:b/>
          <w:bCs/>
          <w:color w:val="C45911" w:themeColor="accent2" w:themeShade="BF"/>
          <w:sz w:val="22"/>
          <w:szCs w:val="22"/>
        </w:rPr>
        <w:t xml:space="preserve">, as well as </w:t>
      </w:r>
      <w:r w:rsidR="00554EB9" w:rsidRPr="00DD6E72">
        <w:rPr>
          <w:rFonts w:ascii="Arial" w:eastAsiaTheme="minorEastAsia" w:hAnsi="Arial" w:cs="Arial"/>
          <w:b/>
          <w:bCs/>
          <w:color w:val="C45911" w:themeColor="accent2" w:themeShade="BF"/>
          <w:sz w:val="22"/>
          <w:szCs w:val="22"/>
        </w:rPr>
        <w:t xml:space="preserve">accessible to </w:t>
      </w:r>
      <w:r w:rsidR="00E04CDA" w:rsidRPr="00DD6E72">
        <w:rPr>
          <w:rFonts w:ascii="Arial" w:eastAsiaTheme="minorEastAsia" w:hAnsi="Arial" w:cs="Arial"/>
          <w:b/>
          <w:bCs/>
          <w:color w:val="C45911" w:themeColor="accent2" w:themeShade="BF"/>
          <w:sz w:val="22"/>
          <w:szCs w:val="22"/>
        </w:rPr>
        <w:t xml:space="preserve">persons with disabilities, </w:t>
      </w:r>
      <w:r w:rsidR="008A172D" w:rsidRPr="00DD6E72">
        <w:rPr>
          <w:rFonts w:ascii="Arial" w:eastAsiaTheme="minorEastAsia" w:hAnsi="Arial" w:cs="Arial"/>
          <w:b/>
          <w:bCs/>
          <w:color w:val="C45911" w:themeColor="accent2" w:themeShade="BF"/>
          <w:sz w:val="22"/>
          <w:szCs w:val="22"/>
        </w:rPr>
        <w:t>severely limits housing choice.</w:t>
      </w:r>
      <w:r w:rsidR="008A172D" w:rsidRPr="00DD6E72">
        <w:rPr>
          <w:rFonts w:ascii="Arial" w:eastAsiaTheme="minorEastAsia" w:hAnsi="Arial" w:cs="Arial"/>
          <w:b/>
          <w:bCs/>
          <w:sz w:val="22"/>
          <w:szCs w:val="22"/>
        </w:rPr>
        <w:t xml:space="preserve"> </w:t>
      </w:r>
      <w:r w:rsidR="00DD6E72" w:rsidRPr="00DD6E72">
        <w:t>Large families and single female-headed households with children have disproportionately higher rates of poverty</w:t>
      </w:r>
      <w:r w:rsidR="00802866">
        <w:t xml:space="preserve"> and are more often renters</w:t>
      </w:r>
      <w:r w:rsidR="00DD6E72" w:rsidRPr="00DD6E72">
        <w:t>.</w:t>
      </w:r>
      <w:r w:rsidR="00464D9C">
        <w:t xml:space="preserve"> </w:t>
      </w:r>
      <w:r w:rsidR="00FA22E1">
        <w:t xml:space="preserve">The state is behind </w:t>
      </w:r>
      <w:r w:rsidR="00CE3E57">
        <w:t>i</w:t>
      </w:r>
      <w:r w:rsidR="00FA22E1">
        <w:t xml:space="preserve">n fulfilling its obligations under </w:t>
      </w:r>
      <w:r w:rsidR="00FA22E1" w:rsidRPr="00FA22E1">
        <w:rPr>
          <w:i/>
          <w:iCs/>
        </w:rPr>
        <w:t>Olmstead</w:t>
      </w:r>
      <w:r w:rsidR="00FA22E1">
        <w:t xml:space="preserve"> </w:t>
      </w:r>
      <w:r w:rsidR="00E8270C">
        <w:t xml:space="preserve">to </w:t>
      </w:r>
      <w:r w:rsidR="00CE3E57">
        <w:t xml:space="preserve">increase community integration </w:t>
      </w:r>
      <w:r w:rsidR="00E8270C">
        <w:t>for persons with disabilities</w:t>
      </w:r>
      <w:r w:rsidR="001878A2">
        <w:t>.</w:t>
      </w:r>
    </w:p>
    <w:p w14:paraId="3627812F" w14:textId="32126A0D" w:rsidR="00B55685" w:rsidRDefault="003F1BA5" w:rsidP="005A61A5">
      <w:pPr>
        <w:spacing w:before="120" w:after="120"/>
        <w:ind w:left="720"/>
      </w:pPr>
      <w:r w:rsidRPr="005A61A5">
        <w:rPr>
          <w:rFonts w:ascii="Arial" w:hAnsi="Arial" w:cs="Arial"/>
          <w:b/>
          <w:bCs/>
          <w:color w:val="C45911" w:themeColor="accent2" w:themeShade="BF"/>
          <w:sz w:val="22"/>
          <w:szCs w:val="22"/>
        </w:rPr>
        <w:t>Action:</w:t>
      </w:r>
      <w:r w:rsidRPr="005A61A5">
        <w:rPr>
          <w:color w:val="C45911" w:themeColor="accent2" w:themeShade="BF"/>
        </w:rPr>
        <w:t xml:space="preserve"> </w:t>
      </w:r>
      <w:r>
        <w:t xml:space="preserve">NCHFA will continue </w:t>
      </w:r>
      <w:r w:rsidR="005A61A5">
        <w:t xml:space="preserve">expanding new rental housing production through the LIHTC </w:t>
      </w:r>
      <w:r w:rsidR="00337A3F">
        <w:t xml:space="preserve">and HTF </w:t>
      </w:r>
      <w:r w:rsidR="005A61A5">
        <w:t>program</w:t>
      </w:r>
      <w:r w:rsidR="00337A3F">
        <w:t>s</w:t>
      </w:r>
      <w:r w:rsidR="00C57198">
        <w:t xml:space="preserve"> and state programs</w:t>
      </w:r>
      <w:r w:rsidR="00F30ABC">
        <w:t>.</w:t>
      </w:r>
    </w:p>
    <w:p w14:paraId="6E12B771" w14:textId="35FFBB55" w:rsidR="00F30ABC" w:rsidRDefault="00F30ABC" w:rsidP="00FE2638">
      <w:pPr>
        <w:spacing w:before="120" w:after="120"/>
        <w:ind w:left="1440"/>
      </w:pPr>
      <w:r>
        <w:rPr>
          <w:rFonts w:ascii="Arial" w:hAnsi="Arial" w:cs="Arial"/>
          <w:b/>
          <w:bCs/>
          <w:color w:val="C45911" w:themeColor="accent2" w:themeShade="BF"/>
          <w:sz w:val="22"/>
          <w:szCs w:val="22"/>
        </w:rPr>
        <w:t>Measurable Objective</w:t>
      </w:r>
      <w:r w:rsidR="0042631D">
        <w:rPr>
          <w:rFonts w:ascii="Arial" w:hAnsi="Arial" w:cs="Arial"/>
          <w:b/>
          <w:bCs/>
          <w:color w:val="C45911" w:themeColor="accent2" w:themeShade="BF"/>
          <w:sz w:val="22"/>
          <w:szCs w:val="22"/>
        </w:rPr>
        <w:t>:</w:t>
      </w:r>
      <w:r w:rsidR="0042631D">
        <w:t xml:space="preserve"> </w:t>
      </w:r>
      <w:r w:rsidR="00F34268">
        <w:t xml:space="preserve">Number of </w:t>
      </w:r>
      <w:r w:rsidR="0042631D">
        <w:t>new affordable rental units</w:t>
      </w:r>
      <w:r w:rsidR="00F34268">
        <w:t xml:space="preserve"> constructed, number of existing rental units rehabiltated</w:t>
      </w:r>
      <w:r w:rsidR="008F70DA">
        <w:t>.</w:t>
      </w:r>
    </w:p>
    <w:p w14:paraId="7CB6D2DB" w14:textId="2881317B" w:rsidR="008F70DA" w:rsidRDefault="008F70DA" w:rsidP="005A61A5">
      <w:pPr>
        <w:spacing w:before="120" w:after="120"/>
        <w:ind w:left="720"/>
      </w:pPr>
      <w:r>
        <w:rPr>
          <w:rFonts w:ascii="Arial" w:hAnsi="Arial" w:cs="Arial"/>
          <w:b/>
          <w:bCs/>
          <w:color w:val="C45911" w:themeColor="accent2" w:themeShade="BF"/>
          <w:sz w:val="22"/>
          <w:szCs w:val="22"/>
        </w:rPr>
        <w:t>Action</w:t>
      </w:r>
      <w:r w:rsidRPr="008F70DA">
        <w:rPr>
          <w:rFonts w:ascii="Arial" w:hAnsi="Arial" w:cs="Arial"/>
          <w:b/>
          <w:bCs/>
          <w:color w:val="C45911" w:themeColor="accent2" w:themeShade="BF"/>
          <w:sz w:val="22"/>
          <w:szCs w:val="22"/>
        </w:rPr>
        <w:t>:</w:t>
      </w:r>
      <w:r>
        <w:t xml:space="preserve"> </w:t>
      </w:r>
      <w:r w:rsidR="006C2B9E">
        <w:t xml:space="preserve">NCHFA will continue to prioritize </w:t>
      </w:r>
      <w:r w:rsidR="009D5BBF">
        <w:t xml:space="preserve">the </w:t>
      </w:r>
      <w:r w:rsidR="006C2B9E">
        <w:t xml:space="preserve">preservation of </w:t>
      </w:r>
      <w:r w:rsidR="009D5BBF">
        <w:t xml:space="preserve">rental housing </w:t>
      </w:r>
      <w:r w:rsidR="00337A3F">
        <w:t xml:space="preserve">with </w:t>
      </w:r>
      <w:r w:rsidR="006C2B9E">
        <w:t xml:space="preserve">expiring </w:t>
      </w:r>
      <w:r w:rsidR="009D5BBF">
        <w:t>subsidies</w:t>
      </w:r>
      <w:r w:rsidR="00337A3F">
        <w:t xml:space="preserve"> over the next five years</w:t>
      </w:r>
      <w:r w:rsidR="009D5BBF">
        <w:t>.</w:t>
      </w:r>
    </w:p>
    <w:p w14:paraId="304DB222" w14:textId="4848A759" w:rsidR="009D5BBF" w:rsidRDefault="009D5BBF" w:rsidP="009D5BBF">
      <w:pPr>
        <w:spacing w:before="120" w:after="120"/>
        <w:ind w:left="1440"/>
      </w:pPr>
      <w:r>
        <w:rPr>
          <w:rFonts w:ascii="Arial" w:hAnsi="Arial" w:cs="Arial"/>
          <w:b/>
          <w:bCs/>
          <w:color w:val="C45911" w:themeColor="accent2" w:themeShade="BF"/>
          <w:sz w:val="22"/>
          <w:szCs w:val="22"/>
        </w:rPr>
        <w:t>Measurable Objective:</w:t>
      </w:r>
      <w:r w:rsidR="00EC001B">
        <w:rPr>
          <w:rFonts w:ascii="Arial" w:hAnsi="Arial" w:cs="Arial"/>
          <w:b/>
          <w:bCs/>
          <w:color w:val="C45911" w:themeColor="accent2" w:themeShade="BF"/>
          <w:sz w:val="22"/>
          <w:szCs w:val="22"/>
        </w:rPr>
        <w:t xml:space="preserve"> </w:t>
      </w:r>
      <w:r w:rsidR="00EC001B">
        <w:t>No loss of subsidized rental units from the state’s assisted inventory</w:t>
      </w:r>
      <w:r w:rsidR="00F85EB9">
        <w:t xml:space="preserve"> over the next five years.</w:t>
      </w:r>
    </w:p>
    <w:p w14:paraId="2648DB19" w14:textId="4257D730" w:rsidR="00750598" w:rsidRDefault="00750598" w:rsidP="00BC35C0">
      <w:pPr>
        <w:spacing w:before="120" w:after="120"/>
        <w:ind w:left="720"/>
      </w:pPr>
      <w:r>
        <w:rPr>
          <w:rFonts w:ascii="Arial" w:hAnsi="Arial" w:cs="Arial"/>
          <w:b/>
          <w:bCs/>
          <w:color w:val="C45911" w:themeColor="accent2" w:themeShade="BF"/>
          <w:sz w:val="22"/>
          <w:szCs w:val="22"/>
        </w:rPr>
        <w:t>Action</w:t>
      </w:r>
      <w:r>
        <w:t>:</w:t>
      </w:r>
      <w:r w:rsidR="000A41B6">
        <w:t xml:space="preserve"> NCHFA</w:t>
      </w:r>
      <w:r w:rsidR="009A7E22">
        <w:t xml:space="preserve"> and </w:t>
      </w:r>
      <w:r w:rsidR="00D6106B">
        <w:t>NCDHHS</w:t>
      </w:r>
      <w:r w:rsidR="009A7E22">
        <w:t xml:space="preserve"> will continue its planning initiative </w:t>
      </w:r>
      <w:r w:rsidR="00BC35C0">
        <w:t xml:space="preserve">to meet the </w:t>
      </w:r>
      <w:r w:rsidR="00D6106B">
        <w:t>s</w:t>
      </w:r>
      <w:r w:rsidR="00BC35C0">
        <w:t xml:space="preserve">tate’s obligation under </w:t>
      </w:r>
      <w:r w:rsidR="00BC35C0" w:rsidRPr="00BC35C0">
        <w:rPr>
          <w:i/>
          <w:iCs/>
        </w:rPr>
        <w:t>Olmstead</w:t>
      </w:r>
      <w:r w:rsidR="00BC35C0">
        <w:rPr>
          <w:i/>
          <w:iCs/>
        </w:rPr>
        <w:t xml:space="preserve"> </w:t>
      </w:r>
      <w:r w:rsidR="00BC5D2B">
        <w:t>to provide appropriate housing for persons with disabilities</w:t>
      </w:r>
      <w:r w:rsidR="008A74D5">
        <w:t>.</w:t>
      </w:r>
    </w:p>
    <w:p w14:paraId="12780241" w14:textId="36989248" w:rsidR="008A74D5" w:rsidRDefault="008A74D5" w:rsidP="008A74D5">
      <w:pPr>
        <w:spacing w:before="120" w:after="120"/>
        <w:ind w:left="1440"/>
      </w:pPr>
      <w:r>
        <w:rPr>
          <w:rFonts w:ascii="Arial" w:hAnsi="Arial" w:cs="Arial"/>
          <w:b/>
          <w:bCs/>
          <w:color w:val="C45911" w:themeColor="accent2" w:themeShade="BF"/>
          <w:sz w:val="22"/>
          <w:szCs w:val="22"/>
        </w:rPr>
        <w:t xml:space="preserve">Measurable Objective: </w:t>
      </w:r>
      <w:r>
        <w:t>Completion</w:t>
      </w:r>
      <w:r w:rsidR="00D6106B">
        <w:t xml:space="preserve"> and</w:t>
      </w:r>
      <w:r w:rsidR="008B30CB">
        <w:t xml:space="preserve"> </w:t>
      </w:r>
      <w:r>
        <w:t>approval of</w:t>
      </w:r>
      <w:r w:rsidR="00AD246B">
        <w:t xml:space="preserve"> a Strategic Housing Plan under </w:t>
      </w:r>
      <w:r w:rsidRPr="008A74D5">
        <w:rPr>
          <w:i/>
          <w:iCs/>
        </w:rPr>
        <w:t>Olmstead</w:t>
      </w:r>
      <w:r>
        <w:t xml:space="preserve"> </w:t>
      </w:r>
      <w:r w:rsidR="00AD246B">
        <w:t>by March 2022</w:t>
      </w:r>
      <w:r>
        <w:t>.</w:t>
      </w:r>
    </w:p>
    <w:p w14:paraId="659A7D3A" w14:textId="1376C415" w:rsidR="00782B10" w:rsidRDefault="00782B10" w:rsidP="00782B10">
      <w:pPr>
        <w:spacing w:before="120" w:after="120"/>
        <w:ind w:left="1440"/>
      </w:pPr>
      <w:r>
        <w:rPr>
          <w:rFonts w:ascii="Arial" w:hAnsi="Arial" w:cs="Arial"/>
          <w:b/>
          <w:bCs/>
          <w:color w:val="C45911" w:themeColor="accent2" w:themeShade="BF"/>
          <w:sz w:val="22"/>
          <w:szCs w:val="22"/>
        </w:rPr>
        <w:t xml:space="preserve">Measurable Objective: </w:t>
      </w:r>
      <w:r w:rsidRPr="00D973B2">
        <w:t>P</w:t>
      </w:r>
      <w:r w:rsidR="00D973B2">
        <w:t>ro</w:t>
      </w:r>
      <w:r w:rsidRPr="00D973B2">
        <w:t>vision of community-based services and supportive housing</w:t>
      </w:r>
      <w:r w:rsidR="00D973B2">
        <w:t xml:space="preserve"> for persons with disabilities</w:t>
      </w:r>
      <w:r w:rsidR="008C43C2">
        <w:t xml:space="preserve"> in accordance with the </w:t>
      </w:r>
      <w:r w:rsidR="008C43C2" w:rsidRPr="008C43C2">
        <w:rPr>
          <w:i/>
          <w:iCs/>
        </w:rPr>
        <w:t>Olmstead</w:t>
      </w:r>
      <w:r w:rsidR="008C43C2">
        <w:t xml:space="preserve"> Strategic Housing Plan and schedule</w:t>
      </w:r>
      <w:r w:rsidRPr="00D973B2">
        <w:t>.</w:t>
      </w:r>
    </w:p>
    <w:p w14:paraId="4E4D1DE3" w14:textId="77777777" w:rsidR="00B42F7B" w:rsidRPr="00D973B2" w:rsidRDefault="00B42F7B" w:rsidP="00782B10">
      <w:pPr>
        <w:spacing w:before="120" w:after="120"/>
        <w:ind w:left="1440"/>
      </w:pPr>
    </w:p>
    <w:tbl>
      <w:tblPr>
        <w:tblStyle w:val="TableGrid"/>
        <w:tblW w:w="0" w:type="auto"/>
        <w:tblLook w:val="04A0" w:firstRow="1" w:lastRow="0" w:firstColumn="1" w:lastColumn="0" w:noHBand="0" w:noVBand="1"/>
      </w:tblPr>
      <w:tblGrid>
        <w:gridCol w:w="9350"/>
      </w:tblGrid>
      <w:tr w:rsidR="00B42F7B" w14:paraId="0B2E4EED" w14:textId="77777777" w:rsidTr="0058533B">
        <w:tc>
          <w:tcPr>
            <w:tcW w:w="9350" w:type="dxa"/>
            <w:tcBorders>
              <w:top w:val="nil"/>
              <w:left w:val="nil"/>
              <w:bottom w:val="nil"/>
              <w:right w:val="nil"/>
            </w:tcBorders>
            <w:shd w:val="clear" w:color="auto" w:fill="C45911" w:themeFill="accent2" w:themeFillShade="BF"/>
          </w:tcPr>
          <w:p w14:paraId="7649E049" w14:textId="7BE3C921" w:rsidR="00B42F7B" w:rsidRPr="00931427" w:rsidRDefault="00B42F7B"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C</w:t>
            </w:r>
            <w:r w:rsidRPr="00931427">
              <w:rPr>
                <w:rFonts w:ascii="Arial" w:eastAsiaTheme="minorEastAsia" w:hAnsi="Arial" w:cs="Arial"/>
                <w:b/>
                <w:bCs/>
                <w:color w:val="FFFFFF" w:themeColor="background1"/>
                <w:sz w:val="22"/>
                <w:szCs w:val="22"/>
              </w:rPr>
              <w:t xml:space="preserve">: </w:t>
            </w:r>
            <w:r w:rsidR="00E43766">
              <w:rPr>
                <w:rFonts w:ascii="Arial" w:eastAsiaTheme="minorEastAsia" w:hAnsi="Arial" w:cs="Arial"/>
                <w:b/>
                <w:bCs/>
                <w:color w:val="FFFFFF" w:themeColor="background1"/>
                <w:sz w:val="22"/>
                <w:szCs w:val="22"/>
              </w:rPr>
              <w:t>Increase homeownership among Black and Hispanic households</w:t>
            </w:r>
            <w:r>
              <w:rPr>
                <w:rFonts w:ascii="Arial" w:eastAsiaTheme="minorEastAsia" w:hAnsi="Arial" w:cs="Arial"/>
                <w:b/>
                <w:bCs/>
                <w:color w:val="FFFFFF" w:themeColor="background1"/>
                <w:sz w:val="22"/>
                <w:szCs w:val="22"/>
              </w:rPr>
              <w:t>.</w:t>
            </w:r>
            <w:r w:rsidRPr="00931427">
              <w:rPr>
                <w:rFonts w:ascii="Arial" w:eastAsiaTheme="minorEastAsia" w:hAnsi="Arial" w:cs="Arial"/>
                <w:b/>
                <w:bCs/>
                <w:color w:val="FFFFFF" w:themeColor="background1"/>
                <w:sz w:val="22"/>
                <w:szCs w:val="22"/>
              </w:rPr>
              <w:t xml:space="preserve"> </w:t>
            </w:r>
          </w:p>
        </w:tc>
      </w:tr>
    </w:tbl>
    <w:p w14:paraId="0A969E10" w14:textId="744B7DCE" w:rsidR="00B42F7B" w:rsidRDefault="00B42F7B" w:rsidP="00B42F7B">
      <w:pPr>
        <w:spacing w:before="120" w:after="120"/>
      </w:pPr>
      <w:r w:rsidRPr="00DD6E72">
        <w:rPr>
          <w:rFonts w:ascii="Arial" w:eastAsiaTheme="minorEastAsia" w:hAnsi="Arial" w:cs="Arial"/>
          <w:b/>
          <w:bCs/>
          <w:color w:val="C45911" w:themeColor="accent2" w:themeShade="BF"/>
          <w:sz w:val="22"/>
          <w:szCs w:val="22"/>
        </w:rPr>
        <w:t xml:space="preserve">Impediment </w:t>
      </w:r>
      <w:r w:rsidR="00E43766">
        <w:rPr>
          <w:rFonts w:ascii="Arial" w:eastAsiaTheme="minorEastAsia" w:hAnsi="Arial" w:cs="Arial"/>
          <w:b/>
          <w:bCs/>
          <w:color w:val="C45911" w:themeColor="accent2" w:themeShade="BF"/>
          <w:sz w:val="22"/>
          <w:szCs w:val="22"/>
        </w:rPr>
        <w:t>C</w:t>
      </w:r>
      <w:r>
        <w:rPr>
          <w:rFonts w:ascii="Arial" w:eastAsiaTheme="minorEastAsia" w:hAnsi="Arial" w:cs="Arial"/>
          <w:b/>
          <w:bCs/>
          <w:color w:val="C45911" w:themeColor="accent2" w:themeShade="BF"/>
          <w:sz w:val="22"/>
          <w:szCs w:val="22"/>
        </w:rPr>
        <w:t>.1</w:t>
      </w:r>
      <w:r w:rsidRPr="00DD6E72">
        <w:rPr>
          <w:rFonts w:ascii="Arial" w:eastAsiaTheme="minorEastAsia" w:hAnsi="Arial" w:cs="Arial"/>
          <w:b/>
          <w:bCs/>
          <w:color w:val="C45911" w:themeColor="accent2" w:themeShade="BF"/>
          <w:sz w:val="22"/>
          <w:szCs w:val="22"/>
        </w:rPr>
        <w:t>:</w:t>
      </w:r>
      <w:r w:rsidR="00BD48C0">
        <w:rPr>
          <w:rFonts w:ascii="Arial" w:eastAsiaTheme="minorEastAsia" w:hAnsi="Arial" w:cs="Arial"/>
          <w:b/>
          <w:bCs/>
          <w:color w:val="C45911" w:themeColor="accent2" w:themeShade="BF"/>
          <w:sz w:val="22"/>
          <w:szCs w:val="22"/>
        </w:rPr>
        <w:t xml:space="preserve"> Homeownership among Black and Hispanic households is less than 50%</w:t>
      </w:r>
      <w:r w:rsidR="0050070D">
        <w:rPr>
          <w:rFonts w:ascii="Arial" w:eastAsiaTheme="minorEastAsia" w:hAnsi="Arial" w:cs="Arial"/>
          <w:b/>
          <w:bCs/>
          <w:color w:val="C45911" w:themeColor="accent2" w:themeShade="BF"/>
          <w:sz w:val="22"/>
          <w:szCs w:val="22"/>
        </w:rPr>
        <w:t>, respectively</w:t>
      </w:r>
      <w:r w:rsidRPr="00DD6E72">
        <w:rPr>
          <w:rFonts w:ascii="Arial" w:eastAsiaTheme="minorEastAsia" w:hAnsi="Arial" w:cs="Arial"/>
          <w:b/>
          <w:bCs/>
          <w:color w:val="C45911" w:themeColor="accent2" w:themeShade="BF"/>
          <w:sz w:val="22"/>
          <w:szCs w:val="22"/>
        </w:rPr>
        <w:t>.</w:t>
      </w:r>
      <w:r w:rsidRPr="00DD6E72">
        <w:rPr>
          <w:rFonts w:ascii="Arial" w:eastAsiaTheme="minorEastAsia" w:hAnsi="Arial" w:cs="Arial"/>
          <w:b/>
          <w:bCs/>
          <w:sz w:val="22"/>
          <w:szCs w:val="22"/>
        </w:rPr>
        <w:t xml:space="preserve"> </w:t>
      </w:r>
      <w:r w:rsidR="00BD48C0">
        <w:t xml:space="preserve">Several factors impact </w:t>
      </w:r>
      <w:r w:rsidR="0055758E">
        <w:t>these trends including higher unemployment, higher poverty, lower and stagnating household incomes, and higher mortgage denial rates</w:t>
      </w:r>
      <w:r>
        <w:t>.</w:t>
      </w:r>
    </w:p>
    <w:p w14:paraId="4F3A759F" w14:textId="3775F321" w:rsidR="00B42F7B" w:rsidRDefault="00B42F7B" w:rsidP="00B42F7B">
      <w:pPr>
        <w:spacing w:before="120" w:after="120"/>
        <w:ind w:left="720"/>
      </w:pPr>
      <w:r w:rsidRPr="005A61A5">
        <w:rPr>
          <w:rFonts w:ascii="Arial" w:hAnsi="Arial" w:cs="Arial"/>
          <w:b/>
          <w:bCs/>
          <w:color w:val="C45911" w:themeColor="accent2" w:themeShade="BF"/>
          <w:sz w:val="22"/>
          <w:szCs w:val="22"/>
        </w:rPr>
        <w:t>Action:</w:t>
      </w:r>
      <w:r w:rsidR="00A14C4E">
        <w:rPr>
          <w:rFonts w:ascii="Arial" w:hAnsi="Arial" w:cs="Arial"/>
          <w:b/>
          <w:bCs/>
          <w:color w:val="C45911" w:themeColor="accent2" w:themeShade="BF"/>
          <w:sz w:val="22"/>
          <w:szCs w:val="22"/>
        </w:rPr>
        <w:t xml:space="preserve"> </w:t>
      </w:r>
      <w:r w:rsidR="00A14C4E" w:rsidRPr="00A14C4E">
        <w:t>DOC and</w:t>
      </w:r>
      <w:r w:rsidR="00A14C4E" w:rsidRPr="00A14C4E">
        <w:rPr>
          <w:rFonts w:ascii="Arial" w:hAnsi="Arial" w:cs="Arial"/>
          <w:b/>
          <w:bCs/>
          <w:sz w:val="22"/>
          <w:szCs w:val="22"/>
        </w:rPr>
        <w:t xml:space="preserve"> </w:t>
      </w:r>
      <w:r w:rsidR="00A14C4E">
        <w:t xml:space="preserve">its AI partner agencies </w:t>
      </w:r>
      <w:r w:rsidR="0072486C">
        <w:t xml:space="preserve">will provide funding for homeownership counseling and economic development </w:t>
      </w:r>
      <w:r w:rsidR="00FA2397">
        <w:t>initiatives aimed at improving the financial stability</w:t>
      </w:r>
      <w:r w:rsidR="000062FA">
        <w:t xml:space="preserve"> of households and communities</w:t>
      </w:r>
      <w:r>
        <w:t>.</w:t>
      </w:r>
    </w:p>
    <w:p w14:paraId="10BF3C3E" w14:textId="0AC29A04" w:rsidR="00B42F7B" w:rsidRDefault="00B42F7B" w:rsidP="00B42F7B">
      <w:pPr>
        <w:spacing w:before="120" w:after="120"/>
        <w:ind w:left="1440"/>
      </w:pPr>
      <w:r>
        <w:rPr>
          <w:rFonts w:ascii="Arial" w:hAnsi="Arial" w:cs="Arial"/>
          <w:b/>
          <w:bCs/>
          <w:color w:val="C45911" w:themeColor="accent2" w:themeShade="BF"/>
          <w:sz w:val="22"/>
          <w:szCs w:val="22"/>
        </w:rPr>
        <w:t>Measurable Objective:</w:t>
      </w:r>
      <w:r>
        <w:t xml:space="preserve"> </w:t>
      </w:r>
      <w:r w:rsidR="000062FA">
        <w:t>Number of homebuyers assisted, number of jobs created, number of small businesses created</w:t>
      </w:r>
      <w:r w:rsidR="00541FFF">
        <w:t>/retained/</w:t>
      </w:r>
      <w:proofErr w:type="gramStart"/>
      <w:r w:rsidR="00541FFF">
        <w:t>expanded</w:t>
      </w:r>
      <w:proofErr w:type="gramEnd"/>
    </w:p>
    <w:p w14:paraId="1630AF59" w14:textId="77777777" w:rsidR="00782B10" w:rsidRDefault="00782B10" w:rsidP="008A74D5">
      <w:pPr>
        <w:spacing w:before="120" w:after="120"/>
        <w:ind w:left="1440"/>
      </w:pPr>
    </w:p>
    <w:tbl>
      <w:tblPr>
        <w:tblStyle w:val="TableGrid"/>
        <w:tblW w:w="0" w:type="auto"/>
        <w:tblLook w:val="04A0" w:firstRow="1" w:lastRow="0" w:firstColumn="1" w:lastColumn="0" w:noHBand="0" w:noVBand="1"/>
      </w:tblPr>
      <w:tblGrid>
        <w:gridCol w:w="9350"/>
      </w:tblGrid>
      <w:tr w:rsidR="00541FFF" w14:paraId="7608DF8B" w14:textId="77777777" w:rsidTr="0058533B">
        <w:tc>
          <w:tcPr>
            <w:tcW w:w="9350" w:type="dxa"/>
            <w:tcBorders>
              <w:top w:val="nil"/>
              <w:left w:val="nil"/>
              <w:bottom w:val="nil"/>
              <w:right w:val="nil"/>
            </w:tcBorders>
            <w:shd w:val="clear" w:color="auto" w:fill="C45911" w:themeFill="accent2" w:themeFillShade="BF"/>
          </w:tcPr>
          <w:p w14:paraId="64218C1B" w14:textId="61CABA99" w:rsidR="00541FFF" w:rsidRPr="00931427" w:rsidRDefault="00541FFF"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lastRenderedPageBreak/>
              <w:t>Goal</w:t>
            </w:r>
            <w:r>
              <w:rPr>
                <w:rFonts w:ascii="Arial" w:eastAsiaTheme="minorEastAsia" w:hAnsi="Arial" w:cs="Arial"/>
                <w:b/>
                <w:bCs/>
                <w:color w:val="FFFFFF" w:themeColor="background1"/>
                <w:sz w:val="22"/>
                <w:szCs w:val="22"/>
              </w:rPr>
              <w:t xml:space="preserve"> D</w:t>
            </w:r>
            <w:r w:rsidRPr="00931427">
              <w:rPr>
                <w:rFonts w:ascii="Arial" w:eastAsiaTheme="minorEastAsia" w:hAnsi="Arial" w:cs="Arial"/>
                <w:b/>
                <w:bCs/>
                <w:color w:val="FFFFFF" w:themeColor="background1"/>
                <w:sz w:val="22"/>
                <w:szCs w:val="22"/>
              </w:rPr>
              <w:t xml:space="preserve">: </w:t>
            </w:r>
            <w:r>
              <w:rPr>
                <w:rFonts w:ascii="Arial" w:eastAsiaTheme="minorEastAsia" w:hAnsi="Arial" w:cs="Arial"/>
                <w:b/>
                <w:bCs/>
                <w:color w:val="FFFFFF" w:themeColor="background1"/>
                <w:sz w:val="22"/>
                <w:szCs w:val="22"/>
              </w:rPr>
              <w:t>Increase</w:t>
            </w:r>
            <w:r w:rsidR="00F47F89">
              <w:rPr>
                <w:rFonts w:ascii="Arial" w:eastAsiaTheme="minorEastAsia" w:hAnsi="Arial" w:cs="Arial"/>
                <w:b/>
                <w:bCs/>
                <w:color w:val="FFFFFF" w:themeColor="background1"/>
                <w:sz w:val="22"/>
                <w:szCs w:val="22"/>
              </w:rPr>
              <w:t xml:space="preserve"> knowledge and implementation of obligation to affirmatively further fair housing </w:t>
            </w:r>
            <w:r w:rsidR="00251F34">
              <w:rPr>
                <w:rFonts w:ascii="Arial" w:eastAsiaTheme="minorEastAsia" w:hAnsi="Arial" w:cs="Arial"/>
                <w:b/>
                <w:bCs/>
                <w:color w:val="FFFFFF" w:themeColor="background1"/>
                <w:sz w:val="22"/>
                <w:szCs w:val="22"/>
              </w:rPr>
              <w:t xml:space="preserve">among HUD program small town subrecipients. </w:t>
            </w:r>
          </w:p>
        </w:tc>
      </w:tr>
    </w:tbl>
    <w:p w14:paraId="4D74BB60" w14:textId="4AD0955A" w:rsidR="00541FFF" w:rsidRPr="00257021" w:rsidRDefault="00541FFF" w:rsidP="00541FFF">
      <w:pPr>
        <w:spacing w:before="120" w:after="120"/>
      </w:pPr>
      <w:r w:rsidRPr="00DD6E72">
        <w:rPr>
          <w:rFonts w:ascii="Arial" w:eastAsiaTheme="minorEastAsia" w:hAnsi="Arial" w:cs="Arial"/>
          <w:b/>
          <w:bCs/>
          <w:color w:val="C45911" w:themeColor="accent2" w:themeShade="BF"/>
          <w:sz w:val="22"/>
          <w:szCs w:val="22"/>
        </w:rPr>
        <w:t xml:space="preserve">Impediment </w:t>
      </w:r>
      <w:r w:rsidR="0086475A">
        <w:rPr>
          <w:rFonts w:ascii="Arial" w:eastAsiaTheme="minorEastAsia" w:hAnsi="Arial" w:cs="Arial"/>
          <w:b/>
          <w:bCs/>
          <w:color w:val="C45911" w:themeColor="accent2" w:themeShade="BF"/>
          <w:sz w:val="22"/>
          <w:szCs w:val="22"/>
        </w:rPr>
        <w:t>D</w:t>
      </w:r>
      <w:r>
        <w:rPr>
          <w:rFonts w:ascii="Arial" w:eastAsiaTheme="minorEastAsia" w:hAnsi="Arial" w:cs="Arial"/>
          <w:b/>
          <w:bCs/>
          <w:color w:val="C45911" w:themeColor="accent2" w:themeShade="BF"/>
          <w:sz w:val="22"/>
          <w:szCs w:val="22"/>
        </w:rPr>
        <w:t>.1</w:t>
      </w:r>
      <w:r w:rsidRPr="00DD6E72">
        <w:rPr>
          <w:rFonts w:ascii="Arial" w:eastAsiaTheme="minorEastAsia" w:hAnsi="Arial" w:cs="Arial"/>
          <w:b/>
          <w:bCs/>
          <w:color w:val="C45911" w:themeColor="accent2" w:themeShade="BF"/>
          <w:sz w:val="22"/>
          <w:szCs w:val="22"/>
        </w:rPr>
        <w:t>:</w:t>
      </w:r>
      <w:r>
        <w:rPr>
          <w:rFonts w:ascii="Arial" w:eastAsiaTheme="minorEastAsia" w:hAnsi="Arial" w:cs="Arial"/>
          <w:b/>
          <w:bCs/>
          <w:color w:val="C45911" w:themeColor="accent2" w:themeShade="BF"/>
          <w:sz w:val="22"/>
          <w:szCs w:val="22"/>
        </w:rPr>
        <w:t xml:space="preserve"> </w:t>
      </w:r>
      <w:r w:rsidR="0086475A">
        <w:rPr>
          <w:rFonts w:ascii="Arial" w:eastAsiaTheme="minorEastAsia" w:hAnsi="Arial" w:cs="Arial"/>
          <w:b/>
          <w:bCs/>
          <w:color w:val="C45911" w:themeColor="accent2" w:themeShade="BF"/>
          <w:sz w:val="22"/>
          <w:szCs w:val="22"/>
        </w:rPr>
        <w:t xml:space="preserve">Turnover among public officials </w:t>
      </w:r>
      <w:r w:rsidR="00745860">
        <w:rPr>
          <w:rFonts w:ascii="Arial" w:eastAsiaTheme="minorEastAsia" w:hAnsi="Arial" w:cs="Arial"/>
          <w:b/>
          <w:bCs/>
          <w:color w:val="C45911" w:themeColor="accent2" w:themeShade="BF"/>
          <w:sz w:val="22"/>
          <w:szCs w:val="22"/>
        </w:rPr>
        <w:t>in subrecipient small towns make</w:t>
      </w:r>
      <w:r w:rsidR="0074764D">
        <w:rPr>
          <w:rFonts w:ascii="Arial" w:eastAsiaTheme="minorEastAsia" w:hAnsi="Arial" w:cs="Arial"/>
          <w:b/>
          <w:bCs/>
          <w:color w:val="C45911" w:themeColor="accent2" w:themeShade="BF"/>
          <w:sz w:val="22"/>
          <w:szCs w:val="22"/>
        </w:rPr>
        <w:t>s</w:t>
      </w:r>
      <w:r w:rsidR="00745860">
        <w:rPr>
          <w:rFonts w:ascii="Arial" w:eastAsiaTheme="minorEastAsia" w:hAnsi="Arial" w:cs="Arial"/>
          <w:b/>
          <w:bCs/>
          <w:color w:val="C45911" w:themeColor="accent2" w:themeShade="BF"/>
          <w:sz w:val="22"/>
          <w:szCs w:val="22"/>
        </w:rPr>
        <w:t xml:space="preserve"> it imperative to maintain the education effort</w:t>
      </w:r>
      <w:r w:rsidR="00257021">
        <w:rPr>
          <w:rFonts w:ascii="Arial" w:eastAsiaTheme="minorEastAsia" w:hAnsi="Arial" w:cs="Arial"/>
          <w:b/>
          <w:bCs/>
          <w:color w:val="C45911" w:themeColor="accent2" w:themeShade="BF"/>
          <w:sz w:val="22"/>
          <w:szCs w:val="22"/>
        </w:rPr>
        <w:t xml:space="preserve">s regarding affirmatively furthering fair housing. </w:t>
      </w:r>
      <w:r w:rsidR="00257021" w:rsidRPr="00257021">
        <w:rPr>
          <w:rFonts w:eastAsiaTheme="minorEastAsia"/>
        </w:rPr>
        <w:t>DEQ’s</w:t>
      </w:r>
      <w:r w:rsidR="0074764D">
        <w:rPr>
          <w:rFonts w:eastAsiaTheme="minorEastAsia"/>
        </w:rPr>
        <w:t xml:space="preserve"> Division of Water Infrastructure </w:t>
      </w:r>
      <w:r w:rsidR="00586381">
        <w:rPr>
          <w:rFonts w:eastAsiaTheme="minorEastAsia"/>
        </w:rPr>
        <w:t>Affirmatively Furthering Fair Housing Plan required of CDBG applicants is an excellent tool to achieve this.</w:t>
      </w:r>
    </w:p>
    <w:p w14:paraId="124530AA" w14:textId="36E4834E" w:rsidR="00541FFF" w:rsidRDefault="00541FFF" w:rsidP="00541FFF">
      <w:pPr>
        <w:spacing w:before="120" w:after="120"/>
        <w:ind w:left="720"/>
      </w:pPr>
      <w:r w:rsidRPr="005A61A5">
        <w:rPr>
          <w:rFonts w:ascii="Arial" w:hAnsi="Arial" w:cs="Arial"/>
          <w:b/>
          <w:bCs/>
          <w:color w:val="C45911" w:themeColor="accent2" w:themeShade="BF"/>
          <w:sz w:val="22"/>
          <w:szCs w:val="22"/>
        </w:rPr>
        <w:t>Action:</w:t>
      </w:r>
      <w:r>
        <w:rPr>
          <w:rFonts w:ascii="Arial" w:hAnsi="Arial" w:cs="Arial"/>
          <w:b/>
          <w:bCs/>
          <w:color w:val="C45911" w:themeColor="accent2" w:themeShade="BF"/>
          <w:sz w:val="22"/>
          <w:szCs w:val="22"/>
        </w:rPr>
        <w:t xml:space="preserve"> </w:t>
      </w:r>
      <w:r w:rsidRPr="00A14C4E">
        <w:t>D</w:t>
      </w:r>
      <w:r w:rsidR="00586381">
        <w:t xml:space="preserve">EQ’s </w:t>
      </w:r>
      <w:r w:rsidR="0077088E">
        <w:t xml:space="preserve">Division of Water Infrastructure will continue to ensure compliance with the Plan through its </w:t>
      </w:r>
      <w:r w:rsidR="00941A23">
        <w:t>small town subrecipients</w:t>
      </w:r>
      <w:r>
        <w:t>.</w:t>
      </w:r>
    </w:p>
    <w:p w14:paraId="0368949F" w14:textId="45332754" w:rsidR="00541FFF" w:rsidRDefault="00541FFF" w:rsidP="00541FFF">
      <w:pPr>
        <w:spacing w:before="120" w:after="120"/>
        <w:ind w:left="1440"/>
      </w:pPr>
      <w:r>
        <w:rPr>
          <w:rFonts w:ascii="Arial" w:hAnsi="Arial" w:cs="Arial"/>
          <w:b/>
          <w:bCs/>
          <w:color w:val="C45911" w:themeColor="accent2" w:themeShade="BF"/>
          <w:sz w:val="22"/>
          <w:szCs w:val="22"/>
        </w:rPr>
        <w:t>Measurable Objective:</w:t>
      </w:r>
      <w:r>
        <w:t xml:space="preserve"> Number </w:t>
      </w:r>
      <w:r w:rsidR="00941A23">
        <w:t xml:space="preserve">of new </w:t>
      </w:r>
      <w:r w:rsidR="000A4639">
        <w:t xml:space="preserve">applicants adopting the Plan, number of non-compliant </w:t>
      </w:r>
      <w:proofErr w:type="gramStart"/>
      <w:r w:rsidR="000A4639">
        <w:t>applicants</w:t>
      </w:r>
      <w:proofErr w:type="gramEnd"/>
    </w:p>
    <w:p w14:paraId="336CFDDD" w14:textId="00EFAFAD" w:rsidR="002F504E" w:rsidRDefault="002F504E" w:rsidP="002F504E">
      <w:pPr>
        <w:spacing w:before="120" w:after="120"/>
        <w:ind w:left="720"/>
      </w:pPr>
      <w:r w:rsidRPr="005A61A5">
        <w:rPr>
          <w:rFonts w:ascii="Arial" w:hAnsi="Arial" w:cs="Arial"/>
          <w:b/>
          <w:bCs/>
          <w:color w:val="C45911" w:themeColor="accent2" w:themeShade="BF"/>
          <w:sz w:val="22"/>
          <w:szCs w:val="22"/>
        </w:rPr>
        <w:t>Action:</w:t>
      </w:r>
      <w:r>
        <w:rPr>
          <w:rFonts w:ascii="Arial" w:hAnsi="Arial" w:cs="Arial"/>
          <w:b/>
          <w:bCs/>
          <w:color w:val="C45911" w:themeColor="accent2" w:themeShade="BF"/>
          <w:sz w:val="22"/>
          <w:szCs w:val="22"/>
        </w:rPr>
        <w:t xml:space="preserve"> </w:t>
      </w:r>
      <w:r w:rsidRPr="00A14C4E">
        <w:t>D</w:t>
      </w:r>
      <w:r>
        <w:t>OC and its AI partner agencies</w:t>
      </w:r>
      <w:r w:rsidR="001C48D7">
        <w:t xml:space="preserve"> will duplicate the AFFH Plan, where appropriate, among their programs</w:t>
      </w:r>
      <w:r>
        <w:t>.</w:t>
      </w:r>
    </w:p>
    <w:p w14:paraId="7753E564" w14:textId="171949B6" w:rsidR="002F504E" w:rsidRDefault="002F504E" w:rsidP="002F504E">
      <w:pPr>
        <w:spacing w:before="120" w:after="120"/>
        <w:ind w:left="1440"/>
      </w:pPr>
      <w:r>
        <w:rPr>
          <w:rFonts w:ascii="Arial" w:hAnsi="Arial" w:cs="Arial"/>
          <w:b/>
          <w:bCs/>
          <w:color w:val="C45911" w:themeColor="accent2" w:themeShade="BF"/>
          <w:sz w:val="22"/>
          <w:szCs w:val="22"/>
        </w:rPr>
        <w:t>Measurable Objective:</w:t>
      </w:r>
      <w:r>
        <w:t xml:space="preserve"> Number of new applicants adopting the Plan, number of non-compliant </w:t>
      </w:r>
      <w:proofErr w:type="gramStart"/>
      <w:r>
        <w:t>applicants</w:t>
      </w:r>
      <w:proofErr w:type="gramEnd"/>
    </w:p>
    <w:p w14:paraId="402D9423" w14:textId="77777777" w:rsidR="001462E5" w:rsidRDefault="001462E5" w:rsidP="002F504E">
      <w:pPr>
        <w:spacing w:before="120" w:after="120"/>
        <w:ind w:left="1440"/>
      </w:pPr>
    </w:p>
    <w:tbl>
      <w:tblPr>
        <w:tblStyle w:val="TableGrid"/>
        <w:tblW w:w="0" w:type="auto"/>
        <w:tblLook w:val="04A0" w:firstRow="1" w:lastRow="0" w:firstColumn="1" w:lastColumn="0" w:noHBand="0" w:noVBand="1"/>
      </w:tblPr>
      <w:tblGrid>
        <w:gridCol w:w="9350"/>
      </w:tblGrid>
      <w:tr w:rsidR="001462E5" w14:paraId="5316C604" w14:textId="77777777" w:rsidTr="0058533B">
        <w:tc>
          <w:tcPr>
            <w:tcW w:w="9350" w:type="dxa"/>
            <w:tcBorders>
              <w:top w:val="nil"/>
              <w:left w:val="nil"/>
              <w:bottom w:val="nil"/>
              <w:right w:val="nil"/>
            </w:tcBorders>
            <w:shd w:val="clear" w:color="auto" w:fill="C45911" w:themeFill="accent2" w:themeFillShade="BF"/>
          </w:tcPr>
          <w:p w14:paraId="7BAA65F8" w14:textId="1BA3F8B0" w:rsidR="001462E5" w:rsidRPr="00931427" w:rsidRDefault="001462E5" w:rsidP="0058533B">
            <w:pPr>
              <w:spacing w:before="120" w:after="120"/>
              <w:rPr>
                <w:rFonts w:ascii="Arial" w:eastAsiaTheme="minorEastAsia" w:hAnsi="Arial" w:cs="Arial"/>
                <w:b/>
                <w:bCs/>
                <w:color w:val="FFFFFF" w:themeColor="background1"/>
                <w:sz w:val="22"/>
                <w:szCs w:val="22"/>
              </w:rPr>
            </w:pPr>
            <w:r w:rsidRPr="00931427">
              <w:rPr>
                <w:rFonts w:ascii="Arial" w:eastAsiaTheme="minorEastAsia" w:hAnsi="Arial" w:cs="Arial"/>
                <w:b/>
                <w:bCs/>
                <w:color w:val="FFFFFF" w:themeColor="background1"/>
                <w:sz w:val="22"/>
                <w:szCs w:val="22"/>
              </w:rPr>
              <w:t>Goal</w:t>
            </w:r>
            <w:r>
              <w:rPr>
                <w:rFonts w:ascii="Arial" w:eastAsiaTheme="minorEastAsia" w:hAnsi="Arial" w:cs="Arial"/>
                <w:b/>
                <w:bCs/>
                <w:color w:val="FFFFFF" w:themeColor="background1"/>
                <w:sz w:val="22"/>
                <w:szCs w:val="22"/>
              </w:rPr>
              <w:t xml:space="preserve"> E</w:t>
            </w:r>
            <w:r w:rsidRPr="00931427">
              <w:rPr>
                <w:rFonts w:ascii="Arial" w:eastAsiaTheme="minorEastAsia" w:hAnsi="Arial" w:cs="Arial"/>
                <w:b/>
                <w:bCs/>
                <w:color w:val="FFFFFF" w:themeColor="background1"/>
                <w:sz w:val="22"/>
                <w:szCs w:val="22"/>
              </w:rPr>
              <w:t xml:space="preserve">: </w:t>
            </w:r>
            <w:r w:rsidR="005B4D99">
              <w:rPr>
                <w:rFonts w:ascii="Arial" w:eastAsiaTheme="minorEastAsia" w:hAnsi="Arial" w:cs="Arial"/>
                <w:b/>
                <w:bCs/>
                <w:color w:val="FFFFFF" w:themeColor="background1"/>
                <w:sz w:val="22"/>
                <w:szCs w:val="22"/>
              </w:rPr>
              <w:t>Ensure access to housing and other services to persons with limited English proficiency</w:t>
            </w:r>
            <w:r>
              <w:rPr>
                <w:rFonts w:ascii="Arial" w:eastAsiaTheme="minorEastAsia" w:hAnsi="Arial" w:cs="Arial"/>
                <w:b/>
                <w:bCs/>
                <w:color w:val="FFFFFF" w:themeColor="background1"/>
                <w:sz w:val="22"/>
                <w:szCs w:val="22"/>
              </w:rPr>
              <w:t xml:space="preserve">. </w:t>
            </w:r>
          </w:p>
        </w:tc>
      </w:tr>
    </w:tbl>
    <w:p w14:paraId="2BB76916" w14:textId="6445C992" w:rsidR="001462E5" w:rsidRPr="00257021" w:rsidRDefault="001462E5" w:rsidP="001462E5">
      <w:pPr>
        <w:spacing w:before="120" w:after="120"/>
      </w:pPr>
      <w:r w:rsidRPr="00DD6E72">
        <w:rPr>
          <w:rFonts w:ascii="Arial" w:eastAsiaTheme="minorEastAsia" w:hAnsi="Arial" w:cs="Arial"/>
          <w:b/>
          <w:bCs/>
          <w:color w:val="C45911" w:themeColor="accent2" w:themeShade="BF"/>
          <w:sz w:val="22"/>
          <w:szCs w:val="22"/>
        </w:rPr>
        <w:t xml:space="preserve">Impediment </w:t>
      </w:r>
      <w:r w:rsidR="005B4D99">
        <w:rPr>
          <w:rFonts w:ascii="Arial" w:eastAsiaTheme="minorEastAsia" w:hAnsi="Arial" w:cs="Arial"/>
          <w:b/>
          <w:bCs/>
          <w:color w:val="C45911" w:themeColor="accent2" w:themeShade="BF"/>
          <w:sz w:val="22"/>
          <w:szCs w:val="22"/>
        </w:rPr>
        <w:t>E</w:t>
      </w:r>
      <w:r>
        <w:rPr>
          <w:rFonts w:ascii="Arial" w:eastAsiaTheme="minorEastAsia" w:hAnsi="Arial" w:cs="Arial"/>
          <w:b/>
          <w:bCs/>
          <w:color w:val="C45911" w:themeColor="accent2" w:themeShade="BF"/>
          <w:sz w:val="22"/>
          <w:szCs w:val="22"/>
        </w:rPr>
        <w:t>.1</w:t>
      </w:r>
      <w:r w:rsidRPr="00DD6E72">
        <w:rPr>
          <w:rFonts w:ascii="Arial" w:eastAsiaTheme="minorEastAsia" w:hAnsi="Arial" w:cs="Arial"/>
          <w:b/>
          <w:bCs/>
          <w:color w:val="C45911" w:themeColor="accent2" w:themeShade="BF"/>
          <w:sz w:val="22"/>
          <w:szCs w:val="22"/>
        </w:rPr>
        <w:t>:</w:t>
      </w:r>
      <w:r>
        <w:rPr>
          <w:rFonts w:ascii="Arial" w:eastAsiaTheme="minorEastAsia" w:hAnsi="Arial" w:cs="Arial"/>
          <w:b/>
          <w:bCs/>
          <w:color w:val="C45911" w:themeColor="accent2" w:themeShade="BF"/>
          <w:sz w:val="22"/>
          <w:szCs w:val="22"/>
        </w:rPr>
        <w:t xml:space="preserve"> </w:t>
      </w:r>
      <w:r w:rsidR="002C36B7">
        <w:rPr>
          <w:rFonts w:ascii="Arial" w:eastAsiaTheme="minorEastAsia" w:hAnsi="Arial" w:cs="Arial"/>
          <w:b/>
          <w:bCs/>
          <w:color w:val="C45911" w:themeColor="accent2" w:themeShade="BF"/>
          <w:sz w:val="22"/>
          <w:szCs w:val="22"/>
        </w:rPr>
        <w:t>There are over 30 language groups in the state that meet the safe harbor threshold for translation of vital documents</w:t>
      </w:r>
      <w:r w:rsidR="00CE6092">
        <w:rPr>
          <w:rFonts w:ascii="Arial" w:eastAsiaTheme="minorEastAsia" w:hAnsi="Arial" w:cs="Arial"/>
          <w:b/>
          <w:bCs/>
          <w:color w:val="C45911" w:themeColor="accent2" w:themeShade="BF"/>
          <w:sz w:val="22"/>
          <w:szCs w:val="22"/>
        </w:rPr>
        <w:t xml:space="preserve"> as required by Title VI of the Civil Rights Act of 1964</w:t>
      </w:r>
      <w:r w:rsidR="000C1D79">
        <w:rPr>
          <w:rFonts w:ascii="Arial" w:eastAsiaTheme="minorEastAsia" w:hAnsi="Arial" w:cs="Arial"/>
          <w:b/>
          <w:bCs/>
          <w:color w:val="C45911" w:themeColor="accent2" w:themeShade="BF"/>
          <w:sz w:val="22"/>
          <w:szCs w:val="22"/>
        </w:rPr>
        <w:t>.</w:t>
      </w:r>
      <w:r>
        <w:rPr>
          <w:rFonts w:ascii="Arial" w:eastAsiaTheme="minorEastAsia" w:hAnsi="Arial" w:cs="Arial"/>
          <w:b/>
          <w:bCs/>
          <w:color w:val="C45911" w:themeColor="accent2" w:themeShade="BF"/>
          <w:sz w:val="22"/>
          <w:szCs w:val="22"/>
        </w:rPr>
        <w:t xml:space="preserve"> </w:t>
      </w:r>
      <w:proofErr w:type="gramStart"/>
      <w:r w:rsidR="00CE6092">
        <w:rPr>
          <w:rFonts w:eastAsiaTheme="minorEastAsia"/>
        </w:rPr>
        <w:t>As a recipient of federal funding, the state</w:t>
      </w:r>
      <w:proofErr w:type="gramEnd"/>
      <w:r w:rsidR="00CE6092">
        <w:rPr>
          <w:rFonts w:eastAsiaTheme="minorEastAsia"/>
        </w:rPr>
        <w:t xml:space="preserve"> is required to </w:t>
      </w:r>
      <w:r w:rsidR="00850EBD">
        <w:rPr>
          <w:rFonts w:eastAsiaTheme="minorEastAsia"/>
        </w:rPr>
        <w:t xml:space="preserve">ensure that persons with LEP </w:t>
      </w:r>
      <w:r w:rsidR="007E4AEE">
        <w:rPr>
          <w:rFonts w:eastAsiaTheme="minorEastAsia"/>
        </w:rPr>
        <w:t xml:space="preserve">who are otherwise eligible </w:t>
      </w:r>
      <w:r w:rsidR="00850EBD">
        <w:rPr>
          <w:rFonts w:eastAsiaTheme="minorEastAsia"/>
        </w:rPr>
        <w:t>have access to its programs</w:t>
      </w:r>
      <w:r>
        <w:rPr>
          <w:rFonts w:eastAsiaTheme="minorEastAsia"/>
        </w:rPr>
        <w:t>.</w:t>
      </w:r>
    </w:p>
    <w:p w14:paraId="36473E78" w14:textId="7158732E" w:rsidR="001462E5" w:rsidRDefault="001462E5" w:rsidP="001462E5">
      <w:pPr>
        <w:spacing w:before="120" w:after="120"/>
        <w:ind w:left="720"/>
      </w:pPr>
      <w:r w:rsidRPr="005A61A5">
        <w:rPr>
          <w:rFonts w:ascii="Arial" w:hAnsi="Arial" w:cs="Arial"/>
          <w:b/>
          <w:bCs/>
          <w:color w:val="C45911" w:themeColor="accent2" w:themeShade="BF"/>
          <w:sz w:val="22"/>
          <w:szCs w:val="22"/>
        </w:rPr>
        <w:t>Action:</w:t>
      </w:r>
      <w:r>
        <w:rPr>
          <w:rFonts w:ascii="Arial" w:hAnsi="Arial" w:cs="Arial"/>
          <w:b/>
          <w:bCs/>
          <w:color w:val="C45911" w:themeColor="accent2" w:themeShade="BF"/>
          <w:sz w:val="22"/>
          <w:szCs w:val="22"/>
        </w:rPr>
        <w:t xml:space="preserve"> </w:t>
      </w:r>
      <w:r w:rsidR="0093604E">
        <w:t>DOC and its AI partner agencies will each maintain complete Language Access Plans and review them annually</w:t>
      </w:r>
      <w:r w:rsidR="006618C8">
        <w:t xml:space="preserve"> to identify changes in population trends, which might require updating the Plans</w:t>
      </w:r>
      <w:r>
        <w:t>.</w:t>
      </w:r>
    </w:p>
    <w:p w14:paraId="2167684E" w14:textId="4882AC4B" w:rsidR="001462E5" w:rsidRDefault="001462E5" w:rsidP="006618C8">
      <w:pPr>
        <w:spacing w:before="120" w:after="120"/>
        <w:ind w:left="1440"/>
      </w:pPr>
      <w:r>
        <w:rPr>
          <w:rFonts w:ascii="Arial" w:hAnsi="Arial" w:cs="Arial"/>
          <w:b/>
          <w:bCs/>
          <w:color w:val="C45911" w:themeColor="accent2" w:themeShade="BF"/>
          <w:sz w:val="22"/>
          <w:szCs w:val="22"/>
        </w:rPr>
        <w:t>Measurable Objective</w:t>
      </w:r>
      <w:r w:rsidR="006618C8">
        <w:rPr>
          <w:rFonts w:ascii="Arial" w:hAnsi="Arial" w:cs="Arial"/>
          <w:b/>
          <w:bCs/>
          <w:color w:val="C45911" w:themeColor="accent2" w:themeShade="BF"/>
          <w:sz w:val="22"/>
          <w:szCs w:val="22"/>
        </w:rPr>
        <w:t>s</w:t>
      </w:r>
      <w:r>
        <w:rPr>
          <w:rFonts w:ascii="Arial" w:hAnsi="Arial" w:cs="Arial"/>
          <w:b/>
          <w:bCs/>
          <w:color w:val="C45911" w:themeColor="accent2" w:themeShade="BF"/>
          <w:sz w:val="22"/>
          <w:szCs w:val="22"/>
        </w:rPr>
        <w:t>:</w:t>
      </w:r>
      <w:r>
        <w:t xml:space="preserve"> </w:t>
      </w:r>
      <w:r w:rsidR="001A1BA7">
        <w:t>Verification of annual review of each agency’s LAP, revised LAPs upon release of new Census data</w:t>
      </w:r>
      <w:r w:rsidR="0002361D">
        <w:t xml:space="preserve">, number of persons with LEP served by </w:t>
      </w:r>
      <w:r w:rsidR="000C5DD4">
        <w:t xml:space="preserve">each </w:t>
      </w:r>
      <w:r w:rsidR="0002361D">
        <w:t xml:space="preserve">agency or program, number of complaints filed </w:t>
      </w:r>
      <w:r w:rsidR="00344106">
        <w:t>under the LAPs, number of LAP trainings provided to agency staff.</w:t>
      </w:r>
    </w:p>
    <w:p w14:paraId="56789B21" w14:textId="77777777" w:rsidR="000A4639" w:rsidRDefault="000A4639" w:rsidP="00541FFF">
      <w:pPr>
        <w:spacing w:before="120" w:after="120"/>
        <w:ind w:left="1440"/>
      </w:pPr>
    </w:p>
    <w:p w14:paraId="3A035365" w14:textId="77777777" w:rsidR="008A74D5" w:rsidRPr="00BC35C0" w:rsidRDefault="008A74D5" w:rsidP="00BC35C0">
      <w:pPr>
        <w:spacing w:before="120" w:after="120"/>
        <w:ind w:left="720"/>
      </w:pPr>
    </w:p>
    <w:p w14:paraId="1AC394B0" w14:textId="7D204651" w:rsidR="00DD6E72" w:rsidRPr="00DD6E72" w:rsidRDefault="00DD6E72" w:rsidP="003F1BA5">
      <w:pPr>
        <w:spacing w:before="120" w:after="120"/>
      </w:pPr>
    </w:p>
    <w:p w14:paraId="377ECF2A" w14:textId="5C2BD1CB" w:rsidR="009B05B7" w:rsidRPr="008A172D" w:rsidRDefault="009B05B7" w:rsidP="009B05B7">
      <w:pPr>
        <w:spacing w:before="120" w:after="120"/>
        <w:rPr>
          <w:rFonts w:ascii="Arial" w:eastAsiaTheme="minorEastAsia" w:hAnsi="Arial" w:cs="Arial"/>
          <w:b/>
          <w:bCs/>
          <w:sz w:val="22"/>
          <w:szCs w:val="22"/>
        </w:rPr>
      </w:pPr>
    </w:p>
    <w:p w14:paraId="6A0372F8" w14:textId="77777777" w:rsidR="009B05B7" w:rsidRDefault="009B05B7" w:rsidP="00011815">
      <w:pPr>
        <w:spacing w:before="120" w:after="120"/>
        <w:ind w:left="720"/>
        <w:rPr>
          <w:rFonts w:eastAsiaTheme="minorEastAsia"/>
        </w:rPr>
      </w:pPr>
    </w:p>
    <w:p w14:paraId="788EE961" w14:textId="77777777" w:rsidR="00954193" w:rsidRPr="003F5EBB" w:rsidRDefault="00954193" w:rsidP="009F1D8F">
      <w:pPr>
        <w:spacing w:before="120" w:after="120"/>
        <w:rPr>
          <w:rFonts w:eastAsiaTheme="minorEastAsia"/>
        </w:rPr>
      </w:pPr>
    </w:p>
    <w:p w14:paraId="40E57621" w14:textId="05D14C29" w:rsidR="00297D49" w:rsidRDefault="00297D49" w:rsidP="009F1D8F">
      <w:pPr>
        <w:spacing w:before="120" w:after="120" w:line="276" w:lineRule="auto"/>
        <w:rPr>
          <w:rFonts w:asciiTheme="minorHAnsi" w:eastAsiaTheme="minorEastAsia" w:hAnsiTheme="minorHAnsi" w:cstheme="minorBidi"/>
          <w:sz w:val="22"/>
          <w:szCs w:val="21"/>
        </w:rPr>
      </w:pPr>
    </w:p>
    <w:p w14:paraId="49637B6A" w14:textId="77777777" w:rsidR="00F06323" w:rsidRDefault="00F06323" w:rsidP="009F1D8F">
      <w:pPr>
        <w:spacing w:before="120" w:after="120" w:line="276" w:lineRule="auto"/>
        <w:rPr>
          <w:rFonts w:asciiTheme="minorHAnsi" w:eastAsiaTheme="minorEastAsia" w:hAnsiTheme="minorHAnsi" w:cstheme="minorBidi"/>
          <w:sz w:val="22"/>
          <w:szCs w:val="21"/>
        </w:rPr>
      </w:pPr>
    </w:p>
    <w:p w14:paraId="72D4AB4B" w14:textId="77777777" w:rsidR="003F5EBB" w:rsidRPr="003F5EBB" w:rsidRDefault="003F5EBB" w:rsidP="00F73E68">
      <w:pPr>
        <w:pStyle w:val="Heading1"/>
      </w:pPr>
      <w:bookmarkStart w:id="110" w:name="_Toc66807957"/>
      <w:bookmarkStart w:id="111" w:name="_Toc47640003"/>
      <w:r w:rsidRPr="003F5EBB">
        <w:lastRenderedPageBreak/>
        <w:t>Signature Page</w:t>
      </w:r>
      <w:bookmarkEnd w:id="110"/>
    </w:p>
    <w:p w14:paraId="63BC4FEF" w14:textId="77777777" w:rsidR="003F5EBB" w:rsidRPr="003F5EBB" w:rsidRDefault="003F5EBB" w:rsidP="00481968">
      <w:pPr>
        <w:rPr>
          <w:rFonts w:eastAsiaTheme="minorEastAsia"/>
        </w:rPr>
      </w:pPr>
      <w:r w:rsidRPr="003F5EBB">
        <w:rPr>
          <w:rFonts w:eastAsiaTheme="minorEastAsia"/>
        </w:rPr>
        <w:t xml:space="preserve">By my signature I certify that the </w:t>
      </w:r>
      <w:r w:rsidRPr="003F5EBB">
        <w:rPr>
          <w:rFonts w:eastAsiaTheme="minorEastAsia"/>
          <w:i/>
          <w:iCs/>
        </w:rPr>
        <w:t>Analysis of Impediments to Fair Housing Choice</w:t>
      </w:r>
      <w:r w:rsidRPr="003F5EBB">
        <w:rPr>
          <w:rFonts w:eastAsiaTheme="minorEastAsia"/>
        </w:rPr>
        <w:t xml:space="preserve"> for the State of North Carolina </w:t>
      </w:r>
      <w:proofErr w:type="gramStart"/>
      <w:r w:rsidRPr="003F5EBB">
        <w:rPr>
          <w:rFonts w:eastAsiaTheme="minorEastAsia"/>
        </w:rPr>
        <w:t>is in compliance with</w:t>
      </w:r>
      <w:proofErr w:type="gramEnd"/>
      <w:r w:rsidRPr="003F5EBB">
        <w:rPr>
          <w:rFonts w:eastAsiaTheme="minorEastAsia"/>
        </w:rPr>
        <w:t xml:space="preserve"> the intent and directives of the regulations of the Community Development Block Grant Program.</w:t>
      </w:r>
    </w:p>
    <w:p w14:paraId="4A536F0C" w14:textId="77777777" w:rsidR="003F5EBB" w:rsidRPr="003F5EBB" w:rsidRDefault="003F5EBB" w:rsidP="003F5EBB">
      <w:pPr>
        <w:spacing w:after="160" w:line="276" w:lineRule="auto"/>
        <w:rPr>
          <w:rFonts w:asciiTheme="minorHAnsi" w:eastAsiaTheme="minorEastAsia" w:hAnsiTheme="minorHAnsi" w:cstheme="minorBidi"/>
          <w:sz w:val="22"/>
          <w:szCs w:val="21"/>
        </w:rPr>
      </w:pPr>
    </w:p>
    <w:p w14:paraId="7DD7F66C" w14:textId="77777777" w:rsidR="003F5EBB" w:rsidRPr="003F5EBB" w:rsidRDefault="003F5EBB" w:rsidP="003F5EBB">
      <w:pPr>
        <w:spacing w:after="160" w:line="276" w:lineRule="auto"/>
        <w:rPr>
          <w:rFonts w:asciiTheme="minorHAnsi" w:eastAsiaTheme="minorEastAsia" w:hAnsiTheme="minorHAnsi" w:cstheme="minorBidi"/>
          <w:sz w:val="22"/>
          <w:szCs w:val="21"/>
        </w:rPr>
      </w:pPr>
      <w:r w:rsidRPr="003F5EBB">
        <w:rPr>
          <w:rFonts w:asciiTheme="minorHAnsi" w:eastAsiaTheme="minorEastAsia" w:hAnsiTheme="minorHAnsi" w:cstheme="minorBidi"/>
          <w:sz w:val="22"/>
          <w:szCs w:val="21"/>
        </w:rPr>
        <w:t>__________________________________________________________</w:t>
      </w:r>
    </w:p>
    <w:p w14:paraId="61158FFC" w14:textId="77777777" w:rsidR="003F5EBB" w:rsidRPr="003F5EBB" w:rsidRDefault="003F5EBB" w:rsidP="003F5EBB">
      <w:pPr>
        <w:spacing w:after="160" w:line="276" w:lineRule="auto"/>
        <w:rPr>
          <w:rFonts w:asciiTheme="minorHAnsi" w:eastAsiaTheme="minorEastAsia" w:hAnsiTheme="minorHAnsi" w:cstheme="minorBidi"/>
          <w:sz w:val="22"/>
          <w:szCs w:val="21"/>
        </w:rPr>
      </w:pPr>
      <w:r w:rsidRPr="003F5EBB">
        <w:rPr>
          <w:rFonts w:asciiTheme="minorHAnsi" w:eastAsiaTheme="minorEastAsia" w:hAnsiTheme="minorHAnsi" w:cstheme="minorBidi"/>
          <w:sz w:val="22"/>
          <w:szCs w:val="21"/>
        </w:rPr>
        <w:t>(name, title)</w:t>
      </w:r>
    </w:p>
    <w:p w14:paraId="13418F0A" w14:textId="77777777" w:rsidR="003F5EBB" w:rsidRPr="003F5EBB" w:rsidRDefault="003F5EBB" w:rsidP="003F5EBB">
      <w:pPr>
        <w:spacing w:after="160" w:line="276" w:lineRule="auto"/>
        <w:rPr>
          <w:rFonts w:asciiTheme="minorHAnsi" w:eastAsiaTheme="minorEastAsia" w:hAnsiTheme="minorHAnsi" w:cstheme="minorBidi"/>
          <w:sz w:val="22"/>
          <w:szCs w:val="21"/>
        </w:rPr>
      </w:pPr>
      <w:r w:rsidRPr="003F5EBB">
        <w:rPr>
          <w:rFonts w:asciiTheme="minorHAnsi" w:eastAsiaTheme="minorEastAsia" w:hAnsiTheme="minorHAnsi" w:cstheme="minorBidi"/>
          <w:sz w:val="22"/>
          <w:szCs w:val="21"/>
        </w:rPr>
        <w:t>___________________________</w:t>
      </w:r>
    </w:p>
    <w:p w14:paraId="551939F7" w14:textId="77777777" w:rsidR="003F5EBB" w:rsidRPr="003F5EBB" w:rsidRDefault="003F5EBB" w:rsidP="003F5EBB">
      <w:pPr>
        <w:spacing w:after="160" w:line="276" w:lineRule="auto"/>
        <w:rPr>
          <w:rFonts w:asciiTheme="minorHAnsi" w:eastAsiaTheme="minorEastAsia" w:hAnsiTheme="minorHAnsi" w:cstheme="minorBidi"/>
          <w:sz w:val="22"/>
          <w:szCs w:val="21"/>
        </w:rPr>
      </w:pPr>
      <w:r w:rsidRPr="003F5EBB">
        <w:rPr>
          <w:rFonts w:asciiTheme="minorHAnsi" w:eastAsiaTheme="minorEastAsia" w:hAnsiTheme="minorHAnsi" w:cstheme="minorBidi"/>
          <w:sz w:val="22"/>
          <w:szCs w:val="21"/>
        </w:rPr>
        <w:t>Date</w:t>
      </w:r>
    </w:p>
    <w:p w14:paraId="43D18F93" w14:textId="77777777" w:rsidR="003F5EBB" w:rsidRPr="003F5EBB" w:rsidRDefault="003F5EBB" w:rsidP="003F5EBB">
      <w:pPr>
        <w:spacing w:after="160" w:line="276" w:lineRule="auto"/>
        <w:rPr>
          <w:rFonts w:asciiTheme="majorHAnsi" w:eastAsiaTheme="majorEastAsia" w:hAnsiTheme="majorHAnsi" w:cstheme="majorBidi"/>
          <w:color w:val="262626" w:themeColor="text1" w:themeTint="D9"/>
          <w:sz w:val="40"/>
          <w:szCs w:val="40"/>
        </w:rPr>
      </w:pPr>
      <w:r w:rsidRPr="003F5EBB">
        <w:rPr>
          <w:rFonts w:asciiTheme="minorHAnsi" w:eastAsiaTheme="minorEastAsia" w:hAnsiTheme="minorHAnsi" w:cstheme="minorBidi"/>
          <w:sz w:val="22"/>
          <w:szCs w:val="21"/>
        </w:rPr>
        <w:br w:type="page"/>
      </w:r>
    </w:p>
    <w:p w14:paraId="6DA6D440" w14:textId="2E59444F" w:rsidR="00E04335" w:rsidRDefault="00E04335" w:rsidP="00F73E68">
      <w:pPr>
        <w:pStyle w:val="Heading1"/>
      </w:pPr>
      <w:bookmarkStart w:id="112" w:name="_Toc66807958"/>
      <w:r>
        <w:lastRenderedPageBreak/>
        <w:t xml:space="preserve">Appendix A: </w:t>
      </w:r>
      <w:r w:rsidR="00DA2871">
        <w:t>Public Engagement Plan</w:t>
      </w:r>
      <w:bookmarkEnd w:id="112"/>
    </w:p>
    <w:p w14:paraId="0BEE67D0" w14:textId="77777777" w:rsidR="007A68E8" w:rsidRDefault="007A68E8">
      <w:pPr>
        <w:spacing w:after="160" w:line="259" w:lineRule="auto"/>
      </w:pPr>
    </w:p>
    <w:p w14:paraId="39BC5FC2" w14:textId="5411561A" w:rsidR="00E04335" w:rsidRDefault="00E04335">
      <w:pPr>
        <w:spacing w:after="160" w:line="259" w:lineRule="auto"/>
        <w:rPr>
          <w:rFonts w:asciiTheme="majorHAnsi" w:eastAsiaTheme="majorEastAsia" w:hAnsiTheme="majorHAnsi" w:cstheme="majorBidi"/>
          <w:color w:val="262626" w:themeColor="text1" w:themeTint="D9"/>
          <w:sz w:val="40"/>
          <w:szCs w:val="40"/>
        </w:rPr>
      </w:pPr>
      <w:r>
        <w:br w:type="page"/>
      </w:r>
    </w:p>
    <w:p w14:paraId="597DC1E2" w14:textId="3429916A" w:rsidR="003F5EBB" w:rsidRPr="003F5EBB" w:rsidRDefault="003F5EBB" w:rsidP="00F73E68">
      <w:pPr>
        <w:pStyle w:val="Heading1"/>
      </w:pPr>
      <w:bookmarkStart w:id="113" w:name="_Toc66807959"/>
      <w:r w:rsidRPr="003F5EBB">
        <w:lastRenderedPageBreak/>
        <w:t xml:space="preserve">Appendix </w:t>
      </w:r>
      <w:r w:rsidR="0011478C">
        <w:t>B</w:t>
      </w:r>
      <w:r w:rsidRPr="003F5EBB">
        <w:t xml:space="preserve">: </w:t>
      </w:r>
      <w:bookmarkEnd w:id="111"/>
      <w:r w:rsidR="00E3490F">
        <w:t>NCHRC Fair Housing Activities</w:t>
      </w:r>
      <w:bookmarkEnd w:id="113"/>
    </w:p>
    <w:p w14:paraId="4883DFE1" w14:textId="77777777" w:rsidR="003F5EBB" w:rsidRPr="003F5EBB" w:rsidRDefault="003F5EBB" w:rsidP="003F5EBB">
      <w:pPr>
        <w:spacing w:after="160" w:line="276" w:lineRule="auto"/>
        <w:jc w:val="both"/>
        <w:rPr>
          <w:rFonts w:asciiTheme="minorHAnsi" w:eastAsiaTheme="minorEastAsia" w:hAnsiTheme="minorHAnsi" w:cstheme="minorBidi"/>
          <w:sz w:val="22"/>
          <w:szCs w:val="21"/>
        </w:rPr>
      </w:pPr>
    </w:p>
    <w:p w14:paraId="0630A058" w14:textId="77777777" w:rsidR="003F5EBB" w:rsidRPr="003F5EBB" w:rsidRDefault="003F5EBB" w:rsidP="003F5EBB">
      <w:pPr>
        <w:spacing w:after="160" w:line="276" w:lineRule="auto"/>
        <w:jc w:val="both"/>
        <w:rPr>
          <w:rFonts w:asciiTheme="minorHAnsi" w:eastAsiaTheme="minorEastAsia" w:hAnsiTheme="minorHAnsi" w:cstheme="minorBidi"/>
          <w:sz w:val="22"/>
          <w:szCs w:val="21"/>
        </w:rPr>
      </w:pPr>
    </w:p>
    <w:p w14:paraId="4BC1C2DC" w14:textId="77777777" w:rsidR="003F5EBB" w:rsidRPr="002C5D4D" w:rsidRDefault="003F5EBB" w:rsidP="00D24507">
      <w:pPr>
        <w:rPr>
          <w:sz w:val="16"/>
          <w:szCs w:val="16"/>
        </w:rPr>
      </w:pPr>
    </w:p>
    <w:sectPr w:rsidR="003F5EBB" w:rsidRPr="002C5D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860B8" w14:textId="77777777" w:rsidR="00AA1041" w:rsidRDefault="00AA1041" w:rsidP="00D24507">
      <w:r>
        <w:separator/>
      </w:r>
    </w:p>
  </w:endnote>
  <w:endnote w:type="continuationSeparator" w:id="0">
    <w:p w14:paraId="13B25FB1" w14:textId="77777777" w:rsidR="00AA1041" w:rsidRDefault="00AA1041" w:rsidP="00D2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9651301"/>
      <w:docPartObj>
        <w:docPartGallery w:val="Page Numbers (Bottom of Page)"/>
        <w:docPartUnique/>
      </w:docPartObj>
    </w:sdtPr>
    <w:sdtEndPr>
      <w:rPr>
        <w:noProof/>
      </w:rPr>
    </w:sdtEndPr>
    <w:sdtContent>
      <w:p w14:paraId="318F9D42" w14:textId="77777777" w:rsidR="00841CDA" w:rsidRDefault="00841C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90BDBF" w14:textId="77777777" w:rsidR="00841CDA" w:rsidRDefault="00841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9E070" w14:textId="77777777" w:rsidR="00AA1041" w:rsidRDefault="00AA1041" w:rsidP="00D24507">
      <w:r>
        <w:separator/>
      </w:r>
    </w:p>
  </w:footnote>
  <w:footnote w:type="continuationSeparator" w:id="0">
    <w:p w14:paraId="74D78674" w14:textId="77777777" w:rsidR="00AA1041" w:rsidRDefault="00AA1041" w:rsidP="00D24507">
      <w:r>
        <w:continuationSeparator/>
      </w:r>
    </w:p>
  </w:footnote>
  <w:footnote w:id="1">
    <w:p w14:paraId="2272C894" w14:textId="3FAD0B4F" w:rsidR="00841CDA" w:rsidRPr="00F2699F" w:rsidRDefault="00841CDA">
      <w:pPr>
        <w:pStyle w:val="FootnoteText"/>
      </w:pPr>
      <w:r>
        <w:rPr>
          <w:rStyle w:val="FootnoteReference"/>
        </w:rPr>
        <w:footnoteRef/>
      </w:r>
      <w:r>
        <w:t xml:space="preserve"> Under the federal Fair Housing Act, it is illegal to discriminate against someone in housing based on their </w:t>
      </w:r>
      <w:r w:rsidRPr="00F2699F">
        <w:t>race, color, religion, sex, disability, familial status or national origin</w:t>
      </w:r>
      <w:r>
        <w:t>. These are collectively referred to as “members of protected classes” because these personal characteristics are protected by law. The North Carolina Fair Housing Act includes these same seven protected classes; it also includes a prohibition against discrimination in the siting of affordable housing.</w:t>
      </w:r>
    </w:p>
  </w:footnote>
  <w:footnote w:id="2">
    <w:p w14:paraId="371D88B3" w14:textId="168779DA" w:rsidR="00841CDA" w:rsidRDefault="00841CDA">
      <w:pPr>
        <w:pStyle w:val="FootnoteText"/>
      </w:pPr>
      <w:r>
        <w:rPr>
          <w:rStyle w:val="FootnoteReference"/>
        </w:rPr>
        <w:footnoteRef/>
      </w:r>
      <w:r>
        <w:t xml:space="preserve"> Preserving Community and Neighborhood Choice Final Rule</w:t>
      </w:r>
      <w:r w:rsidRPr="00956E93">
        <w:t xml:space="preserve">, </w:t>
      </w:r>
      <w:r>
        <w:t>24</w:t>
      </w:r>
      <w:r w:rsidRPr="00956E93">
        <w:t xml:space="preserve"> C.F.R. § </w:t>
      </w:r>
      <w:r>
        <w:t>5, 91, 92, 570, 574, 576, 903</w:t>
      </w:r>
      <w:r w:rsidRPr="00956E93">
        <w:t xml:space="preserve"> (20</w:t>
      </w:r>
      <w:r>
        <w:t>20</w:t>
      </w:r>
      <w:r w:rsidRPr="00956E93">
        <w:t>).</w:t>
      </w:r>
    </w:p>
  </w:footnote>
  <w:footnote w:id="3">
    <w:p w14:paraId="63B1E005" w14:textId="77777777" w:rsidR="00841CDA" w:rsidRPr="00CE415E" w:rsidRDefault="00841CDA" w:rsidP="00D24507">
      <w:pPr>
        <w:pStyle w:val="FootnoteText"/>
        <w:rPr>
          <w:sz w:val="18"/>
          <w:szCs w:val="18"/>
        </w:rPr>
      </w:pPr>
      <w:r w:rsidRPr="00CE415E">
        <w:rPr>
          <w:rStyle w:val="FootnoteReference"/>
          <w:sz w:val="18"/>
          <w:szCs w:val="18"/>
        </w:rPr>
        <w:footnoteRef/>
      </w:r>
      <w:r w:rsidRPr="00CE415E">
        <w:rPr>
          <w:sz w:val="18"/>
          <w:szCs w:val="18"/>
        </w:rPr>
        <w:t xml:space="preserve"> For a given geographic area, the index is equal to </w:t>
      </w:r>
      <w:r>
        <w:rPr>
          <w:sz w:val="18"/>
          <w:szCs w:val="18"/>
        </w:rPr>
        <w:br/>
        <w:t>[</w:t>
      </w:r>
      <w:r w:rsidRPr="00CE415E">
        <w:rPr>
          <w:sz w:val="18"/>
          <w:szCs w:val="18"/>
        </w:rPr>
        <w:t xml:space="preserve">(a/A) * (a/t)], where </w:t>
      </w:r>
      <w:r>
        <w:rPr>
          <w:sz w:val="18"/>
          <w:szCs w:val="18"/>
        </w:rPr>
        <w:t>“</w:t>
      </w:r>
      <w:r w:rsidRPr="00CE415E">
        <w:rPr>
          <w:sz w:val="18"/>
          <w:szCs w:val="18"/>
        </w:rPr>
        <w:t>a</w:t>
      </w:r>
      <w:r>
        <w:rPr>
          <w:sz w:val="18"/>
          <w:szCs w:val="18"/>
        </w:rPr>
        <w:t>”</w:t>
      </w:r>
      <w:r w:rsidRPr="00CE415E">
        <w:rPr>
          <w:sz w:val="18"/>
          <w:szCs w:val="18"/>
        </w:rPr>
        <w:t xml:space="preserve"> is the group population of a sub-region, </w:t>
      </w:r>
      <w:r>
        <w:rPr>
          <w:sz w:val="18"/>
          <w:szCs w:val="18"/>
        </w:rPr>
        <w:t>“</w:t>
      </w:r>
      <w:r w:rsidRPr="00CE415E">
        <w:rPr>
          <w:sz w:val="18"/>
          <w:szCs w:val="18"/>
        </w:rPr>
        <w:t>t</w:t>
      </w:r>
      <w:r>
        <w:rPr>
          <w:sz w:val="18"/>
          <w:szCs w:val="18"/>
        </w:rPr>
        <w:t>”</w:t>
      </w:r>
      <w:r w:rsidRPr="00CE415E">
        <w:rPr>
          <w:sz w:val="18"/>
          <w:szCs w:val="18"/>
        </w:rPr>
        <w:t xml:space="preserve"> is the population of all groups in the sub-region, and </w:t>
      </w:r>
      <w:r>
        <w:rPr>
          <w:sz w:val="18"/>
          <w:szCs w:val="18"/>
        </w:rPr>
        <w:t>“</w:t>
      </w:r>
      <w:r w:rsidRPr="00CE415E">
        <w:rPr>
          <w:sz w:val="18"/>
          <w:szCs w:val="18"/>
        </w:rPr>
        <w:t>A</w:t>
      </w:r>
      <w:r>
        <w:rPr>
          <w:sz w:val="18"/>
          <w:szCs w:val="18"/>
        </w:rPr>
        <w:t>”</w:t>
      </w:r>
      <w:r w:rsidRPr="00CE415E">
        <w:rPr>
          <w:sz w:val="18"/>
          <w:szCs w:val="18"/>
        </w:rPr>
        <w:t xml:space="preserve"> is the total group population in the larger region.</w:t>
      </w:r>
    </w:p>
  </w:footnote>
  <w:footnote w:id="4">
    <w:p w14:paraId="39EC1933" w14:textId="77777777" w:rsidR="00841CDA" w:rsidRDefault="00841CDA" w:rsidP="00D24507">
      <w:pPr>
        <w:pStyle w:val="FootnoteText"/>
      </w:pPr>
      <w:r>
        <w:rPr>
          <w:rStyle w:val="FootnoteReference"/>
        </w:rPr>
        <w:footnoteRef/>
      </w:r>
      <w:r>
        <w:t xml:space="preserve"> Kathleen C. Engel and Patricia A. McCoy, “From Credit Denial to Predatory Lending: The Challenge of Sustaining Minority Homeownership,” in Segregation: The Rising Costs for America, edited by James H. Carr and Nandinee K. Kutty (New York: Routledge 2008) p. 82.</w:t>
      </w:r>
    </w:p>
  </w:footnote>
  <w:footnote w:id="5">
    <w:p w14:paraId="2FD6F796" w14:textId="77777777" w:rsidR="00841CDA" w:rsidRDefault="00841CDA" w:rsidP="002C4089">
      <w:pPr>
        <w:pStyle w:val="FootnoteText"/>
      </w:pPr>
      <w:r>
        <w:rPr>
          <w:rStyle w:val="FootnoteReference"/>
          <w:rFonts w:eastAsiaTheme="majorEastAsia"/>
        </w:rPr>
        <w:footnoteRef/>
      </w:r>
      <w:r>
        <w:t xml:space="preserve"> On September 4, 2020, HUD issued its Final Rule on disparate impact, a legal principle that protects minorities from adverse policies and practices even if discrimination is not implicit. On October 28, 2020, t</w:t>
      </w:r>
      <w:r w:rsidRPr="002776B4">
        <w:t xml:space="preserve">he U.S. District Court for the District of Massachusetts issued a stay and preliminary injunction to prevent HUD from implementing </w:t>
      </w:r>
      <w:r>
        <w:t>this new rule</w:t>
      </w:r>
      <w:r w:rsidRPr="002776B4">
        <w:t>, which would make it harder to bring discrimination claims under the Fair Housing Act.</w:t>
      </w:r>
    </w:p>
  </w:footnote>
  <w:footnote w:id="6">
    <w:p w14:paraId="64E4F328" w14:textId="77777777" w:rsidR="00841CDA" w:rsidRDefault="00841CDA" w:rsidP="002C4089">
      <w:pPr>
        <w:pStyle w:val="FootnoteText"/>
      </w:pPr>
      <w:r>
        <w:rPr>
          <w:rStyle w:val="FootnoteReference"/>
          <w:rFonts w:eastAsiaTheme="majorEastAsia"/>
        </w:rPr>
        <w:footnoteRef/>
      </w:r>
      <w:r>
        <w:t xml:space="preserve"> </w:t>
      </w:r>
      <w:r w:rsidRPr="0065408B">
        <w:rPr>
          <w:lang w:bidi="en-US"/>
        </w:rPr>
        <w:t>The five allocation priorities are found in “Effect of QAP Incentives on the Location of LIHTC Properties” published by the U.S. Department of Housing &amp; Urban Development, Office of Policy Development &amp; Research (April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14A58E4"/>
    <w:lvl w:ilvl="0">
      <w:start w:val="1"/>
      <w:numFmt w:val="bullet"/>
      <w:pStyle w:val="ListBullet3"/>
      <w:lvlText w:val=""/>
      <w:lvlJc w:val="left"/>
      <w:pPr>
        <w:tabs>
          <w:tab w:val="num" w:pos="1872"/>
        </w:tabs>
        <w:ind w:left="1872" w:hanging="288"/>
      </w:pPr>
      <w:rPr>
        <w:rFonts w:ascii="Symbol" w:hAnsi="Symbol" w:cs="Symbol" w:hint="default"/>
      </w:rPr>
    </w:lvl>
  </w:abstractNum>
  <w:abstractNum w:abstractNumId="1" w15:restartNumberingAfterBreak="0">
    <w:nsid w:val="02AB0194"/>
    <w:multiLevelType w:val="hybridMultilevel"/>
    <w:tmpl w:val="5F02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24D00"/>
    <w:multiLevelType w:val="hybridMultilevel"/>
    <w:tmpl w:val="455A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25C69"/>
    <w:multiLevelType w:val="hybridMultilevel"/>
    <w:tmpl w:val="0234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21830"/>
    <w:multiLevelType w:val="hybridMultilevel"/>
    <w:tmpl w:val="5D7CBDDC"/>
    <w:lvl w:ilvl="0" w:tplc="208853E8">
      <w:numFmt w:val="bullet"/>
      <w:lvlText w:val=""/>
      <w:lvlJc w:val="left"/>
      <w:pPr>
        <w:ind w:left="841" w:hanging="361"/>
      </w:pPr>
      <w:rPr>
        <w:rFonts w:ascii="Symbol" w:eastAsia="Symbol" w:hAnsi="Symbol" w:cs="Symbol" w:hint="default"/>
        <w:w w:val="100"/>
        <w:sz w:val="22"/>
        <w:szCs w:val="22"/>
        <w:lang w:val="en-US" w:eastAsia="en-US" w:bidi="en-US"/>
      </w:rPr>
    </w:lvl>
    <w:lvl w:ilvl="1" w:tplc="7E22508C">
      <w:numFmt w:val="bullet"/>
      <w:lvlText w:val="o"/>
      <w:lvlJc w:val="left"/>
      <w:pPr>
        <w:ind w:left="1561" w:hanging="360"/>
      </w:pPr>
      <w:rPr>
        <w:rFonts w:ascii="Courier New" w:eastAsia="Courier New" w:hAnsi="Courier New" w:cs="Courier New" w:hint="default"/>
        <w:w w:val="100"/>
        <w:sz w:val="22"/>
        <w:szCs w:val="22"/>
        <w:lang w:val="en-US" w:eastAsia="en-US" w:bidi="en-US"/>
      </w:rPr>
    </w:lvl>
    <w:lvl w:ilvl="2" w:tplc="96D87834">
      <w:numFmt w:val="bullet"/>
      <w:lvlText w:val="•"/>
      <w:lvlJc w:val="left"/>
      <w:pPr>
        <w:ind w:left="2482" w:hanging="360"/>
      </w:pPr>
      <w:rPr>
        <w:rFonts w:hint="default"/>
        <w:lang w:val="en-US" w:eastAsia="en-US" w:bidi="en-US"/>
      </w:rPr>
    </w:lvl>
    <w:lvl w:ilvl="3" w:tplc="EC3AF136">
      <w:numFmt w:val="bullet"/>
      <w:lvlText w:val="•"/>
      <w:lvlJc w:val="left"/>
      <w:pPr>
        <w:ind w:left="3404" w:hanging="360"/>
      </w:pPr>
      <w:rPr>
        <w:rFonts w:hint="default"/>
        <w:lang w:val="en-US" w:eastAsia="en-US" w:bidi="en-US"/>
      </w:rPr>
    </w:lvl>
    <w:lvl w:ilvl="4" w:tplc="4C1E7EA4">
      <w:numFmt w:val="bullet"/>
      <w:lvlText w:val="•"/>
      <w:lvlJc w:val="left"/>
      <w:pPr>
        <w:ind w:left="4326" w:hanging="360"/>
      </w:pPr>
      <w:rPr>
        <w:rFonts w:hint="default"/>
        <w:lang w:val="en-US" w:eastAsia="en-US" w:bidi="en-US"/>
      </w:rPr>
    </w:lvl>
    <w:lvl w:ilvl="5" w:tplc="CA500A7A">
      <w:numFmt w:val="bullet"/>
      <w:lvlText w:val="•"/>
      <w:lvlJc w:val="left"/>
      <w:pPr>
        <w:ind w:left="5248" w:hanging="360"/>
      </w:pPr>
      <w:rPr>
        <w:rFonts w:hint="default"/>
        <w:lang w:val="en-US" w:eastAsia="en-US" w:bidi="en-US"/>
      </w:rPr>
    </w:lvl>
    <w:lvl w:ilvl="6" w:tplc="47166F6A">
      <w:numFmt w:val="bullet"/>
      <w:lvlText w:val="•"/>
      <w:lvlJc w:val="left"/>
      <w:pPr>
        <w:ind w:left="6171" w:hanging="360"/>
      </w:pPr>
      <w:rPr>
        <w:rFonts w:hint="default"/>
        <w:lang w:val="en-US" w:eastAsia="en-US" w:bidi="en-US"/>
      </w:rPr>
    </w:lvl>
    <w:lvl w:ilvl="7" w:tplc="A64AE756">
      <w:numFmt w:val="bullet"/>
      <w:lvlText w:val="•"/>
      <w:lvlJc w:val="left"/>
      <w:pPr>
        <w:ind w:left="7093" w:hanging="360"/>
      </w:pPr>
      <w:rPr>
        <w:rFonts w:hint="default"/>
        <w:lang w:val="en-US" w:eastAsia="en-US" w:bidi="en-US"/>
      </w:rPr>
    </w:lvl>
    <w:lvl w:ilvl="8" w:tplc="7CBEE1A4">
      <w:numFmt w:val="bullet"/>
      <w:lvlText w:val="•"/>
      <w:lvlJc w:val="left"/>
      <w:pPr>
        <w:ind w:left="8015" w:hanging="360"/>
      </w:pPr>
      <w:rPr>
        <w:rFonts w:hint="default"/>
        <w:lang w:val="en-US" w:eastAsia="en-US" w:bidi="en-US"/>
      </w:rPr>
    </w:lvl>
  </w:abstractNum>
  <w:abstractNum w:abstractNumId="5" w15:restartNumberingAfterBreak="0">
    <w:nsid w:val="122C51E0"/>
    <w:multiLevelType w:val="hybridMultilevel"/>
    <w:tmpl w:val="7EA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61ECA"/>
    <w:multiLevelType w:val="hybridMultilevel"/>
    <w:tmpl w:val="A228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C1CC3"/>
    <w:multiLevelType w:val="hybridMultilevel"/>
    <w:tmpl w:val="4EDC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077F3"/>
    <w:multiLevelType w:val="hybridMultilevel"/>
    <w:tmpl w:val="DE58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B5BB6"/>
    <w:multiLevelType w:val="hybridMultilevel"/>
    <w:tmpl w:val="3372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E2CDC"/>
    <w:multiLevelType w:val="hybridMultilevel"/>
    <w:tmpl w:val="4DAA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07304"/>
    <w:multiLevelType w:val="hybridMultilevel"/>
    <w:tmpl w:val="6294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06813"/>
    <w:multiLevelType w:val="hybridMultilevel"/>
    <w:tmpl w:val="0078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D5520"/>
    <w:multiLevelType w:val="hybridMultilevel"/>
    <w:tmpl w:val="DA24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C4C95"/>
    <w:multiLevelType w:val="hybridMultilevel"/>
    <w:tmpl w:val="4D98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135C2"/>
    <w:multiLevelType w:val="hybridMultilevel"/>
    <w:tmpl w:val="24A08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463E0"/>
    <w:multiLevelType w:val="hybridMultilevel"/>
    <w:tmpl w:val="D53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B1C9F"/>
    <w:multiLevelType w:val="hybridMultilevel"/>
    <w:tmpl w:val="5B2E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12F41"/>
    <w:multiLevelType w:val="hybridMultilevel"/>
    <w:tmpl w:val="2D48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C6F91"/>
    <w:multiLevelType w:val="hybridMultilevel"/>
    <w:tmpl w:val="C3E01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94C4DCE"/>
    <w:multiLevelType w:val="hybridMultilevel"/>
    <w:tmpl w:val="3B1E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F184D"/>
    <w:multiLevelType w:val="hybridMultilevel"/>
    <w:tmpl w:val="EAD4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7749C"/>
    <w:multiLevelType w:val="hybridMultilevel"/>
    <w:tmpl w:val="DEA8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D4122"/>
    <w:multiLevelType w:val="hybridMultilevel"/>
    <w:tmpl w:val="D106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96909"/>
    <w:multiLevelType w:val="hybridMultilevel"/>
    <w:tmpl w:val="15CA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F51962"/>
    <w:multiLevelType w:val="hybridMultilevel"/>
    <w:tmpl w:val="F140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C15CD"/>
    <w:multiLevelType w:val="hybridMultilevel"/>
    <w:tmpl w:val="CD1C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3F6B72"/>
    <w:multiLevelType w:val="hybridMultilevel"/>
    <w:tmpl w:val="718C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E7F95"/>
    <w:multiLevelType w:val="hybridMultilevel"/>
    <w:tmpl w:val="9D8E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A5441B"/>
    <w:multiLevelType w:val="hybridMultilevel"/>
    <w:tmpl w:val="DAE2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702FB"/>
    <w:multiLevelType w:val="hybridMultilevel"/>
    <w:tmpl w:val="2F066088"/>
    <w:lvl w:ilvl="0" w:tplc="DDA8141C">
      <w:numFmt w:val="bullet"/>
      <w:lvlText w:val=""/>
      <w:lvlJc w:val="left"/>
      <w:pPr>
        <w:ind w:left="821" w:hanging="361"/>
      </w:pPr>
      <w:rPr>
        <w:rFonts w:ascii="Symbol" w:eastAsia="Symbol" w:hAnsi="Symbol" w:cs="Symbol" w:hint="default"/>
        <w:w w:val="100"/>
        <w:sz w:val="22"/>
        <w:szCs w:val="22"/>
        <w:lang w:val="en-US" w:eastAsia="en-US" w:bidi="en-US"/>
      </w:rPr>
    </w:lvl>
    <w:lvl w:ilvl="1" w:tplc="C038C548">
      <w:numFmt w:val="bullet"/>
      <w:lvlText w:val="•"/>
      <w:lvlJc w:val="left"/>
      <w:pPr>
        <w:ind w:left="1700" w:hanging="361"/>
      </w:pPr>
      <w:rPr>
        <w:rFonts w:hint="default"/>
        <w:lang w:val="en-US" w:eastAsia="en-US" w:bidi="en-US"/>
      </w:rPr>
    </w:lvl>
    <w:lvl w:ilvl="2" w:tplc="1702F078">
      <w:numFmt w:val="bullet"/>
      <w:lvlText w:val="•"/>
      <w:lvlJc w:val="left"/>
      <w:pPr>
        <w:ind w:left="2580" w:hanging="361"/>
      </w:pPr>
      <w:rPr>
        <w:rFonts w:hint="default"/>
        <w:lang w:val="en-US" w:eastAsia="en-US" w:bidi="en-US"/>
      </w:rPr>
    </w:lvl>
    <w:lvl w:ilvl="3" w:tplc="F3BACE0C">
      <w:numFmt w:val="bullet"/>
      <w:lvlText w:val="•"/>
      <w:lvlJc w:val="left"/>
      <w:pPr>
        <w:ind w:left="3460" w:hanging="361"/>
      </w:pPr>
      <w:rPr>
        <w:rFonts w:hint="default"/>
        <w:lang w:val="en-US" w:eastAsia="en-US" w:bidi="en-US"/>
      </w:rPr>
    </w:lvl>
    <w:lvl w:ilvl="4" w:tplc="38FC8ED8">
      <w:numFmt w:val="bullet"/>
      <w:lvlText w:val="•"/>
      <w:lvlJc w:val="left"/>
      <w:pPr>
        <w:ind w:left="4340" w:hanging="361"/>
      </w:pPr>
      <w:rPr>
        <w:rFonts w:hint="default"/>
        <w:lang w:val="en-US" w:eastAsia="en-US" w:bidi="en-US"/>
      </w:rPr>
    </w:lvl>
    <w:lvl w:ilvl="5" w:tplc="7C321AD0">
      <w:numFmt w:val="bullet"/>
      <w:lvlText w:val="•"/>
      <w:lvlJc w:val="left"/>
      <w:pPr>
        <w:ind w:left="5220" w:hanging="361"/>
      </w:pPr>
      <w:rPr>
        <w:rFonts w:hint="default"/>
        <w:lang w:val="en-US" w:eastAsia="en-US" w:bidi="en-US"/>
      </w:rPr>
    </w:lvl>
    <w:lvl w:ilvl="6" w:tplc="03C268CC">
      <w:numFmt w:val="bullet"/>
      <w:lvlText w:val="•"/>
      <w:lvlJc w:val="left"/>
      <w:pPr>
        <w:ind w:left="6100" w:hanging="361"/>
      </w:pPr>
      <w:rPr>
        <w:rFonts w:hint="default"/>
        <w:lang w:val="en-US" w:eastAsia="en-US" w:bidi="en-US"/>
      </w:rPr>
    </w:lvl>
    <w:lvl w:ilvl="7" w:tplc="EA9874B4">
      <w:numFmt w:val="bullet"/>
      <w:lvlText w:val="•"/>
      <w:lvlJc w:val="left"/>
      <w:pPr>
        <w:ind w:left="6980" w:hanging="361"/>
      </w:pPr>
      <w:rPr>
        <w:rFonts w:hint="default"/>
        <w:lang w:val="en-US" w:eastAsia="en-US" w:bidi="en-US"/>
      </w:rPr>
    </w:lvl>
    <w:lvl w:ilvl="8" w:tplc="8EBC5484">
      <w:numFmt w:val="bullet"/>
      <w:lvlText w:val="•"/>
      <w:lvlJc w:val="left"/>
      <w:pPr>
        <w:ind w:left="7860" w:hanging="361"/>
      </w:pPr>
      <w:rPr>
        <w:rFonts w:hint="default"/>
        <w:lang w:val="en-US" w:eastAsia="en-US" w:bidi="en-US"/>
      </w:rPr>
    </w:lvl>
  </w:abstractNum>
  <w:num w:numId="1">
    <w:abstractNumId w:val="2"/>
  </w:num>
  <w:num w:numId="2">
    <w:abstractNumId w:val="0"/>
  </w:num>
  <w:num w:numId="3">
    <w:abstractNumId w:val="25"/>
  </w:num>
  <w:num w:numId="4">
    <w:abstractNumId w:val="22"/>
  </w:num>
  <w:num w:numId="5">
    <w:abstractNumId w:val="15"/>
  </w:num>
  <w:num w:numId="6">
    <w:abstractNumId w:val="21"/>
  </w:num>
  <w:num w:numId="7">
    <w:abstractNumId w:val="17"/>
  </w:num>
  <w:num w:numId="8">
    <w:abstractNumId w:val="29"/>
  </w:num>
  <w:num w:numId="9">
    <w:abstractNumId w:val="18"/>
  </w:num>
  <w:num w:numId="10">
    <w:abstractNumId w:val="6"/>
  </w:num>
  <w:num w:numId="11">
    <w:abstractNumId w:val="20"/>
  </w:num>
  <w:num w:numId="12">
    <w:abstractNumId w:val="19"/>
  </w:num>
  <w:num w:numId="13">
    <w:abstractNumId w:val="4"/>
  </w:num>
  <w:num w:numId="14">
    <w:abstractNumId w:val="1"/>
  </w:num>
  <w:num w:numId="15">
    <w:abstractNumId w:val="14"/>
  </w:num>
  <w:num w:numId="16">
    <w:abstractNumId w:val="9"/>
  </w:num>
  <w:num w:numId="17">
    <w:abstractNumId w:val="11"/>
  </w:num>
  <w:num w:numId="18">
    <w:abstractNumId w:val="16"/>
  </w:num>
  <w:num w:numId="19">
    <w:abstractNumId w:val="24"/>
  </w:num>
  <w:num w:numId="20">
    <w:abstractNumId w:val="10"/>
  </w:num>
  <w:num w:numId="21">
    <w:abstractNumId w:val="28"/>
  </w:num>
  <w:num w:numId="22">
    <w:abstractNumId w:val="5"/>
  </w:num>
  <w:num w:numId="23">
    <w:abstractNumId w:val="8"/>
  </w:num>
  <w:num w:numId="24">
    <w:abstractNumId w:val="26"/>
  </w:num>
  <w:num w:numId="25">
    <w:abstractNumId w:val="12"/>
  </w:num>
  <w:num w:numId="26">
    <w:abstractNumId w:val="30"/>
  </w:num>
  <w:num w:numId="27">
    <w:abstractNumId w:val="13"/>
  </w:num>
  <w:num w:numId="28">
    <w:abstractNumId w:val="27"/>
  </w:num>
  <w:num w:numId="29">
    <w:abstractNumId w:val="3"/>
  </w:num>
  <w:num w:numId="30">
    <w:abstractNumId w:val="7"/>
  </w:num>
  <w:num w:numId="31">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507"/>
    <w:rsid w:val="000028B9"/>
    <w:rsid w:val="0000318B"/>
    <w:rsid w:val="00003529"/>
    <w:rsid w:val="00005744"/>
    <w:rsid w:val="000062FA"/>
    <w:rsid w:val="00007B2D"/>
    <w:rsid w:val="00011815"/>
    <w:rsid w:val="000132CD"/>
    <w:rsid w:val="000141D4"/>
    <w:rsid w:val="00014806"/>
    <w:rsid w:val="00015E6D"/>
    <w:rsid w:val="0002361D"/>
    <w:rsid w:val="00024068"/>
    <w:rsid w:val="0002552E"/>
    <w:rsid w:val="0002646E"/>
    <w:rsid w:val="00026D07"/>
    <w:rsid w:val="00031907"/>
    <w:rsid w:val="00032897"/>
    <w:rsid w:val="00032A42"/>
    <w:rsid w:val="00033BA3"/>
    <w:rsid w:val="000358EC"/>
    <w:rsid w:val="000364CE"/>
    <w:rsid w:val="00040924"/>
    <w:rsid w:val="000415A4"/>
    <w:rsid w:val="000415E7"/>
    <w:rsid w:val="00043E94"/>
    <w:rsid w:val="00047D38"/>
    <w:rsid w:val="000505BF"/>
    <w:rsid w:val="000518D4"/>
    <w:rsid w:val="00054A6F"/>
    <w:rsid w:val="00055E75"/>
    <w:rsid w:val="0005637D"/>
    <w:rsid w:val="00056CCD"/>
    <w:rsid w:val="00057721"/>
    <w:rsid w:val="00060908"/>
    <w:rsid w:val="00066778"/>
    <w:rsid w:val="00066ED6"/>
    <w:rsid w:val="000750BC"/>
    <w:rsid w:val="00075D6B"/>
    <w:rsid w:val="00076EBB"/>
    <w:rsid w:val="00084F96"/>
    <w:rsid w:val="000941DB"/>
    <w:rsid w:val="00094550"/>
    <w:rsid w:val="000965E5"/>
    <w:rsid w:val="000A1749"/>
    <w:rsid w:val="000A2DCE"/>
    <w:rsid w:val="000A2E05"/>
    <w:rsid w:val="000A41B6"/>
    <w:rsid w:val="000A4639"/>
    <w:rsid w:val="000A641E"/>
    <w:rsid w:val="000A6EAF"/>
    <w:rsid w:val="000A7302"/>
    <w:rsid w:val="000A7596"/>
    <w:rsid w:val="000B20CA"/>
    <w:rsid w:val="000B2BC5"/>
    <w:rsid w:val="000B3CB7"/>
    <w:rsid w:val="000B41DD"/>
    <w:rsid w:val="000B600A"/>
    <w:rsid w:val="000B6136"/>
    <w:rsid w:val="000B63F7"/>
    <w:rsid w:val="000B6BB0"/>
    <w:rsid w:val="000B6CF1"/>
    <w:rsid w:val="000B72A2"/>
    <w:rsid w:val="000C099B"/>
    <w:rsid w:val="000C0AE1"/>
    <w:rsid w:val="000C1D79"/>
    <w:rsid w:val="000C2F88"/>
    <w:rsid w:val="000C3100"/>
    <w:rsid w:val="000C4914"/>
    <w:rsid w:val="000C491E"/>
    <w:rsid w:val="000C4992"/>
    <w:rsid w:val="000C4D75"/>
    <w:rsid w:val="000C5095"/>
    <w:rsid w:val="000C5DD4"/>
    <w:rsid w:val="000C689E"/>
    <w:rsid w:val="000D01DA"/>
    <w:rsid w:val="000D3B91"/>
    <w:rsid w:val="000D3FFA"/>
    <w:rsid w:val="000E1F66"/>
    <w:rsid w:val="000E4E38"/>
    <w:rsid w:val="000E5051"/>
    <w:rsid w:val="000F050E"/>
    <w:rsid w:val="000F0C40"/>
    <w:rsid w:val="000F41B8"/>
    <w:rsid w:val="000F516D"/>
    <w:rsid w:val="000F6D00"/>
    <w:rsid w:val="000F7D36"/>
    <w:rsid w:val="0010003E"/>
    <w:rsid w:val="0010047C"/>
    <w:rsid w:val="001043B8"/>
    <w:rsid w:val="00107464"/>
    <w:rsid w:val="00113070"/>
    <w:rsid w:val="0011478C"/>
    <w:rsid w:val="00115B76"/>
    <w:rsid w:val="001225F4"/>
    <w:rsid w:val="0012461C"/>
    <w:rsid w:val="001272DF"/>
    <w:rsid w:val="00132FEE"/>
    <w:rsid w:val="0013353C"/>
    <w:rsid w:val="00133B52"/>
    <w:rsid w:val="00134DB8"/>
    <w:rsid w:val="00136093"/>
    <w:rsid w:val="0014132B"/>
    <w:rsid w:val="00143BA5"/>
    <w:rsid w:val="00143C02"/>
    <w:rsid w:val="001461E5"/>
    <w:rsid w:val="001462E5"/>
    <w:rsid w:val="00147D41"/>
    <w:rsid w:val="00153F5F"/>
    <w:rsid w:val="0015740D"/>
    <w:rsid w:val="001608E6"/>
    <w:rsid w:val="00161AFB"/>
    <w:rsid w:val="00163575"/>
    <w:rsid w:val="00164DB0"/>
    <w:rsid w:val="00165B61"/>
    <w:rsid w:val="0016700C"/>
    <w:rsid w:val="00175318"/>
    <w:rsid w:val="0017618E"/>
    <w:rsid w:val="0018768B"/>
    <w:rsid w:val="001878A2"/>
    <w:rsid w:val="0019021A"/>
    <w:rsid w:val="0019212C"/>
    <w:rsid w:val="00192A77"/>
    <w:rsid w:val="00192EE0"/>
    <w:rsid w:val="00193216"/>
    <w:rsid w:val="0019340D"/>
    <w:rsid w:val="00193CDA"/>
    <w:rsid w:val="001950A8"/>
    <w:rsid w:val="00195136"/>
    <w:rsid w:val="001960D9"/>
    <w:rsid w:val="00197E5E"/>
    <w:rsid w:val="001A1BA7"/>
    <w:rsid w:val="001A36F2"/>
    <w:rsid w:val="001A3C03"/>
    <w:rsid w:val="001A3D14"/>
    <w:rsid w:val="001A3EAE"/>
    <w:rsid w:val="001A3F3A"/>
    <w:rsid w:val="001A5FD3"/>
    <w:rsid w:val="001B0525"/>
    <w:rsid w:val="001B3578"/>
    <w:rsid w:val="001C48D7"/>
    <w:rsid w:val="001C5AD2"/>
    <w:rsid w:val="001D0925"/>
    <w:rsid w:val="001D1D76"/>
    <w:rsid w:val="001D408D"/>
    <w:rsid w:val="001D4C3D"/>
    <w:rsid w:val="001D50B4"/>
    <w:rsid w:val="001D5945"/>
    <w:rsid w:val="001E2852"/>
    <w:rsid w:val="001E5635"/>
    <w:rsid w:val="001E5BCF"/>
    <w:rsid w:val="001E74F7"/>
    <w:rsid w:val="001F4654"/>
    <w:rsid w:val="001F5723"/>
    <w:rsid w:val="001F7E9E"/>
    <w:rsid w:val="00200097"/>
    <w:rsid w:val="0020114B"/>
    <w:rsid w:val="00202605"/>
    <w:rsid w:val="002033A8"/>
    <w:rsid w:val="0020357F"/>
    <w:rsid w:val="00203624"/>
    <w:rsid w:val="002044C0"/>
    <w:rsid w:val="00205558"/>
    <w:rsid w:val="00211B91"/>
    <w:rsid w:val="0021336A"/>
    <w:rsid w:val="0021516C"/>
    <w:rsid w:val="00215D20"/>
    <w:rsid w:val="00216410"/>
    <w:rsid w:val="00217446"/>
    <w:rsid w:val="002229BC"/>
    <w:rsid w:val="002244EC"/>
    <w:rsid w:val="00224985"/>
    <w:rsid w:val="002270F5"/>
    <w:rsid w:val="00227D9A"/>
    <w:rsid w:val="0023025C"/>
    <w:rsid w:val="002328A7"/>
    <w:rsid w:val="002330D2"/>
    <w:rsid w:val="00233960"/>
    <w:rsid w:val="00234300"/>
    <w:rsid w:val="002346FD"/>
    <w:rsid w:val="00235125"/>
    <w:rsid w:val="00241AB1"/>
    <w:rsid w:val="0024529B"/>
    <w:rsid w:val="00251F34"/>
    <w:rsid w:val="002528A2"/>
    <w:rsid w:val="00253AE6"/>
    <w:rsid w:val="00253CD8"/>
    <w:rsid w:val="0025421C"/>
    <w:rsid w:val="002551CB"/>
    <w:rsid w:val="00257021"/>
    <w:rsid w:val="00260278"/>
    <w:rsid w:val="00261555"/>
    <w:rsid w:val="0026189F"/>
    <w:rsid w:val="00261992"/>
    <w:rsid w:val="00261B06"/>
    <w:rsid w:val="00263F21"/>
    <w:rsid w:val="0026681C"/>
    <w:rsid w:val="002705BD"/>
    <w:rsid w:val="002712CF"/>
    <w:rsid w:val="00271A1B"/>
    <w:rsid w:val="0027263F"/>
    <w:rsid w:val="00274998"/>
    <w:rsid w:val="00275255"/>
    <w:rsid w:val="002761BB"/>
    <w:rsid w:val="00277793"/>
    <w:rsid w:val="002804E1"/>
    <w:rsid w:val="00280CBC"/>
    <w:rsid w:val="00280EC2"/>
    <w:rsid w:val="00280FA2"/>
    <w:rsid w:val="00281F7A"/>
    <w:rsid w:val="00283896"/>
    <w:rsid w:val="00284854"/>
    <w:rsid w:val="002855D3"/>
    <w:rsid w:val="002937F2"/>
    <w:rsid w:val="00297D49"/>
    <w:rsid w:val="00297DA3"/>
    <w:rsid w:val="002A2B50"/>
    <w:rsid w:val="002A2FAC"/>
    <w:rsid w:val="002A3E0C"/>
    <w:rsid w:val="002A4378"/>
    <w:rsid w:val="002B0DD6"/>
    <w:rsid w:val="002B1B71"/>
    <w:rsid w:val="002B31D1"/>
    <w:rsid w:val="002B4BBA"/>
    <w:rsid w:val="002B5E9C"/>
    <w:rsid w:val="002B6EF4"/>
    <w:rsid w:val="002C29C3"/>
    <w:rsid w:val="002C36B7"/>
    <w:rsid w:val="002C3FC7"/>
    <w:rsid w:val="002C4089"/>
    <w:rsid w:val="002C42A6"/>
    <w:rsid w:val="002C5D4D"/>
    <w:rsid w:val="002C7C8A"/>
    <w:rsid w:val="002D00F4"/>
    <w:rsid w:val="002D3C29"/>
    <w:rsid w:val="002D402D"/>
    <w:rsid w:val="002D4FED"/>
    <w:rsid w:val="002D5248"/>
    <w:rsid w:val="002D5276"/>
    <w:rsid w:val="002E13BE"/>
    <w:rsid w:val="002E66D0"/>
    <w:rsid w:val="002E71A9"/>
    <w:rsid w:val="002E7333"/>
    <w:rsid w:val="002E7A9D"/>
    <w:rsid w:val="002F01DB"/>
    <w:rsid w:val="002F12AE"/>
    <w:rsid w:val="002F152E"/>
    <w:rsid w:val="002F504E"/>
    <w:rsid w:val="002F5B96"/>
    <w:rsid w:val="00300678"/>
    <w:rsid w:val="0030254C"/>
    <w:rsid w:val="00302F42"/>
    <w:rsid w:val="00305DEF"/>
    <w:rsid w:val="0030630C"/>
    <w:rsid w:val="00306383"/>
    <w:rsid w:val="003067BA"/>
    <w:rsid w:val="003107D8"/>
    <w:rsid w:val="00310D91"/>
    <w:rsid w:val="00313D8E"/>
    <w:rsid w:val="0031477F"/>
    <w:rsid w:val="0031497D"/>
    <w:rsid w:val="00321939"/>
    <w:rsid w:val="00322FDB"/>
    <w:rsid w:val="00323B8C"/>
    <w:rsid w:val="00323B9F"/>
    <w:rsid w:val="00323D43"/>
    <w:rsid w:val="00324F20"/>
    <w:rsid w:val="0032582C"/>
    <w:rsid w:val="00326BDE"/>
    <w:rsid w:val="00326FEE"/>
    <w:rsid w:val="00327B74"/>
    <w:rsid w:val="00331F58"/>
    <w:rsid w:val="00332567"/>
    <w:rsid w:val="00332718"/>
    <w:rsid w:val="00332C46"/>
    <w:rsid w:val="00337A3F"/>
    <w:rsid w:val="003410D6"/>
    <w:rsid w:val="00344106"/>
    <w:rsid w:val="003446D9"/>
    <w:rsid w:val="0034471A"/>
    <w:rsid w:val="0034481C"/>
    <w:rsid w:val="00345A1E"/>
    <w:rsid w:val="00346CC4"/>
    <w:rsid w:val="003527A3"/>
    <w:rsid w:val="00353B8B"/>
    <w:rsid w:val="0035530C"/>
    <w:rsid w:val="003576FB"/>
    <w:rsid w:val="00367238"/>
    <w:rsid w:val="00367C80"/>
    <w:rsid w:val="00372C4D"/>
    <w:rsid w:val="00373622"/>
    <w:rsid w:val="003746DF"/>
    <w:rsid w:val="00375BBC"/>
    <w:rsid w:val="00376582"/>
    <w:rsid w:val="003852A8"/>
    <w:rsid w:val="003968FB"/>
    <w:rsid w:val="00396E69"/>
    <w:rsid w:val="0039740D"/>
    <w:rsid w:val="003A0635"/>
    <w:rsid w:val="003A06BA"/>
    <w:rsid w:val="003A44A0"/>
    <w:rsid w:val="003A554E"/>
    <w:rsid w:val="003B576C"/>
    <w:rsid w:val="003B613A"/>
    <w:rsid w:val="003C2A19"/>
    <w:rsid w:val="003C38CF"/>
    <w:rsid w:val="003C4308"/>
    <w:rsid w:val="003C546E"/>
    <w:rsid w:val="003C7FA6"/>
    <w:rsid w:val="003D26F1"/>
    <w:rsid w:val="003D271D"/>
    <w:rsid w:val="003D37F0"/>
    <w:rsid w:val="003D5315"/>
    <w:rsid w:val="003D635D"/>
    <w:rsid w:val="003D6F62"/>
    <w:rsid w:val="003E1163"/>
    <w:rsid w:val="003E3807"/>
    <w:rsid w:val="003E4A89"/>
    <w:rsid w:val="003E4C93"/>
    <w:rsid w:val="003E5FEF"/>
    <w:rsid w:val="003F000C"/>
    <w:rsid w:val="003F1BA5"/>
    <w:rsid w:val="003F1DF6"/>
    <w:rsid w:val="003F37DF"/>
    <w:rsid w:val="003F5EBB"/>
    <w:rsid w:val="003F61D0"/>
    <w:rsid w:val="00401E21"/>
    <w:rsid w:val="004046E8"/>
    <w:rsid w:val="00404B98"/>
    <w:rsid w:val="00407943"/>
    <w:rsid w:val="00413516"/>
    <w:rsid w:val="0041373E"/>
    <w:rsid w:val="00414DCD"/>
    <w:rsid w:val="00415429"/>
    <w:rsid w:val="00415648"/>
    <w:rsid w:val="004170C8"/>
    <w:rsid w:val="00417316"/>
    <w:rsid w:val="004177A9"/>
    <w:rsid w:val="004204D3"/>
    <w:rsid w:val="00421868"/>
    <w:rsid w:val="00422153"/>
    <w:rsid w:val="00422A2C"/>
    <w:rsid w:val="00422BD6"/>
    <w:rsid w:val="0042631D"/>
    <w:rsid w:val="00426368"/>
    <w:rsid w:val="00426BF7"/>
    <w:rsid w:val="0042766C"/>
    <w:rsid w:val="00430208"/>
    <w:rsid w:val="00431C83"/>
    <w:rsid w:val="004340E3"/>
    <w:rsid w:val="00434E2C"/>
    <w:rsid w:val="004371BE"/>
    <w:rsid w:val="0043778A"/>
    <w:rsid w:val="00444D68"/>
    <w:rsid w:val="00445552"/>
    <w:rsid w:val="00450F32"/>
    <w:rsid w:val="0045532B"/>
    <w:rsid w:val="00455649"/>
    <w:rsid w:val="004572BC"/>
    <w:rsid w:val="0046021C"/>
    <w:rsid w:val="0046171C"/>
    <w:rsid w:val="00462679"/>
    <w:rsid w:val="00464D9C"/>
    <w:rsid w:val="004669B0"/>
    <w:rsid w:val="00466D79"/>
    <w:rsid w:val="00467BEC"/>
    <w:rsid w:val="00474520"/>
    <w:rsid w:val="00474852"/>
    <w:rsid w:val="00481968"/>
    <w:rsid w:val="0048196E"/>
    <w:rsid w:val="00481D58"/>
    <w:rsid w:val="00482169"/>
    <w:rsid w:val="004838FA"/>
    <w:rsid w:val="004854AF"/>
    <w:rsid w:val="00486A9A"/>
    <w:rsid w:val="004A2B5A"/>
    <w:rsid w:val="004A39E9"/>
    <w:rsid w:val="004A4A33"/>
    <w:rsid w:val="004B7058"/>
    <w:rsid w:val="004C2086"/>
    <w:rsid w:val="004C52F3"/>
    <w:rsid w:val="004C57DF"/>
    <w:rsid w:val="004C7B4A"/>
    <w:rsid w:val="004D0C4A"/>
    <w:rsid w:val="004D2B58"/>
    <w:rsid w:val="004D363B"/>
    <w:rsid w:val="004D4311"/>
    <w:rsid w:val="004D4A38"/>
    <w:rsid w:val="004D4FA4"/>
    <w:rsid w:val="004D5DA2"/>
    <w:rsid w:val="004D6576"/>
    <w:rsid w:val="004D7AA6"/>
    <w:rsid w:val="004E2A7E"/>
    <w:rsid w:val="004E47B3"/>
    <w:rsid w:val="004F4754"/>
    <w:rsid w:val="0050070D"/>
    <w:rsid w:val="00500B4C"/>
    <w:rsid w:val="00511814"/>
    <w:rsid w:val="00512353"/>
    <w:rsid w:val="00514DF7"/>
    <w:rsid w:val="005161B8"/>
    <w:rsid w:val="00516D81"/>
    <w:rsid w:val="00520CC1"/>
    <w:rsid w:val="00524214"/>
    <w:rsid w:val="00524CBC"/>
    <w:rsid w:val="00525978"/>
    <w:rsid w:val="00526AA0"/>
    <w:rsid w:val="00536E7E"/>
    <w:rsid w:val="00540870"/>
    <w:rsid w:val="005409D2"/>
    <w:rsid w:val="00540BF9"/>
    <w:rsid w:val="00541FFF"/>
    <w:rsid w:val="00544471"/>
    <w:rsid w:val="00545C68"/>
    <w:rsid w:val="00546544"/>
    <w:rsid w:val="00546D37"/>
    <w:rsid w:val="00547C0F"/>
    <w:rsid w:val="00550393"/>
    <w:rsid w:val="0055251A"/>
    <w:rsid w:val="00554EB9"/>
    <w:rsid w:val="0055758E"/>
    <w:rsid w:val="00560987"/>
    <w:rsid w:val="00560AC3"/>
    <w:rsid w:val="005615A7"/>
    <w:rsid w:val="00563FC2"/>
    <w:rsid w:val="00564EA5"/>
    <w:rsid w:val="00564F89"/>
    <w:rsid w:val="00566A22"/>
    <w:rsid w:val="00570BE1"/>
    <w:rsid w:val="00571A59"/>
    <w:rsid w:val="00571D11"/>
    <w:rsid w:val="00571D78"/>
    <w:rsid w:val="005724EB"/>
    <w:rsid w:val="00573FA6"/>
    <w:rsid w:val="005744B5"/>
    <w:rsid w:val="00580BDD"/>
    <w:rsid w:val="0058443E"/>
    <w:rsid w:val="00584B90"/>
    <w:rsid w:val="00585782"/>
    <w:rsid w:val="005860DF"/>
    <w:rsid w:val="00586381"/>
    <w:rsid w:val="00590528"/>
    <w:rsid w:val="005910AA"/>
    <w:rsid w:val="00593AB2"/>
    <w:rsid w:val="005952D4"/>
    <w:rsid w:val="005A063B"/>
    <w:rsid w:val="005A534E"/>
    <w:rsid w:val="005A5B12"/>
    <w:rsid w:val="005A61A5"/>
    <w:rsid w:val="005A751C"/>
    <w:rsid w:val="005B2B6C"/>
    <w:rsid w:val="005B4D99"/>
    <w:rsid w:val="005B5D29"/>
    <w:rsid w:val="005B763E"/>
    <w:rsid w:val="005C0783"/>
    <w:rsid w:val="005C1BD9"/>
    <w:rsid w:val="005D11A4"/>
    <w:rsid w:val="005D2F83"/>
    <w:rsid w:val="005D497C"/>
    <w:rsid w:val="005E1CEF"/>
    <w:rsid w:val="005E2FDF"/>
    <w:rsid w:val="005E3505"/>
    <w:rsid w:val="005E41B0"/>
    <w:rsid w:val="005F13EA"/>
    <w:rsid w:val="005F57DD"/>
    <w:rsid w:val="005F5A6D"/>
    <w:rsid w:val="00600641"/>
    <w:rsid w:val="00602471"/>
    <w:rsid w:val="006044E4"/>
    <w:rsid w:val="00605F6E"/>
    <w:rsid w:val="0060614E"/>
    <w:rsid w:val="00607FDC"/>
    <w:rsid w:val="006128CB"/>
    <w:rsid w:val="006138C1"/>
    <w:rsid w:val="00614F6F"/>
    <w:rsid w:val="00615D77"/>
    <w:rsid w:val="00616246"/>
    <w:rsid w:val="00622D81"/>
    <w:rsid w:val="00623A21"/>
    <w:rsid w:val="00624B82"/>
    <w:rsid w:val="0062695E"/>
    <w:rsid w:val="006329AE"/>
    <w:rsid w:val="00634C9B"/>
    <w:rsid w:val="006460C5"/>
    <w:rsid w:val="00646526"/>
    <w:rsid w:val="0064728B"/>
    <w:rsid w:val="00651194"/>
    <w:rsid w:val="006515AE"/>
    <w:rsid w:val="00653044"/>
    <w:rsid w:val="0065367D"/>
    <w:rsid w:val="00653711"/>
    <w:rsid w:val="0065385D"/>
    <w:rsid w:val="00653E07"/>
    <w:rsid w:val="00653E4A"/>
    <w:rsid w:val="00657321"/>
    <w:rsid w:val="006618C8"/>
    <w:rsid w:val="00663D74"/>
    <w:rsid w:val="006666F3"/>
    <w:rsid w:val="00667ADC"/>
    <w:rsid w:val="00670815"/>
    <w:rsid w:val="0067096A"/>
    <w:rsid w:val="006709AE"/>
    <w:rsid w:val="00670AED"/>
    <w:rsid w:val="00670EE0"/>
    <w:rsid w:val="00675482"/>
    <w:rsid w:val="006825F6"/>
    <w:rsid w:val="00682675"/>
    <w:rsid w:val="006838F7"/>
    <w:rsid w:val="0069294F"/>
    <w:rsid w:val="006A04A4"/>
    <w:rsid w:val="006A3974"/>
    <w:rsid w:val="006A5488"/>
    <w:rsid w:val="006A6B98"/>
    <w:rsid w:val="006A7343"/>
    <w:rsid w:val="006A7AE0"/>
    <w:rsid w:val="006B1C4E"/>
    <w:rsid w:val="006B380D"/>
    <w:rsid w:val="006B3840"/>
    <w:rsid w:val="006B3878"/>
    <w:rsid w:val="006B3EBA"/>
    <w:rsid w:val="006B4F83"/>
    <w:rsid w:val="006B5656"/>
    <w:rsid w:val="006B592F"/>
    <w:rsid w:val="006B6928"/>
    <w:rsid w:val="006C2106"/>
    <w:rsid w:val="006C2B9E"/>
    <w:rsid w:val="006C402D"/>
    <w:rsid w:val="006C574C"/>
    <w:rsid w:val="006C6CAB"/>
    <w:rsid w:val="006D0878"/>
    <w:rsid w:val="006D1609"/>
    <w:rsid w:val="006D1932"/>
    <w:rsid w:val="006D3BEE"/>
    <w:rsid w:val="006D3DF2"/>
    <w:rsid w:val="006D7BB8"/>
    <w:rsid w:val="006E7D4F"/>
    <w:rsid w:val="006F2419"/>
    <w:rsid w:val="006F5307"/>
    <w:rsid w:val="006F5637"/>
    <w:rsid w:val="006F763E"/>
    <w:rsid w:val="006F7943"/>
    <w:rsid w:val="00700904"/>
    <w:rsid w:val="00703E0A"/>
    <w:rsid w:val="0071003A"/>
    <w:rsid w:val="007112AB"/>
    <w:rsid w:val="00712E93"/>
    <w:rsid w:val="0071328E"/>
    <w:rsid w:val="0071392E"/>
    <w:rsid w:val="0071509E"/>
    <w:rsid w:val="00715C7B"/>
    <w:rsid w:val="00721485"/>
    <w:rsid w:val="0072486C"/>
    <w:rsid w:val="00725605"/>
    <w:rsid w:val="00727F9B"/>
    <w:rsid w:val="007321FC"/>
    <w:rsid w:val="007340F1"/>
    <w:rsid w:val="007372D2"/>
    <w:rsid w:val="00742F2B"/>
    <w:rsid w:val="00742F44"/>
    <w:rsid w:val="00743E54"/>
    <w:rsid w:val="00744CB7"/>
    <w:rsid w:val="00745860"/>
    <w:rsid w:val="0074764D"/>
    <w:rsid w:val="00750598"/>
    <w:rsid w:val="0075091E"/>
    <w:rsid w:val="00753B70"/>
    <w:rsid w:val="007541A5"/>
    <w:rsid w:val="00754499"/>
    <w:rsid w:val="00755426"/>
    <w:rsid w:val="007628D9"/>
    <w:rsid w:val="00763A0F"/>
    <w:rsid w:val="0077088E"/>
    <w:rsid w:val="00773132"/>
    <w:rsid w:val="00773923"/>
    <w:rsid w:val="00774E42"/>
    <w:rsid w:val="007764E4"/>
    <w:rsid w:val="00782AA1"/>
    <w:rsid w:val="00782B10"/>
    <w:rsid w:val="00784E2C"/>
    <w:rsid w:val="00785625"/>
    <w:rsid w:val="00787352"/>
    <w:rsid w:val="0079319D"/>
    <w:rsid w:val="007941E7"/>
    <w:rsid w:val="00796C3E"/>
    <w:rsid w:val="00797741"/>
    <w:rsid w:val="007A55D1"/>
    <w:rsid w:val="007A68E8"/>
    <w:rsid w:val="007B2C5E"/>
    <w:rsid w:val="007B2FDE"/>
    <w:rsid w:val="007B312D"/>
    <w:rsid w:val="007B504B"/>
    <w:rsid w:val="007B5FE0"/>
    <w:rsid w:val="007B6D4E"/>
    <w:rsid w:val="007C2488"/>
    <w:rsid w:val="007C3FEE"/>
    <w:rsid w:val="007C7D25"/>
    <w:rsid w:val="007D0D36"/>
    <w:rsid w:val="007D0D3F"/>
    <w:rsid w:val="007D14F8"/>
    <w:rsid w:val="007D1DDE"/>
    <w:rsid w:val="007D3CEF"/>
    <w:rsid w:val="007D4789"/>
    <w:rsid w:val="007D7AB8"/>
    <w:rsid w:val="007E4657"/>
    <w:rsid w:val="007E4AEE"/>
    <w:rsid w:val="007E6B15"/>
    <w:rsid w:val="007F37F7"/>
    <w:rsid w:val="007F3B15"/>
    <w:rsid w:val="007F40B1"/>
    <w:rsid w:val="007F42FD"/>
    <w:rsid w:val="007F7536"/>
    <w:rsid w:val="00801136"/>
    <w:rsid w:val="00801431"/>
    <w:rsid w:val="00801813"/>
    <w:rsid w:val="0080249C"/>
    <w:rsid w:val="00802866"/>
    <w:rsid w:val="00803A8D"/>
    <w:rsid w:val="008118EC"/>
    <w:rsid w:val="00813557"/>
    <w:rsid w:val="00816596"/>
    <w:rsid w:val="008177E6"/>
    <w:rsid w:val="00821C94"/>
    <w:rsid w:val="00823CD2"/>
    <w:rsid w:val="0082606D"/>
    <w:rsid w:val="00826518"/>
    <w:rsid w:val="00831836"/>
    <w:rsid w:val="0083366B"/>
    <w:rsid w:val="00833872"/>
    <w:rsid w:val="00834375"/>
    <w:rsid w:val="00834FCC"/>
    <w:rsid w:val="00837AED"/>
    <w:rsid w:val="00840B20"/>
    <w:rsid w:val="00841CDA"/>
    <w:rsid w:val="00843C3F"/>
    <w:rsid w:val="00846F76"/>
    <w:rsid w:val="00850EBD"/>
    <w:rsid w:val="008534F9"/>
    <w:rsid w:val="0085605C"/>
    <w:rsid w:val="008600F9"/>
    <w:rsid w:val="0086215C"/>
    <w:rsid w:val="0086309D"/>
    <w:rsid w:val="0086333D"/>
    <w:rsid w:val="0086475A"/>
    <w:rsid w:val="008704A0"/>
    <w:rsid w:val="00871E9C"/>
    <w:rsid w:val="00875156"/>
    <w:rsid w:val="0087789F"/>
    <w:rsid w:val="008805A5"/>
    <w:rsid w:val="00880DE6"/>
    <w:rsid w:val="00882D3A"/>
    <w:rsid w:val="00885A42"/>
    <w:rsid w:val="00886756"/>
    <w:rsid w:val="008904CD"/>
    <w:rsid w:val="00890FDC"/>
    <w:rsid w:val="00891282"/>
    <w:rsid w:val="008913DE"/>
    <w:rsid w:val="00892603"/>
    <w:rsid w:val="00892CFC"/>
    <w:rsid w:val="00895AD0"/>
    <w:rsid w:val="0089676B"/>
    <w:rsid w:val="008A1214"/>
    <w:rsid w:val="008A172D"/>
    <w:rsid w:val="008A52A0"/>
    <w:rsid w:val="008A58A4"/>
    <w:rsid w:val="008A5ED3"/>
    <w:rsid w:val="008A74D5"/>
    <w:rsid w:val="008B30CB"/>
    <w:rsid w:val="008B3CB0"/>
    <w:rsid w:val="008B5334"/>
    <w:rsid w:val="008C43C2"/>
    <w:rsid w:val="008C537F"/>
    <w:rsid w:val="008C549A"/>
    <w:rsid w:val="008C7E81"/>
    <w:rsid w:val="008D02B6"/>
    <w:rsid w:val="008D4135"/>
    <w:rsid w:val="008D5F99"/>
    <w:rsid w:val="008D6946"/>
    <w:rsid w:val="008E1782"/>
    <w:rsid w:val="008E4597"/>
    <w:rsid w:val="008E492B"/>
    <w:rsid w:val="008E4F3B"/>
    <w:rsid w:val="008E5749"/>
    <w:rsid w:val="008E73AD"/>
    <w:rsid w:val="008E7505"/>
    <w:rsid w:val="008E7B6B"/>
    <w:rsid w:val="008F2752"/>
    <w:rsid w:val="008F2DCD"/>
    <w:rsid w:val="008F43EA"/>
    <w:rsid w:val="008F4F7A"/>
    <w:rsid w:val="008F70DA"/>
    <w:rsid w:val="008F7804"/>
    <w:rsid w:val="00900475"/>
    <w:rsid w:val="0090050F"/>
    <w:rsid w:val="00901A6A"/>
    <w:rsid w:val="009113B8"/>
    <w:rsid w:val="009128E3"/>
    <w:rsid w:val="0092211E"/>
    <w:rsid w:val="009265FB"/>
    <w:rsid w:val="009310B0"/>
    <w:rsid w:val="009311C6"/>
    <w:rsid w:val="00931427"/>
    <w:rsid w:val="00931C6E"/>
    <w:rsid w:val="00935047"/>
    <w:rsid w:val="0093511C"/>
    <w:rsid w:val="0093604E"/>
    <w:rsid w:val="009375CB"/>
    <w:rsid w:val="00937854"/>
    <w:rsid w:val="009413D4"/>
    <w:rsid w:val="00941573"/>
    <w:rsid w:val="009416C0"/>
    <w:rsid w:val="00941A23"/>
    <w:rsid w:val="00942009"/>
    <w:rsid w:val="0094271C"/>
    <w:rsid w:val="0094543A"/>
    <w:rsid w:val="00954193"/>
    <w:rsid w:val="00954798"/>
    <w:rsid w:val="00954FE3"/>
    <w:rsid w:val="0095541D"/>
    <w:rsid w:val="00956554"/>
    <w:rsid w:val="00956E93"/>
    <w:rsid w:val="00961C1E"/>
    <w:rsid w:val="0096234A"/>
    <w:rsid w:val="00963F6B"/>
    <w:rsid w:val="00964B21"/>
    <w:rsid w:val="00970EF3"/>
    <w:rsid w:val="00971BDC"/>
    <w:rsid w:val="00972C40"/>
    <w:rsid w:val="00974418"/>
    <w:rsid w:val="009810C0"/>
    <w:rsid w:val="00981222"/>
    <w:rsid w:val="009819AE"/>
    <w:rsid w:val="009828A5"/>
    <w:rsid w:val="00983F4D"/>
    <w:rsid w:val="0099065C"/>
    <w:rsid w:val="00991BF6"/>
    <w:rsid w:val="00992F58"/>
    <w:rsid w:val="00994958"/>
    <w:rsid w:val="00997529"/>
    <w:rsid w:val="009A1262"/>
    <w:rsid w:val="009A420C"/>
    <w:rsid w:val="009A49AE"/>
    <w:rsid w:val="009A5AD6"/>
    <w:rsid w:val="009A7236"/>
    <w:rsid w:val="009A7E22"/>
    <w:rsid w:val="009B05B7"/>
    <w:rsid w:val="009B0C57"/>
    <w:rsid w:val="009B28C6"/>
    <w:rsid w:val="009B38FB"/>
    <w:rsid w:val="009B4B68"/>
    <w:rsid w:val="009B52B8"/>
    <w:rsid w:val="009B612F"/>
    <w:rsid w:val="009B751C"/>
    <w:rsid w:val="009C02F2"/>
    <w:rsid w:val="009C4D46"/>
    <w:rsid w:val="009C54AF"/>
    <w:rsid w:val="009C6413"/>
    <w:rsid w:val="009D190B"/>
    <w:rsid w:val="009D347E"/>
    <w:rsid w:val="009D35F2"/>
    <w:rsid w:val="009D3F99"/>
    <w:rsid w:val="009D4A1E"/>
    <w:rsid w:val="009D5BBF"/>
    <w:rsid w:val="009D7899"/>
    <w:rsid w:val="009E1C24"/>
    <w:rsid w:val="009E5EEF"/>
    <w:rsid w:val="009E6D62"/>
    <w:rsid w:val="009F1D8F"/>
    <w:rsid w:val="009F35FB"/>
    <w:rsid w:val="009F46DF"/>
    <w:rsid w:val="009F52B5"/>
    <w:rsid w:val="009F5D92"/>
    <w:rsid w:val="009F6EFC"/>
    <w:rsid w:val="009F7BA1"/>
    <w:rsid w:val="009F7E2E"/>
    <w:rsid w:val="00A02050"/>
    <w:rsid w:val="00A03732"/>
    <w:rsid w:val="00A041DA"/>
    <w:rsid w:val="00A05F47"/>
    <w:rsid w:val="00A06A15"/>
    <w:rsid w:val="00A074E9"/>
    <w:rsid w:val="00A1498F"/>
    <w:rsid w:val="00A14C4E"/>
    <w:rsid w:val="00A1571B"/>
    <w:rsid w:val="00A17BD2"/>
    <w:rsid w:val="00A17C16"/>
    <w:rsid w:val="00A20A90"/>
    <w:rsid w:val="00A21391"/>
    <w:rsid w:val="00A22201"/>
    <w:rsid w:val="00A22421"/>
    <w:rsid w:val="00A22905"/>
    <w:rsid w:val="00A24238"/>
    <w:rsid w:val="00A2479A"/>
    <w:rsid w:val="00A24F25"/>
    <w:rsid w:val="00A25385"/>
    <w:rsid w:val="00A268E0"/>
    <w:rsid w:val="00A271E9"/>
    <w:rsid w:val="00A31C73"/>
    <w:rsid w:val="00A34F44"/>
    <w:rsid w:val="00A350E1"/>
    <w:rsid w:val="00A35D22"/>
    <w:rsid w:val="00A3704F"/>
    <w:rsid w:val="00A4059F"/>
    <w:rsid w:val="00A41CBB"/>
    <w:rsid w:val="00A424E5"/>
    <w:rsid w:val="00A447FF"/>
    <w:rsid w:val="00A453A2"/>
    <w:rsid w:val="00A5540C"/>
    <w:rsid w:val="00A56958"/>
    <w:rsid w:val="00A57F46"/>
    <w:rsid w:val="00A6047C"/>
    <w:rsid w:val="00A6246B"/>
    <w:rsid w:val="00A645E5"/>
    <w:rsid w:val="00A72686"/>
    <w:rsid w:val="00A75288"/>
    <w:rsid w:val="00A80A1B"/>
    <w:rsid w:val="00A82C6C"/>
    <w:rsid w:val="00A847ED"/>
    <w:rsid w:val="00A901A9"/>
    <w:rsid w:val="00A9442A"/>
    <w:rsid w:val="00A951EC"/>
    <w:rsid w:val="00A97329"/>
    <w:rsid w:val="00A973E3"/>
    <w:rsid w:val="00AA0FE7"/>
    <w:rsid w:val="00AA1041"/>
    <w:rsid w:val="00AA1CAF"/>
    <w:rsid w:val="00AA3687"/>
    <w:rsid w:val="00AB16D9"/>
    <w:rsid w:val="00AB1749"/>
    <w:rsid w:val="00AB311E"/>
    <w:rsid w:val="00AB36DF"/>
    <w:rsid w:val="00AB4ACF"/>
    <w:rsid w:val="00AB4D8D"/>
    <w:rsid w:val="00AB5FFF"/>
    <w:rsid w:val="00AB772E"/>
    <w:rsid w:val="00AC1C31"/>
    <w:rsid w:val="00AC1FC6"/>
    <w:rsid w:val="00AC2D0A"/>
    <w:rsid w:val="00AD103D"/>
    <w:rsid w:val="00AD246B"/>
    <w:rsid w:val="00AD25C8"/>
    <w:rsid w:val="00AD2B09"/>
    <w:rsid w:val="00AD3381"/>
    <w:rsid w:val="00AD776A"/>
    <w:rsid w:val="00AE0236"/>
    <w:rsid w:val="00AE02F2"/>
    <w:rsid w:val="00AE2EE3"/>
    <w:rsid w:val="00AE3AC4"/>
    <w:rsid w:val="00AE3E0E"/>
    <w:rsid w:val="00AE6A37"/>
    <w:rsid w:val="00AE7A9F"/>
    <w:rsid w:val="00AF0FF5"/>
    <w:rsid w:val="00AF6824"/>
    <w:rsid w:val="00AF68EC"/>
    <w:rsid w:val="00AF7309"/>
    <w:rsid w:val="00B04082"/>
    <w:rsid w:val="00B0490A"/>
    <w:rsid w:val="00B055DD"/>
    <w:rsid w:val="00B07A22"/>
    <w:rsid w:val="00B111DA"/>
    <w:rsid w:val="00B144F3"/>
    <w:rsid w:val="00B15D9D"/>
    <w:rsid w:val="00B16A9B"/>
    <w:rsid w:val="00B23A2C"/>
    <w:rsid w:val="00B24613"/>
    <w:rsid w:val="00B27B8A"/>
    <w:rsid w:val="00B30D97"/>
    <w:rsid w:val="00B31D9A"/>
    <w:rsid w:val="00B3381F"/>
    <w:rsid w:val="00B34932"/>
    <w:rsid w:val="00B357CB"/>
    <w:rsid w:val="00B35B68"/>
    <w:rsid w:val="00B362F1"/>
    <w:rsid w:val="00B37EDB"/>
    <w:rsid w:val="00B40BE3"/>
    <w:rsid w:val="00B415FB"/>
    <w:rsid w:val="00B4254B"/>
    <w:rsid w:val="00B42717"/>
    <w:rsid w:val="00B42F7B"/>
    <w:rsid w:val="00B55685"/>
    <w:rsid w:val="00B55B08"/>
    <w:rsid w:val="00B61D76"/>
    <w:rsid w:val="00B65D75"/>
    <w:rsid w:val="00B70D8A"/>
    <w:rsid w:val="00B718BE"/>
    <w:rsid w:val="00B75AF1"/>
    <w:rsid w:val="00B75EDA"/>
    <w:rsid w:val="00B8093A"/>
    <w:rsid w:val="00B8524F"/>
    <w:rsid w:val="00B85E45"/>
    <w:rsid w:val="00B85FBD"/>
    <w:rsid w:val="00B8625C"/>
    <w:rsid w:val="00B869B1"/>
    <w:rsid w:val="00B92687"/>
    <w:rsid w:val="00B93041"/>
    <w:rsid w:val="00B96253"/>
    <w:rsid w:val="00B978BF"/>
    <w:rsid w:val="00BA1677"/>
    <w:rsid w:val="00BA24F9"/>
    <w:rsid w:val="00BA2E8A"/>
    <w:rsid w:val="00BA4C7E"/>
    <w:rsid w:val="00BA4ED4"/>
    <w:rsid w:val="00BA68B3"/>
    <w:rsid w:val="00BA6E73"/>
    <w:rsid w:val="00BB27A1"/>
    <w:rsid w:val="00BB2B97"/>
    <w:rsid w:val="00BB6614"/>
    <w:rsid w:val="00BC1777"/>
    <w:rsid w:val="00BC24AF"/>
    <w:rsid w:val="00BC34AA"/>
    <w:rsid w:val="00BC35C0"/>
    <w:rsid w:val="00BC56C7"/>
    <w:rsid w:val="00BC5D2B"/>
    <w:rsid w:val="00BD0AD3"/>
    <w:rsid w:val="00BD48C0"/>
    <w:rsid w:val="00BD5431"/>
    <w:rsid w:val="00BD7598"/>
    <w:rsid w:val="00BE1A97"/>
    <w:rsid w:val="00BE1D53"/>
    <w:rsid w:val="00BE51E4"/>
    <w:rsid w:val="00BF17A7"/>
    <w:rsid w:val="00BF49CC"/>
    <w:rsid w:val="00BF58EB"/>
    <w:rsid w:val="00BF5A29"/>
    <w:rsid w:val="00BF6356"/>
    <w:rsid w:val="00BF7984"/>
    <w:rsid w:val="00BF79CA"/>
    <w:rsid w:val="00C00E4B"/>
    <w:rsid w:val="00C0151F"/>
    <w:rsid w:val="00C03161"/>
    <w:rsid w:val="00C04CBC"/>
    <w:rsid w:val="00C067F2"/>
    <w:rsid w:val="00C10327"/>
    <w:rsid w:val="00C10491"/>
    <w:rsid w:val="00C156D9"/>
    <w:rsid w:val="00C168A3"/>
    <w:rsid w:val="00C17139"/>
    <w:rsid w:val="00C2250D"/>
    <w:rsid w:val="00C238B0"/>
    <w:rsid w:val="00C25BAE"/>
    <w:rsid w:val="00C260C3"/>
    <w:rsid w:val="00C262CB"/>
    <w:rsid w:val="00C27114"/>
    <w:rsid w:val="00C31307"/>
    <w:rsid w:val="00C31F05"/>
    <w:rsid w:val="00C34124"/>
    <w:rsid w:val="00C374D2"/>
    <w:rsid w:val="00C37AB1"/>
    <w:rsid w:val="00C43A31"/>
    <w:rsid w:val="00C50F0A"/>
    <w:rsid w:val="00C51AE6"/>
    <w:rsid w:val="00C51F3D"/>
    <w:rsid w:val="00C552DD"/>
    <w:rsid w:val="00C55B33"/>
    <w:rsid w:val="00C57198"/>
    <w:rsid w:val="00C57A7A"/>
    <w:rsid w:val="00C623BA"/>
    <w:rsid w:val="00C62F34"/>
    <w:rsid w:val="00C63029"/>
    <w:rsid w:val="00C653C5"/>
    <w:rsid w:val="00C65695"/>
    <w:rsid w:val="00C67203"/>
    <w:rsid w:val="00C6756E"/>
    <w:rsid w:val="00C67D66"/>
    <w:rsid w:val="00C742CF"/>
    <w:rsid w:val="00C76D11"/>
    <w:rsid w:val="00C77FA9"/>
    <w:rsid w:val="00C80F3C"/>
    <w:rsid w:val="00C83AFC"/>
    <w:rsid w:val="00C83B94"/>
    <w:rsid w:val="00C91C3A"/>
    <w:rsid w:val="00C93D46"/>
    <w:rsid w:val="00C93FED"/>
    <w:rsid w:val="00C9471B"/>
    <w:rsid w:val="00CA30A6"/>
    <w:rsid w:val="00CA61AB"/>
    <w:rsid w:val="00CB61AE"/>
    <w:rsid w:val="00CC576D"/>
    <w:rsid w:val="00CD01CE"/>
    <w:rsid w:val="00CD1151"/>
    <w:rsid w:val="00CD2EA4"/>
    <w:rsid w:val="00CD6CB8"/>
    <w:rsid w:val="00CE1A79"/>
    <w:rsid w:val="00CE200F"/>
    <w:rsid w:val="00CE35D3"/>
    <w:rsid w:val="00CE3B91"/>
    <w:rsid w:val="00CE3E57"/>
    <w:rsid w:val="00CE5021"/>
    <w:rsid w:val="00CE5737"/>
    <w:rsid w:val="00CE6092"/>
    <w:rsid w:val="00CE623C"/>
    <w:rsid w:val="00CF2B57"/>
    <w:rsid w:val="00CF382A"/>
    <w:rsid w:val="00CF3A40"/>
    <w:rsid w:val="00CF4871"/>
    <w:rsid w:val="00CF64F4"/>
    <w:rsid w:val="00D005F6"/>
    <w:rsid w:val="00D011C2"/>
    <w:rsid w:val="00D044A5"/>
    <w:rsid w:val="00D06DC2"/>
    <w:rsid w:val="00D12566"/>
    <w:rsid w:val="00D12727"/>
    <w:rsid w:val="00D1355A"/>
    <w:rsid w:val="00D148F9"/>
    <w:rsid w:val="00D15098"/>
    <w:rsid w:val="00D15B46"/>
    <w:rsid w:val="00D177B8"/>
    <w:rsid w:val="00D17CD5"/>
    <w:rsid w:val="00D17EA0"/>
    <w:rsid w:val="00D21112"/>
    <w:rsid w:val="00D22349"/>
    <w:rsid w:val="00D24507"/>
    <w:rsid w:val="00D2528B"/>
    <w:rsid w:val="00D25518"/>
    <w:rsid w:val="00D2625E"/>
    <w:rsid w:val="00D274F6"/>
    <w:rsid w:val="00D27A56"/>
    <w:rsid w:val="00D30024"/>
    <w:rsid w:val="00D304C1"/>
    <w:rsid w:val="00D31A30"/>
    <w:rsid w:val="00D31C88"/>
    <w:rsid w:val="00D31E6B"/>
    <w:rsid w:val="00D31FF8"/>
    <w:rsid w:val="00D35253"/>
    <w:rsid w:val="00D36174"/>
    <w:rsid w:val="00D36B80"/>
    <w:rsid w:val="00D37730"/>
    <w:rsid w:val="00D400BA"/>
    <w:rsid w:val="00D40606"/>
    <w:rsid w:val="00D42DCF"/>
    <w:rsid w:val="00D45CD1"/>
    <w:rsid w:val="00D467A3"/>
    <w:rsid w:val="00D46F11"/>
    <w:rsid w:val="00D476F6"/>
    <w:rsid w:val="00D50509"/>
    <w:rsid w:val="00D5209F"/>
    <w:rsid w:val="00D561E9"/>
    <w:rsid w:val="00D6092A"/>
    <w:rsid w:val="00D60E93"/>
    <w:rsid w:val="00D6106B"/>
    <w:rsid w:val="00D75671"/>
    <w:rsid w:val="00D82F56"/>
    <w:rsid w:val="00D83CAE"/>
    <w:rsid w:val="00D84FD1"/>
    <w:rsid w:val="00D8644C"/>
    <w:rsid w:val="00D934F6"/>
    <w:rsid w:val="00D9553C"/>
    <w:rsid w:val="00D956E4"/>
    <w:rsid w:val="00D95D51"/>
    <w:rsid w:val="00D960DB"/>
    <w:rsid w:val="00D96738"/>
    <w:rsid w:val="00D973B2"/>
    <w:rsid w:val="00D97E0C"/>
    <w:rsid w:val="00DA0748"/>
    <w:rsid w:val="00DA1596"/>
    <w:rsid w:val="00DA2762"/>
    <w:rsid w:val="00DA2871"/>
    <w:rsid w:val="00DA2D88"/>
    <w:rsid w:val="00DA354C"/>
    <w:rsid w:val="00DA3C79"/>
    <w:rsid w:val="00DA480D"/>
    <w:rsid w:val="00DA71DE"/>
    <w:rsid w:val="00DB309A"/>
    <w:rsid w:val="00DB584A"/>
    <w:rsid w:val="00DB7AE0"/>
    <w:rsid w:val="00DC1DD8"/>
    <w:rsid w:val="00DC339C"/>
    <w:rsid w:val="00DC4064"/>
    <w:rsid w:val="00DC4EAA"/>
    <w:rsid w:val="00DC5513"/>
    <w:rsid w:val="00DD205C"/>
    <w:rsid w:val="00DD546E"/>
    <w:rsid w:val="00DD5BCC"/>
    <w:rsid w:val="00DD6E72"/>
    <w:rsid w:val="00DE137C"/>
    <w:rsid w:val="00DE1B39"/>
    <w:rsid w:val="00DE377B"/>
    <w:rsid w:val="00DE4118"/>
    <w:rsid w:val="00DE5C6A"/>
    <w:rsid w:val="00DE644C"/>
    <w:rsid w:val="00DE6D23"/>
    <w:rsid w:val="00DF10D8"/>
    <w:rsid w:val="00E00C78"/>
    <w:rsid w:val="00E00CA2"/>
    <w:rsid w:val="00E02109"/>
    <w:rsid w:val="00E04335"/>
    <w:rsid w:val="00E04CDA"/>
    <w:rsid w:val="00E05CC5"/>
    <w:rsid w:val="00E138BA"/>
    <w:rsid w:val="00E15D65"/>
    <w:rsid w:val="00E164E0"/>
    <w:rsid w:val="00E21AC8"/>
    <w:rsid w:val="00E21F91"/>
    <w:rsid w:val="00E22517"/>
    <w:rsid w:val="00E234F1"/>
    <w:rsid w:val="00E2430B"/>
    <w:rsid w:val="00E255A1"/>
    <w:rsid w:val="00E27530"/>
    <w:rsid w:val="00E3430B"/>
    <w:rsid w:val="00E3490F"/>
    <w:rsid w:val="00E35A7F"/>
    <w:rsid w:val="00E35C35"/>
    <w:rsid w:val="00E37AEE"/>
    <w:rsid w:val="00E40039"/>
    <w:rsid w:val="00E409C2"/>
    <w:rsid w:val="00E41259"/>
    <w:rsid w:val="00E431B9"/>
    <w:rsid w:val="00E431BA"/>
    <w:rsid w:val="00E43766"/>
    <w:rsid w:val="00E44084"/>
    <w:rsid w:val="00E45868"/>
    <w:rsid w:val="00E45AF2"/>
    <w:rsid w:val="00E47ADE"/>
    <w:rsid w:val="00E53E95"/>
    <w:rsid w:val="00E571FD"/>
    <w:rsid w:val="00E66914"/>
    <w:rsid w:val="00E67806"/>
    <w:rsid w:val="00E709D6"/>
    <w:rsid w:val="00E70AF9"/>
    <w:rsid w:val="00E73735"/>
    <w:rsid w:val="00E73D76"/>
    <w:rsid w:val="00E805D7"/>
    <w:rsid w:val="00E81DA0"/>
    <w:rsid w:val="00E8270C"/>
    <w:rsid w:val="00E8272D"/>
    <w:rsid w:val="00E8309F"/>
    <w:rsid w:val="00E876D6"/>
    <w:rsid w:val="00E90840"/>
    <w:rsid w:val="00E90967"/>
    <w:rsid w:val="00E92D92"/>
    <w:rsid w:val="00E94E4C"/>
    <w:rsid w:val="00EA2153"/>
    <w:rsid w:val="00EA59FB"/>
    <w:rsid w:val="00EA6865"/>
    <w:rsid w:val="00EA795D"/>
    <w:rsid w:val="00EB0A57"/>
    <w:rsid w:val="00EB11AA"/>
    <w:rsid w:val="00EB16A7"/>
    <w:rsid w:val="00EB18C8"/>
    <w:rsid w:val="00EB26E9"/>
    <w:rsid w:val="00EB33E7"/>
    <w:rsid w:val="00EB4424"/>
    <w:rsid w:val="00EB4705"/>
    <w:rsid w:val="00EB53EA"/>
    <w:rsid w:val="00EB7A5C"/>
    <w:rsid w:val="00EC001B"/>
    <w:rsid w:val="00EC436E"/>
    <w:rsid w:val="00EC5890"/>
    <w:rsid w:val="00ED1CFE"/>
    <w:rsid w:val="00ED6282"/>
    <w:rsid w:val="00ED789D"/>
    <w:rsid w:val="00EE1D6C"/>
    <w:rsid w:val="00EE2C0A"/>
    <w:rsid w:val="00EE4EDC"/>
    <w:rsid w:val="00EE5574"/>
    <w:rsid w:val="00EF010E"/>
    <w:rsid w:val="00EF3123"/>
    <w:rsid w:val="00EF3A41"/>
    <w:rsid w:val="00EF51A5"/>
    <w:rsid w:val="00EF71D6"/>
    <w:rsid w:val="00F00ADA"/>
    <w:rsid w:val="00F0594C"/>
    <w:rsid w:val="00F06323"/>
    <w:rsid w:val="00F07BAE"/>
    <w:rsid w:val="00F1280C"/>
    <w:rsid w:val="00F144D7"/>
    <w:rsid w:val="00F160C4"/>
    <w:rsid w:val="00F171C9"/>
    <w:rsid w:val="00F177A5"/>
    <w:rsid w:val="00F207DE"/>
    <w:rsid w:val="00F2221B"/>
    <w:rsid w:val="00F23FA9"/>
    <w:rsid w:val="00F25B55"/>
    <w:rsid w:val="00F2699F"/>
    <w:rsid w:val="00F2735A"/>
    <w:rsid w:val="00F30ABC"/>
    <w:rsid w:val="00F315F0"/>
    <w:rsid w:val="00F318FA"/>
    <w:rsid w:val="00F31D5D"/>
    <w:rsid w:val="00F3284A"/>
    <w:rsid w:val="00F34268"/>
    <w:rsid w:val="00F35821"/>
    <w:rsid w:val="00F37AD2"/>
    <w:rsid w:val="00F400D8"/>
    <w:rsid w:val="00F40CFA"/>
    <w:rsid w:val="00F4310C"/>
    <w:rsid w:val="00F47DB0"/>
    <w:rsid w:val="00F47F89"/>
    <w:rsid w:val="00F50083"/>
    <w:rsid w:val="00F56CDF"/>
    <w:rsid w:val="00F57D62"/>
    <w:rsid w:val="00F61264"/>
    <w:rsid w:val="00F63720"/>
    <w:rsid w:val="00F655EC"/>
    <w:rsid w:val="00F663BC"/>
    <w:rsid w:val="00F713B8"/>
    <w:rsid w:val="00F71560"/>
    <w:rsid w:val="00F73E68"/>
    <w:rsid w:val="00F73FB4"/>
    <w:rsid w:val="00F75FF9"/>
    <w:rsid w:val="00F76619"/>
    <w:rsid w:val="00F77324"/>
    <w:rsid w:val="00F81589"/>
    <w:rsid w:val="00F84925"/>
    <w:rsid w:val="00F85EB9"/>
    <w:rsid w:val="00F90E10"/>
    <w:rsid w:val="00F91416"/>
    <w:rsid w:val="00F91C8C"/>
    <w:rsid w:val="00F92770"/>
    <w:rsid w:val="00F92B59"/>
    <w:rsid w:val="00F930FA"/>
    <w:rsid w:val="00F93AD3"/>
    <w:rsid w:val="00F93B5F"/>
    <w:rsid w:val="00F947A8"/>
    <w:rsid w:val="00F94C53"/>
    <w:rsid w:val="00F95F6A"/>
    <w:rsid w:val="00F96E05"/>
    <w:rsid w:val="00FA1683"/>
    <w:rsid w:val="00FA22E1"/>
    <w:rsid w:val="00FA2397"/>
    <w:rsid w:val="00FC2842"/>
    <w:rsid w:val="00FC6675"/>
    <w:rsid w:val="00FD453F"/>
    <w:rsid w:val="00FD685F"/>
    <w:rsid w:val="00FE1AC3"/>
    <w:rsid w:val="00FE1DB0"/>
    <w:rsid w:val="00FE2638"/>
    <w:rsid w:val="00FE2D95"/>
    <w:rsid w:val="00FE3110"/>
    <w:rsid w:val="00FE3651"/>
    <w:rsid w:val="00FE4F16"/>
    <w:rsid w:val="00FE61EA"/>
    <w:rsid w:val="00FE7370"/>
    <w:rsid w:val="00FE7B0C"/>
    <w:rsid w:val="00FF3510"/>
    <w:rsid w:val="00FF3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C41F"/>
  <w15:chartTrackingRefBased/>
  <w15:docId w15:val="{A62CA563-96B1-4F52-BC17-D7B1D0E0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24507"/>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D24507"/>
    <w:pPr>
      <w:keepNext/>
      <w:keepLines/>
      <w:spacing w:before="120"/>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D24507"/>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D24507"/>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D24507"/>
    <w:pPr>
      <w:keepNext/>
      <w:keepLines/>
      <w:spacing w:before="80"/>
      <w:outlineLvl w:val="4"/>
    </w:pPr>
    <w:rPr>
      <w:rFonts w:asciiTheme="majorHAnsi" w:eastAsiaTheme="majorEastAsia" w:hAnsiTheme="majorHAnsi" w:cstheme="majorBidi"/>
      <w:color w:val="C45911" w:themeColor="accent2" w:themeShade="BF"/>
    </w:rPr>
  </w:style>
  <w:style w:type="paragraph" w:styleId="Heading6">
    <w:name w:val="heading 6"/>
    <w:basedOn w:val="Normal"/>
    <w:next w:val="Normal"/>
    <w:link w:val="Heading6Char"/>
    <w:uiPriority w:val="9"/>
    <w:semiHidden/>
    <w:unhideWhenUsed/>
    <w:qFormat/>
    <w:rsid w:val="00D24507"/>
    <w:pPr>
      <w:keepNext/>
      <w:keepLines/>
      <w:spacing w:before="80"/>
      <w:outlineLvl w:val="5"/>
    </w:pPr>
    <w:rPr>
      <w:rFonts w:asciiTheme="majorHAnsi" w:eastAsiaTheme="majorEastAsia" w:hAnsiTheme="majorHAnsi" w:cstheme="majorBidi"/>
      <w:i/>
      <w:iCs/>
      <w:color w:val="833C0B" w:themeColor="accent2" w:themeShade="80"/>
    </w:rPr>
  </w:style>
  <w:style w:type="paragraph" w:styleId="Heading7">
    <w:name w:val="heading 7"/>
    <w:basedOn w:val="Normal"/>
    <w:next w:val="Normal"/>
    <w:link w:val="Heading7Char"/>
    <w:uiPriority w:val="9"/>
    <w:semiHidden/>
    <w:unhideWhenUsed/>
    <w:qFormat/>
    <w:rsid w:val="00D24507"/>
    <w:pPr>
      <w:keepNext/>
      <w:keepLines/>
      <w:spacing w:before="80"/>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D24507"/>
    <w:pPr>
      <w:keepNext/>
      <w:keepLines/>
      <w:spacing w:before="80"/>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D24507"/>
    <w:pPr>
      <w:keepNext/>
      <w:keepLines/>
      <w:spacing w:before="80"/>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507"/>
    <w:rPr>
      <w:rFonts w:ascii="Segoe UI" w:hAnsi="Segoe UI" w:cs="Segoe UI"/>
      <w:sz w:val="18"/>
      <w:szCs w:val="18"/>
    </w:rPr>
  </w:style>
  <w:style w:type="character" w:customStyle="1" w:styleId="Heading1Char">
    <w:name w:val="Heading 1 Char"/>
    <w:basedOn w:val="DefaultParagraphFont"/>
    <w:link w:val="Heading1"/>
    <w:uiPriority w:val="9"/>
    <w:rsid w:val="00D24507"/>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D24507"/>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D24507"/>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D24507"/>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D24507"/>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D24507"/>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D24507"/>
    <w:rPr>
      <w:rFonts w:asciiTheme="majorHAnsi" w:eastAsiaTheme="majorEastAsia" w:hAnsiTheme="majorHAnsi" w:cstheme="majorBidi"/>
      <w:b/>
      <w:bCs/>
      <w:color w:val="833C0B" w:themeColor="accent2" w:themeShade="80"/>
      <w:sz w:val="24"/>
    </w:rPr>
  </w:style>
  <w:style w:type="character" w:customStyle="1" w:styleId="Heading8Char">
    <w:name w:val="Heading 8 Char"/>
    <w:basedOn w:val="DefaultParagraphFont"/>
    <w:link w:val="Heading8"/>
    <w:uiPriority w:val="9"/>
    <w:semiHidden/>
    <w:rsid w:val="00D24507"/>
    <w:rPr>
      <w:rFonts w:asciiTheme="majorHAnsi" w:eastAsiaTheme="majorEastAsia" w:hAnsiTheme="majorHAnsi" w:cstheme="majorBidi"/>
      <w:color w:val="833C0B" w:themeColor="accent2" w:themeShade="80"/>
      <w:sz w:val="24"/>
    </w:rPr>
  </w:style>
  <w:style w:type="character" w:customStyle="1" w:styleId="Heading9Char">
    <w:name w:val="Heading 9 Char"/>
    <w:basedOn w:val="DefaultParagraphFont"/>
    <w:link w:val="Heading9"/>
    <w:uiPriority w:val="9"/>
    <w:semiHidden/>
    <w:rsid w:val="00D24507"/>
    <w:rPr>
      <w:rFonts w:asciiTheme="majorHAnsi" w:eastAsiaTheme="majorEastAsia" w:hAnsiTheme="majorHAnsi" w:cstheme="majorBidi"/>
      <w:i/>
      <w:iCs/>
      <w:color w:val="833C0B" w:themeColor="accent2" w:themeShade="80"/>
      <w:sz w:val="24"/>
    </w:rPr>
  </w:style>
  <w:style w:type="paragraph" w:styleId="Header">
    <w:name w:val="header"/>
    <w:basedOn w:val="Normal"/>
    <w:link w:val="HeaderChar"/>
    <w:uiPriority w:val="99"/>
    <w:unhideWhenUsed/>
    <w:rsid w:val="00D24507"/>
    <w:pPr>
      <w:tabs>
        <w:tab w:val="center" w:pos="4680"/>
        <w:tab w:val="right" w:pos="9360"/>
      </w:tabs>
    </w:pPr>
    <w:rPr>
      <w:sz w:val="21"/>
    </w:rPr>
  </w:style>
  <w:style w:type="character" w:customStyle="1" w:styleId="HeaderChar">
    <w:name w:val="Header Char"/>
    <w:basedOn w:val="DefaultParagraphFont"/>
    <w:link w:val="Header"/>
    <w:uiPriority w:val="99"/>
    <w:rsid w:val="00D24507"/>
    <w:rPr>
      <w:rFonts w:ascii="Times New Roman" w:eastAsia="Times New Roman" w:hAnsi="Times New Roman" w:cs="Times New Roman"/>
      <w:sz w:val="21"/>
      <w:szCs w:val="24"/>
    </w:rPr>
  </w:style>
  <w:style w:type="paragraph" w:styleId="Footer">
    <w:name w:val="footer"/>
    <w:basedOn w:val="Normal"/>
    <w:link w:val="FooterChar"/>
    <w:uiPriority w:val="99"/>
    <w:unhideWhenUsed/>
    <w:rsid w:val="00D24507"/>
    <w:pPr>
      <w:tabs>
        <w:tab w:val="center" w:pos="4680"/>
        <w:tab w:val="right" w:pos="9360"/>
      </w:tabs>
    </w:pPr>
    <w:rPr>
      <w:sz w:val="21"/>
    </w:rPr>
  </w:style>
  <w:style w:type="character" w:customStyle="1" w:styleId="FooterChar">
    <w:name w:val="Footer Char"/>
    <w:basedOn w:val="DefaultParagraphFont"/>
    <w:link w:val="Footer"/>
    <w:uiPriority w:val="99"/>
    <w:rsid w:val="00D24507"/>
    <w:rPr>
      <w:rFonts w:ascii="Times New Roman" w:eastAsia="Times New Roman" w:hAnsi="Times New Roman" w:cs="Times New Roman"/>
      <w:sz w:val="21"/>
      <w:szCs w:val="24"/>
    </w:rPr>
  </w:style>
  <w:style w:type="paragraph" w:styleId="ListParagraph">
    <w:name w:val="List Paragraph"/>
    <w:basedOn w:val="Normal"/>
    <w:uiPriority w:val="34"/>
    <w:qFormat/>
    <w:rsid w:val="00D24507"/>
    <w:pPr>
      <w:ind w:left="720"/>
      <w:contextualSpacing/>
    </w:pPr>
    <w:rPr>
      <w:sz w:val="21"/>
    </w:rPr>
  </w:style>
  <w:style w:type="paragraph" w:styleId="Caption">
    <w:name w:val="caption"/>
    <w:basedOn w:val="Normal"/>
    <w:next w:val="Normal"/>
    <w:uiPriority w:val="35"/>
    <w:unhideWhenUsed/>
    <w:qFormat/>
    <w:rsid w:val="00D24507"/>
    <w:rPr>
      <w:b/>
      <w:bCs/>
      <w:color w:val="404040" w:themeColor="text1" w:themeTint="BF"/>
      <w:sz w:val="16"/>
      <w:szCs w:val="16"/>
    </w:rPr>
  </w:style>
  <w:style w:type="paragraph" w:styleId="Title">
    <w:name w:val="Title"/>
    <w:basedOn w:val="Normal"/>
    <w:next w:val="Normal"/>
    <w:link w:val="TitleChar"/>
    <w:uiPriority w:val="10"/>
    <w:qFormat/>
    <w:rsid w:val="00D24507"/>
    <w:pPr>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D2450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D2450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D24507"/>
    <w:rPr>
      <w:rFonts w:ascii="Times New Roman" w:eastAsia="Times New Roman" w:hAnsi="Times New Roman" w:cs="Times New Roman"/>
      <w:caps/>
      <w:color w:val="404040" w:themeColor="text1" w:themeTint="BF"/>
      <w:spacing w:val="20"/>
      <w:sz w:val="28"/>
      <w:szCs w:val="28"/>
    </w:rPr>
  </w:style>
  <w:style w:type="character" w:styleId="Strong">
    <w:name w:val="Strong"/>
    <w:basedOn w:val="DefaultParagraphFont"/>
    <w:uiPriority w:val="22"/>
    <w:qFormat/>
    <w:rsid w:val="00D24507"/>
    <w:rPr>
      <w:b/>
      <w:bCs/>
    </w:rPr>
  </w:style>
  <w:style w:type="character" w:styleId="Emphasis">
    <w:name w:val="Emphasis"/>
    <w:basedOn w:val="DefaultParagraphFont"/>
    <w:uiPriority w:val="20"/>
    <w:qFormat/>
    <w:rsid w:val="00D24507"/>
    <w:rPr>
      <w:i/>
      <w:iCs/>
      <w:color w:val="000000" w:themeColor="text1"/>
    </w:rPr>
  </w:style>
  <w:style w:type="paragraph" w:styleId="NoSpacing">
    <w:name w:val="No Spacing"/>
    <w:uiPriority w:val="1"/>
    <w:qFormat/>
    <w:rsid w:val="00D24507"/>
    <w:pPr>
      <w:spacing w:after="0" w:line="240" w:lineRule="auto"/>
    </w:pPr>
    <w:rPr>
      <w:rFonts w:eastAsiaTheme="minorEastAsia"/>
      <w:sz w:val="21"/>
      <w:szCs w:val="21"/>
    </w:rPr>
  </w:style>
  <w:style w:type="paragraph" w:styleId="Quote">
    <w:name w:val="Quote"/>
    <w:basedOn w:val="Normal"/>
    <w:next w:val="Normal"/>
    <w:link w:val="QuoteChar"/>
    <w:uiPriority w:val="29"/>
    <w:qFormat/>
    <w:rsid w:val="00D24507"/>
    <w:pPr>
      <w:spacing w:before="160"/>
      <w:ind w:left="720" w:right="720"/>
      <w:jc w:val="center"/>
    </w:pPr>
    <w:rPr>
      <w:rFonts w:asciiTheme="majorHAnsi" w:eastAsiaTheme="majorEastAsia" w:hAnsiTheme="majorHAnsi" w:cstheme="majorBidi"/>
      <w:color w:val="000000" w:themeColor="text1"/>
    </w:rPr>
  </w:style>
  <w:style w:type="character" w:customStyle="1" w:styleId="QuoteChar">
    <w:name w:val="Quote Char"/>
    <w:basedOn w:val="DefaultParagraphFont"/>
    <w:link w:val="Quote"/>
    <w:uiPriority w:val="29"/>
    <w:rsid w:val="00D2450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D24507"/>
    <w:pPr>
      <w:pBdr>
        <w:top w:val="single" w:sz="24" w:space="4" w:color="ED7D31" w:themeColor="accent2"/>
      </w:pBdr>
      <w:spacing w:before="240" w:after="240"/>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D2450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24507"/>
    <w:rPr>
      <w:i/>
      <w:iCs/>
      <w:color w:val="595959" w:themeColor="text1" w:themeTint="A6"/>
    </w:rPr>
  </w:style>
  <w:style w:type="character" w:styleId="IntenseEmphasis">
    <w:name w:val="Intense Emphasis"/>
    <w:basedOn w:val="DefaultParagraphFont"/>
    <w:uiPriority w:val="21"/>
    <w:qFormat/>
    <w:rsid w:val="00D24507"/>
    <w:rPr>
      <w:b/>
      <w:bCs/>
      <w:i/>
      <w:iCs/>
      <w:caps w:val="0"/>
      <w:smallCaps w:val="0"/>
      <w:strike w:val="0"/>
      <w:dstrike w:val="0"/>
      <w:color w:val="ED7D31" w:themeColor="accent2"/>
    </w:rPr>
  </w:style>
  <w:style w:type="character" w:styleId="SubtleReference">
    <w:name w:val="Subtle Reference"/>
    <w:basedOn w:val="DefaultParagraphFont"/>
    <w:uiPriority w:val="31"/>
    <w:qFormat/>
    <w:rsid w:val="00D2450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24507"/>
    <w:rPr>
      <w:b/>
      <w:bCs/>
      <w:caps w:val="0"/>
      <w:smallCaps/>
      <w:color w:val="auto"/>
      <w:spacing w:val="0"/>
      <w:u w:val="single"/>
    </w:rPr>
  </w:style>
  <w:style w:type="character" w:styleId="BookTitle">
    <w:name w:val="Book Title"/>
    <w:basedOn w:val="DefaultParagraphFont"/>
    <w:uiPriority w:val="33"/>
    <w:qFormat/>
    <w:rsid w:val="00D24507"/>
    <w:rPr>
      <w:b/>
      <w:bCs/>
      <w:caps w:val="0"/>
      <w:smallCaps/>
      <w:spacing w:val="0"/>
    </w:rPr>
  </w:style>
  <w:style w:type="paragraph" w:styleId="TOCHeading">
    <w:name w:val="TOC Heading"/>
    <w:basedOn w:val="Heading1"/>
    <w:next w:val="Normal"/>
    <w:uiPriority w:val="39"/>
    <w:unhideWhenUsed/>
    <w:qFormat/>
    <w:rsid w:val="00D24507"/>
    <w:pPr>
      <w:outlineLvl w:val="9"/>
    </w:pPr>
  </w:style>
  <w:style w:type="paragraph" w:styleId="CommentText">
    <w:name w:val="annotation text"/>
    <w:basedOn w:val="Normal"/>
    <w:link w:val="CommentTextChar"/>
    <w:uiPriority w:val="99"/>
    <w:unhideWhenUsed/>
    <w:rsid w:val="00D24507"/>
    <w:rPr>
      <w:sz w:val="20"/>
      <w:szCs w:val="20"/>
    </w:rPr>
  </w:style>
  <w:style w:type="character" w:customStyle="1" w:styleId="CommentTextChar">
    <w:name w:val="Comment Text Char"/>
    <w:basedOn w:val="DefaultParagraphFont"/>
    <w:link w:val="CommentText"/>
    <w:uiPriority w:val="99"/>
    <w:rsid w:val="00D24507"/>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D24507"/>
    <w:rPr>
      <w:sz w:val="20"/>
      <w:szCs w:val="20"/>
    </w:rPr>
  </w:style>
  <w:style w:type="character" w:customStyle="1" w:styleId="FootnoteTextChar">
    <w:name w:val="Footnote Text Char"/>
    <w:basedOn w:val="DefaultParagraphFont"/>
    <w:link w:val="FootnoteText"/>
    <w:uiPriority w:val="99"/>
    <w:semiHidden/>
    <w:rsid w:val="00D2450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24507"/>
    <w:rPr>
      <w:sz w:val="18"/>
      <w:szCs w:val="18"/>
    </w:rPr>
  </w:style>
  <w:style w:type="character" w:styleId="FootnoteReference">
    <w:name w:val="footnote reference"/>
    <w:basedOn w:val="DefaultParagraphFont"/>
    <w:uiPriority w:val="99"/>
    <w:unhideWhenUsed/>
    <w:rsid w:val="00D24507"/>
    <w:rPr>
      <w:vertAlign w:val="superscript"/>
    </w:rPr>
  </w:style>
  <w:style w:type="character" w:styleId="Hyperlink">
    <w:name w:val="Hyperlink"/>
    <w:basedOn w:val="DefaultParagraphFont"/>
    <w:uiPriority w:val="99"/>
    <w:unhideWhenUsed/>
    <w:rsid w:val="00D24507"/>
    <w:rPr>
      <w:color w:val="0563C1" w:themeColor="hyperlink"/>
      <w:u w:val="single"/>
    </w:rPr>
  </w:style>
  <w:style w:type="character" w:styleId="UnresolvedMention">
    <w:name w:val="Unresolved Mention"/>
    <w:basedOn w:val="DefaultParagraphFont"/>
    <w:uiPriority w:val="99"/>
    <w:semiHidden/>
    <w:unhideWhenUsed/>
    <w:rsid w:val="00D24507"/>
    <w:rPr>
      <w:color w:val="605E5C"/>
      <w:shd w:val="clear" w:color="auto" w:fill="E1DFDD"/>
    </w:rPr>
  </w:style>
  <w:style w:type="paragraph" w:styleId="TOC1">
    <w:name w:val="toc 1"/>
    <w:basedOn w:val="Normal"/>
    <w:next w:val="Normal"/>
    <w:autoRedefine/>
    <w:uiPriority w:val="39"/>
    <w:unhideWhenUsed/>
    <w:rsid w:val="00D24507"/>
    <w:pPr>
      <w:spacing w:after="100"/>
    </w:pPr>
  </w:style>
  <w:style w:type="paragraph" w:styleId="TOC2">
    <w:name w:val="toc 2"/>
    <w:basedOn w:val="Normal"/>
    <w:next w:val="Normal"/>
    <w:autoRedefine/>
    <w:uiPriority w:val="39"/>
    <w:unhideWhenUsed/>
    <w:rsid w:val="00D24507"/>
    <w:pPr>
      <w:spacing w:after="100"/>
      <w:ind w:left="220"/>
    </w:pPr>
  </w:style>
  <w:style w:type="paragraph" w:styleId="TOC3">
    <w:name w:val="toc 3"/>
    <w:basedOn w:val="Normal"/>
    <w:next w:val="Normal"/>
    <w:autoRedefine/>
    <w:uiPriority w:val="39"/>
    <w:unhideWhenUsed/>
    <w:rsid w:val="00D24507"/>
    <w:pPr>
      <w:spacing w:after="100"/>
      <w:ind w:left="440"/>
    </w:pPr>
  </w:style>
  <w:style w:type="paragraph" w:styleId="ListBullet3">
    <w:name w:val="List Bullet 3"/>
    <w:basedOn w:val="Normal"/>
    <w:rsid w:val="00D24507"/>
    <w:pPr>
      <w:numPr>
        <w:numId w:val="2"/>
      </w:numPr>
      <w:tabs>
        <w:tab w:val="left" w:pos="2016"/>
      </w:tabs>
      <w:spacing w:before="40" w:after="40"/>
    </w:pPr>
  </w:style>
  <w:style w:type="paragraph" w:styleId="CommentSubject">
    <w:name w:val="annotation subject"/>
    <w:basedOn w:val="CommentText"/>
    <w:next w:val="CommentText"/>
    <w:link w:val="CommentSubjectChar"/>
    <w:uiPriority w:val="99"/>
    <w:semiHidden/>
    <w:unhideWhenUsed/>
    <w:rsid w:val="00D24507"/>
    <w:rPr>
      <w:b/>
      <w:bCs/>
    </w:rPr>
  </w:style>
  <w:style w:type="character" w:customStyle="1" w:styleId="CommentSubjectChar">
    <w:name w:val="Comment Subject Char"/>
    <w:basedOn w:val="CommentTextChar"/>
    <w:link w:val="CommentSubject"/>
    <w:uiPriority w:val="99"/>
    <w:semiHidden/>
    <w:rsid w:val="00D24507"/>
    <w:rPr>
      <w:rFonts w:ascii="Times New Roman" w:eastAsia="Times New Roman" w:hAnsi="Times New Roman" w:cs="Times New Roman"/>
      <w:b/>
      <w:bCs/>
      <w:sz w:val="20"/>
      <w:szCs w:val="20"/>
    </w:rPr>
  </w:style>
  <w:style w:type="table" w:styleId="GridTable4-Accent1">
    <w:name w:val="Grid Table 4 Accent 1"/>
    <w:basedOn w:val="TableNormal"/>
    <w:uiPriority w:val="49"/>
    <w:rsid w:val="000750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2E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857915">
      <w:bodyDiv w:val="1"/>
      <w:marLeft w:val="0"/>
      <w:marRight w:val="0"/>
      <w:marTop w:val="0"/>
      <w:marBottom w:val="0"/>
      <w:divBdr>
        <w:top w:val="none" w:sz="0" w:space="0" w:color="auto"/>
        <w:left w:val="none" w:sz="0" w:space="0" w:color="auto"/>
        <w:bottom w:val="none" w:sz="0" w:space="0" w:color="auto"/>
        <w:right w:val="none" w:sz="0" w:space="0" w:color="auto"/>
      </w:divBdr>
    </w:div>
    <w:div w:id="546914827">
      <w:bodyDiv w:val="1"/>
      <w:marLeft w:val="0"/>
      <w:marRight w:val="0"/>
      <w:marTop w:val="0"/>
      <w:marBottom w:val="0"/>
      <w:divBdr>
        <w:top w:val="none" w:sz="0" w:space="0" w:color="auto"/>
        <w:left w:val="none" w:sz="0" w:space="0" w:color="auto"/>
        <w:bottom w:val="none" w:sz="0" w:space="0" w:color="auto"/>
        <w:right w:val="none" w:sz="0" w:space="0" w:color="auto"/>
      </w:divBdr>
    </w:div>
    <w:div w:id="548150512">
      <w:bodyDiv w:val="1"/>
      <w:marLeft w:val="0"/>
      <w:marRight w:val="0"/>
      <w:marTop w:val="0"/>
      <w:marBottom w:val="0"/>
      <w:divBdr>
        <w:top w:val="none" w:sz="0" w:space="0" w:color="auto"/>
        <w:left w:val="none" w:sz="0" w:space="0" w:color="auto"/>
        <w:bottom w:val="none" w:sz="0" w:space="0" w:color="auto"/>
        <w:right w:val="none" w:sz="0" w:space="0" w:color="auto"/>
      </w:divBdr>
    </w:div>
    <w:div w:id="593049195">
      <w:bodyDiv w:val="1"/>
      <w:marLeft w:val="0"/>
      <w:marRight w:val="0"/>
      <w:marTop w:val="0"/>
      <w:marBottom w:val="0"/>
      <w:divBdr>
        <w:top w:val="none" w:sz="0" w:space="0" w:color="auto"/>
        <w:left w:val="none" w:sz="0" w:space="0" w:color="auto"/>
        <w:bottom w:val="none" w:sz="0" w:space="0" w:color="auto"/>
        <w:right w:val="none" w:sz="0" w:space="0" w:color="auto"/>
      </w:divBdr>
    </w:div>
    <w:div w:id="667248903">
      <w:bodyDiv w:val="1"/>
      <w:marLeft w:val="0"/>
      <w:marRight w:val="0"/>
      <w:marTop w:val="0"/>
      <w:marBottom w:val="0"/>
      <w:divBdr>
        <w:top w:val="none" w:sz="0" w:space="0" w:color="auto"/>
        <w:left w:val="none" w:sz="0" w:space="0" w:color="auto"/>
        <w:bottom w:val="none" w:sz="0" w:space="0" w:color="auto"/>
        <w:right w:val="none" w:sz="0" w:space="0" w:color="auto"/>
      </w:divBdr>
    </w:div>
    <w:div w:id="720251384">
      <w:bodyDiv w:val="1"/>
      <w:marLeft w:val="0"/>
      <w:marRight w:val="0"/>
      <w:marTop w:val="0"/>
      <w:marBottom w:val="0"/>
      <w:divBdr>
        <w:top w:val="none" w:sz="0" w:space="0" w:color="auto"/>
        <w:left w:val="none" w:sz="0" w:space="0" w:color="auto"/>
        <w:bottom w:val="none" w:sz="0" w:space="0" w:color="auto"/>
        <w:right w:val="none" w:sz="0" w:space="0" w:color="auto"/>
      </w:divBdr>
    </w:div>
    <w:div w:id="1169755945">
      <w:bodyDiv w:val="1"/>
      <w:marLeft w:val="0"/>
      <w:marRight w:val="0"/>
      <w:marTop w:val="0"/>
      <w:marBottom w:val="0"/>
      <w:divBdr>
        <w:top w:val="none" w:sz="0" w:space="0" w:color="auto"/>
        <w:left w:val="none" w:sz="0" w:space="0" w:color="auto"/>
        <w:bottom w:val="none" w:sz="0" w:space="0" w:color="auto"/>
        <w:right w:val="none" w:sz="0" w:space="0" w:color="auto"/>
      </w:divBdr>
    </w:div>
    <w:div w:id="1254246013">
      <w:bodyDiv w:val="1"/>
      <w:marLeft w:val="0"/>
      <w:marRight w:val="0"/>
      <w:marTop w:val="0"/>
      <w:marBottom w:val="0"/>
      <w:divBdr>
        <w:top w:val="none" w:sz="0" w:space="0" w:color="auto"/>
        <w:left w:val="none" w:sz="0" w:space="0" w:color="auto"/>
        <w:bottom w:val="none" w:sz="0" w:space="0" w:color="auto"/>
        <w:right w:val="none" w:sz="0" w:space="0" w:color="auto"/>
      </w:divBdr>
    </w:div>
    <w:div w:id="1553226784">
      <w:bodyDiv w:val="1"/>
      <w:marLeft w:val="0"/>
      <w:marRight w:val="0"/>
      <w:marTop w:val="0"/>
      <w:marBottom w:val="0"/>
      <w:divBdr>
        <w:top w:val="none" w:sz="0" w:space="0" w:color="auto"/>
        <w:left w:val="none" w:sz="0" w:space="0" w:color="auto"/>
        <w:bottom w:val="none" w:sz="0" w:space="0" w:color="auto"/>
        <w:right w:val="none" w:sz="0" w:space="0" w:color="auto"/>
      </w:divBdr>
    </w:div>
    <w:div w:id="1558711167">
      <w:bodyDiv w:val="1"/>
      <w:marLeft w:val="0"/>
      <w:marRight w:val="0"/>
      <w:marTop w:val="0"/>
      <w:marBottom w:val="0"/>
      <w:divBdr>
        <w:top w:val="none" w:sz="0" w:space="0" w:color="auto"/>
        <w:left w:val="none" w:sz="0" w:space="0" w:color="auto"/>
        <w:bottom w:val="none" w:sz="0" w:space="0" w:color="auto"/>
        <w:right w:val="none" w:sz="0" w:space="0" w:color="auto"/>
      </w:divBdr>
    </w:div>
    <w:div w:id="1637486375">
      <w:bodyDiv w:val="1"/>
      <w:marLeft w:val="0"/>
      <w:marRight w:val="0"/>
      <w:marTop w:val="0"/>
      <w:marBottom w:val="0"/>
      <w:divBdr>
        <w:top w:val="none" w:sz="0" w:space="0" w:color="auto"/>
        <w:left w:val="none" w:sz="0" w:space="0" w:color="auto"/>
        <w:bottom w:val="none" w:sz="0" w:space="0" w:color="auto"/>
        <w:right w:val="none" w:sz="0" w:space="0" w:color="auto"/>
      </w:divBdr>
    </w:div>
    <w:div w:id="1735933134">
      <w:bodyDiv w:val="1"/>
      <w:marLeft w:val="0"/>
      <w:marRight w:val="0"/>
      <w:marTop w:val="0"/>
      <w:marBottom w:val="0"/>
      <w:divBdr>
        <w:top w:val="none" w:sz="0" w:space="0" w:color="auto"/>
        <w:left w:val="none" w:sz="0" w:space="0" w:color="auto"/>
        <w:bottom w:val="none" w:sz="0" w:space="0" w:color="auto"/>
        <w:right w:val="none" w:sz="0" w:space="0" w:color="auto"/>
      </w:divBdr>
    </w:div>
    <w:div w:id="1744259241">
      <w:bodyDiv w:val="1"/>
      <w:marLeft w:val="0"/>
      <w:marRight w:val="0"/>
      <w:marTop w:val="0"/>
      <w:marBottom w:val="0"/>
      <w:divBdr>
        <w:top w:val="none" w:sz="0" w:space="0" w:color="auto"/>
        <w:left w:val="none" w:sz="0" w:space="0" w:color="auto"/>
        <w:bottom w:val="none" w:sz="0" w:space="0" w:color="auto"/>
        <w:right w:val="none" w:sz="0" w:space="0" w:color="auto"/>
      </w:divBdr>
    </w:div>
    <w:div w:id="1745906157">
      <w:bodyDiv w:val="1"/>
      <w:marLeft w:val="0"/>
      <w:marRight w:val="0"/>
      <w:marTop w:val="0"/>
      <w:marBottom w:val="0"/>
      <w:divBdr>
        <w:top w:val="none" w:sz="0" w:space="0" w:color="auto"/>
        <w:left w:val="none" w:sz="0" w:space="0" w:color="auto"/>
        <w:bottom w:val="none" w:sz="0" w:space="0" w:color="auto"/>
        <w:right w:val="none" w:sz="0" w:space="0" w:color="auto"/>
      </w:divBdr>
    </w:div>
    <w:div w:id="1849978755">
      <w:bodyDiv w:val="1"/>
      <w:marLeft w:val="0"/>
      <w:marRight w:val="0"/>
      <w:marTop w:val="0"/>
      <w:marBottom w:val="0"/>
      <w:divBdr>
        <w:top w:val="none" w:sz="0" w:space="0" w:color="auto"/>
        <w:left w:val="none" w:sz="0" w:space="0" w:color="auto"/>
        <w:bottom w:val="none" w:sz="0" w:space="0" w:color="auto"/>
        <w:right w:val="none" w:sz="0" w:space="0" w:color="auto"/>
      </w:divBdr>
    </w:div>
    <w:div w:id="189936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3.xml"/><Relationship Id="rId39" Type="http://schemas.openxmlformats.org/officeDocument/2006/relationships/chart" Target="charts/chart4.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hyperlink" Target="http://nlihc.org/article/north-carolina-agreement-doj-will-improve-olmstead-compliance-persons-mental-illnes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https://www.nchfa.com/permanent-supportive-housing-pla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0" Type="http://schemas.openxmlformats.org/officeDocument/2006/relationships/image" Target="media/image11.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MullinLonergan\NC\AI%20-%20North%20Carolina,%20Statewide\Data\ACS\_TablesUs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ullinLonergan\NC\AI%20-%20North%20Carolina,%20Statewide\Data\ACS\_TablesUs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ullinLonergan\NC\AI%20-%20North%20Carolina,%20Statewide\Data\ACS\_TablesUs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ullinLonergan\NC\AI%20-%20North%20Carolina,%20Statewide\Data\Investments\GIS_CDBG_WaterInfrastructur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State!$B$26</c:f>
              <c:strCache>
                <c:ptCount val="1"/>
                <c:pt idx="0">
                  <c:v>White</c:v>
                </c:pt>
              </c:strCache>
            </c:strRef>
          </c:tx>
          <c:spPr>
            <a:solidFill>
              <a:srgbClr val="002060"/>
            </a:solidFill>
            <a:ln>
              <a:noFill/>
            </a:ln>
            <a:effectLst/>
          </c:spPr>
          <c:cat>
            <c:numRef>
              <c:f>State!$A$27:$A$32</c:f>
              <c:numCache>
                <c:formatCode>General</c:formatCode>
                <c:ptCount val="6"/>
                <c:pt idx="0">
                  <c:v>1970</c:v>
                </c:pt>
                <c:pt idx="1">
                  <c:v>1980</c:v>
                </c:pt>
                <c:pt idx="2">
                  <c:v>1990</c:v>
                </c:pt>
                <c:pt idx="3">
                  <c:v>2000</c:v>
                </c:pt>
                <c:pt idx="4">
                  <c:v>2010</c:v>
                </c:pt>
                <c:pt idx="5">
                  <c:v>2018</c:v>
                </c:pt>
              </c:numCache>
            </c:numRef>
          </c:cat>
          <c:val>
            <c:numRef>
              <c:f>State!$B$27:$B$32</c:f>
              <c:numCache>
                <c:formatCode>_(* #,##0_);_(* \(#,##0\);_(* "-"??_);_(@_)</c:formatCode>
                <c:ptCount val="6"/>
                <c:pt idx="0">
                  <c:v>3901767</c:v>
                </c:pt>
                <c:pt idx="1">
                  <c:v>4457507</c:v>
                </c:pt>
                <c:pt idx="2">
                  <c:v>5008491</c:v>
                </c:pt>
                <c:pt idx="3">
                  <c:v>5804656</c:v>
                </c:pt>
                <c:pt idx="4">
                  <c:v>6223995</c:v>
                </c:pt>
                <c:pt idx="5">
                  <c:v>6433039</c:v>
                </c:pt>
              </c:numCache>
            </c:numRef>
          </c:val>
          <c:extLst>
            <c:ext xmlns:c16="http://schemas.microsoft.com/office/drawing/2014/chart" uri="{C3380CC4-5D6E-409C-BE32-E72D297353CC}">
              <c16:uniqueId val="{00000000-32A0-4DC7-8E76-31B0A3120D68}"/>
            </c:ext>
          </c:extLst>
        </c:ser>
        <c:ser>
          <c:idx val="1"/>
          <c:order val="1"/>
          <c:tx>
            <c:strRef>
              <c:f>State!$C$26</c:f>
              <c:strCache>
                <c:ptCount val="1"/>
                <c:pt idx="0">
                  <c:v>Black</c:v>
                </c:pt>
              </c:strCache>
            </c:strRef>
          </c:tx>
          <c:spPr>
            <a:solidFill>
              <a:srgbClr val="C00000"/>
            </a:solidFill>
            <a:ln>
              <a:noFill/>
            </a:ln>
            <a:effectLst/>
          </c:spPr>
          <c:cat>
            <c:numRef>
              <c:f>State!$A$27:$A$32</c:f>
              <c:numCache>
                <c:formatCode>General</c:formatCode>
                <c:ptCount val="6"/>
                <c:pt idx="0">
                  <c:v>1970</c:v>
                </c:pt>
                <c:pt idx="1">
                  <c:v>1980</c:v>
                </c:pt>
                <c:pt idx="2">
                  <c:v>1990</c:v>
                </c:pt>
                <c:pt idx="3">
                  <c:v>2000</c:v>
                </c:pt>
                <c:pt idx="4">
                  <c:v>2010</c:v>
                </c:pt>
                <c:pt idx="5">
                  <c:v>2018</c:v>
                </c:pt>
              </c:numCache>
            </c:numRef>
          </c:cat>
          <c:val>
            <c:numRef>
              <c:f>State!$C$27:$C$32</c:f>
              <c:numCache>
                <c:formatCode>_(* #,##0_);_(* \(#,##0\);_(* "-"??_);_(@_)</c:formatCode>
                <c:ptCount val="6"/>
                <c:pt idx="0">
                  <c:v>1180292</c:v>
                </c:pt>
                <c:pt idx="1">
                  <c:v>1318857</c:v>
                </c:pt>
                <c:pt idx="2">
                  <c:v>1456323</c:v>
                </c:pt>
                <c:pt idx="3">
                  <c:v>1737545</c:v>
                </c:pt>
                <c:pt idx="4">
                  <c:v>2019854</c:v>
                </c:pt>
                <c:pt idx="5">
                  <c:v>2146254</c:v>
                </c:pt>
              </c:numCache>
            </c:numRef>
          </c:val>
          <c:extLst>
            <c:ext xmlns:c16="http://schemas.microsoft.com/office/drawing/2014/chart" uri="{C3380CC4-5D6E-409C-BE32-E72D297353CC}">
              <c16:uniqueId val="{00000001-32A0-4DC7-8E76-31B0A3120D68}"/>
            </c:ext>
          </c:extLst>
        </c:ser>
        <c:ser>
          <c:idx val="2"/>
          <c:order val="2"/>
          <c:tx>
            <c:strRef>
              <c:f>State!$D$26</c:f>
              <c:strCache>
                <c:ptCount val="1"/>
                <c:pt idx="0">
                  <c:v>Asian</c:v>
                </c:pt>
              </c:strCache>
            </c:strRef>
          </c:tx>
          <c:spPr>
            <a:solidFill>
              <a:schemeClr val="accent4"/>
            </a:solidFill>
            <a:ln>
              <a:noFill/>
            </a:ln>
            <a:effectLst/>
          </c:spPr>
          <c:cat>
            <c:numRef>
              <c:f>State!$A$27:$A$32</c:f>
              <c:numCache>
                <c:formatCode>General</c:formatCode>
                <c:ptCount val="6"/>
                <c:pt idx="0">
                  <c:v>1970</c:v>
                </c:pt>
                <c:pt idx="1">
                  <c:v>1980</c:v>
                </c:pt>
                <c:pt idx="2">
                  <c:v>1990</c:v>
                </c:pt>
                <c:pt idx="3">
                  <c:v>2000</c:v>
                </c:pt>
                <c:pt idx="4">
                  <c:v>2010</c:v>
                </c:pt>
                <c:pt idx="5">
                  <c:v>2018</c:v>
                </c:pt>
              </c:numCache>
            </c:numRef>
          </c:cat>
          <c:val>
            <c:numRef>
              <c:f>State!$D$27:$D$32</c:f>
              <c:numCache>
                <c:formatCode>_(* #,##0_);_(* \(#,##0\);_(* "-"??_);_(@_)</c:formatCode>
                <c:ptCount val="6"/>
                <c:pt idx="0">
                  <c:v>4264</c:v>
                </c:pt>
                <c:pt idx="1">
                  <c:v>19596</c:v>
                </c:pt>
                <c:pt idx="2">
                  <c:v>52166</c:v>
                </c:pt>
                <c:pt idx="3">
                  <c:v>113689</c:v>
                </c:pt>
                <c:pt idx="4">
                  <c:v>206579</c:v>
                </c:pt>
                <c:pt idx="5">
                  <c:v>280059</c:v>
                </c:pt>
              </c:numCache>
            </c:numRef>
          </c:val>
          <c:extLst>
            <c:ext xmlns:c16="http://schemas.microsoft.com/office/drawing/2014/chart" uri="{C3380CC4-5D6E-409C-BE32-E72D297353CC}">
              <c16:uniqueId val="{00000002-32A0-4DC7-8E76-31B0A3120D68}"/>
            </c:ext>
          </c:extLst>
        </c:ser>
        <c:ser>
          <c:idx val="3"/>
          <c:order val="3"/>
          <c:tx>
            <c:strRef>
              <c:f>State!$E$26</c:f>
              <c:strCache>
                <c:ptCount val="1"/>
                <c:pt idx="0">
                  <c:v>Hispanic</c:v>
                </c:pt>
              </c:strCache>
            </c:strRef>
          </c:tx>
          <c:spPr>
            <a:solidFill>
              <a:schemeClr val="bg2">
                <a:lumMod val="75000"/>
              </a:schemeClr>
            </a:solidFill>
            <a:ln>
              <a:noFill/>
            </a:ln>
            <a:effectLst/>
          </c:spPr>
          <c:cat>
            <c:numRef>
              <c:f>State!$A$27:$A$32</c:f>
              <c:numCache>
                <c:formatCode>General</c:formatCode>
                <c:ptCount val="6"/>
                <c:pt idx="0">
                  <c:v>1970</c:v>
                </c:pt>
                <c:pt idx="1">
                  <c:v>1980</c:v>
                </c:pt>
                <c:pt idx="2">
                  <c:v>1990</c:v>
                </c:pt>
                <c:pt idx="3">
                  <c:v>2000</c:v>
                </c:pt>
                <c:pt idx="4">
                  <c:v>2010</c:v>
                </c:pt>
                <c:pt idx="5">
                  <c:v>2018</c:v>
                </c:pt>
              </c:numCache>
            </c:numRef>
          </c:cat>
          <c:val>
            <c:numRef>
              <c:f>State!$E$27:$E$32</c:f>
              <c:numCache>
                <c:formatCode>_(* #,##0_);_(* \(#,##0\);_(* "-"??_);_(@_)</c:formatCode>
                <c:ptCount val="6"/>
                <c:pt idx="0">
                  <c:v>0</c:v>
                </c:pt>
                <c:pt idx="1">
                  <c:v>56667</c:v>
                </c:pt>
                <c:pt idx="2">
                  <c:v>76726</c:v>
                </c:pt>
                <c:pt idx="3">
                  <c:v>378963</c:v>
                </c:pt>
                <c:pt idx="4">
                  <c:v>800120</c:v>
                </c:pt>
                <c:pt idx="5">
                  <c:v>935950</c:v>
                </c:pt>
              </c:numCache>
            </c:numRef>
          </c:val>
          <c:extLst>
            <c:ext xmlns:c16="http://schemas.microsoft.com/office/drawing/2014/chart" uri="{C3380CC4-5D6E-409C-BE32-E72D297353CC}">
              <c16:uniqueId val="{00000003-32A0-4DC7-8E76-31B0A3120D68}"/>
            </c:ext>
          </c:extLst>
        </c:ser>
        <c:dLbls>
          <c:showLegendKey val="0"/>
          <c:showVal val="0"/>
          <c:showCatName val="0"/>
          <c:showSerName val="0"/>
          <c:showPercent val="0"/>
          <c:showBubbleSize val="0"/>
        </c:dLbls>
        <c:axId val="873516328"/>
        <c:axId val="873516000"/>
      </c:areaChart>
      <c:catAx>
        <c:axId val="873516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516000"/>
        <c:crosses val="autoZero"/>
        <c:auto val="1"/>
        <c:lblAlgn val="ctr"/>
        <c:lblOffset val="100"/>
        <c:noMultiLvlLbl val="0"/>
      </c:catAx>
      <c:valAx>
        <c:axId val="873516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5163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8100" cap="rnd">
              <a:solidFill>
                <a:schemeClr val="accent1"/>
              </a:solidFill>
              <a:round/>
            </a:ln>
            <a:effectLst/>
          </c:spPr>
          <c:marker>
            <c:symbol val="circle"/>
            <c:size val="8"/>
            <c:spPr>
              <a:solidFill>
                <a:schemeClr val="accent1"/>
              </a:solidFill>
              <a:ln>
                <a:noFill/>
              </a:ln>
              <a:effectLst/>
            </c:spPr>
          </c:marker>
          <c:dLbls>
            <c:dLbl>
              <c:idx val="1"/>
              <c:layout>
                <c:manualLayout>
                  <c:x val="-3.3803418803418805E-2"/>
                  <c:y val="-5.3268856582126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8E-43DE-A58F-60B8C73EDB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'Tables-Formatted'!$A$102:$A$104</c:f>
              <c:numCache>
                <c:formatCode>General</c:formatCode>
                <c:ptCount val="3"/>
                <c:pt idx="0">
                  <c:v>2000</c:v>
                </c:pt>
                <c:pt idx="1">
                  <c:v>2010</c:v>
                </c:pt>
                <c:pt idx="2">
                  <c:v>2018</c:v>
                </c:pt>
              </c:numCache>
            </c:numRef>
          </c:cat>
          <c:val>
            <c:numRef>
              <c:f>'Tables-Formatted'!$B$102:$B$104</c:f>
              <c:numCache>
                <c:formatCode>_("$"* #,##0_);_("$"* \(#,##0\);_("$"* "-"??_);_(@_)</c:formatCode>
                <c:ptCount val="3"/>
                <c:pt idx="0">
                  <c:v>57137.644599303138</c:v>
                </c:pt>
                <c:pt idx="1">
                  <c:v>52465.048143053646</c:v>
                </c:pt>
                <c:pt idx="2">
                  <c:v>52413</c:v>
                </c:pt>
              </c:numCache>
            </c:numRef>
          </c:val>
          <c:smooth val="0"/>
          <c:extLst>
            <c:ext xmlns:c16="http://schemas.microsoft.com/office/drawing/2014/chart" uri="{C3380CC4-5D6E-409C-BE32-E72D297353CC}">
              <c16:uniqueId val="{00000001-C18E-43DE-A58F-60B8C73EDB59}"/>
            </c:ext>
          </c:extLst>
        </c:ser>
        <c:dLbls>
          <c:showLegendKey val="0"/>
          <c:showVal val="0"/>
          <c:showCatName val="0"/>
          <c:showSerName val="0"/>
          <c:showPercent val="0"/>
          <c:showBubbleSize val="0"/>
        </c:dLbls>
        <c:marker val="1"/>
        <c:smooth val="0"/>
        <c:axId val="839174568"/>
        <c:axId val="839181128"/>
      </c:lineChart>
      <c:catAx>
        <c:axId val="8391745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839181128"/>
        <c:crosses val="autoZero"/>
        <c:auto val="1"/>
        <c:lblAlgn val="ctr"/>
        <c:lblOffset val="100"/>
        <c:noMultiLvlLbl val="0"/>
      </c:catAx>
      <c:valAx>
        <c:axId val="8391811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74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State!$A$44</c:f>
              <c:strCache>
                <c:ptCount val="1"/>
                <c:pt idx="0">
                  <c:v>Statewide</c:v>
                </c:pt>
              </c:strCache>
            </c:strRef>
          </c:tx>
          <c:spPr>
            <a:solidFill>
              <a:schemeClr val="tx1"/>
            </a:solidFill>
            <a:ln>
              <a:solidFill>
                <a:schemeClr val="bg2">
                  <a:lumMod val="75000"/>
                </a:schemeClr>
              </a:solidFill>
            </a:ln>
            <a:effectLst/>
          </c:spPr>
          <c:invertIfNegative val="0"/>
          <c:cat>
            <c:multiLvlStrRef>
              <c:f>State!$B$42:$E$43</c:f>
              <c:multiLvlStrCache>
                <c:ptCount val="4"/>
                <c:lvl>
                  <c:pt idx="0">
                    <c:v>2010</c:v>
                  </c:pt>
                  <c:pt idx="1">
                    <c:v>2018</c:v>
                  </c:pt>
                  <c:pt idx="2">
                    <c:v>2010</c:v>
                  </c:pt>
                  <c:pt idx="3">
                    <c:v>2018</c:v>
                  </c:pt>
                </c:lvl>
                <c:lvl>
                  <c:pt idx="0">
                    <c:v>Owner occupied</c:v>
                  </c:pt>
                  <c:pt idx="2">
                    <c:v>Renter Occupied</c:v>
                  </c:pt>
                </c:lvl>
              </c:multiLvlStrCache>
            </c:multiLvlStrRef>
          </c:cat>
          <c:val>
            <c:numRef>
              <c:f>State!$B$44:$E$44</c:f>
              <c:numCache>
                <c:formatCode>0.0%</c:formatCode>
                <c:ptCount val="4"/>
                <c:pt idx="0">
                  <c:v>0.65100000000000002</c:v>
                </c:pt>
                <c:pt idx="1">
                  <c:v>0.67165505403503645</c:v>
                </c:pt>
                <c:pt idx="2">
                  <c:v>0.34899999999999998</c:v>
                </c:pt>
                <c:pt idx="3">
                  <c:v>0.3283449459649635</c:v>
                </c:pt>
              </c:numCache>
            </c:numRef>
          </c:val>
          <c:extLst>
            <c:ext xmlns:c16="http://schemas.microsoft.com/office/drawing/2014/chart" uri="{C3380CC4-5D6E-409C-BE32-E72D297353CC}">
              <c16:uniqueId val="{00000000-E287-4022-8D21-6545175D8B96}"/>
            </c:ext>
          </c:extLst>
        </c:ser>
        <c:ser>
          <c:idx val="1"/>
          <c:order val="1"/>
          <c:tx>
            <c:strRef>
              <c:f>State!$A$45</c:f>
              <c:strCache>
                <c:ptCount val="1"/>
                <c:pt idx="0">
                  <c:v>White</c:v>
                </c:pt>
              </c:strCache>
            </c:strRef>
          </c:tx>
          <c:spPr>
            <a:solidFill>
              <a:schemeClr val="accent5">
                <a:lumMod val="75000"/>
              </a:schemeClr>
            </a:solidFill>
            <a:ln>
              <a:noFill/>
            </a:ln>
            <a:effectLst/>
          </c:spPr>
          <c:invertIfNegative val="0"/>
          <c:cat>
            <c:multiLvlStrRef>
              <c:f>State!$B$42:$E$43</c:f>
              <c:multiLvlStrCache>
                <c:ptCount val="4"/>
                <c:lvl>
                  <c:pt idx="0">
                    <c:v>2010</c:v>
                  </c:pt>
                  <c:pt idx="1">
                    <c:v>2018</c:v>
                  </c:pt>
                  <c:pt idx="2">
                    <c:v>2010</c:v>
                  </c:pt>
                  <c:pt idx="3">
                    <c:v>2018</c:v>
                  </c:pt>
                </c:lvl>
                <c:lvl>
                  <c:pt idx="0">
                    <c:v>Owner occupied</c:v>
                  </c:pt>
                  <c:pt idx="2">
                    <c:v>Renter Occupied</c:v>
                  </c:pt>
                </c:lvl>
              </c:multiLvlStrCache>
            </c:multiLvlStrRef>
          </c:cat>
          <c:val>
            <c:numRef>
              <c:f>State!$B$45:$E$45</c:f>
              <c:numCache>
                <c:formatCode>0.0%</c:formatCode>
                <c:ptCount val="4"/>
                <c:pt idx="0">
                  <c:v>0.747</c:v>
                </c:pt>
                <c:pt idx="1">
                  <c:v>0.73759020761526162</c:v>
                </c:pt>
                <c:pt idx="2">
                  <c:v>0.253</c:v>
                </c:pt>
                <c:pt idx="3">
                  <c:v>0.26240979238473838</c:v>
                </c:pt>
              </c:numCache>
            </c:numRef>
          </c:val>
          <c:extLst>
            <c:ext xmlns:c16="http://schemas.microsoft.com/office/drawing/2014/chart" uri="{C3380CC4-5D6E-409C-BE32-E72D297353CC}">
              <c16:uniqueId val="{00000001-E287-4022-8D21-6545175D8B96}"/>
            </c:ext>
          </c:extLst>
        </c:ser>
        <c:ser>
          <c:idx val="2"/>
          <c:order val="2"/>
          <c:tx>
            <c:strRef>
              <c:f>State!$A$46</c:f>
              <c:strCache>
                <c:ptCount val="1"/>
                <c:pt idx="0">
                  <c:v>Black</c:v>
                </c:pt>
              </c:strCache>
            </c:strRef>
          </c:tx>
          <c:spPr>
            <a:solidFill>
              <a:srgbClr val="C00000"/>
            </a:solidFill>
            <a:ln>
              <a:noFill/>
            </a:ln>
            <a:effectLst/>
          </c:spPr>
          <c:invertIfNegative val="0"/>
          <c:cat>
            <c:multiLvlStrRef>
              <c:f>State!$B$42:$E$43</c:f>
              <c:multiLvlStrCache>
                <c:ptCount val="4"/>
                <c:lvl>
                  <c:pt idx="0">
                    <c:v>2010</c:v>
                  </c:pt>
                  <c:pt idx="1">
                    <c:v>2018</c:v>
                  </c:pt>
                  <c:pt idx="2">
                    <c:v>2010</c:v>
                  </c:pt>
                  <c:pt idx="3">
                    <c:v>2018</c:v>
                  </c:pt>
                </c:lvl>
                <c:lvl>
                  <c:pt idx="0">
                    <c:v>Owner occupied</c:v>
                  </c:pt>
                  <c:pt idx="2">
                    <c:v>Renter Occupied</c:v>
                  </c:pt>
                </c:lvl>
              </c:multiLvlStrCache>
            </c:multiLvlStrRef>
          </c:cat>
          <c:val>
            <c:numRef>
              <c:f>State!$B$46:$E$46</c:f>
              <c:numCache>
                <c:formatCode>0.0%</c:formatCode>
                <c:ptCount val="4"/>
                <c:pt idx="0">
                  <c:v>0.45</c:v>
                </c:pt>
                <c:pt idx="1">
                  <c:v>0.4846009133841922</c:v>
                </c:pt>
                <c:pt idx="2">
                  <c:v>0.55000000000000004</c:v>
                </c:pt>
                <c:pt idx="3">
                  <c:v>0.5153990866158078</c:v>
                </c:pt>
              </c:numCache>
            </c:numRef>
          </c:val>
          <c:extLst>
            <c:ext xmlns:c16="http://schemas.microsoft.com/office/drawing/2014/chart" uri="{C3380CC4-5D6E-409C-BE32-E72D297353CC}">
              <c16:uniqueId val="{00000002-E287-4022-8D21-6545175D8B96}"/>
            </c:ext>
          </c:extLst>
        </c:ser>
        <c:ser>
          <c:idx val="3"/>
          <c:order val="3"/>
          <c:tx>
            <c:strRef>
              <c:f>State!$A$47</c:f>
              <c:strCache>
                <c:ptCount val="1"/>
                <c:pt idx="0">
                  <c:v>Asian</c:v>
                </c:pt>
              </c:strCache>
            </c:strRef>
          </c:tx>
          <c:spPr>
            <a:solidFill>
              <a:schemeClr val="accent4"/>
            </a:solidFill>
            <a:ln>
              <a:noFill/>
            </a:ln>
            <a:effectLst/>
          </c:spPr>
          <c:invertIfNegative val="0"/>
          <c:cat>
            <c:multiLvlStrRef>
              <c:f>State!$B$42:$E$43</c:f>
              <c:multiLvlStrCache>
                <c:ptCount val="4"/>
                <c:lvl>
                  <c:pt idx="0">
                    <c:v>2010</c:v>
                  </c:pt>
                  <c:pt idx="1">
                    <c:v>2018</c:v>
                  </c:pt>
                  <c:pt idx="2">
                    <c:v>2010</c:v>
                  </c:pt>
                  <c:pt idx="3">
                    <c:v>2018</c:v>
                  </c:pt>
                </c:lvl>
                <c:lvl>
                  <c:pt idx="0">
                    <c:v>Owner occupied</c:v>
                  </c:pt>
                  <c:pt idx="2">
                    <c:v>Renter Occupied</c:v>
                  </c:pt>
                </c:lvl>
              </c:multiLvlStrCache>
            </c:multiLvlStrRef>
          </c:cat>
          <c:val>
            <c:numRef>
              <c:f>State!$B$47:$E$47</c:f>
              <c:numCache>
                <c:formatCode>0.0%</c:formatCode>
                <c:ptCount val="4"/>
                <c:pt idx="0">
                  <c:v>0.624</c:v>
                </c:pt>
                <c:pt idx="1">
                  <c:v>0.60075578649031647</c:v>
                </c:pt>
                <c:pt idx="2">
                  <c:v>0.376</c:v>
                </c:pt>
                <c:pt idx="3">
                  <c:v>0.39924421350968353</c:v>
                </c:pt>
              </c:numCache>
            </c:numRef>
          </c:val>
          <c:extLst>
            <c:ext xmlns:c16="http://schemas.microsoft.com/office/drawing/2014/chart" uri="{C3380CC4-5D6E-409C-BE32-E72D297353CC}">
              <c16:uniqueId val="{00000003-E287-4022-8D21-6545175D8B96}"/>
            </c:ext>
          </c:extLst>
        </c:ser>
        <c:ser>
          <c:idx val="4"/>
          <c:order val="4"/>
          <c:tx>
            <c:strRef>
              <c:f>State!$A$48</c:f>
              <c:strCache>
                <c:ptCount val="1"/>
                <c:pt idx="0">
                  <c:v>Hispanic</c:v>
                </c:pt>
              </c:strCache>
            </c:strRef>
          </c:tx>
          <c:spPr>
            <a:solidFill>
              <a:schemeClr val="bg2">
                <a:lumMod val="75000"/>
              </a:schemeClr>
            </a:solidFill>
            <a:ln>
              <a:noFill/>
            </a:ln>
            <a:effectLst/>
          </c:spPr>
          <c:invertIfNegative val="0"/>
          <c:cat>
            <c:multiLvlStrRef>
              <c:f>State!$B$42:$E$43</c:f>
              <c:multiLvlStrCache>
                <c:ptCount val="4"/>
                <c:lvl>
                  <c:pt idx="0">
                    <c:v>2010</c:v>
                  </c:pt>
                  <c:pt idx="1">
                    <c:v>2018</c:v>
                  </c:pt>
                  <c:pt idx="2">
                    <c:v>2010</c:v>
                  </c:pt>
                  <c:pt idx="3">
                    <c:v>2018</c:v>
                  </c:pt>
                </c:lvl>
                <c:lvl>
                  <c:pt idx="0">
                    <c:v>Owner occupied</c:v>
                  </c:pt>
                  <c:pt idx="2">
                    <c:v>Renter Occupied</c:v>
                  </c:pt>
                </c:lvl>
              </c:multiLvlStrCache>
            </c:multiLvlStrRef>
          </c:cat>
          <c:val>
            <c:numRef>
              <c:f>State!$B$48:$E$48</c:f>
              <c:numCache>
                <c:formatCode>0.0%</c:formatCode>
                <c:ptCount val="4"/>
                <c:pt idx="0">
                  <c:v>0.46200000000000002</c:v>
                </c:pt>
                <c:pt idx="1">
                  <c:v>0.44335182551921654</c:v>
                </c:pt>
                <c:pt idx="2">
                  <c:v>0.53800000000000003</c:v>
                </c:pt>
                <c:pt idx="3">
                  <c:v>0.55664817448078352</c:v>
                </c:pt>
              </c:numCache>
            </c:numRef>
          </c:val>
          <c:extLst>
            <c:ext xmlns:c16="http://schemas.microsoft.com/office/drawing/2014/chart" uri="{C3380CC4-5D6E-409C-BE32-E72D297353CC}">
              <c16:uniqueId val="{00000004-E287-4022-8D21-6545175D8B96}"/>
            </c:ext>
          </c:extLst>
        </c:ser>
        <c:dLbls>
          <c:showLegendKey val="0"/>
          <c:showVal val="0"/>
          <c:showCatName val="0"/>
          <c:showSerName val="0"/>
          <c:showPercent val="0"/>
          <c:showBubbleSize val="0"/>
        </c:dLbls>
        <c:gapWidth val="199"/>
        <c:axId val="618547872"/>
        <c:axId val="618549184"/>
      </c:barChart>
      <c:catAx>
        <c:axId val="6185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18549184"/>
        <c:crosses val="autoZero"/>
        <c:auto val="1"/>
        <c:lblAlgn val="ctr"/>
        <c:lblOffset val="100"/>
        <c:noMultiLvlLbl val="0"/>
      </c:catAx>
      <c:valAx>
        <c:axId val="618549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547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CDBG Water Infrastructure Investment by Year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6.6767946141563742E-2"/>
                  <c:y val="3.3941661802011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41-4379-86FE-260780E4E7CB}"/>
                </c:ext>
              </c:extLst>
            </c:dLbl>
            <c:dLbl>
              <c:idx val="1"/>
              <c:layout>
                <c:manualLayout>
                  <c:x val="-5.6136803124328602E-2"/>
                  <c:y val="-3.1186428823148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41-4379-86FE-260780E4E7CB}"/>
                </c:ext>
              </c:extLst>
            </c:dLbl>
            <c:dLbl>
              <c:idx val="2"/>
              <c:layout>
                <c:manualLayout>
                  <c:x val="-9.7005259400046256E-2"/>
                  <c:y val="3.66972477064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41-4379-86FE-260780E4E7CB}"/>
                </c:ext>
              </c:extLst>
            </c:dLbl>
            <c:dLbl>
              <c:idx val="3"/>
              <c:layout>
                <c:manualLayout>
                  <c:x val="-3.6481531762552671E-2"/>
                  <c:y val="0.114169215086646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41-4379-86FE-260780E4E7CB}"/>
                </c:ext>
              </c:extLst>
            </c:dLbl>
            <c:dLbl>
              <c:idx val="4"/>
              <c:layout>
                <c:manualLayout>
                  <c:x val="-6.9203372050403805E-2"/>
                  <c:y val="-3.3941661802011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41-4379-86FE-260780E4E7CB}"/>
                </c:ext>
              </c:extLst>
            </c:dLbl>
            <c:dLbl>
              <c:idx val="5"/>
              <c:layout>
                <c:manualLayout>
                  <c:x val="-6.9687151175068726E-2"/>
                  <c:y val="3.669724770642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41-4379-86FE-260780E4E7CB}"/>
                </c:ext>
              </c:extLst>
            </c:dLbl>
            <c:dLbl>
              <c:idx val="6"/>
              <c:layout>
                <c:manualLayout>
                  <c:x val="-2.5910862265812278E-2"/>
                  <c:y val="-3.4602896195884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41-4379-86FE-260780E4E7C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Format!$A$3:$A$9</c:f>
              <c:numCache>
                <c:formatCode>General</c:formatCode>
                <c:ptCount val="7"/>
                <c:pt idx="0">
                  <c:v>2013</c:v>
                </c:pt>
                <c:pt idx="1">
                  <c:v>2014</c:v>
                </c:pt>
                <c:pt idx="2">
                  <c:v>2015</c:v>
                </c:pt>
                <c:pt idx="3">
                  <c:v>2016</c:v>
                </c:pt>
                <c:pt idx="4">
                  <c:v>2017</c:v>
                </c:pt>
                <c:pt idx="5">
                  <c:v>2018</c:v>
                </c:pt>
                <c:pt idx="6">
                  <c:v>2019</c:v>
                </c:pt>
              </c:numCache>
            </c:numRef>
          </c:cat>
          <c:val>
            <c:numRef>
              <c:f>Format!$B$3:$B$9</c:f>
              <c:numCache>
                <c:formatCode>_("$"* #,##0_);_("$"* \(#,##0\);_("$"* "-"??_);_(@_)</c:formatCode>
                <c:ptCount val="7"/>
                <c:pt idx="0">
                  <c:v>26127365</c:v>
                </c:pt>
                <c:pt idx="1">
                  <c:v>26186285</c:v>
                </c:pt>
                <c:pt idx="2">
                  <c:v>24079899</c:v>
                </c:pt>
                <c:pt idx="3">
                  <c:v>25922959</c:v>
                </c:pt>
                <c:pt idx="4">
                  <c:v>26810971.550000001</c:v>
                </c:pt>
                <c:pt idx="5">
                  <c:v>24959190</c:v>
                </c:pt>
                <c:pt idx="6">
                  <c:v>28014788</c:v>
                </c:pt>
              </c:numCache>
            </c:numRef>
          </c:val>
          <c:smooth val="0"/>
          <c:extLst>
            <c:ext xmlns:c16="http://schemas.microsoft.com/office/drawing/2014/chart" uri="{C3380CC4-5D6E-409C-BE32-E72D297353CC}">
              <c16:uniqueId val="{00000007-4941-4379-86FE-260780E4E7CB}"/>
            </c:ext>
          </c:extLst>
        </c:ser>
        <c:dLbls>
          <c:showLegendKey val="0"/>
          <c:showVal val="0"/>
          <c:showCatName val="0"/>
          <c:showSerName val="0"/>
          <c:showPercent val="0"/>
          <c:showBubbleSize val="0"/>
        </c:dLbls>
        <c:smooth val="0"/>
        <c:axId val="593168208"/>
        <c:axId val="593168536"/>
      </c:lineChart>
      <c:catAx>
        <c:axId val="59316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3168536"/>
        <c:crosses val="autoZero"/>
        <c:auto val="1"/>
        <c:lblAlgn val="ctr"/>
        <c:lblOffset val="100"/>
        <c:noMultiLvlLbl val="0"/>
      </c:catAx>
      <c:valAx>
        <c:axId val="5931685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9316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65267-6873-4156-A6A3-9E176AC7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90</Pages>
  <Words>25718</Words>
  <Characters>146594</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Tang</dc:creator>
  <cp:keywords/>
  <dc:description/>
  <cp:lastModifiedBy>Moore, Valerie D</cp:lastModifiedBy>
  <cp:revision>288</cp:revision>
  <cp:lastPrinted>2021-03-16T22:15:00Z</cp:lastPrinted>
  <dcterms:created xsi:type="dcterms:W3CDTF">2021-01-27T15:36:00Z</dcterms:created>
  <dcterms:modified xsi:type="dcterms:W3CDTF">2021-03-29T20:28:00Z</dcterms:modified>
</cp:coreProperties>
</file>