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71997851"/>
        <w:docPartObj>
          <w:docPartGallery w:val="Cover Pages"/>
          <w:docPartUnique/>
        </w:docPartObj>
      </w:sdtPr>
      <w:sdtContent>
        <w:p w14:paraId="1EFCBFF6" w14:textId="6B2AD800" w:rsidR="001A6419" w:rsidRDefault="001A6419">
          <w:r>
            <w:rPr>
              <w:noProof/>
            </w:rPr>
            <mc:AlternateContent>
              <mc:Choice Requires="wpg">
                <w:drawing>
                  <wp:anchor distT="0" distB="0" distL="114300" distR="114300" simplePos="0" relativeHeight="251662336" behindDoc="0" locked="0" layoutInCell="1" allowOverlap="1" wp14:anchorId="615D140F" wp14:editId="4AD77F8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B59C06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40192638" wp14:editId="144CA45C">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90B69" w14:textId="42E75E70" w:rsidR="001A6419" w:rsidRDefault="001A6419">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State of North Carolina 2021-2025 Consolidated Plan and 2021 annual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1B7C41D" w14:textId="44F8A9F4" w:rsidR="001A6419" w:rsidRDefault="001A6419">
                                    <w:pPr>
                                      <w:jc w:val="right"/>
                                      <w:rPr>
                                        <w:smallCaps/>
                                        <w:color w:val="404040" w:themeColor="text1" w:themeTint="BF"/>
                                        <w:sz w:val="36"/>
                                        <w:szCs w:val="36"/>
                                      </w:rPr>
                                    </w:pPr>
                                    <w:r>
                                      <w:rPr>
                                        <w:color w:val="404040" w:themeColor="text1" w:themeTint="BF"/>
                                        <w:sz w:val="36"/>
                                        <w:szCs w:val="36"/>
                                      </w:rPr>
                                      <w:t>Public Comment Draft 3.29.2021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0192638"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7F790B69" w14:textId="42E75E70" w:rsidR="001A6419" w:rsidRDefault="001A6419">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State of North Carolina 2021-2025 Consolidated Plan and 2021 annual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1B7C41D" w14:textId="44F8A9F4" w:rsidR="001A6419" w:rsidRDefault="001A6419">
                              <w:pPr>
                                <w:jc w:val="right"/>
                                <w:rPr>
                                  <w:smallCaps/>
                                  <w:color w:val="404040" w:themeColor="text1" w:themeTint="BF"/>
                                  <w:sz w:val="36"/>
                                  <w:szCs w:val="36"/>
                                </w:rPr>
                              </w:pPr>
                              <w:r>
                                <w:rPr>
                                  <w:color w:val="404040" w:themeColor="text1" w:themeTint="BF"/>
                                  <w:sz w:val="36"/>
                                  <w:szCs w:val="36"/>
                                </w:rPr>
                                <w:t>Public Comment Draft 3.29.2021</w:t>
                              </w:r>
                            </w:p>
                          </w:sdtContent>
                        </w:sdt>
                      </w:txbxContent>
                    </v:textbox>
                    <w10:wrap type="square" anchorx="page" anchory="page"/>
                  </v:shape>
                </w:pict>
              </mc:Fallback>
            </mc:AlternateContent>
          </w:r>
        </w:p>
        <w:p w14:paraId="66258829" w14:textId="50FA3F86" w:rsidR="001A6419" w:rsidRDefault="001C2695">
          <w:pPr>
            <w:spacing w:after="0" w:line="240" w:lineRule="auto"/>
          </w:pPr>
          <w:r>
            <w:rPr>
              <w:noProof/>
            </w:rPr>
            <mc:AlternateContent>
              <mc:Choice Requires="wps">
                <w:drawing>
                  <wp:anchor distT="0" distB="0" distL="114300" distR="114300" simplePos="0" relativeHeight="251660288" behindDoc="0" locked="0" layoutInCell="1" allowOverlap="1" wp14:anchorId="48445674" wp14:editId="4EB41F90">
                    <wp:simplePos x="0" y="0"/>
                    <wp:positionH relativeFrom="margin">
                      <wp:posOffset>-685800</wp:posOffset>
                    </wp:positionH>
                    <wp:positionV relativeFrom="page">
                      <wp:posOffset>7978140</wp:posOffset>
                    </wp:positionV>
                    <wp:extent cx="7315200" cy="1554480"/>
                    <wp:effectExtent l="0" t="0" r="0" b="762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55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2943B" w14:textId="77777777" w:rsidR="001C2695" w:rsidRPr="001C2695" w:rsidRDefault="001C2695" w:rsidP="001C2695">
                                <w:pPr>
                                  <w:spacing w:before="120" w:after="0" w:line="240" w:lineRule="auto"/>
                                  <w:rPr>
                                    <w:sz w:val="24"/>
                                    <w:szCs w:val="24"/>
                                  </w:rPr>
                                </w:pPr>
                                <w:r w:rsidRPr="001C2695">
                                  <w:rPr>
                                    <w:sz w:val="24"/>
                                    <w:szCs w:val="24"/>
                                  </w:rPr>
                                  <w:t>North Carolina Department of Commerce, Rural Economic Development Division</w:t>
                                </w:r>
                              </w:p>
                              <w:p w14:paraId="51FD908C" w14:textId="77777777" w:rsidR="001C2695" w:rsidRPr="001C2695" w:rsidRDefault="001C2695" w:rsidP="001C2695">
                                <w:pPr>
                                  <w:spacing w:before="120" w:after="0" w:line="240" w:lineRule="auto"/>
                                  <w:rPr>
                                    <w:sz w:val="24"/>
                                    <w:szCs w:val="24"/>
                                  </w:rPr>
                                </w:pPr>
                                <w:r w:rsidRPr="001C2695">
                                  <w:rPr>
                                    <w:sz w:val="24"/>
                                    <w:szCs w:val="24"/>
                                  </w:rPr>
                                  <w:t>North Carolina Department of Health and Human Services, Aging and Adult Services</w:t>
                                </w:r>
                              </w:p>
                              <w:p w14:paraId="079F2108" w14:textId="77777777" w:rsidR="001C2695" w:rsidRPr="001C2695" w:rsidRDefault="001C2695" w:rsidP="001C2695">
                                <w:pPr>
                                  <w:spacing w:before="120" w:after="0" w:line="240" w:lineRule="auto"/>
                                  <w:rPr>
                                    <w:sz w:val="24"/>
                                    <w:szCs w:val="24"/>
                                  </w:rPr>
                                </w:pPr>
                                <w:r w:rsidRPr="001C2695">
                                  <w:rPr>
                                    <w:sz w:val="24"/>
                                    <w:szCs w:val="24"/>
                                  </w:rPr>
                                  <w:t>North Carolina Department of Health and Human Services, HIV Care Program</w:t>
                                </w:r>
                              </w:p>
                              <w:p w14:paraId="7EC2DF08" w14:textId="77777777" w:rsidR="001C2695" w:rsidRPr="001C2695" w:rsidRDefault="001C2695" w:rsidP="001C2695">
                                <w:pPr>
                                  <w:spacing w:before="120" w:after="0" w:line="240" w:lineRule="auto"/>
                                  <w:rPr>
                                    <w:sz w:val="24"/>
                                    <w:szCs w:val="24"/>
                                  </w:rPr>
                                </w:pPr>
                                <w:r w:rsidRPr="001C2695">
                                  <w:rPr>
                                    <w:sz w:val="24"/>
                                    <w:szCs w:val="24"/>
                                  </w:rPr>
                                  <w:t>North Carolina Housing Finance Agency, Policy and Research</w:t>
                                </w:r>
                              </w:p>
                              <w:p w14:paraId="2C84C28B" w14:textId="218FB133" w:rsidR="001A6419" w:rsidRDefault="001A6419">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8445674" id="Text Box 152" o:spid="_x0000_s1027" type="#_x0000_t202" style="position:absolute;margin-left:-54pt;margin-top:628.2pt;width:8in;height:122.4pt;z-index:251660288;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" filled="f" stroked="f" strokeweight=".5pt">
                    <v:textbox inset="126pt,0,54pt,0">
                      <w:txbxContent>
                        <w:p w14:paraId="6402943B" w14:textId="77777777" w:rsidR="001C2695" w:rsidRPr="001C2695" w:rsidRDefault="001C2695" w:rsidP="001C2695">
                          <w:pPr>
                            <w:spacing w:before="120" w:after="0" w:line="240" w:lineRule="auto"/>
                            <w:rPr>
                              <w:sz w:val="24"/>
                              <w:szCs w:val="24"/>
                            </w:rPr>
                          </w:pPr>
                          <w:r w:rsidRPr="001C2695">
                            <w:rPr>
                              <w:sz w:val="24"/>
                              <w:szCs w:val="24"/>
                            </w:rPr>
                            <w:t>North Carolina Department of Commerce, Rural Economic Development Division</w:t>
                          </w:r>
                        </w:p>
                        <w:p w14:paraId="51FD908C" w14:textId="77777777" w:rsidR="001C2695" w:rsidRPr="001C2695" w:rsidRDefault="001C2695" w:rsidP="001C2695">
                          <w:pPr>
                            <w:spacing w:before="120" w:after="0" w:line="240" w:lineRule="auto"/>
                            <w:rPr>
                              <w:sz w:val="24"/>
                              <w:szCs w:val="24"/>
                            </w:rPr>
                          </w:pPr>
                          <w:r w:rsidRPr="001C2695">
                            <w:rPr>
                              <w:sz w:val="24"/>
                              <w:szCs w:val="24"/>
                            </w:rPr>
                            <w:t>North Carolina Department of Health and Human Services, Aging and Adult Services</w:t>
                          </w:r>
                        </w:p>
                        <w:p w14:paraId="079F2108" w14:textId="77777777" w:rsidR="001C2695" w:rsidRPr="001C2695" w:rsidRDefault="001C2695" w:rsidP="001C2695">
                          <w:pPr>
                            <w:spacing w:before="120" w:after="0" w:line="240" w:lineRule="auto"/>
                            <w:rPr>
                              <w:sz w:val="24"/>
                              <w:szCs w:val="24"/>
                            </w:rPr>
                          </w:pPr>
                          <w:r w:rsidRPr="001C2695">
                            <w:rPr>
                              <w:sz w:val="24"/>
                              <w:szCs w:val="24"/>
                            </w:rPr>
                            <w:t>North Carolina Department of Health and Human Services, HIV Care Program</w:t>
                          </w:r>
                        </w:p>
                        <w:p w14:paraId="7EC2DF08" w14:textId="77777777" w:rsidR="001C2695" w:rsidRPr="001C2695" w:rsidRDefault="001C2695" w:rsidP="001C2695">
                          <w:pPr>
                            <w:spacing w:before="120" w:after="0" w:line="240" w:lineRule="auto"/>
                            <w:rPr>
                              <w:sz w:val="24"/>
                              <w:szCs w:val="24"/>
                            </w:rPr>
                          </w:pPr>
                          <w:r w:rsidRPr="001C2695">
                            <w:rPr>
                              <w:sz w:val="24"/>
                              <w:szCs w:val="24"/>
                            </w:rPr>
                            <w:t>North Carolina Housing Finance Agency, Policy and Research</w:t>
                          </w:r>
                        </w:p>
                        <w:p w14:paraId="2C84C28B" w14:textId="218FB133" w:rsidR="001A6419" w:rsidRDefault="001A6419">
                          <w:pPr>
                            <w:pStyle w:val="NoSpacing"/>
                            <w:jc w:val="right"/>
                            <w:rPr>
                              <w:color w:val="595959" w:themeColor="text1" w:themeTint="A6"/>
                              <w:sz w:val="18"/>
                              <w:szCs w:val="18"/>
                            </w:rPr>
                          </w:pPr>
                        </w:p>
                      </w:txbxContent>
                    </v:textbox>
                    <w10:wrap type="square"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4C7D0AB6" wp14:editId="076A2B3B">
                    <wp:simplePos x="0" y="0"/>
                    <wp:positionH relativeFrom="page">
                      <wp:posOffset>228600</wp:posOffset>
                    </wp:positionH>
                    <wp:positionV relativeFrom="page">
                      <wp:posOffset>6560820</wp:posOffset>
                    </wp:positionV>
                    <wp:extent cx="7315200" cy="1303020"/>
                    <wp:effectExtent l="0" t="0" r="0" b="1143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303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154DA" w14:textId="094A401F" w:rsidR="001A6419" w:rsidRDefault="001A6419" w:rsidP="00E6292B">
                                <w:pPr>
                                  <w:pStyle w:val="NoSpacing"/>
                                  <w:rPr>
                                    <w:color w:val="595959" w:themeColor="text1" w:themeTint="A6"/>
                                    <w:sz w:val="20"/>
                                    <w:szCs w:val="20"/>
                                  </w:rPr>
                                </w:pPr>
                                <w:r>
                                  <w:rPr>
                                    <w:color w:val="4F81BD" w:themeColor="accent1"/>
                                    <w:sz w:val="28"/>
                                    <w:szCs w:val="28"/>
                                  </w:rPr>
                                  <w:t>Abstract</w:t>
                                </w:r>
                                <w:r w:rsidR="00E6292B" w:rsidRPr="00E6292B">
                                  <w:rPr>
                                    <w:color w:val="4F81BD" w:themeColor="accent1"/>
                                    <w:sz w:val="28"/>
                                    <w:szCs w:val="28"/>
                                  </w:rPr>
                                  <w:t xml:space="preserve"> </w:t>
                                </w:r>
                                <w:r w:rsidR="00E6292B" w:rsidRPr="00E6292B">
                                  <w:rPr>
                                    <w:color w:val="4F81BD" w:themeColor="accent1"/>
                                    <w:sz w:val="28"/>
                                    <w:szCs w:val="28"/>
                                  </w:rPr>
                                  <w:t xml:space="preserve">This is </w:t>
                                </w:r>
                                <w:proofErr w:type="gramStart"/>
                                <w:r w:rsidR="00E6292B" w:rsidRPr="00E6292B">
                                  <w:rPr>
                                    <w:color w:val="4F81BD" w:themeColor="accent1"/>
                                    <w:sz w:val="28"/>
                                    <w:szCs w:val="28"/>
                                  </w:rPr>
                                  <w:t>the a</w:t>
                                </w:r>
                                <w:proofErr w:type="gramEnd"/>
                                <w:r w:rsidR="00E6292B" w:rsidRPr="00E6292B">
                                  <w:rPr>
                                    <w:color w:val="4F81BD" w:themeColor="accent1"/>
                                    <w:sz w:val="28"/>
                                    <w:szCs w:val="28"/>
                                  </w:rPr>
                                  <w:t xml:space="preserve"> DRAFT of the State of North Carolina </w:t>
                                </w:r>
                                <w:r w:rsidR="00E6292B">
                                  <w:rPr>
                                    <w:color w:val="4F81BD" w:themeColor="accent1"/>
                                    <w:sz w:val="28"/>
                                    <w:szCs w:val="28"/>
                                  </w:rPr>
                                  <w:t>Consolidate Plan 2021-</w:t>
                                </w:r>
                                <w:r w:rsidR="00E6292B" w:rsidRPr="00E6292B">
                                  <w:rPr>
                                    <w:color w:val="4F81BD" w:themeColor="accent1"/>
                                    <w:sz w:val="28"/>
                                    <w:szCs w:val="28"/>
                                  </w:rPr>
                                  <w:t>202</w:t>
                                </w:r>
                                <w:r w:rsidR="00E6292B">
                                  <w:rPr>
                                    <w:color w:val="4F81BD" w:themeColor="accent1"/>
                                    <w:sz w:val="28"/>
                                    <w:szCs w:val="28"/>
                                  </w:rPr>
                                  <w:t>5 and the 2021 Annual Action Plan</w:t>
                                </w:r>
                                <w:r w:rsidR="00E6292B" w:rsidRPr="00E6292B">
                                  <w:rPr>
                                    <w:color w:val="4F81BD" w:themeColor="accent1"/>
                                    <w:sz w:val="28"/>
                                    <w:szCs w:val="28"/>
                                  </w:rPr>
                                  <w:t xml:space="preserve">.  The public comment period begins on March 29, 2021 and ends on </w:t>
                                </w:r>
                                <w:r w:rsidR="00E6292B" w:rsidRPr="00E6292B">
                                  <w:rPr>
                                    <w:b/>
                                    <w:bCs/>
                                    <w:color w:val="4F81BD" w:themeColor="accent1"/>
                                    <w:sz w:val="28"/>
                                    <w:szCs w:val="28"/>
                                  </w:rPr>
                                  <w:t>April 29, 2021 at 11:59 pm</w:t>
                                </w:r>
                                <w:r w:rsidR="00E6292B" w:rsidRPr="00E6292B">
                                  <w:rPr>
                                    <w:color w:val="4F81BD" w:themeColor="accent1"/>
                                    <w:sz w:val="28"/>
                                    <w:szCs w:val="28"/>
                                  </w:rPr>
                                  <w:t xml:space="preserve">. Email all written comments to </w:t>
                                </w:r>
                                <w:hyperlink r:id="rId11" w:history="1">
                                  <w:r w:rsidR="00E6292B" w:rsidRPr="00E6292B">
                                    <w:rPr>
                                      <w:color w:val="0000FF"/>
                                      <w:sz w:val="28"/>
                                      <w:szCs w:val="28"/>
                                      <w:u w:val="single"/>
                                    </w:rPr>
                                    <w:t>Valerie.Moore@nccommerce.com</w:t>
                                  </w:r>
                                </w:hyperlink>
                                <w:r w:rsidR="00E6292B" w:rsidRPr="00E6292B">
                                  <w:rPr>
                                    <w:color w:val="4F81BD" w:themeColor="accent1"/>
                                    <w:sz w:val="28"/>
                                    <w:szCs w:val="28"/>
                                  </w:rPr>
                                  <w:t xml:space="preserve">. Please include </w:t>
                                </w:r>
                                <w:r w:rsidR="00E6292B">
                                  <w:rPr>
                                    <w:color w:val="4F81BD" w:themeColor="accent1"/>
                                    <w:sz w:val="28"/>
                                    <w:szCs w:val="28"/>
                                  </w:rPr>
                                  <w:t xml:space="preserve">Con </w:t>
                                </w:r>
                                <w:proofErr w:type="spellStart"/>
                                <w:r w:rsidR="00E6292B">
                                  <w:rPr>
                                    <w:color w:val="4F81BD" w:themeColor="accent1"/>
                                    <w:sz w:val="28"/>
                                    <w:szCs w:val="28"/>
                                  </w:rPr>
                                  <w:t>Plan_AAP</w:t>
                                </w:r>
                                <w:proofErr w:type="spellEnd"/>
                                <w:r w:rsidR="00E6292B" w:rsidRPr="00E6292B">
                                  <w:rPr>
                                    <w:color w:val="4F81BD" w:themeColor="accent1"/>
                                    <w:sz w:val="28"/>
                                    <w:szCs w:val="28"/>
                                  </w:rPr>
                                  <w:t xml:space="preserve"> Public Comment in the subject line.</w:t>
                                </w:r>
                                <w:sdt>
                                  <w:sdtPr>
                                    <w:rPr>
                                      <w:color w:val="4F81BD" w:themeColor="accent1"/>
                                      <w:sz w:val="28"/>
                                      <w:szCs w:val="28"/>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r w:rsidR="00E6292B">
                                      <w:rPr>
                                        <w:color w:val="4F81BD" w:themeColor="accent1"/>
                                        <w:sz w:val="28"/>
                                        <w:szCs w:val="28"/>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C7D0AB6" id="Text Box 153" o:spid="_x0000_s1028" type="#_x0000_t202" style="position:absolute;margin-left:18pt;margin-top:516.6pt;width:8in;height:102.6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" filled="f" stroked="f" strokeweight=".5pt">
                    <v:textbox inset="126pt,0,54pt,0">
                      <w:txbxContent>
                        <w:p w14:paraId="5D3154DA" w14:textId="094A401F" w:rsidR="001A6419" w:rsidRDefault="001A6419" w:rsidP="00E6292B">
                          <w:pPr>
                            <w:pStyle w:val="NoSpacing"/>
                            <w:rPr>
                              <w:color w:val="595959" w:themeColor="text1" w:themeTint="A6"/>
                              <w:sz w:val="20"/>
                              <w:szCs w:val="20"/>
                            </w:rPr>
                          </w:pPr>
                          <w:r>
                            <w:rPr>
                              <w:color w:val="4F81BD" w:themeColor="accent1"/>
                              <w:sz w:val="28"/>
                              <w:szCs w:val="28"/>
                            </w:rPr>
                            <w:t>Abstract</w:t>
                          </w:r>
                          <w:r w:rsidR="00E6292B" w:rsidRPr="00E6292B">
                            <w:rPr>
                              <w:color w:val="4F81BD" w:themeColor="accent1"/>
                              <w:sz w:val="28"/>
                              <w:szCs w:val="28"/>
                            </w:rPr>
                            <w:t xml:space="preserve"> </w:t>
                          </w:r>
                          <w:r w:rsidR="00E6292B" w:rsidRPr="00E6292B">
                            <w:rPr>
                              <w:color w:val="4F81BD" w:themeColor="accent1"/>
                              <w:sz w:val="28"/>
                              <w:szCs w:val="28"/>
                            </w:rPr>
                            <w:t xml:space="preserve">This is </w:t>
                          </w:r>
                          <w:proofErr w:type="gramStart"/>
                          <w:r w:rsidR="00E6292B" w:rsidRPr="00E6292B">
                            <w:rPr>
                              <w:color w:val="4F81BD" w:themeColor="accent1"/>
                              <w:sz w:val="28"/>
                              <w:szCs w:val="28"/>
                            </w:rPr>
                            <w:t>the a</w:t>
                          </w:r>
                          <w:proofErr w:type="gramEnd"/>
                          <w:r w:rsidR="00E6292B" w:rsidRPr="00E6292B">
                            <w:rPr>
                              <w:color w:val="4F81BD" w:themeColor="accent1"/>
                              <w:sz w:val="28"/>
                              <w:szCs w:val="28"/>
                            </w:rPr>
                            <w:t xml:space="preserve"> DRAFT of the State of North Carolina </w:t>
                          </w:r>
                          <w:r w:rsidR="00E6292B">
                            <w:rPr>
                              <w:color w:val="4F81BD" w:themeColor="accent1"/>
                              <w:sz w:val="28"/>
                              <w:szCs w:val="28"/>
                            </w:rPr>
                            <w:t>Consolidate Plan 2021-</w:t>
                          </w:r>
                          <w:r w:rsidR="00E6292B" w:rsidRPr="00E6292B">
                            <w:rPr>
                              <w:color w:val="4F81BD" w:themeColor="accent1"/>
                              <w:sz w:val="28"/>
                              <w:szCs w:val="28"/>
                            </w:rPr>
                            <w:t>202</w:t>
                          </w:r>
                          <w:r w:rsidR="00E6292B">
                            <w:rPr>
                              <w:color w:val="4F81BD" w:themeColor="accent1"/>
                              <w:sz w:val="28"/>
                              <w:szCs w:val="28"/>
                            </w:rPr>
                            <w:t>5 and the 2021 Annual Action Plan</w:t>
                          </w:r>
                          <w:r w:rsidR="00E6292B" w:rsidRPr="00E6292B">
                            <w:rPr>
                              <w:color w:val="4F81BD" w:themeColor="accent1"/>
                              <w:sz w:val="28"/>
                              <w:szCs w:val="28"/>
                            </w:rPr>
                            <w:t xml:space="preserve">.  The public comment period begins on March 29, 2021 and ends on </w:t>
                          </w:r>
                          <w:r w:rsidR="00E6292B" w:rsidRPr="00E6292B">
                            <w:rPr>
                              <w:b/>
                              <w:bCs/>
                              <w:color w:val="4F81BD" w:themeColor="accent1"/>
                              <w:sz w:val="28"/>
                              <w:szCs w:val="28"/>
                            </w:rPr>
                            <w:t>April 29, 2021 at 11:59 pm</w:t>
                          </w:r>
                          <w:r w:rsidR="00E6292B" w:rsidRPr="00E6292B">
                            <w:rPr>
                              <w:color w:val="4F81BD" w:themeColor="accent1"/>
                              <w:sz w:val="28"/>
                              <w:szCs w:val="28"/>
                            </w:rPr>
                            <w:t xml:space="preserve">. Email all written comments to </w:t>
                          </w:r>
                          <w:hyperlink r:id="rId12" w:history="1">
                            <w:r w:rsidR="00E6292B" w:rsidRPr="00E6292B">
                              <w:rPr>
                                <w:color w:val="0000FF"/>
                                <w:sz w:val="28"/>
                                <w:szCs w:val="28"/>
                                <w:u w:val="single"/>
                              </w:rPr>
                              <w:t>Valerie.Moore@nccommerce.com</w:t>
                            </w:r>
                          </w:hyperlink>
                          <w:r w:rsidR="00E6292B" w:rsidRPr="00E6292B">
                            <w:rPr>
                              <w:color w:val="4F81BD" w:themeColor="accent1"/>
                              <w:sz w:val="28"/>
                              <w:szCs w:val="28"/>
                            </w:rPr>
                            <w:t xml:space="preserve">. Please include </w:t>
                          </w:r>
                          <w:r w:rsidR="00E6292B">
                            <w:rPr>
                              <w:color w:val="4F81BD" w:themeColor="accent1"/>
                              <w:sz w:val="28"/>
                              <w:szCs w:val="28"/>
                            </w:rPr>
                            <w:t xml:space="preserve">Con </w:t>
                          </w:r>
                          <w:proofErr w:type="spellStart"/>
                          <w:r w:rsidR="00E6292B">
                            <w:rPr>
                              <w:color w:val="4F81BD" w:themeColor="accent1"/>
                              <w:sz w:val="28"/>
                              <w:szCs w:val="28"/>
                            </w:rPr>
                            <w:t>Plan_AAP</w:t>
                          </w:r>
                          <w:proofErr w:type="spellEnd"/>
                          <w:r w:rsidR="00E6292B" w:rsidRPr="00E6292B">
                            <w:rPr>
                              <w:color w:val="4F81BD" w:themeColor="accent1"/>
                              <w:sz w:val="28"/>
                              <w:szCs w:val="28"/>
                            </w:rPr>
                            <w:t xml:space="preserve"> Public Comment in the subject line.</w:t>
                          </w:r>
                          <w:sdt>
                            <w:sdtPr>
                              <w:rPr>
                                <w:color w:val="4F81BD" w:themeColor="accent1"/>
                                <w:sz w:val="28"/>
                                <w:szCs w:val="28"/>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r w:rsidR="00E6292B">
                                <w:rPr>
                                  <w:color w:val="4F81BD" w:themeColor="accent1"/>
                                  <w:sz w:val="28"/>
                                  <w:szCs w:val="28"/>
                                </w:rPr>
                                <w:t xml:space="preserve">     </w:t>
                              </w:r>
                            </w:sdtContent>
                          </w:sdt>
                        </w:p>
                      </w:txbxContent>
                    </v:textbox>
                    <w10:wrap type="square" anchorx="page" anchory="page"/>
                  </v:shape>
                </w:pict>
              </mc:Fallback>
            </mc:AlternateContent>
          </w:r>
          <w:r w:rsidR="001A6419">
            <w:br w:type="page"/>
          </w:r>
        </w:p>
      </w:sdtContent>
    </w:sdt>
    <w:p w14:paraId="29C863F4" w14:textId="77777777" w:rsidR="00217A61" w:rsidRDefault="00217A61"/>
    <w:p w14:paraId="48E56AC8" w14:textId="77777777" w:rsidR="00217A61" w:rsidRDefault="00217A61"/>
    <w:p w14:paraId="243E44FD" w14:textId="77777777" w:rsidR="00217A61" w:rsidRDefault="001C2695">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03E95895" w14:textId="77777777" w:rsidR="00217A61" w:rsidRDefault="001C2695">
      <w:pPr>
        <w:pStyle w:val="Heading2"/>
        <w:rPr>
          <w:rFonts w:ascii="Calibri" w:hAnsi="Calibri"/>
          <w:i w:val="0"/>
        </w:rPr>
      </w:pPr>
      <w:r>
        <w:rPr>
          <w:rFonts w:ascii="Calibri" w:hAnsi="Calibri"/>
          <w:i w:val="0"/>
        </w:rPr>
        <w:t>ES-05 Executive Summary - 91.300(c), 91.320(b)</w:t>
      </w:r>
    </w:p>
    <w:p w14:paraId="29F80839" w14:textId="77777777" w:rsidR="00217A61" w:rsidRDefault="001C2695">
      <w:pPr>
        <w:rPr>
          <w:b/>
          <w:sz w:val="24"/>
          <w:szCs w:val="24"/>
        </w:rPr>
      </w:pPr>
      <w:r>
        <w:rPr>
          <w:b/>
          <w:sz w:val="24"/>
          <w:szCs w:val="24"/>
        </w:rPr>
        <w:t>1.</w:t>
      </w:r>
      <w:r>
        <w:rPr>
          <w:b/>
          <w:sz w:val="24"/>
          <w:szCs w:val="24"/>
        </w:rPr>
        <w:tab/>
        <w:t>Introduction</w:t>
      </w:r>
    </w:p>
    <w:p w14:paraId="2B60401C" w14:textId="77777777" w:rsidR="00217A61" w:rsidRDefault="001C2695">
      <w:pPr>
        <w:spacing w:beforeAutospacing="1" w:afterAutospacing="1"/>
        <w:rPr>
          <w:rFonts w:cs="Arial"/>
        </w:rPr>
      </w:pPr>
      <w:r>
        <w:rPr>
          <w:rFonts w:cs="Arial"/>
        </w:rPr>
        <w:t>The North Carolina Consolidated Plan 2021-2025 </w:t>
      </w:r>
      <w:r>
        <w:rPr>
          <w:rFonts w:cs="Arial"/>
        </w:rPr>
        <w:t>was developed in accordance with the Consolidated Plan regulations set forth in 24 CFR Part 91 and with the requirements set forth by the U.S. Department of Housing and Urban Development (HUD). The Consolidated Plan serves two purposes. First, it is the pl</w:t>
      </w:r>
      <w:r>
        <w:rPr>
          <w:rFonts w:cs="Arial"/>
        </w:rPr>
        <w:t xml:space="preserve">anning document that guides the North Carolina Consolidated Plan partners in addressing housing and community development needs across the state for the next five years, using the allocated funds received from the HUD. Secondly, this plan serves as a tool </w:t>
      </w:r>
      <w:r>
        <w:rPr>
          <w:rFonts w:cs="Arial"/>
        </w:rPr>
        <w:t xml:space="preserve">to inform a variety of stakeholders — including HUD, state and local officials, non-profit and advocacy organizations, and the residents of North Carolina — of the need for improving the living conditions for our state’s very </w:t>
      </w:r>
      <w:proofErr w:type="gramStart"/>
      <w:r>
        <w:rPr>
          <w:rFonts w:cs="Arial"/>
        </w:rPr>
        <w:t>low, low, and moderate income</w:t>
      </w:r>
      <w:proofErr w:type="gramEnd"/>
      <w:r>
        <w:rPr>
          <w:rFonts w:cs="Arial"/>
        </w:rPr>
        <w:t xml:space="preserve"> </w:t>
      </w:r>
      <w:r>
        <w:rPr>
          <w:rFonts w:cs="Arial"/>
        </w:rPr>
        <w:t>populations.</w:t>
      </w:r>
    </w:p>
    <w:p w14:paraId="26883E00" w14:textId="77777777" w:rsidR="00217A61" w:rsidRDefault="001C2695">
      <w:pPr>
        <w:rPr>
          <w:b/>
          <w:sz w:val="24"/>
          <w:szCs w:val="24"/>
        </w:rPr>
      </w:pPr>
      <w:r>
        <w:rPr>
          <w:b/>
          <w:sz w:val="24"/>
          <w:szCs w:val="24"/>
        </w:rPr>
        <w:t>2.</w:t>
      </w:r>
      <w:r>
        <w:rPr>
          <w:b/>
          <w:sz w:val="24"/>
          <w:szCs w:val="24"/>
        </w:rPr>
        <w:tab/>
        <w:t>Summary of the objectives and outcomes identified in the Plan Needs Assessment Overview</w:t>
      </w:r>
    </w:p>
    <w:p w14:paraId="53BF58F2" w14:textId="77777777" w:rsidR="00217A61" w:rsidRDefault="001C2695">
      <w:pPr>
        <w:spacing w:beforeAutospacing="1" w:afterAutospacing="1"/>
        <w:rPr>
          <w:rFonts w:cs="Arial"/>
        </w:rPr>
      </w:pPr>
      <w:r>
        <w:rPr>
          <w:rFonts w:cs="Arial"/>
          <w:b/>
        </w:rPr>
        <w:t> </w:t>
      </w:r>
    </w:p>
    <w:p w14:paraId="6EC418AC" w14:textId="77777777" w:rsidR="00217A61" w:rsidRDefault="001C2695">
      <w:pPr>
        <w:spacing w:beforeAutospacing="1" w:afterAutospacing="1"/>
        <w:rPr>
          <w:rFonts w:cs="Arial"/>
        </w:rPr>
      </w:pPr>
      <w:r>
        <w:rPr>
          <w:rFonts w:cs="Arial"/>
        </w:rPr>
        <w:t> In response, North Carolina will strategically invest its federal and state resources, partner with public and private organizations, and leverage no</w:t>
      </w:r>
      <w:r>
        <w:rPr>
          <w:rFonts w:cs="Arial"/>
        </w:rPr>
        <w:t xml:space="preserve">n-governmental funds to alleviate critical housing, economic, and community development problems for North Carolina’s households. This will be </w:t>
      </w:r>
      <w:proofErr w:type="spellStart"/>
      <w:r>
        <w:rPr>
          <w:rFonts w:cs="Arial"/>
        </w:rPr>
        <w:t>acheived</w:t>
      </w:r>
      <w:proofErr w:type="spellEnd"/>
      <w:r>
        <w:rPr>
          <w:rFonts w:cs="Arial"/>
        </w:rPr>
        <w:t xml:space="preserve"> through the following five goals:</w:t>
      </w:r>
    </w:p>
    <w:p w14:paraId="73F379BD" w14:textId="77777777" w:rsidR="00217A61" w:rsidRDefault="001C2695">
      <w:pPr>
        <w:spacing w:beforeAutospacing="1" w:afterAutospacing="1"/>
        <w:rPr>
          <w:rFonts w:cs="Arial"/>
        </w:rPr>
      </w:pPr>
      <w:r>
        <w:rPr>
          <w:rFonts w:cs="Arial"/>
        </w:rPr>
        <w:t>1. </w:t>
      </w:r>
      <w:r>
        <w:rPr>
          <w:rFonts w:cs="Arial"/>
          <w:b/>
        </w:rPr>
        <w:t>Increase Housing Affordability and Availability</w:t>
      </w:r>
      <w:r>
        <w:rPr>
          <w:rFonts w:cs="Arial"/>
        </w:rPr>
        <w:t xml:space="preserve">: The affordability </w:t>
      </w:r>
      <w:r>
        <w:rPr>
          <w:rFonts w:cs="Arial"/>
        </w:rPr>
        <w:t xml:space="preserve">and availability of decent housing stock remains a </w:t>
      </w:r>
      <w:proofErr w:type="spellStart"/>
      <w:r>
        <w:rPr>
          <w:rFonts w:cs="Arial"/>
        </w:rPr>
        <w:t>dominent</w:t>
      </w:r>
      <w:proofErr w:type="spellEnd"/>
      <w:r>
        <w:rPr>
          <w:rFonts w:cs="Arial"/>
        </w:rPr>
        <w:t xml:space="preserve"> need in North Carolina. Among other </w:t>
      </w:r>
      <w:proofErr w:type="gramStart"/>
      <w:r>
        <w:rPr>
          <w:rFonts w:cs="Arial"/>
        </w:rPr>
        <w:t>needs,   </w:t>
      </w:r>
      <w:proofErr w:type="gramEnd"/>
      <w:r>
        <w:rPr>
          <w:rFonts w:cs="Arial"/>
        </w:rPr>
        <w:t xml:space="preserve">     COVID-19 highlighted the importance of housing stability and the need for quality short-term, transitional, and permanent housing stock. Further, </w:t>
      </w:r>
      <w:r>
        <w:rPr>
          <w:rFonts w:cs="Arial"/>
        </w:rPr>
        <w:t>the Housing Needs Assessment revealed that NC is a growing state, particularly in urban areas and its elderly and Hispanic and Asian populations; housing costs are unaffordable for 380,000 low-income owner households and 505,000 low-income renter household</w:t>
      </w:r>
      <w:r>
        <w:rPr>
          <w:rFonts w:cs="Arial"/>
        </w:rPr>
        <w:t>s; housing overcrowding is substantial; and over 9,300 individuals are homeless in the state.</w:t>
      </w:r>
    </w:p>
    <w:p w14:paraId="5E924038" w14:textId="77777777" w:rsidR="00217A61" w:rsidRDefault="001C2695">
      <w:pPr>
        <w:spacing w:beforeAutospacing="1" w:afterAutospacing="1"/>
        <w:rPr>
          <w:rFonts w:cs="Arial"/>
        </w:rPr>
      </w:pPr>
      <w:r>
        <w:rPr>
          <w:rFonts w:cs="Arial"/>
        </w:rPr>
        <w:t xml:space="preserve">       In response, NC will strive to preserve and develop quality, </w:t>
      </w:r>
      <w:proofErr w:type="spellStart"/>
      <w:r>
        <w:rPr>
          <w:rFonts w:cs="Arial"/>
        </w:rPr>
        <w:t>afordable</w:t>
      </w:r>
      <w:proofErr w:type="spellEnd"/>
      <w:r>
        <w:rPr>
          <w:rFonts w:cs="Arial"/>
        </w:rPr>
        <w:t xml:space="preserve"> housing by increasing affordable rental homes, providing access to homeownership, an</w:t>
      </w:r>
      <w:r>
        <w:rPr>
          <w:rFonts w:cs="Arial"/>
        </w:rPr>
        <w:t>d improving                   owner-occupied housing. </w:t>
      </w:r>
    </w:p>
    <w:p w14:paraId="2BB6883A" w14:textId="77777777" w:rsidR="00217A61" w:rsidRDefault="001C2695">
      <w:pPr>
        <w:spacing w:beforeAutospacing="1" w:afterAutospacing="1"/>
        <w:rPr>
          <w:rFonts w:cs="Arial"/>
        </w:rPr>
      </w:pPr>
      <w:r>
        <w:rPr>
          <w:rFonts w:cs="Arial"/>
        </w:rPr>
        <w:lastRenderedPageBreak/>
        <w:t xml:space="preserve">2. </w:t>
      </w:r>
      <w:r>
        <w:rPr>
          <w:rFonts w:cs="Arial"/>
          <w:b/>
        </w:rPr>
        <w:t>Provide Suitable Living Environment</w:t>
      </w:r>
      <w:r>
        <w:rPr>
          <w:rFonts w:cs="Arial"/>
        </w:rPr>
        <w:t>: While quality housing is essential, a suitable living environment is also.  NC will support the provision of a suitable living environment        by funding infr</w:t>
      </w:r>
      <w:r>
        <w:rPr>
          <w:rFonts w:cs="Arial"/>
        </w:rPr>
        <w:t xml:space="preserve">astructure </w:t>
      </w:r>
      <w:proofErr w:type="spellStart"/>
      <w:r>
        <w:rPr>
          <w:rFonts w:cs="Arial"/>
        </w:rPr>
        <w:t>especialy</w:t>
      </w:r>
      <w:proofErr w:type="spellEnd"/>
      <w:r>
        <w:rPr>
          <w:rFonts w:cs="Arial"/>
        </w:rPr>
        <w:t xml:space="preserve"> water and sewer improvements to address deteriorated systems; providing public services such as short-term housing, emergency payments      for rent, mortgage, and utilities, and food distribution; and preserving and creating public fa</w:t>
      </w:r>
      <w:r>
        <w:rPr>
          <w:rFonts w:cs="Arial"/>
        </w:rPr>
        <w:t xml:space="preserve">cilities such as community centers, parks, transitional housing, supportive </w:t>
      </w:r>
      <w:proofErr w:type="gramStart"/>
      <w:r>
        <w:rPr>
          <w:rFonts w:cs="Arial"/>
        </w:rPr>
        <w:t>housing,   </w:t>
      </w:r>
      <w:proofErr w:type="gramEnd"/>
      <w:r>
        <w:rPr>
          <w:rFonts w:cs="Arial"/>
        </w:rPr>
        <w:t xml:space="preserve">     and emergency shelters. </w:t>
      </w:r>
    </w:p>
    <w:p w14:paraId="1494D16B" w14:textId="77777777" w:rsidR="00217A61" w:rsidRDefault="001C2695">
      <w:pPr>
        <w:spacing w:beforeAutospacing="1" w:afterAutospacing="1"/>
        <w:rPr>
          <w:rFonts w:cs="Arial"/>
        </w:rPr>
      </w:pPr>
      <w:r>
        <w:rPr>
          <w:rFonts w:cs="Arial"/>
        </w:rPr>
        <w:t xml:space="preserve">3. </w:t>
      </w:r>
      <w:r>
        <w:rPr>
          <w:rFonts w:cs="Arial"/>
          <w:b/>
        </w:rPr>
        <w:t>Expand Economic Opportunity</w:t>
      </w:r>
      <w:r>
        <w:rPr>
          <w:rFonts w:cs="Arial"/>
        </w:rPr>
        <w:t>: NC will use its resources to spur economic development by creating and retaining jobs.</w:t>
      </w:r>
    </w:p>
    <w:p w14:paraId="2C32C020" w14:textId="77777777" w:rsidR="00217A61" w:rsidRDefault="001C2695">
      <w:pPr>
        <w:spacing w:beforeAutospacing="1" w:afterAutospacing="1"/>
        <w:rPr>
          <w:rFonts w:cs="Arial"/>
        </w:rPr>
      </w:pPr>
      <w:r>
        <w:rPr>
          <w:rFonts w:cs="Arial"/>
        </w:rPr>
        <w:t xml:space="preserve">4. </w:t>
      </w:r>
      <w:r>
        <w:rPr>
          <w:rFonts w:cs="Arial"/>
          <w:b/>
        </w:rPr>
        <w:t>Stimulate Housing</w:t>
      </w:r>
      <w:r>
        <w:rPr>
          <w:rFonts w:cs="Arial"/>
          <w:b/>
        </w:rPr>
        <w:t xml:space="preserve"> and Economic Inclusiveness</w:t>
      </w:r>
      <w:r>
        <w:rPr>
          <w:rFonts w:cs="Arial"/>
        </w:rPr>
        <w:t>: NC completed its Analysis of Impediments to Fair Housing (AI) as a part of the Consolidated Planning process. NC will move forward with the AI strategies to address barriers to fair housing. Additionally, NC will develop and im</w:t>
      </w:r>
      <w:r>
        <w:rPr>
          <w:rFonts w:cs="Arial"/>
        </w:rPr>
        <w:t>plement Fair Housing and Section 3 plans which encourages grantees to include fair housing and Section 3 plans as a funding requirement primarily for CDBG projects.</w:t>
      </w:r>
    </w:p>
    <w:p w14:paraId="320165B1" w14:textId="77777777" w:rsidR="00217A61" w:rsidRDefault="001C2695">
      <w:pPr>
        <w:spacing w:beforeAutospacing="1" w:afterAutospacing="1"/>
        <w:rPr>
          <w:rFonts w:cs="Arial"/>
        </w:rPr>
      </w:pPr>
      <w:r>
        <w:rPr>
          <w:rFonts w:cs="Arial"/>
        </w:rPr>
        <w:t xml:space="preserve">5. </w:t>
      </w:r>
      <w:r>
        <w:rPr>
          <w:rFonts w:cs="Arial"/>
          <w:b/>
        </w:rPr>
        <w:t>Respond to COVID-19 Pandemic Needs</w:t>
      </w:r>
      <w:r>
        <w:rPr>
          <w:rFonts w:cs="Arial"/>
        </w:rPr>
        <w:t>:  NC has received CARES Act funding to respond to, pr</w:t>
      </w:r>
      <w:r>
        <w:rPr>
          <w:rFonts w:cs="Arial"/>
        </w:rPr>
        <w:t>epare for, and prevent COVID-19. NC agencies will use the CARES Act, future federal funds, and existing federal programs to respond to the evolving needs linked to the public health emergency. </w:t>
      </w:r>
    </w:p>
    <w:p w14:paraId="7AA6F783" w14:textId="77777777" w:rsidR="00217A61" w:rsidRDefault="001C2695">
      <w:pPr>
        <w:rPr>
          <w:b/>
          <w:sz w:val="24"/>
          <w:szCs w:val="24"/>
        </w:rPr>
      </w:pPr>
      <w:r>
        <w:rPr>
          <w:b/>
          <w:sz w:val="24"/>
          <w:szCs w:val="24"/>
        </w:rPr>
        <w:t>3.</w:t>
      </w:r>
      <w:r>
        <w:rPr>
          <w:b/>
          <w:sz w:val="24"/>
          <w:szCs w:val="24"/>
        </w:rPr>
        <w:tab/>
        <w:t>Evaluation of past performance</w:t>
      </w:r>
    </w:p>
    <w:p w14:paraId="72724FFA" w14:textId="77777777" w:rsidR="00217A61" w:rsidRDefault="001C2695">
      <w:pPr>
        <w:spacing w:beforeAutospacing="1" w:afterAutospacing="1"/>
        <w:rPr>
          <w:rFonts w:cs="Arial"/>
        </w:rPr>
      </w:pPr>
      <w:r>
        <w:rPr>
          <w:rFonts w:cs="Arial"/>
        </w:rPr>
        <w:t>Through its five core progra</w:t>
      </w:r>
      <w:r>
        <w:rPr>
          <w:rFonts w:cs="Arial"/>
        </w:rPr>
        <w:t xml:space="preserve">ms, the state demonstrated continued success to assist low-to-moderate income persons and households.  The NC Department of Commerce provided direct housing assistance to households. </w:t>
      </w:r>
      <w:proofErr w:type="gramStart"/>
      <w:r>
        <w:rPr>
          <w:rFonts w:cs="Arial"/>
        </w:rPr>
        <w:t>Taking into account</w:t>
      </w:r>
      <w:proofErr w:type="gramEnd"/>
      <w:r>
        <w:rPr>
          <w:rFonts w:cs="Arial"/>
        </w:rPr>
        <w:t xml:space="preserve"> all of NC Commerce’s programs, including infrastructu</w:t>
      </w:r>
      <w:r>
        <w:rPr>
          <w:rFonts w:cs="Arial"/>
        </w:rPr>
        <w:t>re, urgent needs, and other community development activities, households were provided assistance ranging from clean drinking water, improved public services, and financial literacy training to help lift them out of poverty, to employment possibilities tha</w:t>
      </w:r>
      <w:r>
        <w:rPr>
          <w:rFonts w:cs="Arial"/>
        </w:rPr>
        <w:t>t were non-existent prior to the business moving to where they lived, and access to medical and dental care that was previously unobtainable. HOME funding continued to provide housing opportunities through down payment assistance, housing rehabilitation, a</w:t>
      </w:r>
      <w:r>
        <w:rPr>
          <w:rFonts w:cs="Arial"/>
        </w:rPr>
        <w:t xml:space="preserve">nd other housing programs to enrich and improve the quality of life of low to moderate income persons across the state. ESG and HOPWA continued to address the needs of the most critically distressed citizens of North Carolina by providing shelter to the </w:t>
      </w:r>
      <w:proofErr w:type="gramStart"/>
      <w:r>
        <w:rPr>
          <w:rFonts w:cs="Arial"/>
        </w:rPr>
        <w:t>st</w:t>
      </w:r>
      <w:r>
        <w:rPr>
          <w:rFonts w:cs="Arial"/>
        </w:rPr>
        <w:t>ate’s  homeless</w:t>
      </w:r>
      <w:proofErr w:type="gramEnd"/>
      <w:r>
        <w:rPr>
          <w:rFonts w:cs="Arial"/>
        </w:rPr>
        <w:t xml:space="preserve"> population and individuals with special needs including those with HIV/AIDS and other related needs. The programs designed by each agency to address needs ranging from the most critical to moderate had a major impact on the citizens of this</w:t>
      </w:r>
      <w:r>
        <w:rPr>
          <w:rFonts w:cs="Arial"/>
        </w:rPr>
        <w:t xml:space="preserve"> state as has been outlined each year in the Consolidated Annual Performance Evaluation Report.</w:t>
      </w:r>
    </w:p>
    <w:p w14:paraId="26731F89" w14:textId="77777777" w:rsidR="00217A61" w:rsidRDefault="00217A61">
      <w:pPr>
        <w:spacing w:beforeAutospacing="1" w:afterAutospacing="1"/>
        <w:rPr>
          <w:rFonts w:cs="Arial"/>
        </w:rPr>
      </w:pPr>
    </w:p>
    <w:p w14:paraId="298D8C09" w14:textId="77777777" w:rsidR="00217A61" w:rsidRDefault="001C2695">
      <w:pPr>
        <w:spacing w:beforeAutospacing="1" w:afterAutospacing="1"/>
        <w:rPr>
          <w:rFonts w:cs="Arial"/>
        </w:rPr>
      </w:pPr>
      <w:r>
        <w:rPr>
          <w:rFonts w:cs="Arial"/>
          <w:b/>
        </w:rPr>
        <w:t>NOTE:  Insert comment about COVID-19 funding and Disaster Relief. </w:t>
      </w:r>
    </w:p>
    <w:p w14:paraId="3641F0C3" w14:textId="77777777" w:rsidR="00217A61" w:rsidRDefault="001C2695">
      <w:pPr>
        <w:rPr>
          <w:b/>
          <w:sz w:val="24"/>
          <w:szCs w:val="24"/>
        </w:rPr>
      </w:pPr>
      <w:r>
        <w:rPr>
          <w:b/>
          <w:sz w:val="24"/>
          <w:szCs w:val="24"/>
        </w:rPr>
        <w:t>4.</w:t>
      </w:r>
      <w:r>
        <w:rPr>
          <w:b/>
          <w:sz w:val="24"/>
          <w:szCs w:val="24"/>
        </w:rPr>
        <w:tab/>
        <w:t>Summary of citizen participation process and consultation process</w:t>
      </w:r>
    </w:p>
    <w:p w14:paraId="1ABE4B39" w14:textId="77777777" w:rsidR="00217A61" w:rsidRDefault="001C2695">
      <w:pPr>
        <w:spacing w:beforeAutospacing="1" w:afterAutospacing="1"/>
        <w:rPr>
          <w:rFonts w:cs="Arial"/>
        </w:rPr>
      </w:pPr>
      <w:r>
        <w:rPr>
          <w:rFonts w:cs="Arial"/>
        </w:rPr>
        <w:lastRenderedPageBreak/>
        <w:t xml:space="preserve">As </w:t>
      </w:r>
      <w:proofErr w:type="gramStart"/>
      <w:r>
        <w:rPr>
          <w:rFonts w:cs="Arial"/>
        </w:rPr>
        <w:t>required,  the</w:t>
      </w:r>
      <w:proofErr w:type="gramEnd"/>
      <w:r>
        <w:rPr>
          <w:rFonts w:cs="Arial"/>
        </w:rPr>
        <w:t xml:space="preserve"> NC Co</w:t>
      </w:r>
      <w:r>
        <w:rPr>
          <w:rFonts w:cs="Arial"/>
        </w:rPr>
        <w:t xml:space="preserve">nsolidated Plan Partners  consistently involve the public through the public participation process as outlined in the approved Citizen Participation Plan. Comments received </w:t>
      </w:r>
      <w:proofErr w:type="gramStart"/>
      <w:r>
        <w:rPr>
          <w:rFonts w:cs="Arial"/>
        </w:rPr>
        <w:t>as a result of</w:t>
      </w:r>
      <w:proofErr w:type="gramEnd"/>
      <w:r>
        <w:rPr>
          <w:rFonts w:cs="Arial"/>
        </w:rPr>
        <w:t xml:space="preserve"> the Consolidated Plan and the Analysis to Impediments to Fair Housin</w:t>
      </w:r>
      <w:r>
        <w:rPr>
          <w:rFonts w:cs="Arial"/>
        </w:rPr>
        <w:t>g Choice will be maintained as required with N.C Public Records Law as outlined in North Carolina General Statutes. When comments are made about specific agency programs, that agency provides a written response.</w:t>
      </w:r>
    </w:p>
    <w:p w14:paraId="11589025" w14:textId="77777777" w:rsidR="00217A61" w:rsidRDefault="001C2695">
      <w:pPr>
        <w:spacing w:beforeAutospacing="1" w:afterAutospacing="1"/>
        <w:rPr>
          <w:rFonts w:cs="Arial"/>
        </w:rPr>
      </w:pPr>
      <w:r>
        <w:rPr>
          <w:rFonts w:cs="Arial"/>
        </w:rPr>
        <w:t xml:space="preserve">NOTE:  Insert Public Engagement Efforts for </w:t>
      </w:r>
      <w:r>
        <w:rPr>
          <w:rFonts w:cs="Arial"/>
        </w:rPr>
        <w:t xml:space="preserve">AI.  As a continued effort to gain public input on the development of the Analysis to Impediments to Fair Housing Choice, a statewide survey was conducted using Survey </w:t>
      </w:r>
      <w:proofErr w:type="gramStart"/>
      <w:r>
        <w:rPr>
          <w:rFonts w:cs="Arial"/>
        </w:rPr>
        <w:t>Monkey  between</w:t>
      </w:r>
      <w:proofErr w:type="gramEnd"/>
      <w:r>
        <w:rPr>
          <w:rFonts w:cs="Arial"/>
        </w:rPr>
        <w:t xml:space="preserve"> </w:t>
      </w:r>
      <w:proofErr w:type="spellStart"/>
      <w:r>
        <w:rPr>
          <w:rFonts w:cs="Arial"/>
        </w:rPr>
        <w:t>xxxx</w:t>
      </w:r>
      <w:proofErr w:type="spellEnd"/>
      <w:r>
        <w:rPr>
          <w:rFonts w:cs="Arial"/>
        </w:rPr>
        <w:t xml:space="preserve"> and August, 2020. A total of xxx responses were received. All infor</w:t>
      </w:r>
      <w:r>
        <w:rPr>
          <w:rFonts w:cs="Arial"/>
        </w:rPr>
        <w:t>mation pertaining to public notice for the Analysis to Impediments to Fair Housing Choice was distributed in both English and Spanish languages to ensure access to persons with limited English proficiency. No additional requests were made for information t</w:t>
      </w:r>
      <w:r>
        <w:rPr>
          <w:rFonts w:cs="Arial"/>
        </w:rPr>
        <w:t>o be provided in other languages.</w:t>
      </w:r>
    </w:p>
    <w:p w14:paraId="0D9E8508" w14:textId="77777777" w:rsidR="00217A61" w:rsidRDefault="001C2695">
      <w:pPr>
        <w:rPr>
          <w:b/>
          <w:sz w:val="24"/>
          <w:szCs w:val="24"/>
        </w:rPr>
      </w:pPr>
      <w:r>
        <w:rPr>
          <w:b/>
          <w:sz w:val="24"/>
          <w:szCs w:val="24"/>
        </w:rPr>
        <w:t>5.</w:t>
      </w:r>
      <w:r>
        <w:rPr>
          <w:b/>
          <w:sz w:val="24"/>
          <w:szCs w:val="24"/>
        </w:rPr>
        <w:tab/>
        <w:t>Summary of public comments</w:t>
      </w:r>
    </w:p>
    <w:p w14:paraId="1562301E" w14:textId="77777777" w:rsidR="00217A61" w:rsidRDefault="001C2695">
      <w:pPr>
        <w:spacing w:beforeAutospacing="1" w:afterAutospacing="1"/>
        <w:rPr>
          <w:rFonts w:cs="Arial"/>
        </w:rPr>
      </w:pPr>
      <w:r>
        <w:rPr>
          <w:rFonts w:cs="Arial"/>
        </w:rPr>
        <w:t xml:space="preserve">A virtual public hearing was held on </w:t>
      </w:r>
      <w:proofErr w:type="gramStart"/>
      <w:r>
        <w:rPr>
          <w:rFonts w:cs="Arial"/>
        </w:rPr>
        <w:t>April xx,</w:t>
      </w:r>
      <w:proofErr w:type="gramEnd"/>
      <w:r>
        <w:rPr>
          <w:rFonts w:cs="Arial"/>
        </w:rPr>
        <w:t xml:space="preserve"> 2021 for the NC Analysis of Impediments to Fair Housing and the NC 2021-2025 Consolidated Plan.  Both documents were also posted on the NC Commer</w:t>
      </w:r>
      <w:r>
        <w:rPr>
          <w:rFonts w:cs="Arial"/>
        </w:rPr>
        <w:t>ce, NC Housing Finance Agency, and NC Department of Health and Human Services websites beginning March 26, 2021 and closing on April 26, 2021 for public review and comment.  The State received xxx comments.  </w:t>
      </w:r>
    </w:p>
    <w:p w14:paraId="72DCA8D1" w14:textId="77777777" w:rsidR="00217A61" w:rsidRDefault="001C2695">
      <w:pPr>
        <w:rPr>
          <w:b/>
          <w:sz w:val="24"/>
          <w:szCs w:val="24"/>
        </w:rPr>
      </w:pPr>
      <w:r>
        <w:rPr>
          <w:b/>
          <w:sz w:val="24"/>
          <w:szCs w:val="24"/>
        </w:rPr>
        <w:t>6.</w:t>
      </w:r>
      <w:r>
        <w:rPr>
          <w:b/>
          <w:sz w:val="24"/>
          <w:szCs w:val="24"/>
        </w:rPr>
        <w:tab/>
        <w:t>Summary of comments or views not accepted an</w:t>
      </w:r>
      <w:r>
        <w:rPr>
          <w:b/>
          <w:sz w:val="24"/>
          <w:szCs w:val="24"/>
        </w:rPr>
        <w:t>d the reasons for not accepting them</w:t>
      </w:r>
    </w:p>
    <w:p w14:paraId="1645436D" w14:textId="77777777" w:rsidR="00217A61" w:rsidRDefault="001C2695">
      <w:pPr>
        <w:spacing w:beforeAutospacing="1" w:afterAutospacing="1"/>
        <w:rPr>
          <w:rFonts w:cs="Arial"/>
        </w:rPr>
      </w:pPr>
      <w:r>
        <w:rPr>
          <w:rFonts w:cs="Arial"/>
        </w:rPr>
        <w:t>This section will be provided in the final draft following the end of the public comment period.</w:t>
      </w:r>
    </w:p>
    <w:p w14:paraId="7A387CD8" w14:textId="77777777" w:rsidR="00217A61" w:rsidRDefault="001C2695">
      <w:pPr>
        <w:rPr>
          <w:b/>
          <w:sz w:val="24"/>
          <w:szCs w:val="24"/>
        </w:rPr>
      </w:pPr>
      <w:r>
        <w:rPr>
          <w:b/>
          <w:sz w:val="24"/>
          <w:szCs w:val="24"/>
        </w:rPr>
        <w:t>7.</w:t>
      </w:r>
      <w:r>
        <w:rPr>
          <w:b/>
          <w:sz w:val="24"/>
          <w:szCs w:val="24"/>
        </w:rPr>
        <w:tab/>
        <w:t>Summary</w:t>
      </w:r>
    </w:p>
    <w:p w14:paraId="641A58E9" w14:textId="77777777" w:rsidR="00217A61" w:rsidRDefault="001C2695">
      <w:pPr>
        <w:spacing w:beforeAutospacing="1" w:afterAutospacing="1"/>
        <w:rPr>
          <w:rFonts w:cs="Arial"/>
        </w:rPr>
      </w:pPr>
      <w:r>
        <w:rPr>
          <w:rFonts w:cs="Arial"/>
        </w:rPr>
        <w:t>In sum, between 2021 and 2025, the state of North Carolina will use the information acquired from the updated A</w:t>
      </w:r>
      <w:r>
        <w:rPr>
          <w:rFonts w:cs="Arial"/>
        </w:rPr>
        <w:t>nalysis of Impediments, Housing Needs Assessment, Market Analysis to address the critical housing, community, and economic needs for low-to-moderate income persons and households.  This will be accomplished through five key goals</w:t>
      </w:r>
      <w:proofErr w:type="gramStart"/>
      <w:r>
        <w:rPr>
          <w:rFonts w:cs="Arial"/>
        </w:rPr>
        <w:t>:  (</w:t>
      </w:r>
      <w:proofErr w:type="gramEnd"/>
      <w:r>
        <w:rPr>
          <w:rFonts w:cs="Arial"/>
        </w:rPr>
        <w:t>1) increase housing aff</w:t>
      </w:r>
      <w:r>
        <w:rPr>
          <w:rFonts w:cs="Arial"/>
        </w:rPr>
        <w:t xml:space="preserve">ordability and availability; (2) provide a suitable living environment through the provision of public services and public facilities; (3) Expand economic opportunities; (4) stimulate housing and economic inclusiveness; and (5) respond to needs pertaining </w:t>
      </w:r>
      <w:r>
        <w:rPr>
          <w:rFonts w:cs="Arial"/>
        </w:rPr>
        <w:t>to the COVID-19 pandemic.</w:t>
      </w:r>
    </w:p>
    <w:p w14:paraId="61D1D8F4" w14:textId="77777777" w:rsidR="00217A61" w:rsidRDefault="00217A61">
      <w:pPr>
        <w:rPr>
          <w:rFonts w:cs="Arial"/>
        </w:rPr>
      </w:pPr>
    </w:p>
    <w:p w14:paraId="4A7D0193" w14:textId="77777777" w:rsidR="00217A61" w:rsidRDefault="001C2695">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14:paraId="38B244B0" w14:textId="77777777" w:rsidR="00217A61" w:rsidRDefault="001C2695">
      <w:pPr>
        <w:pStyle w:val="Heading2"/>
        <w:rPr>
          <w:rFonts w:ascii="Calibri" w:hAnsi="Calibri"/>
          <w:i w:val="0"/>
        </w:rPr>
      </w:pPr>
      <w:r>
        <w:rPr>
          <w:rFonts w:ascii="Calibri" w:hAnsi="Calibri"/>
          <w:i w:val="0"/>
        </w:rPr>
        <w:t>PR-05 Lead &amp; Responsible Agencies 24 CFR 91.300(b)</w:t>
      </w:r>
    </w:p>
    <w:p w14:paraId="2A01D713" w14:textId="77777777" w:rsidR="00217A61" w:rsidRDefault="001C2695">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14:paraId="23A4C427" w14:textId="77777777" w:rsidR="00217A61" w:rsidRDefault="001C2695">
      <w:pPr>
        <w:keepNext/>
        <w:rPr>
          <w:sz w:val="24"/>
          <w:szCs w:val="24"/>
        </w:rPr>
      </w:pPr>
      <w:r>
        <w:rPr>
          <w:sz w:val="24"/>
          <w:szCs w:val="24"/>
        </w:rPr>
        <w:t xml:space="preserve">The </w:t>
      </w:r>
      <w:r>
        <w:rPr>
          <w:sz w:val="24"/>
          <w:szCs w:val="24"/>
        </w:rPr>
        <w:t>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098"/>
        <w:gridCol w:w="3149"/>
      </w:tblGrid>
      <w:tr w:rsidR="00217A61" w14:paraId="1EFC2097" w14:textId="77777777">
        <w:trPr>
          <w:cantSplit/>
          <w:tblHeader/>
        </w:trPr>
        <w:tc>
          <w:tcPr>
            <w:tcW w:w="3192" w:type="dxa"/>
          </w:tcPr>
          <w:p w14:paraId="0305D441" w14:textId="77777777" w:rsidR="00217A61" w:rsidRDefault="001C2695">
            <w:pPr>
              <w:keepNext/>
              <w:widowControl w:val="0"/>
              <w:spacing w:after="0" w:line="240" w:lineRule="auto"/>
              <w:jc w:val="center"/>
              <w:rPr>
                <w:b/>
                <w:bCs/>
              </w:rPr>
            </w:pPr>
            <w:r>
              <w:rPr>
                <w:b/>
                <w:bCs/>
              </w:rPr>
              <w:t>Agency Role</w:t>
            </w:r>
          </w:p>
        </w:tc>
        <w:tc>
          <w:tcPr>
            <w:tcW w:w="3192" w:type="dxa"/>
          </w:tcPr>
          <w:p w14:paraId="11AC6B0D" w14:textId="77777777" w:rsidR="00217A61" w:rsidRDefault="001C2695">
            <w:pPr>
              <w:keepNext/>
              <w:widowControl w:val="0"/>
              <w:spacing w:after="0" w:line="240" w:lineRule="auto"/>
              <w:jc w:val="center"/>
              <w:rPr>
                <w:b/>
                <w:bCs/>
              </w:rPr>
            </w:pPr>
            <w:r>
              <w:rPr>
                <w:b/>
                <w:bCs/>
              </w:rPr>
              <w:t>Name</w:t>
            </w:r>
          </w:p>
        </w:tc>
        <w:tc>
          <w:tcPr>
            <w:tcW w:w="3192" w:type="dxa"/>
          </w:tcPr>
          <w:p w14:paraId="1E93965D" w14:textId="77777777" w:rsidR="00217A61" w:rsidRDefault="001C2695">
            <w:pPr>
              <w:keepNext/>
              <w:widowControl w:val="0"/>
              <w:spacing w:after="0" w:line="240" w:lineRule="auto"/>
              <w:jc w:val="center"/>
              <w:rPr>
                <w:b/>
                <w:bCs/>
              </w:rPr>
            </w:pPr>
            <w:r>
              <w:rPr>
                <w:b/>
                <w:bCs/>
              </w:rPr>
              <w:t>Department/Agency</w:t>
            </w:r>
          </w:p>
        </w:tc>
      </w:tr>
      <w:tr w:rsidR="00217A61" w14:paraId="33C5D914" w14:textId="77777777">
        <w:trPr>
          <w:cantSplit/>
          <w:tblHeader/>
        </w:trPr>
        <w:tc>
          <w:tcPr>
            <w:tcW w:w="3192" w:type="dxa"/>
          </w:tcPr>
          <w:p w14:paraId="497AFA2D" w14:textId="77777777" w:rsidR="00217A61" w:rsidRDefault="00217A61">
            <w:pPr>
              <w:keepNext/>
              <w:widowControl w:val="0"/>
              <w:spacing w:after="0" w:line="240" w:lineRule="auto"/>
              <w:rPr>
                <w:bCs/>
              </w:rPr>
            </w:pPr>
          </w:p>
        </w:tc>
        <w:tc>
          <w:tcPr>
            <w:tcW w:w="3192" w:type="dxa"/>
          </w:tcPr>
          <w:p w14:paraId="0DDC6877" w14:textId="77777777" w:rsidR="00217A61" w:rsidRDefault="00217A61">
            <w:pPr>
              <w:keepNext/>
              <w:widowControl w:val="0"/>
              <w:spacing w:after="0" w:line="240" w:lineRule="auto"/>
              <w:rPr>
                <w:bCs/>
              </w:rPr>
            </w:pPr>
          </w:p>
        </w:tc>
        <w:tc>
          <w:tcPr>
            <w:tcW w:w="3192" w:type="dxa"/>
          </w:tcPr>
          <w:p w14:paraId="5BA06815" w14:textId="77777777" w:rsidR="00217A61" w:rsidRDefault="00217A61">
            <w:pPr>
              <w:keepNext/>
              <w:widowControl w:val="0"/>
              <w:spacing w:after="0" w:line="240" w:lineRule="auto"/>
              <w:rPr>
                <w:bCs/>
              </w:rPr>
            </w:pPr>
          </w:p>
        </w:tc>
      </w:tr>
    </w:tbl>
    <w:p w14:paraId="482599E0" w14:textId="77777777" w:rsidR="00217A61" w:rsidRDefault="00217A61">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750"/>
        <w:gridCol w:w="3750"/>
      </w:tblGrid>
      <w:tr w:rsidR="00217A61" w14:paraId="0B612A44" w14:textId="77777777">
        <w:trPr>
          <w:cantSplit/>
          <w:tblHeader/>
          <w:hidden/>
        </w:trPr>
        <w:tc>
          <w:tcPr>
            <w:tcW w:w="3192" w:type="dxa"/>
          </w:tcPr>
          <w:p w14:paraId="658CF665" w14:textId="77777777" w:rsidR="00217A61" w:rsidRDefault="00217A61">
            <w:pPr>
              <w:keepNext/>
              <w:widowControl w:val="0"/>
              <w:spacing w:after="0" w:line="240" w:lineRule="auto"/>
              <w:jc w:val="center"/>
              <w:rPr>
                <w:b/>
                <w:bCs/>
                <w:vanish/>
              </w:rPr>
            </w:pPr>
          </w:p>
        </w:tc>
        <w:tc>
          <w:tcPr>
            <w:tcW w:w="3192" w:type="dxa"/>
          </w:tcPr>
          <w:p w14:paraId="6BD58097" w14:textId="77777777" w:rsidR="00217A61" w:rsidRDefault="00217A61">
            <w:pPr>
              <w:keepNext/>
              <w:widowControl w:val="0"/>
              <w:spacing w:after="0" w:line="240" w:lineRule="auto"/>
              <w:jc w:val="center"/>
              <w:rPr>
                <w:b/>
                <w:bCs/>
                <w:vanish/>
              </w:rPr>
            </w:pPr>
          </w:p>
        </w:tc>
        <w:tc>
          <w:tcPr>
            <w:tcW w:w="3192" w:type="dxa"/>
          </w:tcPr>
          <w:p w14:paraId="78B32361" w14:textId="77777777" w:rsidR="00217A61" w:rsidRDefault="00217A61">
            <w:pPr>
              <w:keepNext/>
              <w:widowControl w:val="0"/>
              <w:spacing w:after="0" w:line="240" w:lineRule="auto"/>
              <w:jc w:val="center"/>
              <w:rPr>
                <w:b/>
                <w:bCs/>
                <w:vanish/>
              </w:rPr>
            </w:pPr>
          </w:p>
        </w:tc>
      </w:tr>
      <w:tr w:rsidR="00217A61" w14:paraId="439AACEF" w14:textId="77777777">
        <w:trPr>
          <w:cantSplit/>
        </w:trPr>
        <w:tc>
          <w:tcPr>
            <w:tcW w:w="0" w:type="auto"/>
          </w:tcPr>
          <w:p w14:paraId="299F2714" w14:textId="77777777" w:rsidR="00217A61" w:rsidRDefault="001C2695">
            <w:pPr>
              <w:spacing w:beforeAutospacing="1" w:afterAutospacing="1"/>
            </w:pPr>
            <w:r>
              <w:rPr>
                <w:color w:val="000000"/>
              </w:rPr>
              <w:t>CDBG Administrator</w:t>
            </w:r>
          </w:p>
        </w:tc>
        <w:tc>
          <w:tcPr>
            <w:tcW w:w="0" w:type="auto"/>
          </w:tcPr>
          <w:p w14:paraId="59AB02D4" w14:textId="77777777" w:rsidR="00217A61" w:rsidRDefault="001C2695">
            <w:pPr>
              <w:spacing w:beforeAutospacing="1" w:afterAutospacing="1"/>
            </w:pPr>
            <w:r>
              <w:rPr>
                <w:color w:val="000000"/>
              </w:rPr>
              <w:t>North Carolina</w:t>
            </w:r>
          </w:p>
        </w:tc>
        <w:tc>
          <w:tcPr>
            <w:tcW w:w="0" w:type="auto"/>
          </w:tcPr>
          <w:p w14:paraId="109873AF" w14:textId="77777777" w:rsidR="00217A61" w:rsidRDefault="001C2695">
            <w:pPr>
              <w:spacing w:beforeAutospacing="1" w:afterAutospacing="1"/>
            </w:pPr>
            <w:r>
              <w:rPr>
                <w:color w:val="000000"/>
              </w:rPr>
              <w:t>NC Department of Commerce</w:t>
            </w:r>
          </w:p>
        </w:tc>
      </w:tr>
      <w:tr w:rsidR="00217A61" w14:paraId="5A829C41" w14:textId="77777777">
        <w:trPr>
          <w:cantSplit/>
        </w:trPr>
        <w:tc>
          <w:tcPr>
            <w:tcW w:w="0" w:type="auto"/>
          </w:tcPr>
          <w:p w14:paraId="1FE914AF" w14:textId="77777777" w:rsidR="00217A61" w:rsidRDefault="001C2695">
            <w:pPr>
              <w:spacing w:beforeAutospacing="1" w:afterAutospacing="1"/>
            </w:pPr>
            <w:r>
              <w:rPr>
                <w:color w:val="000000"/>
              </w:rPr>
              <w:t>HOPWA Administrator</w:t>
            </w:r>
          </w:p>
        </w:tc>
        <w:tc>
          <w:tcPr>
            <w:tcW w:w="0" w:type="auto"/>
          </w:tcPr>
          <w:p w14:paraId="4BCB3878" w14:textId="77777777" w:rsidR="00217A61" w:rsidRDefault="001C2695">
            <w:pPr>
              <w:spacing w:beforeAutospacing="1" w:afterAutospacing="1"/>
            </w:pPr>
            <w:r>
              <w:rPr>
                <w:color w:val="000000"/>
              </w:rPr>
              <w:t xml:space="preserve"> </w:t>
            </w:r>
          </w:p>
        </w:tc>
        <w:tc>
          <w:tcPr>
            <w:tcW w:w="0" w:type="auto"/>
          </w:tcPr>
          <w:p w14:paraId="4E422497" w14:textId="77777777" w:rsidR="00217A61" w:rsidRDefault="001C2695">
            <w:pPr>
              <w:spacing w:beforeAutospacing="1" w:afterAutospacing="1"/>
            </w:pPr>
            <w:r>
              <w:rPr>
                <w:color w:val="000000"/>
              </w:rPr>
              <w:t>NC Department of Health and Human Services</w:t>
            </w:r>
          </w:p>
        </w:tc>
      </w:tr>
      <w:tr w:rsidR="00217A61" w14:paraId="1B4CB1CF" w14:textId="77777777">
        <w:trPr>
          <w:cantSplit/>
        </w:trPr>
        <w:tc>
          <w:tcPr>
            <w:tcW w:w="0" w:type="auto"/>
          </w:tcPr>
          <w:p w14:paraId="5FB15CED" w14:textId="77777777" w:rsidR="00217A61" w:rsidRDefault="001C2695">
            <w:pPr>
              <w:spacing w:beforeAutospacing="1" w:afterAutospacing="1"/>
            </w:pPr>
            <w:r>
              <w:rPr>
                <w:color w:val="000000"/>
              </w:rPr>
              <w:t>HOME Administrator</w:t>
            </w:r>
          </w:p>
        </w:tc>
        <w:tc>
          <w:tcPr>
            <w:tcW w:w="0" w:type="auto"/>
          </w:tcPr>
          <w:p w14:paraId="3246DED8" w14:textId="77777777" w:rsidR="00217A61" w:rsidRDefault="001C2695">
            <w:pPr>
              <w:spacing w:beforeAutospacing="1" w:afterAutospacing="1"/>
            </w:pPr>
            <w:r>
              <w:rPr>
                <w:color w:val="000000"/>
              </w:rPr>
              <w:t>North Carolina</w:t>
            </w:r>
          </w:p>
        </w:tc>
        <w:tc>
          <w:tcPr>
            <w:tcW w:w="0" w:type="auto"/>
          </w:tcPr>
          <w:p w14:paraId="63DFC9C7" w14:textId="77777777" w:rsidR="00217A61" w:rsidRDefault="001C2695">
            <w:pPr>
              <w:spacing w:beforeAutospacing="1" w:afterAutospacing="1"/>
            </w:pPr>
            <w:r>
              <w:rPr>
                <w:color w:val="000000"/>
              </w:rPr>
              <w:t>NC Housing Finance Agency</w:t>
            </w:r>
          </w:p>
        </w:tc>
      </w:tr>
      <w:tr w:rsidR="00217A61" w14:paraId="661D2BC6" w14:textId="77777777">
        <w:trPr>
          <w:cantSplit/>
        </w:trPr>
        <w:tc>
          <w:tcPr>
            <w:tcW w:w="0" w:type="auto"/>
          </w:tcPr>
          <w:p w14:paraId="684E15DB" w14:textId="77777777" w:rsidR="00217A61" w:rsidRDefault="001C2695">
            <w:pPr>
              <w:spacing w:beforeAutospacing="1" w:afterAutospacing="1"/>
            </w:pPr>
            <w:r>
              <w:rPr>
                <w:color w:val="000000"/>
              </w:rPr>
              <w:t>ESG Administrator</w:t>
            </w:r>
          </w:p>
        </w:tc>
        <w:tc>
          <w:tcPr>
            <w:tcW w:w="0" w:type="auto"/>
          </w:tcPr>
          <w:p w14:paraId="16A97397" w14:textId="77777777" w:rsidR="00217A61" w:rsidRDefault="001C2695">
            <w:pPr>
              <w:spacing w:beforeAutospacing="1" w:afterAutospacing="1"/>
            </w:pPr>
            <w:r>
              <w:rPr>
                <w:color w:val="000000"/>
              </w:rPr>
              <w:t xml:space="preserve"> </w:t>
            </w:r>
          </w:p>
        </w:tc>
        <w:tc>
          <w:tcPr>
            <w:tcW w:w="0" w:type="auto"/>
          </w:tcPr>
          <w:p w14:paraId="7DC41316" w14:textId="77777777" w:rsidR="00217A61" w:rsidRDefault="001C2695">
            <w:pPr>
              <w:spacing w:beforeAutospacing="1" w:afterAutospacing="1"/>
            </w:pPr>
            <w:r>
              <w:rPr>
                <w:color w:val="000000"/>
              </w:rPr>
              <w:t>NC Department of Health and Human Services</w:t>
            </w:r>
          </w:p>
        </w:tc>
      </w:tr>
      <w:tr w:rsidR="00217A61" w14:paraId="5CD0EEFC" w14:textId="77777777">
        <w:trPr>
          <w:cantSplit/>
        </w:trPr>
        <w:tc>
          <w:tcPr>
            <w:tcW w:w="0" w:type="auto"/>
          </w:tcPr>
          <w:p w14:paraId="082543A5" w14:textId="77777777" w:rsidR="00217A61" w:rsidRDefault="001C2695">
            <w:pPr>
              <w:spacing w:beforeAutospacing="1" w:afterAutospacing="1"/>
            </w:pPr>
            <w:r>
              <w:rPr>
                <w:color w:val="000000"/>
              </w:rPr>
              <w:t xml:space="preserve"> </w:t>
            </w:r>
          </w:p>
        </w:tc>
        <w:tc>
          <w:tcPr>
            <w:tcW w:w="0" w:type="auto"/>
          </w:tcPr>
          <w:p w14:paraId="18A0B5F5" w14:textId="77777777" w:rsidR="00217A61" w:rsidRDefault="001C2695">
            <w:pPr>
              <w:spacing w:beforeAutospacing="1" w:afterAutospacing="1"/>
            </w:pPr>
            <w:r>
              <w:rPr>
                <w:color w:val="000000"/>
              </w:rPr>
              <w:t>North Carolina</w:t>
            </w:r>
          </w:p>
        </w:tc>
        <w:tc>
          <w:tcPr>
            <w:tcW w:w="0" w:type="auto"/>
          </w:tcPr>
          <w:p w14:paraId="68714780" w14:textId="77777777" w:rsidR="00217A61" w:rsidRDefault="001C2695">
            <w:pPr>
              <w:spacing w:beforeAutospacing="1" w:afterAutospacing="1"/>
            </w:pPr>
            <w:r>
              <w:rPr>
                <w:color w:val="000000"/>
              </w:rPr>
              <w:t>NC Housing Finance Agency</w:t>
            </w:r>
          </w:p>
        </w:tc>
      </w:tr>
    </w:tbl>
    <w:p w14:paraId="566D328E"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363958D7" w14:textId="77777777" w:rsidR="00217A61" w:rsidRDefault="00217A61">
      <w:pPr>
        <w:spacing w:after="0" w:line="240" w:lineRule="auto"/>
        <w:rPr>
          <w:b/>
          <w:sz w:val="24"/>
          <w:szCs w:val="24"/>
        </w:rPr>
      </w:pPr>
    </w:p>
    <w:p w14:paraId="5111EF1F" w14:textId="77777777" w:rsidR="00217A61" w:rsidRDefault="001C2695">
      <w:pPr>
        <w:rPr>
          <w:b/>
          <w:sz w:val="24"/>
          <w:szCs w:val="24"/>
        </w:rPr>
      </w:pPr>
      <w:r>
        <w:rPr>
          <w:b/>
          <w:sz w:val="24"/>
          <w:szCs w:val="24"/>
        </w:rPr>
        <w:t>Narrative</w:t>
      </w:r>
    </w:p>
    <w:p w14:paraId="380F48E3" w14:textId="77777777" w:rsidR="00217A61" w:rsidRDefault="00217A61">
      <w:pPr>
        <w:rPr>
          <w:rFonts w:cs="Arial"/>
        </w:rPr>
      </w:pPr>
    </w:p>
    <w:p w14:paraId="3D6BF106" w14:textId="77777777" w:rsidR="00217A61" w:rsidRDefault="001C2695">
      <w:pPr>
        <w:rPr>
          <w:b/>
          <w:sz w:val="24"/>
          <w:szCs w:val="24"/>
        </w:rPr>
      </w:pPr>
      <w:r>
        <w:rPr>
          <w:b/>
          <w:sz w:val="24"/>
          <w:szCs w:val="24"/>
        </w:rPr>
        <w:t>Consolidated Plan Public Contact Information</w:t>
      </w:r>
    </w:p>
    <w:p w14:paraId="710A54BC" w14:textId="77777777" w:rsidR="00217A61" w:rsidRDefault="00217A61">
      <w:pPr>
        <w:rPr>
          <w:rFonts w:cs="Arial"/>
        </w:rPr>
      </w:pPr>
    </w:p>
    <w:p w14:paraId="34619D2B" w14:textId="77777777" w:rsidR="00217A61" w:rsidRDefault="00217A61">
      <w:pPr>
        <w:pStyle w:val="Heading2"/>
        <w:keepNext w:val="0"/>
        <w:pageBreakBefore/>
        <w:widowControl w:val="0"/>
        <w:rPr>
          <w:rFonts w:ascii="Calibri" w:hAnsi="Calibri"/>
          <w:i w:val="0"/>
        </w:rPr>
        <w:sectPr w:rsidR="00217A61" w:rsidSect="001A641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pPr>
    </w:p>
    <w:p w14:paraId="1FD7519D" w14:textId="77777777" w:rsidR="00217A61" w:rsidRDefault="001C2695">
      <w:pPr>
        <w:pStyle w:val="Heading2"/>
        <w:keepNext w:val="0"/>
        <w:pageBreakBefore/>
        <w:widowControl w:val="0"/>
        <w:rPr>
          <w:rFonts w:ascii="Calibri" w:hAnsi="Calibri"/>
          <w:i w:val="0"/>
        </w:rPr>
      </w:pPr>
      <w:r>
        <w:rPr>
          <w:rFonts w:ascii="Calibri" w:hAnsi="Calibri"/>
          <w:i w:val="0"/>
        </w:rPr>
        <w:lastRenderedPageBreak/>
        <w:t xml:space="preserve">PR-10 Consultation – 91.100, 91.110, 91.200(b), 91.300(b), 91.200(I) </w:t>
      </w:r>
      <w:proofErr w:type="gramStart"/>
      <w:r>
        <w:rPr>
          <w:rFonts w:ascii="Calibri" w:hAnsi="Calibri"/>
          <w:i w:val="0"/>
        </w:rPr>
        <w:t>and  91.315</w:t>
      </w:r>
      <w:proofErr w:type="gramEnd"/>
      <w:r>
        <w:rPr>
          <w:rFonts w:ascii="Calibri" w:hAnsi="Calibri"/>
          <w:i w:val="0"/>
        </w:rPr>
        <w:t xml:space="preserve">(l) </w:t>
      </w:r>
    </w:p>
    <w:p w14:paraId="2262C975" w14:textId="77777777" w:rsidR="00217A61" w:rsidRDefault="001C2695">
      <w:pPr>
        <w:rPr>
          <w:b/>
          <w:sz w:val="24"/>
          <w:szCs w:val="24"/>
        </w:rPr>
      </w:pPr>
      <w:r>
        <w:rPr>
          <w:b/>
          <w:sz w:val="24"/>
          <w:szCs w:val="24"/>
        </w:rPr>
        <w:t>1.</w:t>
      </w:r>
      <w:r>
        <w:rPr>
          <w:b/>
          <w:sz w:val="24"/>
          <w:szCs w:val="24"/>
        </w:rPr>
        <w:tab/>
        <w:t>Introduction</w:t>
      </w:r>
    </w:p>
    <w:p w14:paraId="42D743AD" w14:textId="77777777" w:rsidR="00217A61" w:rsidRDefault="001C2695">
      <w:pPr>
        <w:spacing w:beforeAutospacing="1" w:afterAutospacing="1"/>
        <w:rPr>
          <w:rFonts w:cs="Arial"/>
        </w:rPr>
      </w:pPr>
      <w:r>
        <w:rPr>
          <w:rFonts w:cs="Arial"/>
        </w:rPr>
        <w:t xml:space="preserve">Consultation and coordination among other state agencies and nonprofits have become increasingly important due to budget restraints, natural disasters, and the public health emergency due to COVD-19. To increase coordination, the state has several housing </w:t>
      </w:r>
      <w:r>
        <w:rPr>
          <w:rFonts w:cs="Arial"/>
        </w:rPr>
        <w:t>and community development policy bodies including the Interagency Council for Coordinating Homeless Programs (ICCHP), and the North Carolina Housing Partnership. The state also has the NC Plan Partners which oversees the planning, implementation, and repor</w:t>
      </w:r>
      <w:r>
        <w:rPr>
          <w:rFonts w:cs="Arial"/>
        </w:rPr>
        <w:t>ting for HUD CPD programs.</w:t>
      </w:r>
    </w:p>
    <w:p w14:paraId="574C2A33" w14:textId="77777777" w:rsidR="00217A61" w:rsidRDefault="001C2695">
      <w:pPr>
        <w:rPr>
          <w:b/>
          <w:sz w:val="24"/>
          <w:szCs w:val="24"/>
        </w:rPr>
      </w:pPr>
      <w:r>
        <w:rPr>
          <w:b/>
          <w:sz w:val="24"/>
          <w:szCs w:val="24"/>
        </w:rPr>
        <w:t xml:space="preserve">Provide a concise summary of the state’s activities to enhance coordination between public and assisted housing providers and private and governmental health, mental </w:t>
      </w:r>
      <w:proofErr w:type="gramStart"/>
      <w:r>
        <w:rPr>
          <w:b/>
          <w:sz w:val="24"/>
          <w:szCs w:val="24"/>
        </w:rPr>
        <w:t>health</w:t>
      </w:r>
      <w:proofErr w:type="gramEnd"/>
      <w:r>
        <w:rPr>
          <w:b/>
          <w:sz w:val="24"/>
          <w:szCs w:val="24"/>
        </w:rPr>
        <w:t xml:space="preserve"> and service agencies (91.215(l))</w:t>
      </w:r>
    </w:p>
    <w:p w14:paraId="1FFBC504" w14:textId="77777777" w:rsidR="00217A61" w:rsidRDefault="001C2695">
      <w:pPr>
        <w:spacing w:beforeAutospacing="1" w:afterAutospacing="1"/>
        <w:rPr>
          <w:rFonts w:cs="Arial"/>
        </w:rPr>
      </w:pPr>
      <w:r>
        <w:rPr>
          <w:rFonts w:cs="Arial"/>
        </w:rPr>
        <w:t>The state encourages pa</w:t>
      </w:r>
      <w:r>
        <w:rPr>
          <w:rFonts w:cs="Arial"/>
        </w:rPr>
        <w:t>rticipation among housing professionals, non-profit agencies, local government entities, and service agencies. The state has a coordinated planning process with its other HUD formula recipients in developing all HUD required plans. The NC Plan Partners hav</w:t>
      </w:r>
      <w:r>
        <w:rPr>
          <w:rFonts w:cs="Arial"/>
        </w:rPr>
        <w:t>e consistently reached out to other organizations such as the North Carolina Coalition to End Homelessness, NC Justice Center, and Legal Aid of North Carolina. The state solicits feedback during the comment phase of each plan by posting information on mult</w:t>
      </w:r>
      <w:r>
        <w:rPr>
          <w:rFonts w:cs="Arial"/>
        </w:rPr>
        <w:t>iple websites. Information is also shared through listservs and contact data bases. The state conducted regional meetings seeking feedback of its Analysis of Impediments to Fair Housing Choice Plan and will hold one final public meeting prior to submission</w:t>
      </w:r>
      <w:r>
        <w:rPr>
          <w:rFonts w:cs="Arial"/>
        </w:rPr>
        <w:t xml:space="preserve"> of the Consolidated Plan, Annual Action Plan, and Analysis of Impediments.</w:t>
      </w:r>
    </w:p>
    <w:p w14:paraId="18C1DFCE" w14:textId="77777777" w:rsidR="00217A61" w:rsidRDefault="001C2695">
      <w:pPr>
        <w:rPr>
          <w:b/>
          <w:sz w:val="24"/>
          <w:szCs w:val="24"/>
        </w:rPr>
      </w:pPr>
      <w:r>
        <w:rPr>
          <w:b/>
          <w:sz w:val="24"/>
          <w:szCs w:val="24"/>
        </w:rPr>
        <w:t>Describe coordination with the Continuum of Care and efforts to address the needs of homeless persons (particularly chronically homeless individuals and families, families with chi</w:t>
      </w:r>
      <w:r>
        <w:rPr>
          <w:b/>
          <w:sz w:val="24"/>
          <w:szCs w:val="24"/>
        </w:rPr>
        <w:t xml:space="preserve">ldren, veterans, and unaccompanied youth) and persons at risk of </w:t>
      </w:r>
      <w:proofErr w:type="gramStart"/>
      <w:r>
        <w:rPr>
          <w:b/>
          <w:sz w:val="24"/>
          <w:szCs w:val="24"/>
        </w:rPr>
        <w:t>homelessness</w:t>
      </w:r>
      <w:proofErr w:type="gramEnd"/>
    </w:p>
    <w:p w14:paraId="60B3A1E6" w14:textId="77777777" w:rsidR="00217A61" w:rsidRDefault="001C2695">
      <w:pPr>
        <w:spacing w:beforeAutospacing="1" w:afterAutospacing="1"/>
        <w:rPr>
          <w:rFonts w:cs="Arial"/>
        </w:rPr>
      </w:pPr>
      <w:r>
        <w:rPr>
          <w:rFonts w:cs="Arial"/>
        </w:rPr>
        <w:t>The NC Department of Health and Human Services coordinates with the NC Coalition to End Homelessness to provide fiscal and programmatic assistance to local Continua of Care (</w:t>
      </w:r>
      <w:proofErr w:type="spellStart"/>
      <w:r>
        <w:rPr>
          <w:rFonts w:cs="Arial"/>
        </w:rPr>
        <w:t>CoC</w:t>
      </w:r>
      <w:proofErr w:type="spellEnd"/>
      <w:r>
        <w:rPr>
          <w:rFonts w:cs="Arial"/>
        </w:rPr>
        <w:t>)</w:t>
      </w:r>
      <w:r>
        <w:rPr>
          <w:rFonts w:cs="Arial"/>
        </w:rPr>
        <w:t xml:space="preserve">. The Coalition also serves as an advocate on behalf of </w:t>
      </w:r>
      <w:proofErr w:type="spellStart"/>
      <w:r>
        <w:rPr>
          <w:rFonts w:cs="Arial"/>
        </w:rPr>
        <w:t>CoCs</w:t>
      </w:r>
      <w:proofErr w:type="spellEnd"/>
      <w:r>
        <w:rPr>
          <w:rFonts w:cs="Arial"/>
        </w:rPr>
        <w:t xml:space="preserve"> regarding policy and funding. Frequent dialogue is maintained with members of the </w:t>
      </w:r>
      <w:proofErr w:type="spellStart"/>
      <w:r>
        <w:rPr>
          <w:rFonts w:cs="Arial"/>
        </w:rPr>
        <w:t>CoC</w:t>
      </w:r>
      <w:proofErr w:type="spellEnd"/>
      <w:r>
        <w:rPr>
          <w:rFonts w:cs="Arial"/>
        </w:rPr>
        <w:t xml:space="preserve"> and the Coalition to End Homelessness. Specifically, within the RFA, each </w:t>
      </w:r>
      <w:proofErr w:type="spellStart"/>
      <w:r>
        <w:rPr>
          <w:rFonts w:cs="Arial"/>
        </w:rPr>
        <w:t>CoC</w:t>
      </w:r>
      <w:proofErr w:type="spellEnd"/>
      <w:r>
        <w:rPr>
          <w:rFonts w:cs="Arial"/>
        </w:rPr>
        <w:t xml:space="preserve"> makes recommendations to the st</w:t>
      </w:r>
      <w:r>
        <w:rPr>
          <w:rFonts w:cs="Arial"/>
        </w:rPr>
        <w:t xml:space="preserve">ate in determining local priority needs, funding, performance standards and outcomes for chronically homeless individuals and families, families with children, as well as veterans. Each </w:t>
      </w:r>
      <w:proofErr w:type="spellStart"/>
      <w:r>
        <w:rPr>
          <w:rFonts w:cs="Arial"/>
        </w:rPr>
        <w:t>CoC</w:t>
      </w:r>
      <w:proofErr w:type="spellEnd"/>
      <w:r>
        <w:rPr>
          <w:rFonts w:cs="Arial"/>
        </w:rPr>
        <w:t xml:space="preserve"> membership is composed of representatives that serve and advocate </w:t>
      </w:r>
      <w:r>
        <w:rPr>
          <w:rFonts w:cs="Arial"/>
        </w:rPr>
        <w:t>for the provision of services to homeless persons. Membership includes homeless providers, local departments of social services and mental health, city and county agencies, housing and community developers, and staff representing corrections, domestic viol</w:t>
      </w:r>
      <w:r>
        <w:rPr>
          <w:rFonts w:cs="Arial"/>
        </w:rPr>
        <w:t xml:space="preserve">ence, public housing authorities, </w:t>
      </w:r>
      <w:proofErr w:type="gramStart"/>
      <w:r>
        <w:rPr>
          <w:rFonts w:cs="Arial"/>
        </w:rPr>
        <w:t>hospitals</w:t>
      </w:r>
      <w:proofErr w:type="gramEnd"/>
      <w:r>
        <w:rPr>
          <w:rFonts w:cs="Arial"/>
        </w:rPr>
        <w:t xml:space="preserve"> and veterans.</w:t>
      </w:r>
    </w:p>
    <w:p w14:paraId="6656DA01" w14:textId="77777777" w:rsidR="00217A61" w:rsidRDefault="001C2695">
      <w:pPr>
        <w:rPr>
          <w:b/>
          <w:sz w:val="24"/>
          <w:szCs w:val="24"/>
        </w:rPr>
      </w:pPr>
      <w:r>
        <w:rPr>
          <w:b/>
          <w:sz w:val="24"/>
          <w:szCs w:val="24"/>
        </w:rPr>
        <w:lastRenderedPageBreak/>
        <w:t>Describe consultation with the Continuum(s) of Care that serves the state in determining how to allocate ESG funds, develop performance standards and evaluate outcomes, and develop funding, policies</w:t>
      </w:r>
      <w:r>
        <w:rPr>
          <w:b/>
          <w:sz w:val="24"/>
          <w:szCs w:val="24"/>
        </w:rPr>
        <w:t xml:space="preserve"> and procedures for the administration of </w:t>
      </w:r>
      <w:proofErr w:type="gramStart"/>
      <w:r>
        <w:rPr>
          <w:b/>
          <w:sz w:val="24"/>
          <w:szCs w:val="24"/>
        </w:rPr>
        <w:t>HMIS</w:t>
      </w:r>
      <w:proofErr w:type="gramEnd"/>
    </w:p>
    <w:p w14:paraId="2CF65652" w14:textId="77777777" w:rsidR="00217A61" w:rsidRDefault="001C2695">
      <w:pPr>
        <w:spacing w:beforeAutospacing="1" w:afterAutospacing="1"/>
        <w:rPr>
          <w:rFonts w:cs="Arial"/>
        </w:rPr>
      </w:pPr>
      <w:r>
        <w:rPr>
          <w:rFonts w:cs="Arial"/>
        </w:rPr>
        <w:t>See the response to the previous question. This initiative is coordinated by the NC Department of Health and Human Services.</w:t>
      </w:r>
    </w:p>
    <w:p w14:paraId="015A483B" w14:textId="77777777" w:rsidR="00217A61" w:rsidRDefault="001C2695">
      <w:pPr>
        <w:rPr>
          <w:b/>
          <w:sz w:val="24"/>
          <w:szCs w:val="24"/>
        </w:rPr>
      </w:pPr>
      <w:r>
        <w:rPr>
          <w:b/>
          <w:sz w:val="24"/>
          <w:szCs w:val="24"/>
        </w:rPr>
        <w:t>2.</w:t>
      </w:r>
      <w:r>
        <w:rPr>
          <w:b/>
          <w:sz w:val="24"/>
          <w:szCs w:val="24"/>
        </w:rPr>
        <w:tab/>
        <w:t xml:space="preserve">Describe Agencies, groups, </w:t>
      </w:r>
      <w:proofErr w:type="gramStart"/>
      <w:r>
        <w:rPr>
          <w:b/>
          <w:sz w:val="24"/>
          <w:szCs w:val="24"/>
        </w:rPr>
        <w:t>organizations</w:t>
      </w:r>
      <w:proofErr w:type="gramEnd"/>
      <w:r>
        <w:rPr>
          <w:b/>
          <w:sz w:val="24"/>
          <w:szCs w:val="24"/>
        </w:rPr>
        <w:t xml:space="preserve"> and others who participated in the proce</w:t>
      </w:r>
      <w:r>
        <w:rPr>
          <w:b/>
          <w:sz w:val="24"/>
          <w:szCs w:val="24"/>
        </w:rPr>
        <w:t>ss and describe the jurisdictions consultations with housing, social service agencies and other entities</w:t>
      </w:r>
    </w:p>
    <w:p w14:paraId="7F91BAFF" w14:textId="77777777" w:rsidR="00217A61" w:rsidRDefault="00217A61">
      <w:pPr>
        <w:keepNext/>
        <w:widowControl w:val="0"/>
        <w:spacing w:after="0" w:line="240" w:lineRule="auto"/>
        <w:rPr>
          <w:b/>
          <w:bCs/>
        </w:rPr>
        <w:sectPr w:rsidR="00217A61">
          <w:pgSz w:w="12240" w:h="15840"/>
          <w:pgMar w:top="1440" w:right="1440" w:bottom="1440" w:left="1440" w:header="720" w:footer="720" w:gutter="0"/>
          <w:cols w:space="720"/>
          <w:docGrid w:linePitch="360"/>
        </w:sectPr>
      </w:pPr>
    </w:p>
    <w:p w14:paraId="14BFD85A" w14:textId="77777777" w:rsidR="00217A61" w:rsidRDefault="001C2695">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w:t>
      </w:r>
      <w:proofErr w:type="gramStart"/>
      <w:r>
        <w:rPr>
          <w:rFonts w:asciiTheme="minorHAnsi" w:hAnsiTheme="minorHAnsi"/>
        </w:rPr>
        <w:t>participated</w:t>
      </w:r>
      <w:proofErr w:type="gramEnd"/>
    </w:p>
    <w:p w14:paraId="1EDBC28C" w14:textId="77777777" w:rsidR="00217A61" w:rsidRDefault="00217A61">
      <w:pPr>
        <w:rPr>
          <w:b/>
          <w:sz w:val="24"/>
          <w:szCs w:val="24"/>
        </w:rPr>
      </w:pPr>
    </w:p>
    <w:p w14:paraId="6FC34422" w14:textId="77777777" w:rsidR="00217A61" w:rsidRDefault="001C2695">
      <w:pPr>
        <w:rPr>
          <w:b/>
          <w:sz w:val="24"/>
          <w:szCs w:val="24"/>
        </w:rPr>
      </w:pPr>
      <w:r>
        <w:rPr>
          <w:b/>
          <w:sz w:val="24"/>
          <w:szCs w:val="24"/>
        </w:rPr>
        <w:t>Identify any Agency Types not consulted and provide rationale f</w:t>
      </w:r>
      <w:r>
        <w:rPr>
          <w:b/>
          <w:sz w:val="24"/>
          <w:szCs w:val="24"/>
        </w:rPr>
        <w:t xml:space="preserve">or not </w:t>
      </w:r>
      <w:proofErr w:type="gramStart"/>
      <w:r>
        <w:rPr>
          <w:b/>
          <w:sz w:val="24"/>
          <w:szCs w:val="24"/>
        </w:rPr>
        <w:t>consulting</w:t>
      </w:r>
      <w:proofErr w:type="gramEnd"/>
    </w:p>
    <w:p w14:paraId="3119ACEF" w14:textId="77777777" w:rsidR="00217A61" w:rsidRDefault="001C2695">
      <w:pPr>
        <w:spacing w:beforeAutospacing="1" w:afterAutospacing="1"/>
        <w:rPr>
          <w:rFonts w:cs="Arial"/>
        </w:rPr>
      </w:pPr>
      <w:r>
        <w:rPr>
          <w:rFonts w:cs="Arial"/>
        </w:rPr>
        <w:t>Not applicable</w:t>
      </w:r>
    </w:p>
    <w:p w14:paraId="410C2BE9" w14:textId="77777777" w:rsidR="00217A61" w:rsidRDefault="00217A61">
      <w:pPr>
        <w:rPr>
          <w:rFonts w:cs="Arial"/>
        </w:rPr>
      </w:pPr>
    </w:p>
    <w:p w14:paraId="0AFD5061" w14:textId="77777777" w:rsidR="00217A61" w:rsidRDefault="001C2695">
      <w:pPr>
        <w:keepNext/>
        <w:rPr>
          <w:b/>
          <w:sz w:val="24"/>
          <w:szCs w:val="24"/>
        </w:rPr>
      </w:pPr>
      <w:r>
        <w:rPr>
          <w:b/>
          <w:sz w:val="24"/>
          <w:szCs w:val="24"/>
        </w:rPr>
        <w:t xml:space="preserve">Other local/regional/state/federal planning efforts considered when preparing the </w:t>
      </w:r>
      <w:proofErr w:type="gramStart"/>
      <w:r>
        <w:rPr>
          <w:b/>
          <w:sz w:val="24"/>
          <w:szCs w:val="24"/>
        </w:rPr>
        <w:t>Plan</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24"/>
        <w:gridCol w:w="3110"/>
      </w:tblGrid>
      <w:tr w:rsidR="00217A61" w14:paraId="3F82E3D7" w14:textId="77777777">
        <w:trPr>
          <w:cantSplit/>
          <w:tblHeader/>
        </w:trPr>
        <w:tc>
          <w:tcPr>
            <w:tcW w:w="3192" w:type="dxa"/>
          </w:tcPr>
          <w:p w14:paraId="33015EB3" w14:textId="77777777" w:rsidR="00217A61" w:rsidRDefault="001C2695">
            <w:pPr>
              <w:keepNext/>
              <w:widowControl w:val="0"/>
              <w:spacing w:after="0" w:line="240" w:lineRule="auto"/>
              <w:jc w:val="center"/>
              <w:rPr>
                <w:b/>
                <w:bCs/>
              </w:rPr>
            </w:pPr>
            <w:r>
              <w:rPr>
                <w:b/>
                <w:bCs/>
              </w:rPr>
              <w:t>Name of Plan</w:t>
            </w:r>
          </w:p>
        </w:tc>
        <w:tc>
          <w:tcPr>
            <w:tcW w:w="3192" w:type="dxa"/>
          </w:tcPr>
          <w:p w14:paraId="569ABB1D" w14:textId="77777777" w:rsidR="00217A61" w:rsidRDefault="001C2695">
            <w:pPr>
              <w:spacing w:after="0" w:line="240" w:lineRule="auto"/>
              <w:jc w:val="center"/>
              <w:rPr>
                <w:b/>
                <w:bCs/>
              </w:rPr>
            </w:pPr>
            <w:r>
              <w:rPr>
                <w:b/>
                <w:bCs/>
              </w:rPr>
              <w:t>Lead Organization</w:t>
            </w:r>
          </w:p>
        </w:tc>
        <w:tc>
          <w:tcPr>
            <w:tcW w:w="3192" w:type="dxa"/>
          </w:tcPr>
          <w:p w14:paraId="09092952" w14:textId="77777777" w:rsidR="00217A61" w:rsidRDefault="001C2695">
            <w:pPr>
              <w:keepNext/>
              <w:widowControl w:val="0"/>
              <w:spacing w:after="0" w:line="240" w:lineRule="auto"/>
              <w:jc w:val="center"/>
              <w:rPr>
                <w:b/>
                <w:bCs/>
              </w:rPr>
            </w:pPr>
            <w:r>
              <w:rPr>
                <w:b/>
                <w:bCs/>
              </w:rPr>
              <w:t>How do the goals of your Strategic Plan overlap with the goals of each plan?</w:t>
            </w:r>
          </w:p>
        </w:tc>
      </w:tr>
      <w:tr w:rsidR="00217A61" w14:paraId="78EA0EF6" w14:textId="77777777">
        <w:trPr>
          <w:cantSplit/>
        </w:trPr>
        <w:tc>
          <w:tcPr>
            <w:tcW w:w="0" w:type="auto"/>
          </w:tcPr>
          <w:p w14:paraId="1B6B79A9" w14:textId="77777777" w:rsidR="00217A61" w:rsidRDefault="001C2695">
            <w:pPr>
              <w:spacing w:beforeAutospacing="1" w:afterAutospacing="1"/>
            </w:pPr>
            <w:r>
              <w:rPr>
                <w:color w:val="000000"/>
              </w:rPr>
              <w:t>Continuum of Care</w:t>
            </w:r>
          </w:p>
        </w:tc>
        <w:tc>
          <w:tcPr>
            <w:tcW w:w="0" w:type="auto"/>
          </w:tcPr>
          <w:p w14:paraId="052717F9" w14:textId="77777777" w:rsidR="00217A61" w:rsidRDefault="001C2695">
            <w:pPr>
              <w:spacing w:beforeAutospacing="1" w:afterAutospacing="1"/>
            </w:pPr>
            <w:r>
              <w:rPr>
                <w:color w:val="000000"/>
              </w:rPr>
              <w:t xml:space="preserve"> </w:t>
            </w:r>
          </w:p>
        </w:tc>
        <w:tc>
          <w:tcPr>
            <w:tcW w:w="0" w:type="auto"/>
          </w:tcPr>
          <w:p w14:paraId="47CF5B30" w14:textId="77777777" w:rsidR="00217A61" w:rsidRDefault="001C2695">
            <w:pPr>
              <w:spacing w:beforeAutospacing="1" w:afterAutospacing="1"/>
            </w:pPr>
            <w:r>
              <w:rPr>
                <w:color w:val="000000"/>
              </w:rPr>
              <w:t xml:space="preserve"> </w:t>
            </w:r>
          </w:p>
        </w:tc>
      </w:tr>
    </w:tbl>
    <w:p w14:paraId="464CDAFE"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14:paraId="0D7A2435" w14:textId="77777777" w:rsidR="00217A61" w:rsidRDefault="001C2695">
      <w:pPr>
        <w:rPr>
          <w:b/>
          <w:sz w:val="24"/>
          <w:szCs w:val="24"/>
        </w:rPr>
      </w:pPr>
      <w:r>
        <w:rPr>
          <w:b/>
          <w:sz w:val="24"/>
          <w:szCs w:val="24"/>
        </w:rPr>
        <w:t xml:space="preserve">Describe cooperation and coordination among the State and any units of general local government, in the implementation of the </w:t>
      </w:r>
      <w:r>
        <w:rPr>
          <w:b/>
          <w:sz w:val="24"/>
          <w:szCs w:val="24"/>
        </w:rPr>
        <w:t>Consolidated Plan (91.315(l))</w:t>
      </w:r>
    </w:p>
    <w:p w14:paraId="21CBC83E" w14:textId="77777777" w:rsidR="00217A61" w:rsidRDefault="00217A61">
      <w:pPr>
        <w:rPr>
          <w:rFonts w:cs="Arial"/>
        </w:rPr>
      </w:pPr>
    </w:p>
    <w:p w14:paraId="21CDB4D6" w14:textId="77777777" w:rsidR="00217A61" w:rsidRDefault="001C2695">
      <w:pPr>
        <w:rPr>
          <w:b/>
          <w:sz w:val="24"/>
          <w:szCs w:val="24"/>
        </w:rPr>
      </w:pPr>
      <w:r>
        <w:rPr>
          <w:b/>
          <w:sz w:val="24"/>
          <w:szCs w:val="24"/>
        </w:rPr>
        <w:t>Narrative (optional):</w:t>
      </w:r>
    </w:p>
    <w:p w14:paraId="6B9F4610" w14:textId="77777777" w:rsidR="00217A61" w:rsidRDefault="00217A61">
      <w:pPr>
        <w:rPr>
          <w:i/>
        </w:rPr>
        <w:sectPr w:rsidR="00217A61">
          <w:pgSz w:w="12240" w:h="15840"/>
          <w:pgMar w:top="1440" w:right="1440" w:bottom="1440" w:left="1440" w:header="720" w:footer="720" w:gutter="0"/>
          <w:cols w:space="720"/>
          <w:docGrid w:linePitch="360"/>
        </w:sectPr>
      </w:pPr>
    </w:p>
    <w:p w14:paraId="584FC939" w14:textId="77777777" w:rsidR="00217A61" w:rsidRDefault="001C2695">
      <w:pPr>
        <w:pStyle w:val="Heading2"/>
        <w:keepNext w:val="0"/>
        <w:pageBreakBefore/>
        <w:widowControl w:val="0"/>
        <w:rPr>
          <w:rFonts w:ascii="Calibri" w:hAnsi="Calibri"/>
          <w:i w:val="0"/>
        </w:rPr>
      </w:pPr>
      <w:r>
        <w:rPr>
          <w:rFonts w:ascii="Calibri" w:hAnsi="Calibri"/>
          <w:i w:val="0"/>
        </w:rPr>
        <w:lastRenderedPageBreak/>
        <w:t>PR-15 Citizen Participation – 91.105, 91.115, 91.200(c) and 91.300(c)</w:t>
      </w:r>
    </w:p>
    <w:p w14:paraId="07E781D4" w14:textId="77777777" w:rsidR="00217A61" w:rsidRDefault="001C2695">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576C47A1" w14:textId="77777777" w:rsidR="00217A61" w:rsidRDefault="001C2695">
      <w:pPr>
        <w:spacing w:after="0" w:line="240" w:lineRule="auto"/>
        <w:rPr>
          <w:b/>
          <w:sz w:val="24"/>
          <w:szCs w:val="24"/>
        </w:rPr>
      </w:pPr>
      <w:r>
        <w:rPr>
          <w:b/>
          <w:sz w:val="24"/>
          <w:szCs w:val="24"/>
        </w:rPr>
        <w:t>Summarize citizen participation process</w:t>
      </w:r>
      <w:r>
        <w:rPr>
          <w:b/>
          <w:sz w:val="24"/>
          <w:szCs w:val="24"/>
        </w:rPr>
        <w:t xml:space="preserve"> and how it impacted goal-</w:t>
      </w:r>
      <w:proofErr w:type="gramStart"/>
      <w:r>
        <w:rPr>
          <w:b/>
          <w:sz w:val="24"/>
          <w:szCs w:val="24"/>
        </w:rPr>
        <w:t>setting</w:t>
      </w:r>
      <w:proofErr w:type="gramEnd"/>
    </w:p>
    <w:p w14:paraId="7004CC5E" w14:textId="77777777" w:rsidR="00217A61" w:rsidRDefault="00217A61">
      <w:pPr>
        <w:spacing w:after="0" w:line="240" w:lineRule="auto"/>
        <w:rPr>
          <w:b/>
          <w:sz w:val="24"/>
          <w:szCs w:val="24"/>
        </w:rPr>
      </w:pPr>
    </w:p>
    <w:p w14:paraId="03212D09" w14:textId="77777777" w:rsidR="00217A61" w:rsidRDefault="001C2695">
      <w:pPr>
        <w:spacing w:beforeAutospacing="1" w:afterAutospacing="1"/>
        <w:rPr>
          <w:rFonts w:cs="Arial"/>
        </w:rPr>
      </w:pPr>
      <w:r>
        <w:rPr>
          <w:rFonts w:cs="Arial"/>
        </w:rPr>
        <w:t>The State of North Carolina encourages citizens to participate in the planning, implementation, and assessment of the Consolidated Plan for HUD Community Planning and Development programs. This plan describes how this par</w:t>
      </w:r>
      <w:r>
        <w:rPr>
          <w:rFonts w:cs="Arial"/>
        </w:rPr>
        <w:t>ticipation will be encouraged.</w:t>
      </w:r>
    </w:p>
    <w:p w14:paraId="2AC9618D" w14:textId="77777777" w:rsidR="00217A61" w:rsidRDefault="001C2695">
      <w:pPr>
        <w:spacing w:beforeAutospacing="1" w:afterAutospacing="1"/>
        <w:rPr>
          <w:rFonts w:cs="Arial"/>
        </w:rPr>
      </w:pPr>
      <w:r>
        <w:rPr>
          <w:rFonts w:cs="Arial"/>
        </w:rPr>
        <w:t xml:space="preserve">During the development of the plan, the development of any substantial amendments, and prior to submission of the annual performance report to HUD, the </w:t>
      </w:r>
      <w:proofErr w:type="gramStart"/>
      <w:r>
        <w:rPr>
          <w:rFonts w:cs="Arial"/>
        </w:rPr>
        <w:t>state  solicits</w:t>
      </w:r>
      <w:proofErr w:type="gramEnd"/>
      <w:r>
        <w:rPr>
          <w:rFonts w:cs="Arial"/>
        </w:rPr>
        <w:t xml:space="preserve"> the views and proposals of citizens and interested groups</w:t>
      </w:r>
      <w:r>
        <w:rPr>
          <w:rFonts w:cs="Arial"/>
        </w:rPr>
        <w:t xml:space="preserve"> and agencies at meetings and public hearings.</w:t>
      </w:r>
    </w:p>
    <w:p w14:paraId="0AB0294F" w14:textId="77777777" w:rsidR="00217A61" w:rsidRDefault="001C2695">
      <w:pPr>
        <w:spacing w:beforeAutospacing="1" w:afterAutospacing="1"/>
        <w:rPr>
          <w:rFonts w:cs="Arial"/>
        </w:rPr>
      </w:pPr>
      <w:r>
        <w:rPr>
          <w:rFonts w:cs="Arial"/>
        </w:rPr>
        <w:t>Notices for meetings and public hearing shall include:</w:t>
      </w:r>
    </w:p>
    <w:p w14:paraId="232D5FF7" w14:textId="77777777" w:rsidR="00217A61" w:rsidRDefault="001C2695">
      <w:pPr>
        <w:spacing w:beforeAutospacing="1" w:afterAutospacing="1"/>
        <w:rPr>
          <w:rFonts w:cs="Arial"/>
        </w:rPr>
      </w:pPr>
      <w:r>
        <w:rPr>
          <w:rFonts w:cs="Arial"/>
        </w:rPr>
        <w:t xml:space="preserve">1)    The subject of the </w:t>
      </w:r>
      <w:proofErr w:type="gramStart"/>
      <w:r>
        <w:rPr>
          <w:rFonts w:cs="Arial"/>
        </w:rPr>
        <w:t>meeting;</w:t>
      </w:r>
      <w:proofErr w:type="gramEnd"/>
    </w:p>
    <w:p w14:paraId="1EC75D46" w14:textId="77777777" w:rsidR="00217A61" w:rsidRDefault="001C2695">
      <w:pPr>
        <w:spacing w:beforeAutospacing="1" w:afterAutospacing="1"/>
        <w:rPr>
          <w:rFonts w:cs="Arial"/>
        </w:rPr>
      </w:pPr>
      <w:r>
        <w:rPr>
          <w:rFonts w:cs="Arial"/>
        </w:rPr>
        <w:t xml:space="preserve">2)    Amount of funds anticipated to be available and range of eligible </w:t>
      </w:r>
      <w:proofErr w:type="gramStart"/>
      <w:r>
        <w:rPr>
          <w:rFonts w:cs="Arial"/>
        </w:rPr>
        <w:t>activities;</w:t>
      </w:r>
      <w:proofErr w:type="gramEnd"/>
    </w:p>
    <w:p w14:paraId="61521866" w14:textId="77777777" w:rsidR="00217A61" w:rsidRDefault="001C2695">
      <w:pPr>
        <w:spacing w:beforeAutospacing="1" w:afterAutospacing="1"/>
        <w:rPr>
          <w:rFonts w:cs="Arial"/>
        </w:rPr>
      </w:pPr>
      <w:r>
        <w:rPr>
          <w:rFonts w:cs="Arial"/>
        </w:rPr>
        <w:t>3)    Estimated benefit to low-and-m</w:t>
      </w:r>
      <w:r>
        <w:rPr>
          <w:rFonts w:cs="Arial"/>
        </w:rPr>
        <w:t xml:space="preserve">oderate income </w:t>
      </w:r>
      <w:proofErr w:type="gramStart"/>
      <w:r>
        <w:rPr>
          <w:rFonts w:cs="Arial"/>
        </w:rPr>
        <w:t>persons;</w:t>
      </w:r>
      <w:proofErr w:type="gramEnd"/>
    </w:p>
    <w:p w14:paraId="257EF652" w14:textId="77777777" w:rsidR="00217A61" w:rsidRDefault="001C2695">
      <w:pPr>
        <w:spacing w:beforeAutospacing="1" w:afterAutospacing="1"/>
        <w:rPr>
          <w:rFonts w:cs="Arial"/>
        </w:rPr>
      </w:pPr>
      <w:r>
        <w:rPr>
          <w:rFonts w:cs="Arial"/>
        </w:rPr>
        <w:t xml:space="preserve">4)    Information needed by citizens to make informed comments, or in cases where extensive information will be the subject of comment, where the information is available for </w:t>
      </w:r>
      <w:proofErr w:type="gramStart"/>
      <w:r>
        <w:rPr>
          <w:rFonts w:cs="Arial"/>
        </w:rPr>
        <w:t>inspection;</w:t>
      </w:r>
      <w:proofErr w:type="gramEnd"/>
    </w:p>
    <w:p w14:paraId="12BC6588" w14:textId="77777777" w:rsidR="00217A61" w:rsidRDefault="001C2695">
      <w:pPr>
        <w:spacing w:beforeAutospacing="1" w:afterAutospacing="1"/>
        <w:rPr>
          <w:rFonts w:cs="Arial"/>
        </w:rPr>
      </w:pPr>
      <w:r>
        <w:rPr>
          <w:rFonts w:cs="Arial"/>
        </w:rPr>
        <w:t>5)    Time and location of the meeting and/or</w:t>
      </w:r>
      <w:r>
        <w:rPr>
          <w:rFonts w:cs="Arial"/>
        </w:rPr>
        <w:t xml:space="preserve"> virtual access during the public health </w:t>
      </w:r>
      <w:proofErr w:type="gramStart"/>
      <w:r>
        <w:rPr>
          <w:rFonts w:cs="Arial"/>
        </w:rPr>
        <w:t>emergency;</w:t>
      </w:r>
      <w:proofErr w:type="gramEnd"/>
      <w:r>
        <w:rPr>
          <w:rFonts w:cs="Arial"/>
        </w:rPr>
        <w:t> </w:t>
      </w:r>
    </w:p>
    <w:p w14:paraId="608FDFA8" w14:textId="77777777" w:rsidR="00217A61" w:rsidRDefault="001C2695">
      <w:pPr>
        <w:spacing w:beforeAutospacing="1" w:afterAutospacing="1"/>
        <w:rPr>
          <w:rFonts w:cs="Arial"/>
        </w:rPr>
      </w:pPr>
      <w:r>
        <w:rPr>
          <w:rFonts w:cs="Arial"/>
        </w:rPr>
        <w:t xml:space="preserve">6)    The address and telephone number where special populations (persons with disabilities or non-English speaking persons) may request auxiliary aids or </w:t>
      </w:r>
      <w:proofErr w:type="gramStart"/>
      <w:r>
        <w:rPr>
          <w:rFonts w:cs="Arial"/>
        </w:rPr>
        <w:t>assistance;</w:t>
      </w:r>
      <w:proofErr w:type="gramEnd"/>
    </w:p>
    <w:p w14:paraId="0A84144A" w14:textId="77777777" w:rsidR="00217A61" w:rsidRDefault="001C2695">
      <w:pPr>
        <w:spacing w:beforeAutospacing="1" w:afterAutospacing="1"/>
        <w:rPr>
          <w:rFonts w:cs="Arial"/>
        </w:rPr>
      </w:pPr>
      <w:r>
        <w:rPr>
          <w:rFonts w:cs="Arial"/>
        </w:rPr>
        <w:t>7)    The address where written comm</w:t>
      </w:r>
      <w:r>
        <w:rPr>
          <w:rFonts w:cs="Arial"/>
        </w:rPr>
        <w:t xml:space="preserve">ents may be submitted, and the time frame of the comment period for the subject of the </w:t>
      </w:r>
      <w:proofErr w:type="gramStart"/>
      <w:r>
        <w:rPr>
          <w:rFonts w:cs="Arial"/>
        </w:rPr>
        <w:t>meeting;</w:t>
      </w:r>
      <w:proofErr w:type="gramEnd"/>
    </w:p>
    <w:p w14:paraId="080B0FB6" w14:textId="77777777" w:rsidR="00217A61" w:rsidRDefault="001C2695">
      <w:pPr>
        <w:spacing w:beforeAutospacing="1" w:afterAutospacing="1"/>
        <w:rPr>
          <w:rFonts w:cs="Arial"/>
        </w:rPr>
      </w:pPr>
      <w:r>
        <w:rPr>
          <w:rFonts w:cs="Arial"/>
        </w:rPr>
        <w:t>8)    The telephone number where persons may request additional information.</w:t>
      </w:r>
    </w:p>
    <w:p w14:paraId="2B666EC4" w14:textId="77777777" w:rsidR="00217A61" w:rsidRDefault="001C2695">
      <w:pPr>
        <w:spacing w:beforeAutospacing="1" w:afterAutospacing="1"/>
        <w:rPr>
          <w:rFonts w:cs="Arial"/>
        </w:rPr>
      </w:pPr>
      <w:r>
        <w:rPr>
          <w:rFonts w:cs="Arial"/>
        </w:rPr>
        <w:lastRenderedPageBreak/>
        <w:t xml:space="preserve">9)     A telephone number or web link for constituents to </w:t>
      </w:r>
      <w:proofErr w:type="spellStart"/>
      <w:r>
        <w:rPr>
          <w:rFonts w:cs="Arial"/>
        </w:rPr>
        <w:t>particpate</w:t>
      </w:r>
      <w:proofErr w:type="spellEnd"/>
      <w:r>
        <w:rPr>
          <w:rFonts w:cs="Arial"/>
        </w:rPr>
        <w:t xml:space="preserve"> in public meet</w:t>
      </w:r>
      <w:r>
        <w:rPr>
          <w:rFonts w:cs="Arial"/>
        </w:rPr>
        <w:t xml:space="preserve">ing if </w:t>
      </w:r>
      <w:proofErr w:type="spellStart"/>
      <w:r>
        <w:rPr>
          <w:rFonts w:cs="Arial"/>
        </w:rPr>
        <w:t>tthe</w:t>
      </w:r>
      <w:proofErr w:type="spellEnd"/>
      <w:r>
        <w:rPr>
          <w:rFonts w:cs="Arial"/>
        </w:rPr>
        <w:t xml:space="preserve"> meeting is in-person and they are unable to travel.</w:t>
      </w:r>
    </w:p>
    <w:p w14:paraId="13B43125" w14:textId="77777777" w:rsidR="00217A61" w:rsidRDefault="00217A61">
      <w:pPr>
        <w:rPr>
          <w:rFonts w:cs="Arial"/>
        </w:rPr>
      </w:pPr>
    </w:p>
    <w:p w14:paraId="02CE070D" w14:textId="77777777" w:rsidR="00217A61" w:rsidRDefault="00217A61">
      <w:pPr>
        <w:keepNext/>
        <w:rPr>
          <w:b/>
          <w:sz w:val="24"/>
          <w:szCs w:val="24"/>
        </w:rPr>
      </w:pPr>
    </w:p>
    <w:p w14:paraId="34F13073" w14:textId="77777777" w:rsidR="00217A61" w:rsidRDefault="001C2695">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217A61" w14:paraId="5FF1FBA0" w14:textId="77777777">
        <w:trPr>
          <w:cantSplit/>
          <w:tblHeader/>
        </w:trPr>
        <w:tc>
          <w:tcPr>
            <w:tcW w:w="540" w:type="pct"/>
          </w:tcPr>
          <w:p w14:paraId="23DC847F" w14:textId="77777777" w:rsidR="00217A61" w:rsidRDefault="001C2695">
            <w:pPr>
              <w:keepNext/>
              <w:spacing w:after="0" w:line="240" w:lineRule="auto"/>
              <w:jc w:val="center"/>
              <w:rPr>
                <w:b/>
                <w:bCs/>
              </w:rPr>
            </w:pPr>
            <w:r>
              <w:rPr>
                <w:b/>
                <w:bCs/>
              </w:rPr>
              <w:t>Sort Order</w:t>
            </w:r>
          </w:p>
        </w:tc>
        <w:tc>
          <w:tcPr>
            <w:tcW w:w="540" w:type="pct"/>
          </w:tcPr>
          <w:p w14:paraId="5DD3C903" w14:textId="77777777" w:rsidR="00217A61" w:rsidRDefault="001C2695">
            <w:pPr>
              <w:keepNext/>
              <w:spacing w:after="0" w:line="240" w:lineRule="auto"/>
              <w:jc w:val="center"/>
              <w:rPr>
                <w:b/>
              </w:rPr>
            </w:pPr>
            <w:r>
              <w:rPr>
                <w:b/>
                <w:bCs/>
              </w:rPr>
              <w:t>Mode of Outreach</w:t>
            </w:r>
          </w:p>
        </w:tc>
        <w:tc>
          <w:tcPr>
            <w:tcW w:w="783" w:type="pct"/>
          </w:tcPr>
          <w:p w14:paraId="20D35FDE" w14:textId="77777777" w:rsidR="00217A61" w:rsidRDefault="001C2695">
            <w:pPr>
              <w:keepNext/>
              <w:spacing w:after="0" w:line="240" w:lineRule="auto"/>
              <w:jc w:val="center"/>
              <w:rPr>
                <w:b/>
              </w:rPr>
            </w:pPr>
            <w:r>
              <w:rPr>
                <w:b/>
                <w:bCs/>
              </w:rPr>
              <w:t>Target of Outreach</w:t>
            </w:r>
          </w:p>
        </w:tc>
        <w:tc>
          <w:tcPr>
            <w:tcW w:w="831" w:type="pct"/>
          </w:tcPr>
          <w:p w14:paraId="68119113" w14:textId="77777777" w:rsidR="00217A61" w:rsidRDefault="001C2695">
            <w:pPr>
              <w:keepNext/>
              <w:spacing w:after="0" w:line="240" w:lineRule="auto"/>
              <w:jc w:val="center"/>
              <w:rPr>
                <w:b/>
                <w:bCs/>
              </w:rPr>
            </w:pPr>
            <w:r>
              <w:rPr>
                <w:b/>
                <w:bCs/>
              </w:rPr>
              <w:t>Summary of </w:t>
            </w:r>
          </w:p>
          <w:p w14:paraId="04F78669" w14:textId="77777777" w:rsidR="00217A61" w:rsidRDefault="001C2695">
            <w:pPr>
              <w:keepNext/>
              <w:spacing w:after="0" w:line="240" w:lineRule="auto"/>
              <w:jc w:val="center"/>
              <w:rPr>
                <w:b/>
              </w:rPr>
            </w:pPr>
            <w:r>
              <w:rPr>
                <w:b/>
                <w:bCs/>
              </w:rPr>
              <w:t>response/attendance</w:t>
            </w:r>
          </w:p>
        </w:tc>
        <w:tc>
          <w:tcPr>
            <w:tcW w:w="783" w:type="pct"/>
          </w:tcPr>
          <w:p w14:paraId="26EC0AF7" w14:textId="77777777" w:rsidR="00217A61" w:rsidRDefault="001C2695">
            <w:pPr>
              <w:keepNext/>
              <w:spacing w:after="0" w:line="240" w:lineRule="auto"/>
              <w:jc w:val="center"/>
              <w:rPr>
                <w:b/>
                <w:bCs/>
              </w:rPr>
            </w:pPr>
            <w:r>
              <w:rPr>
                <w:b/>
                <w:bCs/>
              </w:rPr>
              <w:t>Summary of </w:t>
            </w:r>
          </w:p>
          <w:p w14:paraId="486D6EA3" w14:textId="77777777" w:rsidR="00217A61" w:rsidRDefault="001C2695">
            <w:pPr>
              <w:keepNext/>
              <w:spacing w:after="0" w:line="240" w:lineRule="auto"/>
              <w:jc w:val="center"/>
              <w:rPr>
                <w:b/>
              </w:rPr>
            </w:pPr>
            <w:r>
              <w:rPr>
                <w:b/>
                <w:bCs/>
              </w:rPr>
              <w:t>comments received</w:t>
            </w:r>
          </w:p>
        </w:tc>
        <w:tc>
          <w:tcPr>
            <w:tcW w:w="783" w:type="pct"/>
          </w:tcPr>
          <w:p w14:paraId="293A32F1" w14:textId="77777777" w:rsidR="00217A61" w:rsidRDefault="001C2695">
            <w:pPr>
              <w:keepNext/>
              <w:spacing w:after="0" w:line="240" w:lineRule="auto"/>
              <w:jc w:val="center"/>
              <w:rPr>
                <w:b/>
              </w:rPr>
            </w:pPr>
            <w:r>
              <w:rPr>
                <w:b/>
                <w:bCs/>
              </w:rPr>
              <w:t xml:space="preserve">Summary of comments not accepted </w:t>
            </w:r>
            <w:r>
              <w:rPr>
                <w:b/>
                <w:bCs/>
              </w:rPr>
              <w:t>and reasons</w:t>
            </w:r>
          </w:p>
        </w:tc>
        <w:tc>
          <w:tcPr>
            <w:tcW w:w="740" w:type="pct"/>
          </w:tcPr>
          <w:p w14:paraId="38C10538" w14:textId="77777777" w:rsidR="00217A61" w:rsidRDefault="001C2695">
            <w:pPr>
              <w:keepNext/>
              <w:spacing w:after="0" w:line="240" w:lineRule="auto"/>
              <w:jc w:val="center"/>
              <w:rPr>
                <w:b/>
              </w:rPr>
            </w:pPr>
            <w:r>
              <w:rPr>
                <w:b/>
                <w:bCs/>
              </w:rPr>
              <w:t>URL (If applicable)</w:t>
            </w:r>
          </w:p>
        </w:tc>
      </w:tr>
      <w:tr w:rsidR="00217A61" w14:paraId="11FD19A5" w14:textId="77777777">
        <w:trPr>
          <w:cantSplit/>
        </w:trPr>
        <w:tc>
          <w:tcPr>
            <w:tcW w:w="540" w:type="pct"/>
          </w:tcPr>
          <w:p w14:paraId="614F1180" w14:textId="77777777" w:rsidR="00217A61" w:rsidRDefault="00217A61">
            <w:pPr>
              <w:keepNext/>
              <w:spacing w:after="0" w:line="240" w:lineRule="auto"/>
            </w:pPr>
          </w:p>
        </w:tc>
        <w:tc>
          <w:tcPr>
            <w:tcW w:w="540" w:type="pct"/>
          </w:tcPr>
          <w:p w14:paraId="315F3650" w14:textId="77777777" w:rsidR="00217A61" w:rsidRDefault="00217A61">
            <w:pPr>
              <w:keepNext/>
              <w:spacing w:after="0" w:line="240" w:lineRule="auto"/>
            </w:pPr>
          </w:p>
        </w:tc>
        <w:tc>
          <w:tcPr>
            <w:tcW w:w="783" w:type="pct"/>
          </w:tcPr>
          <w:p w14:paraId="2CB37A99" w14:textId="77777777" w:rsidR="00217A61" w:rsidRDefault="00217A61">
            <w:pPr>
              <w:keepNext/>
              <w:spacing w:after="0" w:line="240" w:lineRule="auto"/>
            </w:pPr>
          </w:p>
        </w:tc>
        <w:tc>
          <w:tcPr>
            <w:tcW w:w="831" w:type="pct"/>
          </w:tcPr>
          <w:p w14:paraId="7C7309C2" w14:textId="77777777" w:rsidR="00217A61" w:rsidRDefault="00217A61">
            <w:pPr>
              <w:keepNext/>
              <w:spacing w:after="0" w:line="240" w:lineRule="auto"/>
            </w:pPr>
          </w:p>
        </w:tc>
        <w:tc>
          <w:tcPr>
            <w:tcW w:w="783" w:type="pct"/>
          </w:tcPr>
          <w:p w14:paraId="644A50EF" w14:textId="77777777" w:rsidR="00217A61" w:rsidRDefault="00217A61">
            <w:pPr>
              <w:keepNext/>
              <w:spacing w:after="0" w:line="240" w:lineRule="auto"/>
            </w:pPr>
          </w:p>
        </w:tc>
        <w:tc>
          <w:tcPr>
            <w:tcW w:w="783" w:type="pct"/>
          </w:tcPr>
          <w:p w14:paraId="120FCB9A" w14:textId="77777777" w:rsidR="00217A61" w:rsidRDefault="00217A61">
            <w:pPr>
              <w:keepNext/>
              <w:spacing w:after="0" w:line="240" w:lineRule="auto"/>
            </w:pPr>
          </w:p>
        </w:tc>
        <w:tc>
          <w:tcPr>
            <w:tcW w:w="740" w:type="pct"/>
          </w:tcPr>
          <w:p w14:paraId="03028035" w14:textId="77777777" w:rsidR="00217A61" w:rsidRDefault="00217A61">
            <w:pPr>
              <w:keepNext/>
              <w:spacing w:after="0" w:line="240" w:lineRule="auto"/>
            </w:pPr>
          </w:p>
        </w:tc>
      </w:tr>
    </w:tbl>
    <w:p w14:paraId="35CD7EC0"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14:paraId="278451E2" w14:textId="77777777" w:rsidR="00217A61" w:rsidRDefault="00217A61">
      <w:pPr>
        <w:keepNext/>
      </w:pPr>
    </w:p>
    <w:p w14:paraId="1A46258B" w14:textId="77777777" w:rsidR="00217A61" w:rsidRDefault="00217A61">
      <w:pPr>
        <w:keepNext/>
        <w:jc w:val="center"/>
        <w:rPr>
          <w:b/>
          <w:bCs/>
          <w:sz w:val="20"/>
          <w:szCs w:val="20"/>
        </w:rPr>
      </w:pPr>
    </w:p>
    <w:p w14:paraId="101B0231" w14:textId="77777777" w:rsidR="00217A61" w:rsidRDefault="00217A61">
      <w:pPr>
        <w:rPr>
          <w:rFonts w:cs="Arial"/>
        </w:rPr>
      </w:pPr>
    </w:p>
    <w:p w14:paraId="772FCA38" w14:textId="77777777" w:rsidR="00217A61" w:rsidRDefault="00217A61">
      <w:pPr>
        <w:pStyle w:val="Heading1"/>
        <w:pageBreakBefore/>
        <w:jc w:val="center"/>
        <w:rPr>
          <w:rFonts w:ascii="Calibri" w:hAnsi="Calibri"/>
          <w:color w:val="auto"/>
          <w:sz w:val="32"/>
          <w:szCs w:val="32"/>
        </w:rPr>
        <w:sectPr w:rsidR="00217A61">
          <w:pgSz w:w="15840" w:h="12240" w:orient="landscape"/>
          <w:pgMar w:top="1440" w:right="1440" w:bottom="1440" w:left="1440" w:header="720" w:footer="720" w:gutter="0"/>
          <w:cols w:space="720"/>
          <w:docGrid w:linePitch="360"/>
        </w:sectPr>
      </w:pPr>
    </w:p>
    <w:p w14:paraId="7F6DBDED" w14:textId="77777777" w:rsidR="00217A61" w:rsidRDefault="001C2695">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14:paraId="301C2968" w14:textId="77777777" w:rsidR="00217A61" w:rsidRDefault="001C2695">
      <w:pPr>
        <w:pStyle w:val="Heading2"/>
        <w:rPr>
          <w:rFonts w:ascii="Calibri" w:hAnsi="Calibri"/>
          <w:i w:val="0"/>
        </w:rPr>
      </w:pPr>
      <w:r>
        <w:rPr>
          <w:rFonts w:ascii="Calibri" w:hAnsi="Calibri"/>
          <w:i w:val="0"/>
        </w:rPr>
        <w:t>NA-05 Overview</w:t>
      </w:r>
    </w:p>
    <w:p w14:paraId="436D3B72" w14:textId="77777777" w:rsidR="00217A61" w:rsidRDefault="001C2695">
      <w:pPr>
        <w:rPr>
          <w:b/>
          <w:sz w:val="24"/>
          <w:szCs w:val="24"/>
        </w:rPr>
      </w:pPr>
      <w:r>
        <w:rPr>
          <w:b/>
          <w:sz w:val="24"/>
          <w:szCs w:val="24"/>
        </w:rPr>
        <w:t>Needs Assessment Overview</w:t>
      </w:r>
    </w:p>
    <w:p w14:paraId="508E54E3" w14:textId="77777777" w:rsidR="00217A61" w:rsidRDefault="001C2695">
      <w:pPr>
        <w:numPr>
          <w:ilvl w:val="0"/>
          <w:numId w:val="3"/>
        </w:numPr>
        <w:spacing w:beforeAutospacing="1" w:afterAutospacing="1"/>
        <w:rPr>
          <w:rFonts w:cs="Arial"/>
        </w:rPr>
      </w:pPr>
      <w:r>
        <w:rPr>
          <w:rFonts w:cs="Arial"/>
        </w:rPr>
        <w:t>North Carolina is a growing state, particularly in urban areas and in its elderly population and Hispanic and Asian populations.</w:t>
      </w:r>
    </w:p>
    <w:p w14:paraId="7F5B6573" w14:textId="77777777" w:rsidR="00217A61" w:rsidRDefault="001C2695">
      <w:pPr>
        <w:numPr>
          <w:ilvl w:val="0"/>
          <w:numId w:val="3"/>
        </w:numPr>
        <w:spacing w:beforeAutospacing="1" w:afterAutospacing="1"/>
        <w:rPr>
          <w:rFonts w:cs="Arial"/>
        </w:rPr>
      </w:pPr>
      <w:r>
        <w:rPr>
          <w:rFonts w:cs="Arial"/>
        </w:rPr>
        <w:t>Housing costs are unaffordable for 380,000 low-income owner households and 505,000 low-income renter households. This is 50% of</w:t>
      </w:r>
      <w:r>
        <w:rPr>
          <w:rFonts w:cs="Arial"/>
        </w:rPr>
        <w:t xml:space="preserve"> the low-income owners and 60% of the low-income renters. Nearly a half-million low-income families in North Carolina have housing costs that exceed half of their income.</w:t>
      </w:r>
    </w:p>
    <w:p w14:paraId="704FD693" w14:textId="77777777" w:rsidR="00217A61" w:rsidRDefault="001C2695">
      <w:pPr>
        <w:numPr>
          <w:ilvl w:val="0"/>
          <w:numId w:val="3"/>
        </w:numPr>
        <w:spacing w:beforeAutospacing="1" w:afterAutospacing="1"/>
        <w:rPr>
          <w:rFonts w:cs="Arial"/>
        </w:rPr>
      </w:pPr>
      <w:r>
        <w:rPr>
          <w:rFonts w:cs="Arial"/>
        </w:rPr>
        <w:t>Those with the lowest incomes experience are more likely to experience severe cost bu</w:t>
      </w:r>
      <w:r>
        <w:rPr>
          <w:rFonts w:cs="Arial"/>
        </w:rPr>
        <w:t>rdening. 53% of Extremely Low Income (ELI) owner households and 59% of ELI renter households pay more than half of their income for housing. “Extremely Low Income” means the household earns less than 30% of the median income in their area for a household o</w:t>
      </w:r>
      <w:r>
        <w:rPr>
          <w:rFonts w:cs="Arial"/>
        </w:rPr>
        <w:t>f their size.</w:t>
      </w:r>
    </w:p>
    <w:p w14:paraId="41E7B186" w14:textId="77777777" w:rsidR="00217A61" w:rsidRDefault="001C2695">
      <w:pPr>
        <w:numPr>
          <w:ilvl w:val="0"/>
          <w:numId w:val="3"/>
        </w:numPr>
        <w:spacing w:beforeAutospacing="1" w:afterAutospacing="1"/>
        <w:rPr>
          <w:rFonts w:cs="Arial"/>
        </w:rPr>
      </w:pPr>
      <w:r>
        <w:rPr>
          <w:rFonts w:cs="Arial"/>
        </w:rPr>
        <w:t>Crowded housing conditions or substandard housing conditions are also experienced by more than 84,000 North Carolina households with incomes below 80% AMI (area median income).</w:t>
      </w:r>
    </w:p>
    <w:p w14:paraId="70923FB6" w14:textId="77777777" w:rsidR="00217A61" w:rsidRDefault="001C2695">
      <w:pPr>
        <w:numPr>
          <w:ilvl w:val="0"/>
          <w:numId w:val="3"/>
        </w:numPr>
        <w:spacing w:beforeAutospacing="1" w:afterAutospacing="1"/>
        <w:rPr>
          <w:rFonts w:cs="Arial"/>
        </w:rPr>
      </w:pPr>
      <w:r>
        <w:rPr>
          <w:rFonts w:cs="Arial"/>
        </w:rPr>
        <w:t>There are more than 9,300 homeless individuals in North Carolina,</w:t>
      </w:r>
      <w:r>
        <w:rPr>
          <w:rFonts w:cs="Arial"/>
        </w:rPr>
        <w:t xml:space="preserve"> of whom 76% are sheltered in emergency shelters or transitional housing. The remainder are unsheltered or in structures not meant for human habitation. Chronically homeless people and homeless people with chronic substance abuse are less likely to be shel</w:t>
      </w:r>
      <w:r>
        <w:rPr>
          <w:rFonts w:cs="Arial"/>
        </w:rPr>
        <w:t xml:space="preserve">tered than the homeless </w:t>
      </w:r>
      <w:proofErr w:type="gramStart"/>
      <w:r>
        <w:rPr>
          <w:rFonts w:cs="Arial"/>
        </w:rPr>
        <w:t>population as a whole</w:t>
      </w:r>
      <w:proofErr w:type="gramEnd"/>
      <w:r>
        <w:rPr>
          <w:rFonts w:cs="Arial"/>
        </w:rPr>
        <w:t>. Veterans are more likely to be sheltered.</w:t>
      </w:r>
    </w:p>
    <w:p w14:paraId="35A327BF" w14:textId="77777777" w:rsidR="00217A61" w:rsidRDefault="001C2695">
      <w:pPr>
        <w:pStyle w:val="Heading2"/>
        <w:pageBreakBefore/>
        <w:rPr>
          <w:rFonts w:ascii="Calibri" w:hAnsi="Calibri"/>
          <w:i w:val="0"/>
        </w:rPr>
      </w:pPr>
      <w:r>
        <w:rPr>
          <w:rFonts w:ascii="Calibri" w:hAnsi="Calibri"/>
          <w:i w:val="0"/>
        </w:rPr>
        <w:lastRenderedPageBreak/>
        <w:t>NA-10 Housing Needs Assessment - 24 CFR 91.305 (</w:t>
      </w:r>
      <w:proofErr w:type="spellStart"/>
      <w:proofErr w:type="gramStart"/>
      <w:r>
        <w:rPr>
          <w:rFonts w:ascii="Calibri" w:hAnsi="Calibri"/>
          <w:i w:val="0"/>
        </w:rPr>
        <w:t>a,b</w:t>
      </w:r>
      <w:proofErr w:type="gramEnd"/>
      <w:r>
        <w:rPr>
          <w:rFonts w:ascii="Calibri" w:hAnsi="Calibri"/>
          <w:i w:val="0"/>
        </w:rPr>
        <w:t>,c</w:t>
      </w:r>
      <w:proofErr w:type="spellEnd"/>
      <w:r>
        <w:rPr>
          <w:rFonts w:ascii="Calibri" w:hAnsi="Calibri"/>
          <w:i w:val="0"/>
        </w:rPr>
        <w:t>)</w:t>
      </w:r>
    </w:p>
    <w:p w14:paraId="4F38A353" w14:textId="77777777" w:rsidR="00217A61" w:rsidRDefault="001C2695">
      <w:pPr>
        <w:rPr>
          <w:b/>
          <w:sz w:val="24"/>
          <w:szCs w:val="24"/>
        </w:rPr>
      </w:pPr>
      <w:r>
        <w:rPr>
          <w:b/>
          <w:sz w:val="24"/>
          <w:szCs w:val="24"/>
        </w:rPr>
        <w:t>Summary of Housing Needs</w:t>
      </w:r>
    </w:p>
    <w:p w14:paraId="4ADE984B" w14:textId="77777777" w:rsidR="00217A61" w:rsidRDefault="001C2695">
      <w:pPr>
        <w:spacing w:beforeAutospacing="1" w:afterAutospacing="1"/>
        <w:rPr>
          <w:rFonts w:cs="Arial"/>
        </w:rPr>
      </w:pPr>
      <w:r>
        <w:rPr>
          <w:rFonts w:cs="Arial"/>
        </w:rPr>
        <w:t>North Carolina is the ninth most populous state in the country and experienced the fift</w:t>
      </w:r>
      <w:r>
        <w:rPr>
          <w:rFonts w:cs="Arial"/>
        </w:rPr>
        <w:t>h largest numeric growth between 2010 and 2017. The state is projected to continue its population growth to reach a total of roughly 12 million by 2030. This continued growth will result in an older, more diverse population. The North Carolina Office of St</w:t>
      </w:r>
      <w:r>
        <w:rPr>
          <w:rFonts w:cs="Arial"/>
        </w:rPr>
        <w:t>ate Budget and Management (OSBM) projects that one in five North Carolinians will be at least 65 years old in the next ten years, while the non-Hispanic, non-White, and Hispanic populations will increase by 35% and 27%, respectively. Growth has not been eq</w:t>
      </w:r>
      <w:r>
        <w:rPr>
          <w:rFonts w:cs="Arial"/>
        </w:rPr>
        <w:t xml:space="preserve">ually distributed across the state, with metropolitan counties accounting for much of increasing in population while 35 non-metropolitan counties lost population. Changes in population impact the supply and demand of housing and are a key consideration in </w:t>
      </w:r>
      <w:r>
        <w:rPr>
          <w:rFonts w:cs="Arial"/>
        </w:rPr>
        <w:t>the provision of affordable housing.</w:t>
      </w:r>
    </w:p>
    <w:p w14:paraId="588559B9" w14:textId="77777777" w:rsidR="00217A61" w:rsidRDefault="001C2695">
      <w:pPr>
        <w:spacing w:beforeAutospacing="1" w:afterAutospacing="1"/>
        <w:rPr>
          <w:rFonts w:cs="Arial"/>
        </w:rPr>
      </w:pPr>
      <w:r>
        <w:rPr>
          <w:rFonts w:cs="Arial"/>
        </w:rPr>
        <w:t xml:space="preserve"> Low and </w:t>
      </w:r>
      <w:proofErr w:type="gramStart"/>
      <w:r>
        <w:rPr>
          <w:rFonts w:cs="Arial"/>
        </w:rPr>
        <w:t>extremely-low</w:t>
      </w:r>
      <w:proofErr w:type="gramEnd"/>
      <w:r>
        <w:rPr>
          <w:rFonts w:cs="Arial"/>
        </w:rPr>
        <w:t xml:space="preserve"> income households in North Carolina are spending a disproportionate amount of their incomes on rent. Housing cost burden affects 30% of the state’s households and this percentage is even greater f</w:t>
      </w:r>
      <w:r>
        <w:rPr>
          <w:rFonts w:cs="Arial"/>
        </w:rPr>
        <w:t>or extremely and very low-income households. Out of all extremely low-income households, renters and homeowners with no additional housing problems were the most likely population to experience severe housing cost burden at 59% and 53% respectively. Roughl</w:t>
      </w:r>
      <w:r>
        <w:rPr>
          <w:rFonts w:cs="Arial"/>
        </w:rPr>
        <w:t>y 40% of very low-income renter households struggle with cost burden, along with one-third of low-income renter households. Higher percentages of low-income renters are cost-burdened than low-income owners.</w:t>
      </w:r>
    </w:p>
    <w:p w14:paraId="0ECFFE4E" w14:textId="77777777" w:rsidR="00217A61" w:rsidRDefault="001C2695">
      <w:pPr>
        <w:spacing w:beforeAutospacing="1" w:afterAutospacing="1"/>
        <w:rPr>
          <w:rFonts w:cs="Arial"/>
        </w:rPr>
      </w:pPr>
      <w:r>
        <w:rPr>
          <w:rFonts w:cs="Arial"/>
        </w:rPr>
        <w:t>Extremely low-income renter households are also m</w:t>
      </w:r>
      <w:r>
        <w:rPr>
          <w:rFonts w:cs="Arial"/>
        </w:rPr>
        <w:t>ore likely to reside in substandard or severely overcrowded housing.  There are 84,000 North Carolina households with incomes below 80% AMI (area median income) who live in crowded conditions or substandard housing. A 2017 UNC analysis of extreme housing c</w:t>
      </w:r>
      <w:r>
        <w:rPr>
          <w:rFonts w:cs="Arial"/>
        </w:rPr>
        <w:t>onditions in North Carolina suggests that the members of over 377,000 households in the state are living in overcrowded housing, lack critical facilities, or living in housing that imposes a severe cost burden on residents. The analysis suggests that housi</w:t>
      </w:r>
      <w:r>
        <w:rPr>
          <w:rFonts w:cs="Arial"/>
        </w:rPr>
        <w:t>ng problems are increasing, with the number of severely cost-burdened households increasing by 22.5 percent and the number of overcrowded households by 45.4 percent between 2008 and 2013.</w:t>
      </w:r>
    </w:p>
    <w:p w14:paraId="5C5B9F9F" w14:textId="77777777" w:rsidR="00217A61" w:rsidRDefault="001C2695">
      <w:pPr>
        <w:spacing w:beforeAutospacing="1" w:afterAutospacing="1"/>
        <w:rPr>
          <w:rFonts w:cs="Arial"/>
        </w:rPr>
      </w:pPr>
      <w:r>
        <w:rPr>
          <w:rFonts w:cs="Arial"/>
        </w:rPr>
        <w:t>Extreme housing conditions can be found throughout the state in urba</w:t>
      </w:r>
      <w:r>
        <w:rPr>
          <w:rFonts w:cs="Arial"/>
        </w:rPr>
        <w:t>n, suburban, and rural communities. The largest concentrations were in the Piedmont and Coastal Plain. Census tracts with extreme housing conditions tended to have higher percentages of African Americans, Hispanics, and people living in poverty.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3262"/>
        <w:gridCol w:w="3264"/>
        <w:gridCol w:w="1166"/>
      </w:tblGrid>
      <w:tr w:rsidR="00217A61" w14:paraId="73F95F4A" w14:textId="77777777">
        <w:trPr>
          <w:cantSplit/>
          <w:tblHeader/>
        </w:trPr>
        <w:tc>
          <w:tcPr>
            <w:tcW w:w="1697" w:type="dxa"/>
          </w:tcPr>
          <w:p w14:paraId="420773D3" w14:textId="77777777" w:rsidR="00217A61" w:rsidRDefault="001C2695">
            <w:pPr>
              <w:keepNext/>
              <w:widowControl w:val="0"/>
              <w:spacing w:after="0" w:line="240" w:lineRule="auto"/>
              <w:rPr>
                <w:b/>
              </w:rPr>
            </w:pPr>
            <w:r>
              <w:rPr>
                <w:b/>
                <w:bCs/>
              </w:rPr>
              <w:t>Demographi</w:t>
            </w:r>
            <w:r>
              <w:rPr>
                <w:b/>
                <w:bCs/>
              </w:rPr>
              <w:t>cs</w:t>
            </w:r>
          </w:p>
        </w:tc>
        <w:tc>
          <w:tcPr>
            <w:tcW w:w="3343" w:type="dxa"/>
          </w:tcPr>
          <w:p w14:paraId="32F3300F" w14:textId="77777777" w:rsidR="00217A61" w:rsidRDefault="001C2695">
            <w:pPr>
              <w:keepNext/>
              <w:widowControl w:val="0"/>
              <w:spacing w:beforeAutospacing="1" w:afterAutospacing="1"/>
              <w:jc w:val="center"/>
              <w:rPr>
                <w:b/>
                <w:bCs/>
              </w:rPr>
            </w:pPr>
            <w:r>
              <w:rPr>
                <w:b/>
              </w:rPr>
              <w:t>Base Year:  2009</w:t>
            </w:r>
          </w:p>
        </w:tc>
        <w:tc>
          <w:tcPr>
            <w:tcW w:w="3345" w:type="dxa"/>
          </w:tcPr>
          <w:p w14:paraId="36877116" w14:textId="77777777" w:rsidR="00217A61" w:rsidRDefault="001C2695">
            <w:pPr>
              <w:keepNext/>
              <w:widowControl w:val="0"/>
              <w:spacing w:beforeAutospacing="1" w:afterAutospacing="1"/>
              <w:jc w:val="center"/>
              <w:rPr>
                <w:b/>
                <w:bCs/>
              </w:rPr>
            </w:pPr>
            <w:r>
              <w:rPr>
                <w:b/>
              </w:rPr>
              <w:t>Most Recent Year:  2019</w:t>
            </w:r>
          </w:p>
        </w:tc>
        <w:tc>
          <w:tcPr>
            <w:tcW w:w="1191" w:type="dxa"/>
          </w:tcPr>
          <w:p w14:paraId="050A3755" w14:textId="77777777" w:rsidR="00217A61" w:rsidRDefault="001C2695">
            <w:pPr>
              <w:keepNext/>
              <w:widowControl w:val="0"/>
              <w:spacing w:after="0" w:line="240" w:lineRule="auto"/>
              <w:jc w:val="center"/>
              <w:rPr>
                <w:b/>
              </w:rPr>
            </w:pPr>
            <w:r>
              <w:rPr>
                <w:b/>
                <w:bCs/>
              </w:rPr>
              <w:t>% Change</w:t>
            </w:r>
          </w:p>
        </w:tc>
      </w:tr>
      <w:tr w:rsidR="00217A61" w14:paraId="73F16884" w14:textId="77777777">
        <w:trPr>
          <w:cantSplit/>
        </w:trPr>
        <w:tc>
          <w:tcPr>
            <w:tcW w:w="1697" w:type="dxa"/>
          </w:tcPr>
          <w:p w14:paraId="40C9888D" w14:textId="77777777" w:rsidR="00217A61" w:rsidRDefault="001C2695">
            <w:pPr>
              <w:spacing w:beforeAutospacing="1" w:afterAutospacing="1"/>
            </w:pPr>
            <w:r>
              <w:rPr>
                <w:color w:val="000000"/>
              </w:rPr>
              <w:t>Population</w:t>
            </w:r>
          </w:p>
        </w:tc>
        <w:tc>
          <w:tcPr>
            <w:tcW w:w="3343" w:type="dxa"/>
            <w:vAlign w:val="bottom"/>
          </w:tcPr>
          <w:p w14:paraId="0E886E01" w14:textId="77777777" w:rsidR="00217A61" w:rsidRDefault="001C2695">
            <w:pPr>
              <w:spacing w:beforeAutospacing="1" w:afterAutospacing="1"/>
              <w:jc w:val="right"/>
            </w:pPr>
            <w:r>
              <w:rPr>
                <w:color w:val="000000"/>
              </w:rPr>
              <w:t>9,535,483</w:t>
            </w:r>
          </w:p>
        </w:tc>
        <w:tc>
          <w:tcPr>
            <w:tcW w:w="3345" w:type="dxa"/>
            <w:vAlign w:val="bottom"/>
          </w:tcPr>
          <w:p w14:paraId="22F0DB9B" w14:textId="77777777" w:rsidR="00217A61" w:rsidRDefault="001C2695">
            <w:pPr>
              <w:spacing w:beforeAutospacing="1" w:afterAutospacing="1"/>
              <w:jc w:val="right"/>
            </w:pPr>
            <w:r>
              <w:rPr>
                <w:color w:val="000000"/>
              </w:rPr>
              <w:t>1,048,808</w:t>
            </w:r>
          </w:p>
        </w:tc>
        <w:tc>
          <w:tcPr>
            <w:tcW w:w="1191" w:type="dxa"/>
            <w:vAlign w:val="bottom"/>
          </w:tcPr>
          <w:p w14:paraId="0D25887A" w14:textId="77777777" w:rsidR="00217A61" w:rsidRDefault="001C2695">
            <w:pPr>
              <w:spacing w:beforeAutospacing="1" w:afterAutospacing="1"/>
              <w:jc w:val="right"/>
            </w:pPr>
            <w:r>
              <w:rPr>
                <w:color w:val="000000"/>
              </w:rPr>
              <w:t>-89%</w:t>
            </w:r>
          </w:p>
        </w:tc>
      </w:tr>
      <w:tr w:rsidR="00217A61" w14:paraId="6E3DF02C" w14:textId="77777777">
        <w:trPr>
          <w:cantSplit/>
        </w:trPr>
        <w:tc>
          <w:tcPr>
            <w:tcW w:w="1697" w:type="dxa"/>
          </w:tcPr>
          <w:p w14:paraId="0F4372A3" w14:textId="77777777" w:rsidR="00217A61" w:rsidRDefault="001C2695">
            <w:pPr>
              <w:spacing w:beforeAutospacing="1" w:afterAutospacing="1"/>
            </w:pPr>
            <w:r>
              <w:rPr>
                <w:color w:val="000000"/>
              </w:rPr>
              <w:t>Households</w:t>
            </w:r>
          </w:p>
        </w:tc>
        <w:tc>
          <w:tcPr>
            <w:tcW w:w="3343" w:type="dxa"/>
            <w:vAlign w:val="bottom"/>
          </w:tcPr>
          <w:p w14:paraId="2991933C" w14:textId="77777777" w:rsidR="00217A61" w:rsidRDefault="001C2695">
            <w:pPr>
              <w:spacing w:beforeAutospacing="1" w:afterAutospacing="1"/>
              <w:jc w:val="right"/>
            </w:pPr>
            <w:r>
              <w:rPr>
                <w:color w:val="000000"/>
              </w:rPr>
              <w:t>3,541,807</w:t>
            </w:r>
          </w:p>
        </w:tc>
        <w:tc>
          <w:tcPr>
            <w:tcW w:w="3345" w:type="dxa"/>
            <w:vAlign w:val="bottom"/>
          </w:tcPr>
          <w:p w14:paraId="50CA2B3B" w14:textId="77777777" w:rsidR="00217A61" w:rsidRDefault="001C2695">
            <w:pPr>
              <w:spacing w:beforeAutospacing="1" w:afterAutospacing="1"/>
              <w:jc w:val="right"/>
            </w:pPr>
            <w:r>
              <w:rPr>
                <w:color w:val="000000"/>
              </w:rPr>
              <w:t>3,918,597</w:t>
            </w:r>
          </w:p>
        </w:tc>
        <w:tc>
          <w:tcPr>
            <w:tcW w:w="1191" w:type="dxa"/>
            <w:vAlign w:val="bottom"/>
          </w:tcPr>
          <w:p w14:paraId="76E94661" w14:textId="77777777" w:rsidR="00217A61" w:rsidRDefault="001C2695">
            <w:pPr>
              <w:spacing w:beforeAutospacing="1" w:afterAutospacing="1"/>
              <w:jc w:val="right"/>
            </w:pPr>
            <w:r>
              <w:rPr>
                <w:color w:val="000000"/>
              </w:rPr>
              <w:t>11%</w:t>
            </w:r>
          </w:p>
        </w:tc>
      </w:tr>
      <w:tr w:rsidR="00217A61" w14:paraId="700DA9A2" w14:textId="77777777">
        <w:trPr>
          <w:cantSplit/>
        </w:trPr>
        <w:tc>
          <w:tcPr>
            <w:tcW w:w="1697" w:type="dxa"/>
          </w:tcPr>
          <w:p w14:paraId="5933A86A" w14:textId="77777777" w:rsidR="00217A61" w:rsidRDefault="001C2695">
            <w:pPr>
              <w:spacing w:beforeAutospacing="1" w:afterAutospacing="1"/>
            </w:pPr>
            <w:r>
              <w:rPr>
                <w:color w:val="000000"/>
              </w:rPr>
              <w:t>Median Income</w:t>
            </w:r>
          </w:p>
        </w:tc>
        <w:tc>
          <w:tcPr>
            <w:tcW w:w="3343" w:type="dxa"/>
            <w:vAlign w:val="bottom"/>
          </w:tcPr>
          <w:p w14:paraId="2DD0E205" w14:textId="77777777" w:rsidR="00217A61" w:rsidRDefault="001C2695">
            <w:pPr>
              <w:spacing w:beforeAutospacing="1" w:afterAutospacing="1"/>
              <w:jc w:val="right"/>
            </w:pPr>
            <w:r>
              <w:rPr>
                <w:color w:val="000000"/>
              </w:rPr>
              <w:t>$45,069.00</w:t>
            </w:r>
          </w:p>
        </w:tc>
        <w:tc>
          <w:tcPr>
            <w:tcW w:w="3345" w:type="dxa"/>
            <w:vAlign w:val="bottom"/>
          </w:tcPr>
          <w:p w14:paraId="417BA8CB" w14:textId="77777777" w:rsidR="00217A61" w:rsidRDefault="001C2695">
            <w:pPr>
              <w:spacing w:beforeAutospacing="1" w:afterAutospacing="1"/>
              <w:jc w:val="right"/>
            </w:pPr>
            <w:r>
              <w:rPr>
                <w:color w:val="000000"/>
              </w:rPr>
              <w:t>$52,413.00</w:t>
            </w:r>
          </w:p>
        </w:tc>
        <w:tc>
          <w:tcPr>
            <w:tcW w:w="1191" w:type="dxa"/>
            <w:vAlign w:val="bottom"/>
          </w:tcPr>
          <w:p w14:paraId="40073875" w14:textId="77777777" w:rsidR="00217A61" w:rsidRDefault="001C2695">
            <w:pPr>
              <w:spacing w:beforeAutospacing="1" w:afterAutospacing="1"/>
              <w:jc w:val="right"/>
            </w:pPr>
            <w:r>
              <w:rPr>
                <w:color w:val="000000"/>
              </w:rPr>
              <w:t>16%</w:t>
            </w:r>
          </w:p>
        </w:tc>
      </w:tr>
    </w:tbl>
    <w:p w14:paraId="5731907B" w14:textId="77777777" w:rsidR="00217A61" w:rsidRDefault="001C2695">
      <w:pPr>
        <w:pStyle w:val="Caption"/>
        <w:jc w:val="center"/>
        <w:rPr>
          <w:rFonts w:asciiTheme="minorHAnsi" w:hAnsiTheme="minorHAnsi"/>
        </w:rPr>
      </w:pPr>
      <w:bookmarkStart w:id="0" w:name="_Toc307833501"/>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Housing Needs Assessment Demographics</w:t>
      </w:r>
      <w:bookmarkEnd w:id="0"/>
    </w:p>
    <w:p w14:paraId="2380966D" w14:textId="77777777" w:rsidR="00217A61" w:rsidRDefault="00217A61">
      <w:pPr>
        <w:spacing w:after="0"/>
      </w:pPr>
    </w:p>
    <w:p w14:paraId="1717A1FA" w14:textId="77777777" w:rsidR="00217A61" w:rsidRDefault="00217A61">
      <w:pPr>
        <w:spacing w:after="0" w:line="240" w:lineRule="auto"/>
        <w:rPr>
          <w:vanish/>
        </w:rPr>
      </w:pPr>
    </w:p>
    <w:tbl>
      <w:tblPr>
        <w:tblW w:w="0" w:type="auto"/>
        <w:tblInd w:w="108" w:type="dxa"/>
        <w:tblLook w:val="01E0" w:firstRow="1" w:lastRow="1" w:firstColumn="1" w:lastColumn="1" w:noHBand="0" w:noVBand="0"/>
      </w:tblPr>
      <w:tblGrid>
        <w:gridCol w:w="2160"/>
      </w:tblGrid>
      <w:tr w:rsidR="00217A61" w14:paraId="20F2208B" w14:textId="77777777">
        <w:tc>
          <w:tcPr>
            <w:tcW w:w="0" w:type="auto"/>
          </w:tcPr>
          <w:p w14:paraId="00ADA726" w14:textId="77777777" w:rsidR="00217A61" w:rsidRDefault="001C2695">
            <w:pPr>
              <w:keepNext/>
              <w:widowControl w:val="0"/>
              <w:spacing w:after="0" w:line="240" w:lineRule="auto"/>
            </w:pPr>
            <w:r>
              <w:rPr>
                <w:b/>
                <w:sz w:val="16"/>
                <w:szCs w:val="16"/>
              </w:rPr>
              <w:lastRenderedPageBreak/>
              <w:t>Alternate Data Source Name:</w:t>
            </w:r>
          </w:p>
        </w:tc>
      </w:tr>
      <w:tr w:rsidR="00217A61" w14:paraId="71504B2E" w14:textId="77777777">
        <w:trPr>
          <w:cantSplit/>
        </w:trPr>
        <w:tc>
          <w:tcPr>
            <w:tcW w:w="0" w:type="auto"/>
          </w:tcPr>
          <w:p w14:paraId="03D72FC5" w14:textId="77777777" w:rsidR="00217A61" w:rsidRDefault="001C2695">
            <w:pPr>
              <w:spacing w:beforeAutospacing="1" w:afterAutospacing="1"/>
            </w:pPr>
            <w:r>
              <w:rPr>
                <w:color w:val="000000"/>
                <w:sz w:val="16"/>
              </w:rPr>
              <w:t>2014 - 2018 ACS</w:t>
            </w:r>
          </w:p>
        </w:tc>
      </w:tr>
    </w:tbl>
    <w:p w14:paraId="30610528" w14:textId="77777777" w:rsidR="00217A61" w:rsidRDefault="00217A61">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50"/>
        <w:gridCol w:w="7410"/>
      </w:tblGrid>
      <w:tr w:rsidR="00217A61" w14:paraId="598AC2C5" w14:textId="77777777">
        <w:trPr>
          <w:cantSplit/>
        </w:trPr>
        <w:tc>
          <w:tcPr>
            <w:tcW w:w="1980" w:type="dxa"/>
            <w:vAlign w:val="bottom"/>
          </w:tcPr>
          <w:p w14:paraId="150F9EE2" w14:textId="77777777" w:rsidR="00217A61" w:rsidRDefault="001C2695">
            <w:pPr>
              <w:spacing w:after="0" w:line="240" w:lineRule="auto"/>
              <w:rPr>
                <w:sz w:val="16"/>
                <w:szCs w:val="16"/>
              </w:rPr>
            </w:pPr>
            <w:r>
              <w:rPr>
                <w:b/>
                <w:bCs/>
                <w:sz w:val="16"/>
                <w:szCs w:val="16"/>
              </w:rPr>
              <w:t>Data Source Comments:</w:t>
            </w:r>
          </w:p>
        </w:tc>
        <w:tc>
          <w:tcPr>
            <w:tcW w:w="7610" w:type="dxa"/>
            <w:vAlign w:val="bottom"/>
          </w:tcPr>
          <w:p w14:paraId="134F054B" w14:textId="77777777" w:rsidR="00217A61" w:rsidRDefault="001C2695">
            <w:pPr>
              <w:spacing w:beforeAutospacing="1" w:afterAutospacing="1"/>
              <w:rPr>
                <w:sz w:val="16"/>
                <w:szCs w:val="16"/>
              </w:rPr>
            </w:pPr>
            <w:r>
              <w:rPr>
                <w:sz w:val="16"/>
                <w:szCs w:val="16"/>
              </w:rPr>
              <w:t xml:space="preserve">The most recent population is 10,488,084 but I </w:t>
            </w:r>
            <w:proofErr w:type="gramStart"/>
            <w:r>
              <w:rPr>
                <w:sz w:val="16"/>
                <w:szCs w:val="16"/>
              </w:rPr>
              <w:t>can't</w:t>
            </w:r>
            <w:proofErr w:type="gramEnd"/>
            <w:r>
              <w:rPr>
                <w:sz w:val="16"/>
                <w:szCs w:val="16"/>
              </w:rPr>
              <w:t xml:space="preserve"> add another digit</w:t>
            </w:r>
          </w:p>
        </w:tc>
      </w:tr>
    </w:tbl>
    <w:p w14:paraId="3B5EE612" w14:textId="77777777" w:rsidR="00217A61" w:rsidRDefault="00217A61"/>
    <w:p w14:paraId="42AD0699" w14:textId="77777777" w:rsidR="00217A61" w:rsidRDefault="001C2695">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42"/>
        <w:gridCol w:w="1203"/>
        <w:gridCol w:w="1203"/>
        <w:gridCol w:w="1203"/>
        <w:gridCol w:w="1203"/>
        <w:gridCol w:w="1296"/>
      </w:tblGrid>
      <w:tr w:rsidR="00217A61" w14:paraId="032400CA" w14:textId="77777777">
        <w:trPr>
          <w:cantSplit/>
          <w:tblHeader/>
        </w:trPr>
        <w:tc>
          <w:tcPr>
            <w:tcW w:w="2005" w:type="dxa"/>
          </w:tcPr>
          <w:p w14:paraId="02E2EF0E" w14:textId="77777777" w:rsidR="00217A61" w:rsidRDefault="00217A61">
            <w:pPr>
              <w:keepNext/>
              <w:widowControl w:val="0"/>
              <w:spacing w:after="0" w:line="240" w:lineRule="auto"/>
              <w:rPr>
                <w:b/>
              </w:rPr>
            </w:pPr>
          </w:p>
        </w:tc>
        <w:tc>
          <w:tcPr>
            <w:tcW w:w="1517" w:type="dxa"/>
          </w:tcPr>
          <w:p w14:paraId="56F9ACE6" w14:textId="77777777" w:rsidR="00217A61" w:rsidRDefault="001C2695">
            <w:pPr>
              <w:keepNext/>
              <w:widowControl w:val="0"/>
              <w:spacing w:after="0" w:line="240" w:lineRule="auto"/>
              <w:jc w:val="center"/>
              <w:rPr>
                <w:rFonts w:cs="Arial"/>
                <w:b/>
              </w:rPr>
            </w:pPr>
            <w:r>
              <w:rPr>
                <w:b/>
                <w:bCs/>
              </w:rPr>
              <w:t xml:space="preserve">0-30% </w:t>
            </w:r>
            <w:r>
              <w:rPr>
                <w:b/>
              </w:rPr>
              <w:t>HAMFI</w:t>
            </w:r>
          </w:p>
        </w:tc>
        <w:tc>
          <w:tcPr>
            <w:tcW w:w="1517" w:type="dxa"/>
          </w:tcPr>
          <w:p w14:paraId="436AD1F7" w14:textId="77777777" w:rsidR="00217A61" w:rsidRDefault="001C2695">
            <w:pPr>
              <w:keepNext/>
              <w:widowControl w:val="0"/>
              <w:spacing w:after="0" w:line="240" w:lineRule="auto"/>
              <w:jc w:val="center"/>
              <w:rPr>
                <w:rFonts w:cs="Arial"/>
                <w:b/>
              </w:rPr>
            </w:pPr>
            <w:r>
              <w:rPr>
                <w:b/>
                <w:bCs/>
              </w:rPr>
              <w:t xml:space="preserve">&gt;30-50% </w:t>
            </w:r>
            <w:r>
              <w:rPr>
                <w:b/>
              </w:rPr>
              <w:t>HAMFI</w:t>
            </w:r>
          </w:p>
        </w:tc>
        <w:tc>
          <w:tcPr>
            <w:tcW w:w="1517" w:type="dxa"/>
          </w:tcPr>
          <w:p w14:paraId="7405DC79" w14:textId="77777777" w:rsidR="00217A61" w:rsidRDefault="001C2695">
            <w:pPr>
              <w:keepNext/>
              <w:widowControl w:val="0"/>
              <w:spacing w:after="0" w:line="240" w:lineRule="auto"/>
              <w:jc w:val="center"/>
              <w:rPr>
                <w:rFonts w:cs="Arial"/>
                <w:b/>
              </w:rPr>
            </w:pPr>
            <w:r>
              <w:rPr>
                <w:b/>
                <w:bCs/>
              </w:rPr>
              <w:t xml:space="preserve">&gt;50-80% </w:t>
            </w:r>
            <w:r>
              <w:rPr>
                <w:b/>
              </w:rPr>
              <w:t>HAMFI</w:t>
            </w:r>
          </w:p>
        </w:tc>
        <w:tc>
          <w:tcPr>
            <w:tcW w:w="1517" w:type="dxa"/>
          </w:tcPr>
          <w:p w14:paraId="1FE815CE" w14:textId="77777777" w:rsidR="00217A61" w:rsidRDefault="001C2695">
            <w:pPr>
              <w:keepNext/>
              <w:widowControl w:val="0"/>
              <w:spacing w:after="0" w:line="240" w:lineRule="auto"/>
              <w:jc w:val="center"/>
              <w:rPr>
                <w:rFonts w:cs="Arial"/>
                <w:b/>
              </w:rPr>
            </w:pPr>
            <w:r>
              <w:rPr>
                <w:b/>
                <w:bCs/>
              </w:rPr>
              <w:t xml:space="preserve">&gt;80-100% </w:t>
            </w:r>
            <w:r>
              <w:rPr>
                <w:b/>
              </w:rPr>
              <w:t>HAMFI</w:t>
            </w:r>
          </w:p>
        </w:tc>
        <w:tc>
          <w:tcPr>
            <w:tcW w:w="1517" w:type="dxa"/>
          </w:tcPr>
          <w:p w14:paraId="25993F74" w14:textId="77777777" w:rsidR="00217A61" w:rsidRDefault="001C2695">
            <w:pPr>
              <w:keepNext/>
              <w:widowControl w:val="0"/>
              <w:spacing w:after="0" w:line="240" w:lineRule="auto"/>
              <w:rPr>
                <w:b/>
              </w:rPr>
            </w:pPr>
            <w:r>
              <w:rPr>
                <w:b/>
              </w:rPr>
              <w:t>&gt;100% HAMFI</w:t>
            </w:r>
          </w:p>
        </w:tc>
      </w:tr>
      <w:tr w:rsidR="00217A61" w14:paraId="3B2B3B44" w14:textId="77777777">
        <w:trPr>
          <w:cantSplit/>
        </w:trPr>
        <w:tc>
          <w:tcPr>
            <w:tcW w:w="0" w:type="auto"/>
          </w:tcPr>
          <w:p w14:paraId="173EE8FA" w14:textId="77777777" w:rsidR="00217A61" w:rsidRDefault="001C2695">
            <w:pPr>
              <w:spacing w:beforeAutospacing="1" w:afterAutospacing="1"/>
            </w:pPr>
            <w:r>
              <w:rPr>
                <w:color w:val="000000"/>
              </w:rPr>
              <w:t>Total Households</w:t>
            </w:r>
          </w:p>
        </w:tc>
        <w:tc>
          <w:tcPr>
            <w:tcW w:w="0" w:type="auto"/>
            <w:vAlign w:val="bottom"/>
          </w:tcPr>
          <w:p w14:paraId="637C7D03" w14:textId="77777777" w:rsidR="00217A61" w:rsidRDefault="001C2695">
            <w:pPr>
              <w:spacing w:beforeAutospacing="1" w:afterAutospacing="1"/>
              <w:jc w:val="right"/>
            </w:pPr>
            <w:r>
              <w:rPr>
                <w:color w:val="000000"/>
              </w:rPr>
              <w:t>481,720</w:t>
            </w:r>
          </w:p>
        </w:tc>
        <w:tc>
          <w:tcPr>
            <w:tcW w:w="0" w:type="auto"/>
            <w:vAlign w:val="bottom"/>
          </w:tcPr>
          <w:p w14:paraId="39D4C3CB" w14:textId="77777777" w:rsidR="00217A61" w:rsidRDefault="001C2695">
            <w:pPr>
              <w:spacing w:beforeAutospacing="1" w:afterAutospacing="1"/>
              <w:jc w:val="right"/>
            </w:pPr>
            <w:r>
              <w:rPr>
                <w:color w:val="000000"/>
              </w:rPr>
              <w:t>468,585</w:t>
            </w:r>
          </w:p>
        </w:tc>
        <w:tc>
          <w:tcPr>
            <w:tcW w:w="0" w:type="auto"/>
            <w:vAlign w:val="bottom"/>
          </w:tcPr>
          <w:p w14:paraId="32680535" w14:textId="77777777" w:rsidR="00217A61" w:rsidRDefault="001C2695">
            <w:pPr>
              <w:spacing w:beforeAutospacing="1" w:afterAutospacing="1"/>
              <w:jc w:val="right"/>
            </w:pPr>
            <w:r>
              <w:rPr>
                <w:color w:val="000000"/>
              </w:rPr>
              <w:t>659,020</w:t>
            </w:r>
          </w:p>
        </w:tc>
        <w:tc>
          <w:tcPr>
            <w:tcW w:w="0" w:type="auto"/>
            <w:vAlign w:val="bottom"/>
          </w:tcPr>
          <w:p w14:paraId="5B9CA083" w14:textId="77777777" w:rsidR="00217A61" w:rsidRDefault="001C2695">
            <w:pPr>
              <w:spacing w:beforeAutospacing="1" w:afterAutospacing="1"/>
              <w:jc w:val="right"/>
            </w:pPr>
            <w:r>
              <w:rPr>
                <w:color w:val="000000"/>
              </w:rPr>
              <w:t>383,335</w:t>
            </w:r>
          </w:p>
        </w:tc>
        <w:tc>
          <w:tcPr>
            <w:tcW w:w="0" w:type="auto"/>
            <w:vAlign w:val="bottom"/>
          </w:tcPr>
          <w:p w14:paraId="22C6AEC3" w14:textId="77777777" w:rsidR="00217A61" w:rsidRDefault="001C2695">
            <w:pPr>
              <w:spacing w:beforeAutospacing="1" w:afterAutospacing="1"/>
              <w:jc w:val="right"/>
            </w:pPr>
            <w:r>
              <w:rPr>
                <w:color w:val="000000"/>
              </w:rPr>
              <w:t>1,782,920</w:t>
            </w:r>
          </w:p>
        </w:tc>
      </w:tr>
      <w:tr w:rsidR="00217A61" w14:paraId="48F7CC50" w14:textId="77777777">
        <w:trPr>
          <w:cantSplit/>
        </w:trPr>
        <w:tc>
          <w:tcPr>
            <w:tcW w:w="0" w:type="auto"/>
          </w:tcPr>
          <w:p w14:paraId="048D8409" w14:textId="77777777" w:rsidR="00217A61" w:rsidRDefault="001C2695">
            <w:pPr>
              <w:spacing w:beforeAutospacing="1" w:afterAutospacing="1"/>
            </w:pPr>
            <w:r>
              <w:rPr>
                <w:color w:val="000000"/>
              </w:rPr>
              <w:t>Small Family Households</w:t>
            </w:r>
          </w:p>
        </w:tc>
        <w:tc>
          <w:tcPr>
            <w:tcW w:w="0" w:type="auto"/>
            <w:vAlign w:val="bottom"/>
          </w:tcPr>
          <w:p w14:paraId="440F0910" w14:textId="77777777" w:rsidR="00217A61" w:rsidRDefault="001C2695">
            <w:pPr>
              <w:spacing w:beforeAutospacing="1" w:afterAutospacing="1"/>
              <w:jc w:val="right"/>
            </w:pPr>
            <w:r>
              <w:rPr>
                <w:color w:val="000000"/>
              </w:rPr>
              <w:t>161,620</w:t>
            </w:r>
          </w:p>
        </w:tc>
        <w:tc>
          <w:tcPr>
            <w:tcW w:w="0" w:type="auto"/>
            <w:vAlign w:val="bottom"/>
          </w:tcPr>
          <w:p w14:paraId="0FDB82B5" w14:textId="77777777" w:rsidR="00217A61" w:rsidRDefault="001C2695">
            <w:pPr>
              <w:spacing w:beforeAutospacing="1" w:afterAutospacing="1"/>
              <w:jc w:val="right"/>
            </w:pPr>
            <w:r>
              <w:rPr>
                <w:color w:val="000000"/>
              </w:rPr>
              <w:t>155,055</w:t>
            </w:r>
          </w:p>
        </w:tc>
        <w:tc>
          <w:tcPr>
            <w:tcW w:w="0" w:type="auto"/>
            <w:vAlign w:val="bottom"/>
          </w:tcPr>
          <w:p w14:paraId="73320FB3" w14:textId="77777777" w:rsidR="00217A61" w:rsidRDefault="001C2695">
            <w:pPr>
              <w:spacing w:beforeAutospacing="1" w:afterAutospacing="1"/>
              <w:jc w:val="right"/>
            </w:pPr>
            <w:r>
              <w:rPr>
                <w:color w:val="000000"/>
              </w:rPr>
              <w:t>247,785</w:t>
            </w:r>
          </w:p>
        </w:tc>
        <w:tc>
          <w:tcPr>
            <w:tcW w:w="0" w:type="auto"/>
            <w:vAlign w:val="bottom"/>
          </w:tcPr>
          <w:p w14:paraId="62913DD6" w14:textId="77777777" w:rsidR="00217A61" w:rsidRDefault="001C2695">
            <w:pPr>
              <w:spacing w:beforeAutospacing="1" w:afterAutospacing="1"/>
              <w:jc w:val="right"/>
            </w:pPr>
            <w:r>
              <w:rPr>
                <w:color w:val="000000"/>
              </w:rPr>
              <w:t>158,875</w:t>
            </w:r>
          </w:p>
        </w:tc>
        <w:tc>
          <w:tcPr>
            <w:tcW w:w="0" w:type="auto"/>
            <w:vAlign w:val="bottom"/>
          </w:tcPr>
          <w:p w14:paraId="78FE25A9" w14:textId="77777777" w:rsidR="00217A61" w:rsidRDefault="001C2695">
            <w:pPr>
              <w:spacing w:beforeAutospacing="1" w:afterAutospacing="1"/>
              <w:jc w:val="right"/>
            </w:pPr>
            <w:r>
              <w:rPr>
                <w:color w:val="000000"/>
              </w:rPr>
              <w:t>957,605</w:t>
            </w:r>
          </w:p>
        </w:tc>
      </w:tr>
      <w:tr w:rsidR="00217A61" w14:paraId="42E69858" w14:textId="77777777">
        <w:trPr>
          <w:cantSplit/>
        </w:trPr>
        <w:tc>
          <w:tcPr>
            <w:tcW w:w="0" w:type="auto"/>
          </w:tcPr>
          <w:p w14:paraId="65660615" w14:textId="77777777" w:rsidR="00217A61" w:rsidRDefault="001C2695">
            <w:pPr>
              <w:spacing w:beforeAutospacing="1" w:afterAutospacing="1"/>
            </w:pPr>
            <w:r>
              <w:rPr>
                <w:color w:val="000000"/>
              </w:rPr>
              <w:t>Large Family Households</w:t>
            </w:r>
          </w:p>
        </w:tc>
        <w:tc>
          <w:tcPr>
            <w:tcW w:w="0" w:type="auto"/>
            <w:vAlign w:val="bottom"/>
          </w:tcPr>
          <w:p w14:paraId="1604387C" w14:textId="77777777" w:rsidR="00217A61" w:rsidRDefault="001C2695">
            <w:pPr>
              <w:spacing w:beforeAutospacing="1" w:afterAutospacing="1"/>
              <w:jc w:val="right"/>
            </w:pPr>
            <w:r>
              <w:rPr>
                <w:color w:val="000000"/>
              </w:rPr>
              <w:t>32,155</w:t>
            </w:r>
          </w:p>
        </w:tc>
        <w:tc>
          <w:tcPr>
            <w:tcW w:w="0" w:type="auto"/>
            <w:vAlign w:val="bottom"/>
          </w:tcPr>
          <w:p w14:paraId="3AF7B341" w14:textId="77777777" w:rsidR="00217A61" w:rsidRDefault="001C2695">
            <w:pPr>
              <w:spacing w:beforeAutospacing="1" w:afterAutospacing="1"/>
              <w:jc w:val="right"/>
            </w:pPr>
            <w:r>
              <w:rPr>
                <w:color w:val="000000"/>
              </w:rPr>
              <w:t>34,725</w:t>
            </w:r>
          </w:p>
        </w:tc>
        <w:tc>
          <w:tcPr>
            <w:tcW w:w="0" w:type="auto"/>
            <w:vAlign w:val="bottom"/>
          </w:tcPr>
          <w:p w14:paraId="4BA4A605" w14:textId="77777777" w:rsidR="00217A61" w:rsidRDefault="001C2695">
            <w:pPr>
              <w:spacing w:beforeAutospacing="1" w:afterAutospacing="1"/>
              <w:jc w:val="right"/>
            </w:pPr>
            <w:r>
              <w:rPr>
                <w:color w:val="000000"/>
              </w:rPr>
              <w:t>50,700</w:t>
            </w:r>
          </w:p>
        </w:tc>
        <w:tc>
          <w:tcPr>
            <w:tcW w:w="0" w:type="auto"/>
            <w:vAlign w:val="bottom"/>
          </w:tcPr>
          <w:p w14:paraId="0681ECC1" w14:textId="77777777" w:rsidR="00217A61" w:rsidRDefault="001C2695">
            <w:pPr>
              <w:spacing w:beforeAutospacing="1" w:afterAutospacing="1"/>
              <w:jc w:val="right"/>
            </w:pPr>
            <w:r>
              <w:rPr>
                <w:color w:val="000000"/>
              </w:rPr>
              <w:t>28,575</w:t>
            </w:r>
          </w:p>
        </w:tc>
        <w:tc>
          <w:tcPr>
            <w:tcW w:w="0" w:type="auto"/>
            <w:vAlign w:val="bottom"/>
          </w:tcPr>
          <w:p w14:paraId="416460E9" w14:textId="77777777" w:rsidR="00217A61" w:rsidRDefault="001C2695">
            <w:pPr>
              <w:spacing w:beforeAutospacing="1" w:afterAutospacing="1"/>
              <w:jc w:val="right"/>
            </w:pPr>
            <w:r>
              <w:rPr>
                <w:color w:val="000000"/>
              </w:rPr>
              <w:t>118,760</w:t>
            </w:r>
          </w:p>
        </w:tc>
      </w:tr>
      <w:tr w:rsidR="00217A61" w14:paraId="5281ED0B" w14:textId="77777777">
        <w:trPr>
          <w:cantSplit/>
        </w:trPr>
        <w:tc>
          <w:tcPr>
            <w:tcW w:w="0" w:type="auto"/>
          </w:tcPr>
          <w:p w14:paraId="236F4FAC" w14:textId="77777777" w:rsidR="00217A61" w:rsidRDefault="001C2695">
            <w:pPr>
              <w:spacing w:beforeAutospacing="1" w:afterAutospacing="1"/>
            </w:pPr>
            <w:r>
              <w:rPr>
                <w:color w:val="000000"/>
              </w:rPr>
              <w:t>Household contains at least one person 62-74 years of age</w:t>
            </w:r>
          </w:p>
        </w:tc>
        <w:tc>
          <w:tcPr>
            <w:tcW w:w="0" w:type="auto"/>
            <w:vAlign w:val="bottom"/>
          </w:tcPr>
          <w:p w14:paraId="00503BF3" w14:textId="77777777" w:rsidR="00217A61" w:rsidRDefault="001C2695">
            <w:pPr>
              <w:spacing w:beforeAutospacing="1" w:afterAutospacing="1"/>
              <w:jc w:val="right"/>
            </w:pPr>
            <w:r>
              <w:rPr>
                <w:color w:val="000000"/>
              </w:rPr>
              <w:t>79,670</w:t>
            </w:r>
          </w:p>
        </w:tc>
        <w:tc>
          <w:tcPr>
            <w:tcW w:w="0" w:type="auto"/>
            <w:vAlign w:val="bottom"/>
          </w:tcPr>
          <w:p w14:paraId="2118912D" w14:textId="77777777" w:rsidR="00217A61" w:rsidRDefault="001C2695">
            <w:pPr>
              <w:spacing w:beforeAutospacing="1" w:afterAutospacing="1"/>
              <w:jc w:val="right"/>
            </w:pPr>
            <w:r>
              <w:rPr>
                <w:color w:val="000000"/>
              </w:rPr>
              <w:t>103,160</w:t>
            </w:r>
          </w:p>
        </w:tc>
        <w:tc>
          <w:tcPr>
            <w:tcW w:w="0" w:type="auto"/>
            <w:vAlign w:val="bottom"/>
          </w:tcPr>
          <w:p w14:paraId="46863228" w14:textId="77777777" w:rsidR="00217A61" w:rsidRDefault="001C2695">
            <w:pPr>
              <w:spacing w:beforeAutospacing="1" w:afterAutospacing="1"/>
              <w:jc w:val="right"/>
            </w:pPr>
            <w:r>
              <w:rPr>
                <w:color w:val="000000"/>
              </w:rPr>
              <w:t>143,595</w:t>
            </w:r>
          </w:p>
        </w:tc>
        <w:tc>
          <w:tcPr>
            <w:tcW w:w="0" w:type="auto"/>
            <w:vAlign w:val="bottom"/>
          </w:tcPr>
          <w:p w14:paraId="253F0359" w14:textId="77777777" w:rsidR="00217A61" w:rsidRDefault="001C2695">
            <w:pPr>
              <w:spacing w:beforeAutospacing="1" w:afterAutospacing="1"/>
              <w:jc w:val="right"/>
            </w:pPr>
            <w:r>
              <w:rPr>
                <w:color w:val="000000"/>
              </w:rPr>
              <w:t>83,355</w:t>
            </w:r>
          </w:p>
        </w:tc>
        <w:tc>
          <w:tcPr>
            <w:tcW w:w="0" w:type="auto"/>
            <w:vAlign w:val="bottom"/>
          </w:tcPr>
          <w:p w14:paraId="7D702680" w14:textId="77777777" w:rsidR="00217A61" w:rsidRDefault="001C2695">
            <w:pPr>
              <w:spacing w:beforeAutospacing="1" w:afterAutospacing="1"/>
              <w:jc w:val="right"/>
            </w:pPr>
            <w:r>
              <w:rPr>
                <w:color w:val="000000"/>
              </w:rPr>
              <w:t>384,115</w:t>
            </w:r>
          </w:p>
        </w:tc>
      </w:tr>
      <w:tr w:rsidR="00217A61" w14:paraId="17F2C78E" w14:textId="77777777">
        <w:trPr>
          <w:cantSplit/>
        </w:trPr>
        <w:tc>
          <w:tcPr>
            <w:tcW w:w="0" w:type="auto"/>
          </w:tcPr>
          <w:p w14:paraId="5D6F923D" w14:textId="77777777" w:rsidR="00217A61" w:rsidRDefault="001C2695">
            <w:pPr>
              <w:spacing w:beforeAutospacing="1" w:afterAutospacing="1"/>
            </w:pPr>
            <w:r>
              <w:rPr>
                <w:color w:val="000000"/>
              </w:rPr>
              <w:t>Household contains at least one person age 75 or older</w:t>
            </w:r>
          </w:p>
        </w:tc>
        <w:tc>
          <w:tcPr>
            <w:tcW w:w="0" w:type="auto"/>
            <w:vAlign w:val="bottom"/>
          </w:tcPr>
          <w:p w14:paraId="1C4A26CC" w14:textId="77777777" w:rsidR="00217A61" w:rsidRDefault="001C2695">
            <w:pPr>
              <w:spacing w:beforeAutospacing="1" w:afterAutospacing="1"/>
              <w:jc w:val="right"/>
            </w:pPr>
            <w:r>
              <w:rPr>
                <w:color w:val="000000"/>
              </w:rPr>
              <w:t>56,430</w:t>
            </w:r>
          </w:p>
        </w:tc>
        <w:tc>
          <w:tcPr>
            <w:tcW w:w="0" w:type="auto"/>
            <w:vAlign w:val="bottom"/>
          </w:tcPr>
          <w:p w14:paraId="63BF2484" w14:textId="77777777" w:rsidR="00217A61" w:rsidRDefault="001C2695">
            <w:pPr>
              <w:spacing w:beforeAutospacing="1" w:afterAutospacing="1"/>
              <w:jc w:val="right"/>
            </w:pPr>
            <w:r>
              <w:rPr>
                <w:color w:val="000000"/>
              </w:rPr>
              <w:t>83,485</w:t>
            </w:r>
          </w:p>
        </w:tc>
        <w:tc>
          <w:tcPr>
            <w:tcW w:w="0" w:type="auto"/>
            <w:vAlign w:val="bottom"/>
          </w:tcPr>
          <w:p w14:paraId="36E8D5F0" w14:textId="77777777" w:rsidR="00217A61" w:rsidRDefault="001C2695">
            <w:pPr>
              <w:spacing w:beforeAutospacing="1" w:afterAutospacing="1"/>
              <w:jc w:val="right"/>
            </w:pPr>
            <w:r>
              <w:rPr>
                <w:color w:val="000000"/>
              </w:rPr>
              <w:t>88,770</w:t>
            </w:r>
          </w:p>
        </w:tc>
        <w:tc>
          <w:tcPr>
            <w:tcW w:w="0" w:type="auto"/>
            <w:vAlign w:val="bottom"/>
          </w:tcPr>
          <w:p w14:paraId="1D6426F1" w14:textId="77777777" w:rsidR="00217A61" w:rsidRDefault="001C2695">
            <w:pPr>
              <w:spacing w:beforeAutospacing="1" w:afterAutospacing="1"/>
              <w:jc w:val="right"/>
            </w:pPr>
            <w:r>
              <w:rPr>
                <w:color w:val="000000"/>
              </w:rPr>
              <w:t>40,800</w:t>
            </w:r>
          </w:p>
        </w:tc>
        <w:tc>
          <w:tcPr>
            <w:tcW w:w="0" w:type="auto"/>
            <w:vAlign w:val="bottom"/>
          </w:tcPr>
          <w:p w14:paraId="26369B5B" w14:textId="77777777" w:rsidR="00217A61" w:rsidRDefault="001C2695">
            <w:pPr>
              <w:spacing w:beforeAutospacing="1" w:afterAutospacing="1"/>
              <w:jc w:val="right"/>
            </w:pPr>
            <w:r>
              <w:rPr>
                <w:color w:val="000000"/>
              </w:rPr>
              <w:t>129,480</w:t>
            </w:r>
          </w:p>
        </w:tc>
      </w:tr>
      <w:tr w:rsidR="00217A61" w14:paraId="0539B3D0" w14:textId="77777777">
        <w:trPr>
          <w:cantSplit/>
        </w:trPr>
        <w:tc>
          <w:tcPr>
            <w:tcW w:w="0" w:type="auto"/>
          </w:tcPr>
          <w:p w14:paraId="57DE4FBA" w14:textId="77777777" w:rsidR="00217A61" w:rsidRDefault="001C2695">
            <w:pPr>
              <w:spacing w:beforeAutospacing="1" w:afterAutospacing="1"/>
            </w:pPr>
            <w:r>
              <w:rPr>
                <w:color w:val="000000"/>
              </w:rPr>
              <w:t>Households with one or more children 6 years old or younger</w:t>
            </w:r>
          </w:p>
        </w:tc>
        <w:tc>
          <w:tcPr>
            <w:tcW w:w="0" w:type="auto"/>
            <w:vAlign w:val="bottom"/>
          </w:tcPr>
          <w:p w14:paraId="06A574CE" w14:textId="77777777" w:rsidR="00217A61" w:rsidRDefault="001C2695">
            <w:pPr>
              <w:spacing w:beforeAutospacing="1" w:afterAutospacing="1"/>
              <w:jc w:val="right"/>
            </w:pPr>
            <w:r>
              <w:rPr>
                <w:color w:val="000000"/>
              </w:rPr>
              <w:t>93,620</w:t>
            </w:r>
          </w:p>
        </w:tc>
        <w:tc>
          <w:tcPr>
            <w:tcW w:w="0" w:type="auto"/>
            <w:vAlign w:val="bottom"/>
          </w:tcPr>
          <w:p w14:paraId="147EBB56" w14:textId="77777777" w:rsidR="00217A61" w:rsidRDefault="001C2695">
            <w:pPr>
              <w:spacing w:beforeAutospacing="1" w:afterAutospacing="1"/>
              <w:jc w:val="right"/>
            </w:pPr>
            <w:r>
              <w:rPr>
                <w:color w:val="000000"/>
              </w:rPr>
              <w:t>80,830</w:t>
            </w:r>
          </w:p>
        </w:tc>
        <w:tc>
          <w:tcPr>
            <w:tcW w:w="0" w:type="auto"/>
            <w:vAlign w:val="bottom"/>
          </w:tcPr>
          <w:p w14:paraId="5CE58411" w14:textId="77777777" w:rsidR="00217A61" w:rsidRDefault="001C2695">
            <w:pPr>
              <w:spacing w:beforeAutospacing="1" w:afterAutospacing="1"/>
              <w:jc w:val="right"/>
            </w:pPr>
            <w:r>
              <w:rPr>
                <w:color w:val="000000"/>
              </w:rPr>
              <w:t>107,615</w:t>
            </w:r>
          </w:p>
        </w:tc>
        <w:tc>
          <w:tcPr>
            <w:tcW w:w="0" w:type="auto"/>
            <w:vAlign w:val="bottom"/>
          </w:tcPr>
          <w:p w14:paraId="6C08785C" w14:textId="77777777" w:rsidR="00217A61" w:rsidRDefault="001C2695">
            <w:pPr>
              <w:spacing w:beforeAutospacing="1" w:afterAutospacing="1"/>
              <w:jc w:val="right"/>
            </w:pPr>
            <w:r>
              <w:rPr>
                <w:color w:val="000000"/>
              </w:rPr>
              <w:t>59,425</w:t>
            </w:r>
          </w:p>
        </w:tc>
        <w:tc>
          <w:tcPr>
            <w:tcW w:w="0" w:type="auto"/>
            <w:vAlign w:val="bottom"/>
          </w:tcPr>
          <w:p w14:paraId="1BFE48C0" w14:textId="77777777" w:rsidR="00217A61" w:rsidRDefault="001C2695">
            <w:pPr>
              <w:spacing w:beforeAutospacing="1" w:afterAutospacing="1"/>
              <w:jc w:val="right"/>
            </w:pPr>
            <w:r>
              <w:rPr>
                <w:color w:val="000000"/>
              </w:rPr>
              <w:t>211,880</w:t>
            </w:r>
          </w:p>
        </w:tc>
      </w:tr>
    </w:tbl>
    <w:p w14:paraId="11B3DFAC" w14:textId="77777777" w:rsidR="00217A61" w:rsidRDefault="00217A61">
      <w:pPr>
        <w:pStyle w:val="Caption"/>
        <w:keepNext/>
        <w:widowControl w:val="0"/>
        <w:rPr>
          <w:rFonts w:ascii="Calibri" w:hAnsi="Calibri"/>
          <w:vanish/>
          <w:sz w:val="10"/>
          <w:szCs w:val="10"/>
        </w:rPr>
      </w:pPr>
      <w:bookmarkStart w:id="1" w:name="_Toc307833504"/>
    </w:p>
    <w:p w14:paraId="3C988A4C"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Total Households Table</w:t>
      </w:r>
      <w:bookmarkEnd w:id="1"/>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217A61" w14:paraId="7899A07E" w14:textId="77777777">
        <w:trPr>
          <w:cantSplit/>
        </w:trPr>
        <w:tc>
          <w:tcPr>
            <w:tcW w:w="1080" w:type="dxa"/>
          </w:tcPr>
          <w:p w14:paraId="42FE6405" w14:textId="77777777" w:rsidR="00217A61" w:rsidRDefault="001C2695">
            <w:pPr>
              <w:spacing w:after="0" w:line="240" w:lineRule="auto"/>
              <w:rPr>
                <w:sz w:val="16"/>
                <w:szCs w:val="16"/>
              </w:rPr>
            </w:pPr>
            <w:r>
              <w:rPr>
                <w:b/>
                <w:bCs/>
                <w:sz w:val="16"/>
                <w:szCs w:val="16"/>
              </w:rPr>
              <w:t>Data Source:</w:t>
            </w:r>
          </w:p>
        </w:tc>
        <w:tc>
          <w:tcPr>
            <w:tcW w:w="8510" w:type="dxa"/>
          </w:tcPr>
          <w:p w14:paraId="344FE890" w14:textId="77777777" w:rsidR="00217A61" w:rsidRDefault="001C2695">
            <w:pPr>
              <w:spacing w:beforeAutospacing="1" w:afterAutospacing="1"/>
              <w:rPr>
                <w:sz w:val="16"/>
                <w:szCs w:val="16"/>
              </w:rPr>
            </w:pPr>
            <w:r>
              <w:rPr>
                <w:sz w:val="16"/>
                <w:szCs w:val="16"/>
              </w:rPr>
              <w:t>2011-2015 CHAS</w:t>
            </w:r>
          </w:p>
        </w:tc>
      </w:tr>
    </w:tbl>
    <w:p w14:paraId="38AF0D37" w14:textId="77777777" w:rsidR="00217A61" w:rsidRDefault="00217A61">
      <w:pPr>
        <w:spacing w:after="0" w:line="240" w:lineRule="auto"/>
        <w:rPr>
          <w:vanish/>
        </w:rPr>
      </w:pPr>
    </w:p>
    <w:p w14:paraId="2E9AD22B" w14:textId="77777777" w:rsidR="00217A61" w:rsidRDefault="00217A61">
      <w:pPr>
        <w:spacing w:after="0" w:line="240" w:lineRule="auto"/>
        <w:rPr>
          <w:b/>
          <w:bCs/>
          <w:vanish/>
          <w:sz w:val="16"/>
          <w:szCs w:val="16"/>
        </w:rPr>
      </w:pPr>
    </w:p>
    <w:p w14:paraId="047D97A3" w14:textId="77777777" w:rsidR="00217A61" w:rsidRDefault="00217A61"/>
    <w:p w14:paraId="612EFDC9" w14:textId="77777777" w:rsidR="00217A61" w:rsidRDefault="00217A61">
      <w:pPr>
        <w:rPr>
          <w:b/>
          <w:i/>
          <w:sz w:val="26"/>
          <w:szCs w:val="26"/>
        </w:rPr>
        <w:sectPr w:rsidR="00217A61">
          <w:pgSz w:w="12240" w:h="15840"/>
          <w:pgMar w:top="1440" w:right="1440" w:bottom="1440" w:left="1440" w:header="720" w:footer="720" w:gutter="0"/>
          <w:cols w:space="720"/>
          <w:docGrid w:linePitch="360"/>
        </w:sectPr>
      </w:pPr>
    </w:p>
    <w:p w14:paraId="62CB035A" w14:textId="77777777" w:rsidR="00217A61" w:rsidRDefault="001C2695">
      <w:pPr>
        <w:keepNext/>
        <w:rPr>
          <w:b/>
          <w:sz w:val="24"/>
          <w:szCs w:val="24"/>
        </w:rPr>
      </w:pPr>
      <w:r>
        <w:rPr>
          <w:b/>
          <w:sz w:val="24"/>
          <w:szCs w:val="24"/>
        </w:rPr>
        <w:lastRenderedPageBreak/>
        <w:t>Housing Needs Summary Tables</w:t>
      </w:r>
    </w:p>
    <w:p w14:paraId="214C6CCA" w14:textId="77777777" w:rsidR="00217A61" w:rsidRDefault="001C2695">
      <w:pPr>
        <w:keepNext/>
        <w:widowControl w:val="0"/>
        <w:rPr>
          <w:bCs/>
          <w:sz w:val="24"/>
          <w:szCs w:val="24"/>
        </w:rPr>
      </w:pPr>
      <w:r>
        <w:rPr>
          <w:sz w:val="24"/>
          <w:szCs w:val="24"/>
        </w:rPr>
        <w:t xml:space="preserve">1. </w:t>
      </w:r>
      <w:r>
        <w:rPr>
          <w:bCs/>
          <w:sz w:val="24"/>
          <w:szCs w:val="24"/>
        </w:rPr>
        <w:t xml:space="preserve">Housing Problems </w:t>
      </w:r>
      <w:r>
        <w:rPr>
          <w:bCs/>
          <w:sz w:val="24"/>
          <w:szCs w:val="24"/>
        </w:rPr>
        <w:t>(Households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795"/>
        <w:gridCol w:w="772"/>
        <w:gridCol w:w="771"/>
        <w:gridCol w:w="771"/>
        <w:gridCol w:w="771"/>
        <w:gridCol w:w="771"/>
        <w:gridCol w:w="771"/>
        <w:gridCol w:w="771"/>
        <w:gridCol w:w="771"/>
        <w:gridCol w:w="771"/>
      </w:tblGrid>
      <w:tr w:rsidR="00217A61" w14:paraId="1B237102" w14:textId="77777777">
        <w:trPr>
          <w:cantSplit/>
          <w:tblHeader/>
        </w:trPr>
        <w:tc>
          <w:tcPr>
            <w:tcW w:w="2398" w:type="dxa"/>
            <w:vMerge w:val="restart"/>
          </w:tcPr>
          <w:p w14:paraId="0BF633BD" w14:textId="77777777" w:rsidR="00217A61" w:rsidRDefault="00217A61">
            <w:pPr>
              <w:pStyle w:val="Caption"/>
              <w:keepNext/>
              <w:widowControl w:val="0"/>
              <w:jc w:val="center"/>
              <w:rPr>
                <w:rFonts w:ascii="Calibri" w:hAnsi="Calibri"/>
              </w:rPr>
            </w:pPr>
            <w:bookmarkStart w:id="2" w:name="_Toc307833507"/>
          </w:p>
        </w:tc>
        <w:tc>
          <w:tcPr>
            <w:tcW w:w="5408" w:type="dxa"/>
            <w:gridSpan w:val="5"/>
          </w:tcPr>
          <w:p w14:paraId="7F2B8F88" w14:textId="77777777" w:rsidR="00217A61" w:rsidRDefault="001C2695">
            <w:pPr>
              <w:keepNext/>
              <w:widowControl w:val="0"/>
              <w:spacing w:after="0" w:line="240" w:lineRule="auto"/>
              <w:jc w:val="center"/>
              <w:rPr>
                <w:sz w:val="20"/>
                <w:szCs w:val="20"/>
              </w:rPr>
            </w:pPr>
            <w:r>
              <w:rPr>
                <w:b/>
                <w:bCs/>
                <w:sz w:val="20"/>
                <w:szCs w:val="20"/>
              </w:rPr>
              <w:t>Renter</w:t>
            </w:r>
          </w:p>
        </w:tc>
        <w:tc>
          <w:tcPr>
            <w:tcW w:w="5370" w:type="dxa"/>
            <w:gridSpan w:val="5"/>
          </w:tcPr>
          <w:p w14:paraId="452E4540" w14:textId="77777777" w:rsidR="00217A61" w:rsidRDefault="001C2695">
            <w:pPr>
              <w:keepNext/>
              <w:widowControl w:val="0"/>
              <w:spacing w:after="0" w:line="240" w:lineRule="auto"/>
              <w:jc w:val="center"/>
              <w:rPr>
                <w:sz w:val="20"/>
                <w:szCs w:val="20"/>
              </w:rPr>
            </w:pPr>
            <w:r>
              <w:rPr>
                <w:b/>
                <w:bCs/>
                <w:sz w:val="20"/>
                <w:szCs w:val="20"/>
              </w:rPr>
              <w:t>Owner</w:t>
            </w:r>
          </w:p>
        </w:tc>
      </w:tr>
      <w:tr w:rsidR="00217A61" w14:paraId="70AB47C1" w14:textId="77777777">
        <w:trPr>
          <w:cantSplit/>
          <w:tblHeader/>
        </w:trPr>
        <w:tc>
          <w:tcPr>
            <w:tcW w:w="2398" w:type="dxa"/>
            <w:vMerge/>
          </w:tcPr>
          <w:p w14:paraId="39B31B84" w14:textId="77777777" w:rsidR="00217A61" w:rsidRDefault="00217A61">
            <w:pPr>
              <w:pStyle w:val="Caption"/>
              <w:keepNext/>
              <w:widowControl w:val="0"/>
              <w:jc w:val="center"/>
              <w:rPr>
                <w:rFonts w:ascii="Calibri" w:hAnsi="Calibri"/>
              </w:rPr>
            </w:pPr>
          </w:p>
        </w:tc>
        <w:tc>
          <w:tcPr>
            <w:tcW w:w="1111" w:type="dxa"/>
          </w:tcPr>
          <w:p w14:paraId="27335CDD" w14:textId="77777777" w:rsidR="00217A61" w:rsidRDefault="001C2695">
            <w:pPr>
              <w:keepNext/>
              <w:widowControl w:val="0"/>
              <w:spacing w:after="0" w:line="240" w:lineRule="auto"/>
              <w:jc w:val="center"/>
              <w:rPr>
                <w:sz w:val="20"/>
                <w:szCs w:val="20"/>
              </w:rPr>
            </w:pPr>
            <w:r>
              <w:rPr>
                <w:b/>
                <w:sz w:val="20"/>
                <w:szCs w:val="20"/>
              </w:rPr>
              <w:t>0-30% AMI</w:t>
            </w:r>
          </w:p>
        </w:tc>
        <w:tc>
          <w:tcPr>
            <w:tcW w:w="1075" w:type="dxa"/>
          </w:tcPr>
          <w:p w14:paraId="787E4FD1" w14:textId="77777777" w:rsidR="00217A61" w:rsidRDefault="001C2695">
            <w:pPr>
              <w:keepNext/>
              <w:widowControl w:val="0"/>
              <w:spacing w:after="0" w:line="240" w:lineRule="auto"/>
              <w:jc w:val="center"/>
              <w:rPr>
                <w:sz w:val="20"/>
                <w:szCs w:val="20"/>
              </w:rPr>
            </w:pPr>
            <w:r>
              <w:rPr>
                <w:b/>
                <w:sz w:val="20"/>
                <w:szCs w:val="20"/>
              </w:rPr>
              <w:t>&gt;30-50% AMI</w:t>
            </w:r>
          </w:p>
        </w:tc>
        <w:tc>
          <w:tcPr>
            <w:tcW w:w="1074" w:type="dxa"/>
          </w:tcPr>
          <w:p w14:paraId="20C8F459" w14:textId="77777777" w:rsidR="00217A61" w:rsidRDefault="001C2695">
            <w:pPr>
              <w:keepNext/>
              <w:widowControl w:val="0"/>
              <w:spacing w:after="0" w:line="240" w:lineRule="auto"/>
              <w:jc w:val="center"/>
              <w:rPr>
                <w:sz w:val="20"/>
                <w:szCs w:val="20"/>
              </w:rPr>
            </w:pPr>
            <w:r>
              <w:rPr>
                <w:b/>
                <w:sz w:val="20"/>
                <w:szCs w:val="20"/>
              </w:rPr>
              <w:t>&gt;50-80% AMI</w:t>
            </w:r>
          </w:p>
        </w:tc>
        <w:tc>
          <w:tcPr>
            <w:tcW w:w="1074" w:type="dxa"/>
          </w:tcPr>
          <w:p w14:paraId="5852B1B4" w14:textId="77777777" w:rsidR="00217A61" w:rsidRDefault="001C2695">
            <w:pPr>
              <w:keepNext/>
              <w:widowControl w:val="0"/>
              <w:spacing w:after="0" w:line="240" w:lineRule="auto"/>
              <w:jc w:val="center"/>
              <w:rPr>
                <w:sz w:val="20"/>
                <w:szCs w:val="20"/>
              </w:rPr>
            </w:pPr>
            <w:r>
              <w:rPr>
                <w:b/>
                <w:sz w:val="20"/>
                <w:szCs w:val="20"/>
              </w:rPr>
              <w:t>&gt;80-100% AMI</w:t>
            </w:r>
          </w:p>
        </w:tc>
        <w:tc>
          <w:tcPr>
            <w:tcW w:w="1074" w:type="dxa"/>
          </w:tcPr>
          <w:p w14:paraId="77782925" w14:textId="77777777" w:rsidR="00217A61" w:rsidRDefault="001C2695">
            <w:pPr>
              <w:keepNext/>
              <w:widowControl w:val="0"/>
              <w:spacing w:after="0" w:line="240" w:lineRule="auto"/>
              <w:jc w:val="center"/>
              <w:rPr>
                <w:sz w:val="20"/>
                <w:szCs w:val="20"/>
              </w:rPr>
            </w:pPr>
            <w:r>
              <w:rPr>
                <w:b/>
                <w:sz w:val="20"/>
                <w:szCs w:val="20"/>
              </w:rPr>
              <w:t>Total</w:t>
            </w:r>
          </w:p>
        </w:tc>
        <w:tc>
          <w:tcPr>
            <w:tcW w:w="1074" w:type="dxa"/>
          </w:tcPr>
          <w:p w14:paraId="57CF59B7" w14:textId="77777777" w:rsidR="00217A61" w:rsidRDefault="001C2695">
            <w:pPr>
              <w:keepNext/>
              <w:widowControl w:val="0"/>
              <w:spacing w:after="0" w:line="240" w:lineRule="auto"/>
              <w:jc w:val="center"/>
              <w:rPr>
                <w:sz w:val="20"/>
                <w:szCs w:val="20"/>
              </w:rPr>
            </w:pPr>
            <w:r>
              <w:rPr>
                <w:b/>
                <w:sz w:val="20"/>
                <w:szCs w:val="20"/>
              </w:rPr>
              <w:t>0-30% AMI</w:t>
            </w:r>
          </w:p>
        </w:tc>
        <w:tc>
          <w:tcPr>
            <w:tcW w:w="1074" w:type="dxa"/>
          </w:tcPr>
          <w:p w14:paraId="48B1A343" w14:textId="77777777" w:rsidR="00217A61" w:rsidRDefault="001C2695">
            <w:pPr>
              <w:keepNext/>
              <w:widowControl w:val="0"/>
              <w:spacing w:after="0" w:line="240" w:lineRule="auto"/>
              <w:jc w:val="center"/>
              <w:rPr>
                <w:sz w:val="20"/>
                <w:szCs w:val="20"/>
              </w:rPr>
            </w:pPr>
            <w:r>
              <w:rPr>
                <w:b/>
                <w:sz w:val="20"/>
                <w:szCs w:val="20"/>
              </w:rPr>
              <w:t>&gt;30-50% AMI</w:t>
            </w:r>
          </w:p>
        </w:tc>
        <w:tc>
          <w:tcPr>
            <w:tcW w:w="1074" w:type="dxa"/>
          </w:tcPr>
          <w:p w14:paraId="61D11CC0" w14:textId="77777777" w:rsidR="00217A61" w:rsidRDefault="001C2695">
            <w:pPr>
              <w:keepNext/>
              <w:widowControl w:val="0"/>
              <w:spacing w:after="0" w:line="240" w:lineRule="auto"/>
              <w:jc w:val="center"/>
              <w:rPr>
                <w:sz w:val="20"/>
                <w:szCs w:val="20"/>
              </w:rPr>
            </w:pPr>
            <w:r>
              <w:rPr>
                <w:b/>
                <w:sz w:val="20"/>
                <w:szCs w:val="20"/>
              </w:rPr>
              <w:t>&gt;50-80% AMI</w:t>
            </w:r>
          </w:p>
        </w:tc>
        <w:tc>
          <w:tcPr>
            <w:tcW w:w="1074" w:type="dxa"/>
          </w:tcPr>
          <w:p w14:paraId="2E48E2AB" w14:textId="77777777" w:rsidR="00217A61" w:rsidRDefault="001C2695">
            <w:pPr>
              <w:keepNext/>
              <w:widowControl w:val="0"/>
              <w:spacing w:after="0" w:line="240" w:lineRule="auto"/>
              <w:jc w:val="center"/>
              <w:rPr>
                <w:sz w:val="20"/>
                <w:szCs w:val="20"/>
              </w:rPr>
            </w:pPr>
            <w:r>
              <w:rPr>
                <w:b/>
                <w:sz w:val="20"/>
                <w:szCs w:val="20"/>
              </w:rPr>
              <w:t>&gt;80-100% AMI</w:t>
            </w:r>
          </w:p>
        </w:tc>
        <w:tc>
          <w:tcPr>
            <w:tcW w:w="1074" w:type="dxa"/>
          </w:tcPr>
          <w:p w14:paraId="3D2C89B2" w14:textId="77777777" w:rsidR="00217A61" w:rsidRDefault="001C2695">
            <w:pPr>
              <w:keepNext/>
              <w:widowControl w:val="0"/>
              <w:spacing w:after="0" w:line="240" w:lineRule="auto"/>
              <w:jc w:val="center"/>
              <w:rPr>
                <w:sz w:val="20"/>
                <w:szCs w:val="20"/>
              </w:rPr>
            </w:pPr>
            <w:r>
              <w:rPr>
                <w:b/>
                <w:sz w:val="20"/>
                <w:szCs w:val="20"/>
              </w:rPr>
              <w:t>Total</w:t>
            </w:r>
          </w:p>
        </w:tc>
      </w:tr>
      <w:tr w:rsidR="00217A61" w14:paraId="138F63A1" w14:textId="77777777">
        <w:trPr>
          <w:cantSplit/>
        </w:trPr>
        <w:tc>
          <w:tcPr>
            <w:tcW w:w="13176" w:type="dxa"/>
            <w:gridSpan w:val="11"/>
          </w:tcPr>
          <w:p w14:paraId="75ECAC00" w14:textId="77777777" w:rsidR="00217A61" w:rsidRDefault="001C2695">
            <w:pPr>
              <w:keepNext/>
              <w:widowControl w:val="0"/>
              <w:spacing w:after="0" w:line="240" w:lineRule="auto"/>
            </w:pPr>
            <w:r>
              <w:t>NUMBER OF HOUSEHOLDS</w:t>
            </w:r>
          </w:p>
        </w:tc>
      </w:tr>
      <w:tr w:rsidR="00217A61" w14:paraId="0E6F5F29" w14:textId="77777777">
        <w:trPr>
          <w:cantSplit/>
        </w:trPr>
        <w:tc>
          <w:tcPr>
            <w:tcW w:w="1661" w:type="dxa"/>
          </w:tcPr>
          <w:p w14:paraId="7EEDD30E" w14:textId="77777777" w:rsidR="00217A61" w:rsidRDefault="001C2695">
            <w:pPr>
              <w:spacing w:beforeAutospacing="1" w:afterAutospacing="1"/>
            </w:pPr>
            <w:r>
              <w:rPr>
                <w:color w:val="000000"/>
              </w:rPr>
              <w:t>Substandard Housing - Lacking complete plumbing or kitchen facilities</w:t>
            </w:r>
          </w:p>
        </w:tc>
        <w:tc>
          <w:tcPr>
            <w:tcW w:w="813" w:type="dxa"/>
            <w:vAlign w:val="bottom"/>
          </w:tcPr>
          <w:p w14:paraId="04C6A970" w14:textId="77777777" w:rsidR="00217A61" w:rsidRDefault="001C2695">
            <w:pPr>
              <w:spacing w:beforeAutospacing="1" w:afterAutospacing="1"/>
              <w:jc w:val="right"/>
            </w:pPr>
            <w:r>
              <w:rPr>
                <w:color w:val="000000"/>
              </w:rPr>
              <w:t>6,365</w:t>
            </w:r>
          </w:p>
        </w:tc>
        <w:tc>
          <w:tcPr>
            <w:tcW w:w="790" w:type="dxa"/>
            <w:vAlign w:val="bottom"/>
          </w:tcPr>
          <w:p w14:paraId="545EF026" w14:textId="77777777" w:rsidR="00217A61" w:rsidRDefault="001C2695">
            <w:pPr>
              <w:spacing w:beforeAutospacing="1" w:afterAutospacing="1"/>
              <w:jc w:val="right"/>
            </w:pPr>
            <w:r>
              <w:rPr>
                <w:color w:val="000000"/>
              </w:rPr>
              <w:t>4,475</w:t>
            </w:r>
          </w:p>
        </w:tc>
        <w:tc>
          <w:tcPr>
            <w:tcW w:w="789" w:type="dxa"/>
            <w:vAlign w:val="bottom"/>
          </w:tcPr>
          <w:p w14:paraId="592FC010" w14:textId="77777777" w:rsidR="00217A61" w:rsidRDefault="001C2695">
            <w:pPr>
              <w:spacing w:beforeAutospacing="1" w:afterAutospacing="1"/>
              <w:jc w:val="right"/>
            </w:pPr>
            <w:r>
              <w:rPr>
                <w:color w:val="000000"/>
              </w:rPr>
              <w:t>4,255</w:t>
            </w:r>
          </w:p>
        </w:tc>
        <w:tc>
          <w:tcPr>
            <w:tcW w:w="789" w:type="dxa"/>
            <w:vAlign w:val="bottom"/>
          </w:tcPr>
          <w:p w14:paraId="17E812FC" w14:textId="77777777" w:rsidR="00217A61" w:rsidRDefault="001C2695">
            <w:pPr>
              <w:spacing w:beforeAutospacing="1" w:afterAutospacing="1"/>
              <w:jc w:val="right"/>
            </w:pPr>
            <w:r>
              <w:rPr>
                <w:color w:val="000000"/>
              </w:rPr>
              <w:t>1,450</w:t>
            </w:r>
          </w:p>
        </w:tc>
        <w:tc>
          <w:tcPr>
            <w:tcW w:w="789" w:type="dxa"/>
            <w:vAlign w:val="bottom"/>
          </w:tcPr>
          <w:p w14:paraId="3D2D19F9" w14:textId="77777777" w:rsidR="00217A61" w:rsidRDefault="001C2695">
            <w:pPr>
              <w:spacing w:beforeAutospacing="1" w:afterAutospacing="1"/>
              <w:jc w:val="right"/>
            </w:pPr>
            <w:r>
              <w:rPr>
                <w:color w:val="000000"/>
              </w:rPr>
              <w:t>16,545</w:t>
            </w:r>
          </w:p>
        </w:tc>
        <w:tc>
          <w:tcPr>
            <w:tcW w:w="789" w:type="dxa"/>
            <w:vAlign w:val="bottom"/>
          </w:tcPr>
          <w:p w14:paraId="064A49CA" w14:textId="77777777" w:rsidR="00217A61" w:rsidRDefault="001C2695">
            <w:pPr>
              <w:spacing w:beforeAutospacing="1" w:afterAutospacing="1"/>
              <w:jc w:val="right"/>
            </w:pPr>
            <w:r>
              <w:rPr>
                <w:color w:val="000000"/>
              </w:rPr>
              <w:t>1,730</w:t>
            </w:r>
          </w:p>
        </w:tc>
        <w:tc>
          <w:tcPr>
            <w:tcW w:w="789" w:type="dxa"/>
            <w:vAlign w:val="bottom"/>
          </w:tcPr>
          <w:p w14:paraId="6AFD862C" w14:textId="77777777" w:rsidR="00217A61" w:rsidRDefault="001C2695">
            <w:pPr>
              <w:spacing w:beforeAutospacing="1" w:afterAutospacing="1"/>
              <w:jc w:val="right"/>
            </w:pPr>
            <w:r>
              <w:rPr>
                <w:color w:val="000000"/>
              </w:rPr>
              <w:t>1,510</w:t>
            </w:r>
          </w:p>
        </w:tc>
        <w:tc>
          <w:tcPr>
            <w:tcW w:w="789" w:type="dxa"/>
            <w:vAlign w:val="bottom"/>
          </w:tcPr>
          <w:p w14:paraId="1B11443E" w14:textId="77777777" w:rsidR="00217A61" w:rsidRDefault="001C2695">
            <w:pPr>
              <w:spacing w:beforeAutospacing="1" w:afterAutospacing="1"/>
              <w:jc w:val="right"/>
            </w:pPr>
            <w:r>
              <w:rPr>
                <w:color w:val="000000"/>
              </w:rPr>
              <w:t>1,735</w:t>
            </w:r>
          </w:p>
        </w:tc>
        <w:tc>
          <w:tcPr>
            <w:tcW w:w="789" w:type="dxa"/>
            <w:vAlign w:val="bottom"/>
          </w:tcPr>
          <w:p w14:paraId="0073B48D" w14:textId="77777777" w:rsidR="00217A61" w:rsidRDefault="001C2695">
            <w:pPr>
              <w:spacing w:beforeAutospacing="1" w:afterAutospacing="1"/>
              <w:jc w:val="right"/>
            </w:pPr>
            <w:r>
              <w:rPr>
                <w:color w:val="000000"/>
              </w:rPr>
              <w:t>825</w:t>
            </w:r>
          </w:p>
        </w:tc>
        <w:tc>
          <w:tcPr>
            <w:tcW w:w="789" w:type="dxa"/>
            <w:vAlign w:val="bottom"/>
          </w:tcPr>
          <w:p w14:paraId="71E23746" w14:textId="77777777" w:rsidR="00217A61" w:rsidRDefault="001C2695">
            <w:pPr>
              <w:spacing w:beforeAutospacing="1" w:afterAutospacing="1"/>
              <w:jc w:val="right"/>
            </w:pPr>
            <w:r>
              <w:rPr>
                <w:color w:val="000000"/>
              </w:rPr>
              <w:t>5,800</w:t>
            </w:r>
          </w:p>
        </w:tc>
      </w:tr>
      <w:tr w:rsidR="00217A61" w14:paraId="1034A505" w14:textId="77777777">
        <w:trPr>
          <w:cantSplit/>
        </w:trPr>
        <w:tc>
          <w:tcPr>
            <w:tcW w:w="1661" w:type="dxa"/>
          </w:tcPr>
          <w:p w14:paraId="61A2681B" w14:textId="77777777" w:rsidR="00217A61" w:rsidRDefault="001C2695">
            <w:pPr>
              <w:spacing w:beforeAutospacing="1" w:afterAutospacing="1"/>
            </w:pPr>
            <w:r>
              <w:rPr>
                <w:color w:val="000000"/>
              </w:rPr>
              <w:t>Severely Overcrowded - With &gt;1.51 people per room (and complete kitchen and plumbing)</w:t>
            </w:r>
          </w:p>
        </w:tc>
        <w:tc>
          <w:tcPr>
            <w:tcW w:w="813" w:type="dxa"/>
            <w:vAlign w:val="bottom"/>
          </w:tcPr>
          <w:p w14:paraId="2E80C733" w14:textId="77777777" w:rsidR="00217A61" w:rsidRDefault="001C2695">
            <w:pPr>
              <w:spacing w:beforeAutospacing="1" w:afterAutospacing="1"/>
              <w:jc w:val="right"/>
            </w:pPr>
            <w:r>
              <w:rPr>
                <w:color w:val="000000"/>
              </w:rPr>
              <w:t>5,650</w:t>
            </w:r>
          </w:p>
        </w:tc>
        <w:tc>
          <w:tcPr>
            <w:tcW w:w="790" w:type="dxa"/>
            <w:vAlign w:val="bottom"/>
          </w:tcPr>
          <w:p w14:paraId="1D66BEE1" w14:textId="77777777" w:rsidR="00217A61" w:rsidRDefault="001C2695">
            <w:pPr>
              <w:spacing w:beforeAutospacing="1" w:afterAutospacing="1"/>
              <w:jc w:val="right"/>
            </w:pPr>
            <w:r>
              <w:rPr>
                <w:color w:val="000000"/>
              </w:rPr>
              <w:t>3,455</w:t>
            </w:r>
          </w:p>
        </w:tc>
        <w:tc>
          <w:tcPr>
            <w:tcW w:w="789" w:type="dxa"/>
            <w:vAlign w:val="bottom"/>
          </w:tcPr>
          <w:p w14:paraId="09B57EEE" w14:textId="77777777" w:rsidR="00217A61" w:rsidRDefault="001C2695">
            <w:pPr>
              <w:spacing w:beforeAutospacing="1" w:afterAutospacing="1"/>
              <w:jc w:val="right"/>
            </w:pPr>
            <w:r>
              <w:rPr>
                <w:color w:val="000000"/>
              </w:rPr>
              <w:t>3,775</w:t>
            </w:r>
          </w:p>
        </w:tc>
        <w:tc>
          <w:tcPr>
            <w:tcW w:w="789" w:type="dxa"/>
            <w:vAlign w:val="bottom"/>
          </w:tcPr>
          <w:p w14:paraId="12D324FD" w14:textId="77777777" w:rsidR="00217A61" w:rsidRDefault="001C2695">
            <w:pPr>
              <w:spacing w:beforeAutospacing="1" w:afterAutospacing="1"/>
              <w:jc w:val="right"/>
            </w:pPr>
            <w:r>
              <w:rPr>
                <w:color w:val="000000"/>
              </w:rPr>
              <w:t>1,600</w:t>
            </w:r>
          </w:p>
        </w:tc>
        <w:tc>
          <w:tcPr>
            <w:tcW w:w="789" w:type="dxa"/>
            <w:vAlign w:val="bottom"/>
          </w:tcPr>
          <w:p w14:paraId="493EBE0C" w14:textId="77777777" w:rsidR="00217A61" w:rsidRDefault="001C2695">
            <w:pPr>
              <w:spacing w:beforeAutospacing="1" w:afterAutospacing="1"/>
              <w:jc w:val="right"/>
            </w:pPr>
            <w:r>
              <w:rPr>
                <w:color w:val="000000"/>
              </w:rPr>
              <w:t>14,480</w:t>
            </w:r>
          </w:p>
        </w:tc>
        <w:tc>
          <w:tcPr>
            <w:tcW w:w="789" w:type="dxa"/>
            <w:vAlign w:val="bottom"/>
          </w:tcPr>
          <w:p w14:paraId="070DBEC9" w14:textId="77777777" w:rsidR="00217A61" w:rsidRDefault="001C2695">
            <w:pPr>
              <w:spacing w:beforeAutospacing="1" w:afterAutospacing="1"/>
              <w:jc w:val="right"/>
            </w:pPr>
            <w:r>
              <w:rPr>
                <w:color w:val="000000"/>
              </w:rPr>
              <w:t>700</w:t>
            </w:r>
          </w:p>
        </w:tc>
        <w:tc>
          <w:tcPr>
            <w:tcW w:w="789" w:type="dxa"/>
            <w:vAlign w:val="bottom"/>
          </w:tcPr>
          <w:p w14:paraId="355CD221" w14:textId="77777777" w:rsidR="00217A61" w:rsidRDefault="001C2695">
            <w:pPr>
              <w:spacing w:beforeAutospacing="1" w:afterAutospacing="1"/>
              <w:jc w:val="right"/>
            </w:pPr>
            <w:r>
              <w:rPr>
                <w:color w:val="000000"/>
              </w:rPr>
              <w:t>1,290</w:t>
            </w:r>
          </w:p>
        </w:tc>
        <w:tc>
          <w:tcPr>
            <w:tcW w:w="789" w:type="dxa"/>
            <w:vAlign w:val="bottom"/>
          </w:tcPr>
          <w:p w14:paraId="44F5FCCD" w14:textId="77777777" w:rsidR="00217A61" w:rsidRDefault="001C2695">
            <w:pPr>
              <w:spacing w:beforeAutospacing="1" w:afterAutospacing="1"/>
              <w:jc w:val="right"/>
            </w:pPr>
            <w:r>
              <w:rPr>
                <w:color w:val="000000"/>
              </w:rPr>
              <w:t>1,530</w:t>
            </w:r>
          </w:p>
        </w:tc>
        <w:tc>
          <w:tcPr>
            <w:tcW w:w="789" w:type="dxa"/>
            <w:vAlign w:val="bottom"/>
          </w:tcPr>
          <w:p w14:paraId="2BF022E2" w14:textId="77777777" w:rsidR="00217A61" w:rsidRDefault="001C2695">
            <w:pPr>
              <w:spacing w:beforeAutospacing="1" w:afterAutospacing="1"/>
              <w:jc w:val="right"/>
            </w:pPr>
            <w:r>
              <w:rPr>
                <w:color w:val="000000"/>
              </w:rPr>
              <w:t>760</w:t>
            </w:r>
          </w:p>
        </w:tc>
        <w:tc>
          <w:tcPr>
            <w:tcW w:w="789" w:type="dxa"/>
            <w:vAlign w:val="bottom"/>
          </w:tcPr>
          <w:p w14:paraId="36770CD9" w14:textId="77777777" w:rsidR="00217A61" w:rsidRDefault="001C2695">
            <w:pPr>
              <w:spacing w:beforeAutospacing="1" w:afterAutospacing="1"/>
              <w:jc w:val="right"/>
            </w:pPr>
            <w:r>
              <w:rPr>
                <w:color w:val="000000"/>
              </w:rPr>
              <w:t>4,280</w:t>
            </w:r>
          </w:p>
        </w:tc>
      </w:tr>
      <w:tr w:rsidR="00217A61" w14:paraId="686658C7" w14:textId="77777777">
        <w:trPr>
          <w:cantSplit/>
        </w:trPr>
        <w:tc>
          <w:tcPr>
            <w:tcW w:w="1661" w:type="dxa"/>
          </w:tcPr>
          <w:p w14:paraId="4EAB6F88" w14:textId="77777777" w:rsidR="00217A61" w:rsidRDefault="001C2695">
            <w:pPr>
              <w:spacing w:beforeAutospacing="1" w:afterAutospacing="1"/>
            </w:pPr>
            <w:r>
              <w:rPr>
                <w:color w:val="000000"/>
              </w:rPr>
              <w:t>Overcrowded - With 1.01-1.5 people per room (and none of the above problems)</w:t>
            </w:r>
          </w:p>
        </w:tc>
        <w:tc>
          <w:tcPr>
            <w:tcW w:w="813" w:type="dxa"/>
            <w:vAlign w:val="bottom"/>
          </w:tcPr>
          <w:p w14:paraId="21E28F85" w14:textId="77777777" w:rsidR="00217A61" w:rsidRDefault="001C2695">
            <w:pPr>
              <w:spacing w:beforeAutospacing="1" w:afterAutospacing="1"/>
              <w:jc w:val="right"/>
            </w:pPr>
            <w:r>
              <w:rPr>
                <w:color w:val="000000"/>
              </w:rPr>
              <w:t>11,665</w:t>
            </w:r>
          </w:p>
        </w:tc>
        <w:tc>
          <w:tcPr>
            <w:tcW w:w="790" w:type="dxa"/>
            <w:vAlign w:val="bottom"/>
          </w:tcPr>
          <w:p w14:paraId="0BA8B65D" w14:textId="77777777" w:rsidR="00217A61" w:rsidRDefault="001C2695">
            <w:pPr>
              <w:spacing w:beforeAutospacing="1" w:afterAutospacing="1"/>
              <w:jc w:val="right"/>
            </w:pPr>
            <w:r>
              <w:rPr>
                <w:color w:val="000000"/>
              </w:rPr>
              <w:t>10,730</w:t>
            </w:r>
          </w:p>
        </w:tc>
        <w:tc>
          <w:tcPr>
            <w:tcW w:w="789" w:type="dxa"/>
            <w:vAlign w:val="bottom"/>
          </w:tcPr>
          <w:p w14:paraId="6268C77A" w14:textId="77777777" w:rsidR="00217A61" w:rsidRDefault="001C2695">
            <w:pPr>
              <w:spacing w:beforeAutospacing="1" w:afterAutospacing="1"/>
              <w:jc w:val="right"/>
            </w:pPr>
            <w:r>
              <w:rPr>
                <w:color w:val="000000"/>
              </w:rPr>
              <w:t>10,530</w:t>
            </w:r>
          </w:p>
        </w:tc>
        <w:tc>
          <w:tcPr>
            <w:tcW w:w="789" w:type="dxa"/>
            <w:vAlign w:val="bottom"/>
          </w:tcPr>
          <w:p w14:paraId="68B98E47" w14:textId="77777777" w:rsidR="00217A61" w:rsidRDefault="001C2695">
            <w:pPr>
              <w:spacing w:beforeAutospacing="1" w:afterAutospacing="1"/>
              <w:jc w:val="right"/>
            </w:pPr>
            <w:r>
              <w:rPr>
                <w:color w:val="000000"/>
              </w:rPr>
              <w:t>3,405</w:t>
            </w:r>
          </w:p>
        </w:tc>
        <w:tc>
          <w:tcPr>
            <w:tcW w:w="789" w:type="dxa"/>
            <w:vAlign w:val="bottom"/>
          </w:tcPr>
          <w:p w14:paraId="31941668" w14:textId="77777777" w:rsidR="00217A61" w:rsidRDefault="001C2695">
            <w:pPr>
              <w:spacing w:beforeAutospacing="1" w:afterAutospacing="1"/>
              <w:jc w:val="right"/>
            </w:pPr>
            <w:r>
              <w:rPr>
                <w:color w:val="000000"/>
              </w:rPr>
              <w:t>36,330</w:t>
            </w:r>
          </w:p>
        </w:tc>
        <w:tc>
          <w:tcPr>
            <w:tcW w:w="789" w:type="dxa"/>
            <w:vAlign w:val="bottom"/>
          </w:tcPr>
          <w:p w14:paraId="192C5ABE" w14:textId="77777777" w:rsidR="00217A61" w:rsidRDefault="001C2695">
            <w:pPr>
              <w:spacing w:beforeAutospacing="1" w:afterAutospacing="1"/>
              <w:jc w:val="right"/>
            </w:pPr>
            <w:r>
              <w:rPr>
                <w:color w:val="000000"/>
              </w:rPr>
              <w:t>3,485</w:t>
            </w:r>
          </w:p>
        </w:tc>
        <w:tc>
          <w:tcPr>
            <w:tcW w:w="789" w:type="dxa"/>
            <w:vAlign w:val="bottom"/>
          </w:tcPr>
          <w:p w14:paraId="55A1DF06" w14:textId="77777777" w:rsidR="00217A61" w:rsidRDefault="001C2695">
            <w:pPr>
              <w:spacing w:beforeAutospacing="1" w:afterAutospacing="1"/>
              <w:jc w:val="right"/>
            </w:pPr>
            <w:r>
              <w:rPr>
                <w:color w:val="000000"/>
              </w:rPr>
              <w:t>4,095</w:t>
            </w:r>
          </w:p>
        </w:tc>
        <w:tc>
          <w:tcPr>
            <w:tcW w:w="789" w:type="dxa"/>
            <w:vAlign w:val="bottom"/>
          </w:tcPr>
          <w:p w14:paraId="3DF5C544" w14:textId="77777777" w:rsidR="00217A61" w:rsidRDefault="001C2695">
            <w:pPr>
              <w:spacing w:beforeAutospacing="1" w:afterAutospacing="1"/>
              <w:jc w:val="right"/>
            </w:pPr>
            <w:r>
              <w:rPr>
                <w:color w:val="000000"/>
              </w:rPr>
              <w:t>7,260</w:t>
            </w:r>
          </w:p>
        </w:tc>
        <w:tc>
          <w:tcPr>
            <w:tcW w:w="789" w:type="dxa"/>
            <w:vAlign w:val="bottom"/>
          </w:tcPr>
          <w:p w14:paraId="189DA49C" w14:textId="77777777" w:rsidR="00217A61" w:rsidRDefault="001C2695">
            <w:pPr>
              <w:spacing w:beforeAutospacing="1" w:afterAutospacing="1"/>
              <w:jc w:val="right"/>
            </w:pPr>
            <w:r>
              <w:rPr>
                <w:color w:val="000000"/>
              </w:rPr>
              <w:t>3,420</w:t>
            </w:r>
          </w:p>
        </w:tc>
        <w:tc>
          <w:tcPr>
            <w:tcW w:w="789" w:type="dxa"/>
            <w:vAlign w:val="bottom"/>
          </w:tcPr>
          <w:p w14:paraId="72C0C584" w14:textId="77777777" w:rsidR="00217A61" w:rsidRDefault="001C2695">
            <w:pPr>
              <w:spacing w:beforeAutospacing="1" w:afterAutospacing="1"/>
              <w:jc w:val="right"/>
            </w:pPr>
            <w:r>
              <w:rPr>
                <w:color w:val="000000"/>
              </w:rPr>
              <w:t>18,260</w:t>
            </w:r>
          </w:p>
        </w:tc>
      </w:tr>
      <w:tr w:rsidR="00217A61" w14:paraId="285F85AC" w14:textId="77777777">
        <w:trPr>
          <w:cantSplit/>
        </w:trPr>
        <w:tc>
          <w:tcPr>
            <w:tcW w:w="1661" w:type="dxa"/>
          </w:tcPr>
          <w:p w14:paraId="3968C600" w14:textId="77777777" w:rsidR="00217A61" w:rsidRDefault="001C2695">
            <w:pPr>
              <w:spacing w:beforeAutospacing="1" w:afterAutospacing="1"/>
            </w:pPr>
            <w:r>
              <w:rPr>
                <w:color w:val="000000"/>
              </w:rPr>
              <w:t>Housing cost burden greater than 50% of income (and none of the above problems)</w:t>
            </w:r>
          </w:p>
        </w:tc>
        <w:tc>
          <w:tcPr>
            <w:tcW w:w="813" w:type="dxa"/>
            <w:vAlign w:val="bottom"/>
          </w:tcPr>
          <w:p w14:paraId="0380C392" w14:textId="77777777" w:rsidR="00217A61" w:rsidRDefault="001C2695">
            <w:pPr>
              <w:spacing w:beforeAutospacing="1" w:afterAutospacing="1"/>
              <w:jc w:val="right"/>
            </w:pPr>
            <w:r>
              <w:rPr>
                <w:color w:val="000000"/>
              </w:rPr>
              <w:t>184,120</w:t>
            </w:r>
          </w:p>
        </w:tc>
        <w:tc>
          <w:tcPr>
            <w:tcW w:w="790" w:type="dxa"/>
            <w:vAlign w:val="bottom"/>
          </w:tcPr>
          <w:p w14:paraId="7DDB7C25" w14:textId="77777777" w:rsidR="00217A61" w:rsidRDefault="001C2695">
            <w:pPr>
              <w:spacing w:beforeAutospacing="1" w:afterAutospacing="1"/>
              <w:jc w:val="right"/>
            </w:pPr>
            <w:r>
              <w:rPr>
                <w:color w:val="000000"/>
              </w:rPr>
              <w:t>69,065</w:t>
            </w:r>
          </w:p>
        </w:tc>
        <w:tc>
          <w:tcPr>
            <w:tcW w:w="789" w:type="dxa"/>
            <w:vAlign w:val="bottom"/>
          </w:tcPr>
          <w:p w14:paraId="68369BEA" w14:textId="77777777" w:rsidR="00217A61" w:rsidRDefault="001C2695">
            <w:pPr>
              <w:spacing w:beforeAutospacing="1" w:afterAutospacing="1"/>
              <w:jc w:val="right"/>
            </w:pPr>
            <w:r>
              <w:rPr>
                <w:color w:val="000000"/>
              </w:rPr>
              <w:t>14,885</w:t>
            </w:r>
          </w:p>
        </w:tc>
        <w:tc>
          <w:tcPr>
            <w:tcW w:w="789" w:type="dxa"/>
            <w:vAlign w:val="bottom"/>
          </w:tcPr>
          <w:p w14:paraId="12083F3F" w14:textId="77777777" w:rsidR="00217A61" w:rsidRDefault="001C2695">
            <w:pPr>
              <w:spacing w:beforeAutospacing="1" w:afterAutospacing="1"/>
              <w:jc w:val="right"/>
            </w:pPr>
            <w:r>
              <w:rPr>
                <w:color w:val="000000"/>
              </w:rPr>
              <w:t>1,355</w:t>
            </w:r>
          </w:p>
        </w:tc>
        <w:tc>
          <w:tcPr>
            <w:tcW w:w="789" w:type="dxa"/>
            <w:vAlign w:val="bottom"/>
          </w:tcPr>
          <w:p w14:paraId="616F0231" w14:textId="77777777" w:rsidR="00217A61" w:rsidRDefault="001C2695">
            <w:pPr>
              <w:spacing w:beforeAutospacing="1" w:afterAutospacing="1"/>
              <w:jc w:val="right"/>
            </w:pPr>
            <w:r>
              <w:rPr>
                <w:color w:val="000000"/>
              </w:rPr>
              <w:t>269,425</w:t>
            </w:r>
          </w:p>
        </w:tc>
        <w:tc>
          <w:tcPr>
            <w:tcW w:w="789" w:type="dxa"/>
            <w:vAlign w:val="bottom"/>
          </w:tcPr>
          <w:p w14:paraId="7AB3F561" w14:textId="77777777" w:rsidR="00217A61" w:rsidRDefault="001C2695">
            <w:pPr>
              <w:spacing w:beforeAutospacing="1" w:afterAutospacing="1"/>
              <w:jc w:val="right"/>
            </w:pPr>
            <w:r>
              <w:rPr>
                <w:color w:val="000000"/>
              </w:rPr>
              <w:t>89,435</w:t>
            </w:r>
          </w:p>
        </w:tc>
        <w:tc>
          <w:tcPr>
            <w:tcW w:w="789" w:type="dxa"/>
            <w:vAlign w:val="bottom"/>
          </w:tcPr>
          <w:p w14:paraId="64D97370" w14:textId="77777777" w:rsidR="00217A61" w:rsidRDefault="001C2695">
            <w:pPr>
              <w:spacing w:beforeAutospacing="1" w:afterAutospacing="1"/>
              <w:jc w:val="right"/>
            </w:pPr>
            <w:r>
              <w:rPr>
                <w:color w:val="000000"/>
              </w:rPr>
              <w:t>61,345</w:t>
            </w:r>
          </w:p>
        </w:tc>
        <w:tc>
          <w:tcPr>
            <w:tcW w:w="789" w:type="dxa"/>
            <w:vAlign w:val="bottom"/>
          </w:tcPr>
          <w:p w14:paraId="052E6A6E" w14:textId="77777777" w:rsidR="00217A61" w:rsidRDefault="001C2695">
            <w:pPr>
              <w:spacing w:beforeAutospacing="1" w:afterAutospacing="1"/>
              <w:jc w:val="right"/>
            </w:pPr>
            <w:r>
              <w:rPr>
                <w:color w:val="000000"/>
              </w:rPr>
              <w:t>43,240</w:t>
            </w:r>
          </w:p>
        </w:tc>
        <w:tc>
          <w:tcPr>
            <w:tcW w:w="789" w:type="dxa"/>
            <w:vAlign w:val="bottom"/>
          </w:tcPr>
          <w:p w14:paraId="60B5B029" w14:textId="77777777" w:rsidR="00217A61" w:rsidRDefault="001C2695">
            <w:pPr>
              <w:spacing w:beforeAutospacing="1" w:afterAutospacing="1"/>
              <w:jc w:val="right"/>
            </w:pPr>
            <w:r>
              <w:rPr>
                <w:color w:val="000000"/>
              </w:rPr>
              <w:t>11,885</w:t>
            </w:r>
          </w:p>
        </w:tc>
        <w:tc>
          <w:tcPr>
            <w:tcW w:w="789" w:type="dxa"/>
            <w:vAlign w:val="bottom"/>
          </w:tcPr>
          <w:p w14:paraId="3534098F" w14:textId="77777777" w:rsidR="00217A61" w:rsidRDefault="001C2695">
            <w:pPr>
              <w:spacing w:beforeAutospacing="1" w:afterAutospacing="1"/>
              <w:jc w:val="right"/>
            </w:pPr>
            <w:r>
              <w:rPr>
                <w:color w:val="000000"/>
              </w:rPr>
              <w:t>205,905</w:t>
            </w:r>
          </w:p>
        </w:tc>
      </w:tr>
      <w:tr w:rsidR="00217A61" w14:paraId="571806D6" w14:textId="77777777">
        <w:trPr>
          <w:cantSplit/>
        </w:trPr>
        <w:tc>
          <w:tcPr>
            <w:tcW w:w="1661" w:type="dxa"/>
          </w:tcPr>
          <w:p w14:paraId="7397DF56" w14:textId="77777777" w:rsidR="00217A61" w:rsidRDefault="001C2695">
            <w:pPr>
              <w:spacing w:beforeAutospacing="1" w:afterAutospacing="1"/>
            </w:pPr>
            <w:r>
              <w:rPr>
                <w:color w:val="000000"/>
              </w:rPr>
              <w:lastRenderedPageBreak/>
              <w:t>Housing cost burden greater than 30% of income (and none of the above problems)</w:t>
            </w:r>
          </w:p>
        </w:tc>
        <w:tc>
          <w:tcPr>
            <w:tcW w:w="813" w:type="dxa"/>
            <w:vAlign w:val="bottom"/>
          </w:tcPr>
          <w:p w14:paraId="245FEDDD" w14:textId="77777777" w:rsidR="00217A61" w:rsidRDefault="001C2695">
            <w:pPr>
              <w:spacing w:beforeAutospacing="1" w:afterAutospacing="1"/>
              <w:jc w:val="right"/>
            </w:pPr>
            <w:r>
              <w:rPr>
                <w:color w:val="000000"/>
              </w:rPr>
              <w:t>30,245</w:t>
            </w:r>
          </w:p>
        </w:tc>
        <w:tc>
          <w:tcPr>
            <w:tcW w:w="790" w:type="dxa"/>
            <w:vAlign w:val="bottom"/>
          </w:tcPr>
          <w:p w14:paraId="0F350870" w14:textId="77777777" w:rsidR="00217A61" w:rsidRDefault="001C2695">
            <w:pPr>
              <w:spacing w:beforeAutospacing="1" w:afterAutospacing="1"/>
              <w:jc w:val="right"/>
            </w:pPr>
            <w:r>
              <w:rPr>
                <w:color w:val="000000"/>
              </w:rPr>
              <w:t>102,585</w:t>
            </w:r>
          </w:p>
        </w:tc>
        <w:tc>
          <w:tcPr>
            <w:tcW w:w="789" w:type="dxa"/>
            <w:vAlign w:val="bottom"/>
          </w:tcPr>
          <w:p w14:paraId="0091594E" w14:textId="77777777" w:rsidR="00217A61" w:rsidRDefault="001C2695">
            <w:pPr>
              <w:spacing w:beforeAutospacing="1" w:afterAutospacing="1"/>
              <w:jc w:val="right"/>
            </w:pPr>
            <w:r>
              <w:rPr>
                <w:color w:val="000000"/>
              </w:rPr>
              <w:t>103,830</w:t>
            </w:r>
          </w:p>
        </w:tc>
        <w:tc>
          <w:tcPr>
            <w:tcW w:w="789" w:type="dxa"/>
            <w:vAlign w:val="bottom"/>
          </w:tcPr>
          <w:p w14:paraId="631BA3AE" w14:textId="77777777" w:rsidR="00217A61" w:rsidRDefault="001C2695">
            <w:pPr>
              <w:spacing w:beforeAutospacing="1" w:afterAutospacing="1"/>
              <w:jc w:val="right"/>
            </w:pPr>
            <w:r>
              <w:rPr>
                <w:color w:val="000000"/>
              </w:rPr>
              <w:t>21,415</w:t>
            </w:r>
          </w:p>
        </w:tc>
        <w:tc>
          <w:tcPr>
            <w:tcW w:w="789" w:type="dxa"/>
            <w:vAlign w:val="bottom"/>
          </w:tcPr>
          <w:p w14:paraId="366339B5" w14:textId="77777777" w:rsidR="00217A61" w:rsidRDefault="001C2695">
            <w:pPr>
              <w:spacing w:beforeAutospacing="1" w:afterAutospacing="1"/>
              <w:jc w:val="right"/>
            </w:pPr>
            <w:r>
              <w:rPr>
                <w:color w:val="000000"/>
              </w:rPr>
              <w:t>258,075</w:t>
            </w:r>
          </w:p>
        </w:tc>
        <w:tc>
          <w:tcPr>
            <w:tcW w:w="789" w:type="dxa"/>
            <w:vAlign w:val="bottom"/>
          </w:tcPr>
          <w:p w14:paraId="17A99E7C" w14:textId="77777777" w:rsidR="00217A61" w:rsidRDefault="001C2695">
            <w:pPr>
              <w:spacing w:beforeAutospacing="1" w:afterAutospacing="1"/>
              <w:jc w:val="right"/>
            </w:pPr>
            <w:r>
              <w:rPr>
                <w:color w:val="000000"/>
              </w:rPr>
              <w:t>27,040</w:t>
            </w:r>
          </w:p>
        </w:tc>
        <w:tc>
          <w:tcPr>
            <w:tcW w:w="789" w:type="dxa"/>
            <w:vAlign w:val="bottom"/>
          </w:tcPr>
          <w:p w14:paraId="6131CAB2" w14:textId="77777777" w:rsidR="00217A61" w:rsidRDefault="001C2695">
            <w:pPr>
              <w:spacing w:beforeAutospacing="1" w:afterAutospacing="1"/>
              <w:jc w:val="right"/>
            </w:pPr>
            <w:r>
              <w:rPr>
                <w:color w:val="000000"/>
              </w:rPr>
              <w:t>56,705</w:t>
            </w:r>
          </w:p>
        </w:tc>
        <w:tc>
          <w:tcPr>
            <w:tcW w:w="789" w:type="dxa"/>
            <w:vAlign w:val="bottom"/>
          </w:tcPr>
          <w:p w14:paraId="4E39EBB9" w14:textId="77777777" w:rsidR="00217A61" w:rsidRDefault="001C2695">
            <w:pPr>
              <w:spacing w:beforeAutospacing="1" w:afterAutospacing="1"/>
              <w:jc w:val="right"/>
            </w:pPr>
            <w:r>
              <w:rPr>
                <w:color w:val="000000"/>
              </w:rPr>
              <w:t>101,955</w:t>
            </w:r>
          </w:p>
        </w:tc>
        <w:tc>
          <w:tcPr>
            <w:tcW w:w="789" w:type="dxa"/>
            <w:vAlign w:val="bottom"/>
          </w:tcPr>
          <w:p w14:paraId="1F1508FA" w14:textId="77777777" w:rsidR="00217A61" w:rsidRDefault="001C2695">
            <w:pPr>
              <w:spacing w:beforeAutospacing="1" w:afterAutospacing="1"/>
              <w:jc w:val="right"/>
            </w:pPr>
            <w:r>
              <w:rPr>
                <w:color w:val="000000"/>
              </w:rPr>
              <w:t>51,130</w:t>
            </w:r>
          </w:p>
        </w:tc>
        <w:tc>
          <w:tcPr>
            <w:tcW w:w="789" w:type="dxa"/>
            <w:vAlign w:val="bottom"/>
          </w:tcPr>
          <w:p w14:paraId="05062076" w14:textId="77777777" w:rsidR="00217A61" w:rsidRDefault="001C2695">
            <w:pPr>
              <w:spacing w:beforeAutospacing="1" w:afterAutospacing="1"/>
              <w:jc w:val="right"/>
            </w:pPr>
            <w:r>
              <w:rPr>
                <w:color w:val="000000"/>
              </w:rPr>
              <w:t>236,830</w:t>
            </w:r>
          </w:p>
        </w:tc>
      </w:tr>
      <w:tr w:rsidR="00217A61" w14:paraId="6486833F" w14:textId="77777777">
        <w:trPr>
          <w:cantSplit/>
        </w:trPr>
        <w:tc>
          <w:tcPr>
            <w:tcW w:w="1661" w:type="dxa"/>
          </w:tcPr>
          <w:p w14:paraId="4FCB33E1" w14:textId="77777777" w:rsidR="00217A61" w:rsidRDefault="001C2695">
            <w:pPr>
              <w:spacing w:beforeAutospacing="1" w:afterAutospacing="1"/>
            </w:pPr>
            <w:r>
              <w:rPr>
                <w:color w:val="000000"/>
              </w:rPr>
              <w:t>Zero/negative Income (and none of the above problems)</w:t>
            </w:r>
          </w:p>
        </w:tc>
        <w:tc>
          <w:tcPr>
            <w:tcW w:w="813" w:type="dxa"/>
            <w:vAlign w:val="bottom"/>
          </w:tcPr>
          <w:p w14:paraId="41922D68" w14:textId="77777777" w:rsidR="00217A61" w:rsidRDefault="001C2695">
            <w:pPr>
              <w:spacing w:beforeAutospacing="1" w:afterAutospacing="1"/>
              <w:jc w:val="right"/>
            </w:pPr>
            <w:r>
              <w:rPr>
                <w:color w:val="000000"/>
              </w:rPr>
              <w:t>32,530</w:t>
            </w:r>
          </w:p>
        </w:tc>
        <w:tc>
          <w:tcPr>
            <w:tcW w:w="790" w:type="dxa"/>
            <w:vAlign w:val="bottom"/>
          </w:tcPr>
          <w:p w14:paraId="1FE4D37D" w14:textId="77777777" w:rsidR="00217A61" w:rsidRDefault="001C2695">
            <w:pPr>
              <w:spacing w:beforeAutospacing="1" w:afterAutospacing="1"/>
              <w:jc w:val="right"/>
            </w:pPr>
            <w:r>
              <w:rPr>
                <w:color w:val="000000"/>
              </w:rPr>
              <w:t>0</w:t>
            </w:r>
          </w:p>
        </w:tc>
        <w:tc>
          <w:tcPr>
            <w:tcW w:w="789" w:type="dxa"/>
            <w:vAlign w:val="bottom"/>
          </w:tcPr>
          <w:p w14:paraId="28921AAF" w14:textId="77777777" w:rsidR="00217A61" w:rsidRDefault="001C2695">
            <w:pPr>
              <w:spacing w:beforeAutospacing="1" w:afterAutospacing="1"/>
              <w:jc w:val="right"/>
            </w:pPr>
            <w:r>
              <w:rPr>
                <w:color w:val="000000"/>
              </w:rPr>
              <w:t>0</w:t>
            </w:r>
          </w:p>
        </w:tc>
        <w:tc>
          <w:tcPr>
            <w:tcW w:w="789" w:type="dxa"/>
            <w:vAlign w:val="bottom"/>
          </w:tcPr>
          <w:p w14:paraId="08166EDD" w14:textId="77777777" w:rsidR="00217A61" w:rsidRDefault="001C2695">
            <w:pPr>
              <w:spacing w:beforeAutospacing="1" w:afterAutospacing="1"/>
              <w:jc w:val="right"/>
            </w:pPr>
            <w:r>
              <w:rPr>
                <w:color w:val="000000"/>
              </w:rPr>
              <w:t>0</w:t>
            </w:r>
          </w:p>
        </w:tc>
        <w:tc>
          <w:tcPr>
            <w:tcW w:w="789" w:type="dxa"/>
            <w:vAlign w:val="bottom"/>
          </w:tcPr>
          <w:p w14:paraId="5FA7CC1B" w14:textId="77777777" w:rsidR="00217A61" w:rsidRDefault="001C2695">
            <w:pPr>
              <w:spacing w:beforeAutospacing="1" w:afterAutospacing="1"/>
              <w:jc w:val="right"/>
            </w:pPr>
            <w:r>
              <w:rPr>
                <w:color w:val="000000"/>
              </w:rPr>
              <w:t>32,530</w:t>
            </w:r>
          </w:p>
        </w:tc>
        <w:tc>
          <w:tcPr>
            <w:tcW w:w="789" w:type="dxa"/>
            <w:vAlign w:val="bottom"/>
          </w:tcPr>
          <w:p w14:paraId="434E0E03" w14:textId="77777777" w:rsidR="00217A61" w:rsidRDefault="001C2695">
            <w:pPr>
              <w:spacing w:beforeAutospacing="1" w:afterAutospacing="1"/>
              <w:jc w:val="right"/>
            </w:pPr>
            <w:r>
              <w:rPr>
                <w:color w:val="000000"/>
              </w:rPr>
              <w:t>22,195</w:t>
            </w:r>
          </w:p>
        </w:tc>
        <w:tc>
          <w:tcPr>
            <w:tcW w:w="789" w:type="dxa"/>
            <w:vAlign w:val="bottom"/>
          </w:tcPr>
          <w:p w14:paraId="247C59A4" w14:textId="77777777" w:rsidR="00217A61" w:rsidRDefault="001C2695">
            <w:pPr>
              <w:spacing w:beforeAutospacing="1" w:afterAutospacing="1"/>
              <w:jc w:val="right"/>
            </w:pPr>
            <w:r>
              <w:rPr>
                <w:color w:val="000000"/>
              </w:rPr>
              <w:t>0</w:t>
            </w:r>
          </w:p>
        </w:tc>
        <w:tc>
          <w:tcPr>
            <w:tcW w:w="789" w:type="dxa"/>
            <w:vAlign w:val="bottom"/>
          </w:tcPr>
          <w:p w14:paraId="5187A62B" w14:textId="77777777" w:rsidR="00217A61" w:rsidRDefault="001C2695">
            <w:pPr>
              <w:spacing w:beforeAutospacing="1" w:afterAutospacing="1"/>
              <w:jc w:val="right"/>
            </w:pPr>
            <w:r>
              <w:rPr>
                <w:color w:val="000000"/>
              </w:rPr>
              <w:t>0</w:t>
            </w:r>
          </w:p>
        </w:tc>
        <w:tc>
          <w:tcPr>
            <w:tcW w:w="789" w:type="dxa"/>
            <w:vAlign w:val="bottom"/>
          </w:tcPr>
          <w:p w14:paraId="5BFEA54C" w14:textId="77777777" w:rsidR="00217A61" w:rsidRDefault="001C2695">
            <w:pPr>
              <w:spacing w:beforeAutospacing="1" w:afterAutospacing="1"/>
              <w:jc w:val="right"/>
            </w:pPr>
            <w:r>
              <w:rPr>
                <w:color w:val="000000"/>
              </w:rPr>
              <w:t>0</w:t>
            </w:r>
          </w:p>
        </w:tc>
        <w:tc>
          <w:tcPr>
            <w:tcW w:w="789" w:type="dxa"/>
            <w:vAlign w:val="bottom"/>
          </w:tcPr>
          <w:p w14:paraId="5318411B" w14:textId="77777777" w:rsidR="00217A61" w:rsidRDefault="001C2695">
            <w:pPr>
              <w:spacing w:beforeAutospacing="1" w:afterAutospacing="1"/>
              <w:jc w:val="right"/>
            </w:pPr>
            <w:r>
              <w:rPr>
                <w:color w:val="000000"/>
              </w:rPr>
              <w:t>22,195</w:t>
            </w:r>
          </w:p>
        </w:tc>
      </w:tr>
    </w:tbl>
    <w:p w14:paraId="1765EAF2"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Housing Problems Table</w:t>
      </w:r>
      <w:bookmarkEnd w:id="2"/>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217A61" w14:paraId="3D7C7D2C" w14:textId="77777777">
        <w:trPr>
          <w:cantSplit/>
        </w:trPr>
        <w:tc>
          <w:tcPr>
            <w:tcW w:w="1080" w:type="dxa"/>
          </w:tcPr>
          <w:p w14:paraId="3BF2FE56" w14:textId="77777777" w:rsidR="00217A61" w:rsidRDefault="001C2695">
            <w:pPr>
              <w:spacing w:after="0" w:line="240" w:lineRule="auto"/>
              <w:rPr>
                <w:sz w:val="16"/>
                <w:szCs w:val="16"/>
              </w:rPr>
            </w:pPr>
            <w:r>
              <w:rPr>
                <w:b/>
                <w:bCs/>
                <w:sz w:val="16"/>
                <w:szCs w:val="16"/>
              </w:rPr>
              <w:t>Data Source:</w:t>
            </w:r>
          </w:p>
        </w:tc>
        <w:tc>
          <w:tcPr>
            <w:tcW w:w="12110" w:type="dxa"/>
          </w:tcPr>
          <w:p w14:paraId="7413FA76" w14:textId="77777777" w:rsidR="00217A61" w:rsidRDefault="001C2695">
            <w:pPr>
              <w:spacing w:beforeAutospacing="1" w:afterAutospacing="1"/>
              <w:rPr>
                <w:sz w:val="16"/>
                <w:szCs w:val="16"/>
              </w:rPr>
            </w:pPr>
            <w:r>
              <w:rPr>
                <w:sz w:val="16"/>
                <w:szCs w:val="16"/>
              </w:rPr>
              <w:t>2011-2015 CHAS</w:t>
            </w:r>
          </w:p>
        </w:tc>
      </w:tr>
    </w:tbl>
    <w:p w14:paraId="6BDAE802" w14:textId="77777777" w:rsidR="00217A61" w:rsidRDefault="00217A61">
      <w:pPr>
        <w:spacing w:after="0" w:line="240" w:lineRule="auto"/>
        <w:rPr>
          <w:vanish/>
        </w:rPr>
      </w:pPr>
    </w:p>
    <w:p w14:paraId="48038B90" w14:textId="77777777" w:rsidR="00217A61" w:rsidRDefault="00217A61">
      <w:pPr>
        <w:spacing w:after="0" w:line="240" w:lineRule="auto"/>
        <w:rPr>
          <w:b/>
          <w:bCs/>
          <w:vanish/>
          <w:sz w:val="16"/>
          <w:szCs w:val="16"/>
        </w:rPr>
      </w:pPr>
    </w:p>
    <w:p w14:paraId="4B0DF073" w14:textId="77777777" w:rsidR="00217A61" w:rsidRDefault="00217A61"/>
    <w:p w14:paraId="70CE3D26" w14:textId="77777777" w:rsidR="00217A61" w:rsidRDefault="001C2695">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940"/>
        <w:gridCol w:w="940"/>
        <w:gridCol w:w="940"/>
        <w:gridCol w:w="940"/>
        <w:gridCol w:w="940"/>
        <w:gridCol w:w="829"/>
        <w:gridCol w:w="940"/>
        <w:gridCol w:w="940"/>
        <w:gridCol w:w="940"/>
        <w:gridCol w:w="940"/>
      </w:tblGrid>
      <w:tr w:rsidR="00217A61" w14:paraId="0AC50FE3" w14:textId="77777777">
        <w:trPr>
          <w:cantSplit/>
          <w:tblHeader/>
        </w:trPr>
        <w:tc>
          <w:tcPr>
            <w:tcW w:w="2432" w:type="dxa"/>
            <w:vMerge w:val="restart"/>
          </w:tcPr>
          <w:p w14:paraId="330CBEAF" w14:textId="77777777" w:rsidR="00217A61" w:rsidRDefault="00217A61">
            <w:pPr>
              <w:pStyle w:val="Caption"/>
              <w:keepNext/>
              <w:widowControl w:val="0"/>
              <w:jc w:val="center"/>
              <w:rPr>
                <w:rFonts w:ascii="Calibri" w:hAnsi="Calibri"/>
              </w:rPr>
            </w:pPr>
          </w:p>
        </w:tc>
        <w:tc>
          <w:tcPr>
            <w:tcW w:w="5372" w:type="dxa"/>
            <w:gridSpan w:val="5"/>
          </w:tcPr>
          <w:p w14:paraId="0AFC1E5D" w14:textId="77777777" w:rsidR="00217A61" w:rsidRDefault="001C2695">
            <w:pPr>
              <w:keepNext/>
              <w:widowControl w:val="0"/>
              <w:spacing w:after="0" w:line="240" w:lineRule="auto"/>
              <w:jc w:val="center"/>
              <w:rPr>
                <w:sz w:val="20"/>
                <w:szCs w:val="20"/>
              </w:rPr>
            </w:pPr>
            <w:r>
              <w:rPr>
                <w:b/>
                <w:bCs/>
                <w:sz w:val="20"/>
                <w:szCs w:val="20"/>
              </w:rPr>
              <w:t>Renter</w:t>
            </w:r>
          </w:p>
        </w:tc>
        <w:tc>
          <w:tcPr>
            <w:tcW w:w="5372" w:type="dxa"/>
            <w:gridSpan w:val="5"/>
          </w:tcPr>
          <w:p w14:paraId="052580A6" w14:textId="77777777" w:rsidR="00217A61" w:rsidRDefault="001C2695">
            <w:pPr>
              <w:keepNext/>
              <w:widowControl w:val="0"/>
              <w:spacing w:after="0" w:line="240" w:lineRule="auto"/>
              <w:jc w:val="center"/>
              <w:rPr>
                <w:sz w:val="20"/>
                <w:szCs w:val="20"/>
              </w:rPr>
            </w:pPr>
            <w:r>
              <w:rPr>
                <w:b/>
                <w:bCs/>
                <w:sz w:val="20"/>
                <w:szCs w:val="20"/>
              </w:rPr>
              <w:t>Owner</w:t>
            </w:r>
          </w:p>
        </w:tc>
      </w:tr>
      <w:tr w:rsidR="00217A61" w14:paraId="32DD3489" w14:textId="77777777">
        <w:trPr>
          <w:cantSplit/>
          <w:tblHeader/>
        </w:trPr>
        <w:tc>
          <w:tcPr>
            <w:tcW w:w="2432" w:type="dxa"/>
            <w:vMerge/>
          </w:tcPr>
          <w:p w14:paraId="44FF380E" w14:textId="77777777" w:rsidR="00217A61" w:rsidRDefault="00217A61">
            <w:pPr>
              <w:pStyle w:val="Caption"/>
              <w:keepNext/>
              <w:widowControl w:val="0"/>
              <w:jc w:val="center"/>
              <w:rPr>
                <w:rFonts w:ascii="Calibri" w:hAnsi="Calibri"/>
              </w:rPr>
            </w:pPr>
          </w:p>
        </w:tc>
        <w:tc>
          <w:tcPr>
            <w:tcW w:w="1074" w:type="dxa"/>
          </w:tcPr>
          <w:p w14:paraId="0E163A98" w14:textId="77777777" w:rsidR="00217A61" w:rsidRDefault="001C2695">
            <w:pPr>
              <w:keepNext/>
              <w:widowControl w:val="0"/>
              <w:spacing w:after="0" w:line="240" w:lineRule="auto"/>
              <w:jc w:val="center"/>
              <w:rPr>
                <w:sz w:val="20"/>
                <w:szCs w:val="20"/>
              </w:rPr>
            </w:pPr>
            <w:r>
              <w:rPr>
                <w:b/>
                <w:sz w:val="20"/>
                <w:szCs w:val="20"/>
              </w:rPr>
              <w:t>0-30% AMI</w:t>
            </w:r>
          </w:p>
        </w:tc>
        <w:tc>
          <w:tcPr>
            <w:tcW w:w="1074" w:type="dxa"/>
          </w:tcPr>
          <w:p w14:paraId="05D293F7" w14:textId="77777777" w:rsidR="00217A61" w:rsidRDefault="001C2695">
            <w:pPr>
              <w:keepNext/>
              <w:widowControl w:val="0"/>
              <w:spacing w:after="0" w:line="240" w:lineRule="auto"/>
              <w:jc w:val="center"/>
              <w:rPr>
                <w:sz w:val="20"/>
                <w:szCs w:val="20"/>
              </w:rPr>
            </w:pPr>
            <w:r>
              <w:rPr>
                <w:b/>
                <w:sz w:val="20"/>
                <w:szCs w:val="20"/>
              </w:rPr>
              <w:t>&gt;30-50% AMI</w:t>
            </w:r>
          </w:p>
        </w:tc>
        <w:tc>
          <w:tcPr>
            <w:tcW w:w="1074" w:type="dxa"/>
          </w:tcPr>
          <w:p w14:paraId="7A832DCA" w14:textId="77777777" w:rsidR="00217A61" w:rsidRDefault="001C2695">
            <w:pPr>
              <w:keepNext/>
              <w:widowControl w:val="0"/>
              <w:spacing w:after="0" w:line="240" w:lineRule="auto"/>
              <w:jc w:val="center"/>
              <w:rPr>
                <w:sz w:val="20"/>
                <w:szCs w:val="20"/>
              </w:rPr>
            </w:pPr>
            <w:r>
              <w:rPr>
                <w:b/>
                <w:sz w:val="20"/>
                <w:szCs w:val="20"/>
              </w:rPr>
              <w:t>&gt;50-80% AMI</w:t>
            </w:r>
          </w:p>
        </w:tc>
        <w:tc>
          <w:tcPr>
            <w:tcW w:w="1075" w:type="dxa"/>
          </w:tcPr>
          <w:p w14:paraId="15808E07" w14:textId="77777777" w:rsidR="00217A61" w:rsidRDefault="001C2695">
            <w:pPr>
              <w:keepNext/>
              <w:widowControl w:val="0"/>
              <w:spacing w:after="0" w:line="240" w:lineRule="auto"/>
              <w:jc w:val="center"/>
              <w:rPr>
                <w:sz w:val="20"/>
                <w:szCs w:val="20"/>
              </w:rPr>
            </w:pPr>
            <w:r>
              <w:rPr>
                <w:b/>
                <w:sz w:val="20"/>
                <w:szCs w:val="20"/>
              </w:rPr>
              <w:t>&gt;80-100% AMI</w:t>
            </w:r>
          </w:p>
        </w:tc>
        <w:tc>
          <w:tcPr>
            <w:tcW w:w="1075" w:type="dxa"/>
          </w:tcPr>
          <w:p w14:paraId="7FD56EE4" w14:textId="77777777" w:rsidR="00217A61" w:rsidRDefault="001C2695">
            <w:pPr>
              <w:keepNext/>
              <w:widowControl w:val="0"/>
              <w:spacing w:after="0" w:line="240" w:lineRule="auto"/>
              <w:jc w:val="center"/>
              <w:rPr>
                <w:sz w:val="20"/>
                <w:szCs w:val="20"/>
              </w:rPr>
            </w:pPr>
            <w:r>
              <w:rPr>
                <w:b/>
                <w:sz w:val="20"/>
                <w:szCs w:val="20"/>
              </w:rPr>
              <w:t>Total</w:t>
            </w:r>
          </w:p>
        </w:tc>
        <w:tc>
          <w:tcPr>
            <w:tcW w:w="1074" w:type="dxa"/>
          </w:tcPr>
          <w:p w14:paraId="3A0C248E" w14:textId="77777777" w:rsidR="00217A61" w:rsidRDefault="001C2695">
            <w:pPr>
              <w:keepNext/>
              <w:widowControl w:val="0"/>
              <w:spacing w:after="0" w:line="240" w:lineRule="auto"/>
              <w:jc w:val="center"/>
              <w:rPr>
                <w:sz w:val="20"/>
                <w:szCs w:val="20"/>
              </w:rPr>
            </w:pPr>
            <w:r>
              <w:rPr>
                <w:b/>
                <w:sz w:val="20"/>
                <w:szCs w:val="20"/>
              </w:rPr>
              <w:t>0-30% AMI</w:t>
            </w:r>
          </w:p>
        </w:tc>
        <w:tc>
          <w:tcPr>
            <w:tcW w:w="1074" w:type="dxa"/>
          </w:tcPr>
          <w:p w14:paraId="7EE31BA5" w14:textId="77777777" w:rsidR="00217A61" w:rsidRDefault="001C2695">
            <w:pPr>
              <w:keepNext/>
              <w:widowControl w:val="0"/>
              <w:spacing w:after="0" w:line="240" w:lineRule="auto"/>
              <w:jc w:val="center"/>
              <w:rPr>
                <w:sz w:val="20"/>
                <w:szCs w:val="20"/>
              </w:rPr>
            </w:pPr>
            <w:r>
              <w:rPr>
                <w:b/>
                <w:sz w:val="20"/>
                <w:szCs w:val="20"/>
              </w:rPr>
              <w:t>&gt;30-50% AMI</w:t>
            </w:r>
          </w:p>
        </w:tc>
        <w:tc>
          <w:tcPr>
            <w:tcW w:w="1074" w:type="dxa"/>
          </w:tcPr>
          <w:p w14:paraId="69A894C1" w14:textId="77777777" w:rsidR="00217A61" w:rsidRDefault="001C2695">
            <w:pPr>
              <w:keepNext/>
              <w:widowControl w:val="0"/>
              <w:spacing w:after="0" w:line="240" w:lineRule="auto"/>
              <w:jc w:val="center"/>
              <w:rPr>
                <w:sz w:val="20"/>
                <w:szCs w:val="20"/>
              </w:rPr>
            </w:pPr>
            <w:r>
              <w:rPr>
                <w:b/>
                <w:sz w:val="20"/>
                <w:szCs w:val="20"/>
              </w:rPr>
              <w:t>&gt;50-80% AMI</w:t>
            </w:r>
          </w:p>
        </w:tc>
        <w:tc>
          <w:tcPr>
            <w:tcW w:w="1075" w:type="dxa"/>
          </w:tcPr>
          <w:p w14:paraId="035FAE39" w14:textId="77777777" w:rsidR="00217A61" w:rsidRDefault="001C2695">
            <w:pPr>
              <w:keepNext/>
              <w:widowControl w:val="0"/>
              <w:spacing w:after="0" w:line="240" w:lineRule="auto"/>
              <w:jc w:val="center"/>
              <w:rPr>
                <w:sz w:val="20"/>
                <w:szCs w:val="20"/>
              </w:rPr>
            </w:pPr>
            <w:r>
              <w:rPr>
                <w:b/>
                <w:sz w:val="20"/>
                <w:szCs w:val="20"/>
              </w:rPr>
              <w:t>&gt;80-100% AMI</w:t>
            </w:r>
          </w:p>
        </w:tc>
        <w:tc>
          <w:tcPr>
            <w:tcW w:w="1075" w:type="dxa"/>
          </w:tcPr>
          <w:p w14:paraId="08AB68B9" w14:textId="77777777" w:rsidR="00217A61" w:rsidRDefault="001C2695">
            <w:pPr>
              <w:keepNext/>
              <w:widowControl w:val="0"/>
              <w:spacing w:after="0" w:line="240" w:lineRule="auto"/>
              <w:jc w:val="center"/>
              <w:rPr>
                <w:sz w:val="20"/>
                <w:szCs w:val="20"/>
              </w:rPr>
            </w:pPr>
            <w:r>
              <w:rPr>
                <w:b/>
                <w:sz w:val="20"/>
                <w:szCs w:val="20"/>
              </w:rPr>
              <w:t>Total</w:t>
            </w:r>
          </w:p>
        </w:tc>
      </w:tr>
      <w:tr w:rsidR="00217A61" w14:paraId="726C497E" w14:textId="77777777">
        <w:trPr>
          <w:cantSplit/>
        </w:trPr>
        <w:tc>
          <w:tcPr>
            <w:tcW w:w="13176" w:type="dxa"/>
            <w:gridSpan w:val="11"/>
          </w:tcPr>
          <w:p w14:paraId="6B352F81" w14:textId="77777777" w:rsidR="00217A61" w:rsidRDefault="001C2695">
            <w:pPr>
              <w:keepNext/>
              <w:widowControl w:val="0"/>
              <w:spacing w:after="0" w:line="240" w:lineRule="auto"/>
            </w:pPr>
            <w:r>
              <w:t>NUMBER OF HOUSEHOLDS</w:t>
            </w:r>
          </w:p>
        </w:tc>
      </w:tr>
      <w:tr w:rsidR="00217A61" w14:paraId="346D1F79" w14:textId="77777777">
        <w:trPr>
          <w:cantSplit/>
        </w:trPr>
        <w:tc>
          <w:tcPr>
            <w:tcW w:w="0" w:type="auto"/>
          </w:tcPr>
          <w:p w14:paraId="3F4C5AB0" w14:textId="77777777" w:rsidR="00217A61" w:rsidRDefault="001C2695">
            <w:pPr>
              <w:spacing w:beforeAutospacing="1" w:afterAutospacing="1"/>
            </w:pPr>
            <w:r>
              <w:rPr>
                <w:color w:val="000000"/>
              </w:rPr>
              <w:t>Having 1 or more of four housing problems</w:t>
            </w:r>
          </w:p>
        </w:tc>
        <w:tc>
          <w:tcPr>
            <w:tcW w:w="0" w:type="auto"/>
            <w:vAlign w:val="bottom"/>
          </w:tcPr>
          <w:p w14:paraId="6F3FEBC6" w14:textId="77777777" w:rsidR="00217A61" w:rsidRDefault="001C2695">
            <w:pPr>
              <w:spacing w:beforeAutospacing="1" w:afterAutospacing="1"/>
              <w:jc w:val="right"/>
            </w:pPr>
            <w:r>
              <w:rPr>
                <w:color w:val="000000"/>
              </w:rPr>
              <w:t>207,800</w:t>
            </w:r>
          </w:p>
        </w:tc>
        <w:tc>
          <w:tcPr>
            <w:tcW w:w="0" w:type="auto"/>
            <w:vAlign w:val="bottom"/>
          </w:tcPr>
          <w:p w14:paraId="024502F8" w14:textId="77777777" w:rsidR="00217A61" w:rsidRDefault="001C2695">
            <w:pPr>
              <w:spacing w:beforeAutospacing="1" w:afterAutospacing="1"/>
              <w:jc w:val="right"/>
            </w:pPr>
            <w:r>
              <w:rPr>
                <w:color w:val="000000"/>
              </w:rPr>
              <w:t>87,730</w:t>
            </w:r>
          </w:p>
        </w:tc>
        <w:tc>
          <w:tcPr>
            <w:tcW w:w="0" w:type="auto"/>
            <w:vAlign w:val="bottom"/>
          </w:tcPr>
          <w:p w14:paraId="2C8F9745" w14:textId="77777777" w:rsidR="00217A61" w:rsidRDefault="001C2695">
            <w:pPr>
              <w:spacing w:beforeAutospacing="1" w:afterAutospacing="1"/>
              <w:jc w:val="right"/>
            </w:pPr>
            <w:r>
              <w:rPr>
                <w:color w:val="000000"/>
              </w:rPr>
              <w:t>33,440</w:t>
            </w:r>
          </w:p>
        </w:tc>
        <w:tc>
          <w:tcPr>
            <w:tcW w:w="0" w:type="auto"/>
            <w:vAlign w:val="bottom"/>
          </w:tcPr>
          <w:p w14:paraId="1BAB0E3C" w14:textId="77777777" w:rsidR="00217A61" w:rsidRDefault="001C2695">
            <w:pPr>
              <w:spacing w:beforeAutospacing="1" w:afterAutospacing="1"/>
              <w:jc w:val="right"/>
            </w:pPr>
            <w:r>
              <w:rPr>
                <w:color w:val="000000"/>
              </w:rPr>
              <w:t>7,810</w:t>
            </w:r>
          </w:p>
        </w:tc>
        <w:tc>
          <w:tcPr>
            <w:tcW w:w="0" w:type="auto"/>
            <w:vAlign w:val="bottom"/>
          </w:tcPr>
          <w:p w14:paraId="0C4DC7F3" w14:textId="77777777" w:rsidR="00217A61" w:rsidRDefault="001C2695">
            <w:pPr>
              <w:spacing w:beforeAutospacing="1" w:afterAutospacing="1"/>
              <w:jc w:val="right"/>
            </w:pPr>
            <w:r>
              <w:rPr>
                <w:color w:val="000000"/>
              </w:rPr>
              <w:t>336,780</w:t>
            </w:r>
          </w:p>
        </w:tc>
        <w:tc>
          <w:tcPr>
            <w:tcW w:w="0" w:type="auto"/>
            <w:vAlign w:val="bottom"/>
          </w:tcPr>
          <w:p w14:paraId="1EFC78F1" w14:textId="77777777" w:rsidR="00217A61" w:rsidRDefault="001C2695">
            <w:pPr>
              <w:spacing w:beforeAutospacing="1" w:afterAutospacing="1"/>
              <w:jc w:val="right"/>
            </w:pPr>
            <w:r>
              <w:rPr>
                <w:color w:val="000000"/>
              </w:rPr>
              <w:t>95,350</w:t>
            </w:r>
          </w:p>
        </w:tc>
        <w:tc>
          <w:tcPr>
            <w:tcW w:w="0" w:type="auto"/>
            <w:vAlign w:val="bottom"/>
          </w:tcPr>
          <w:p w14:paraId="56B869DA" w14:textId="77777777" w:rsidR="00217A61" w:rsidRDefault="001C2695">
            <w:pPr>
              <w:spacing w:beforeAutospacing="1" w:afterAutospacing="1"/>
              <w:jc w:val="right"/>
            </w:pPr>
            <w:r>
              <w:rPr>
                <w:color w:val="000000"/>
              </w:rPr>
              <w:t>68,245</w:t>
            </w:r>
          </w:p>
        </w:tc>
        <w:tc>
          <w:tcPr>
            <w:tcW w:w="0" w:type="auto"/>
            <w:vAlign w:val="bottom"/>
          </w:tcPr>
          <w:p w14:paraId="7BC1A1CA" w14:textId="77777777" w:rsidR="00217A61" w:rsidRDefault="001C2695">
            <w:pPr>
              <w:spacing w:beforeAutospacing="1" w:afterAutospacing="1"/>
              <w:jc w:val="right"/>
            </w:pPr>
            <w:r>
              <w:rPr>
                <w:color w:val="000000"/>
              </w:rPr>
              <w:t>53,760</w:t>
            </w:r>
          </w:p>
        </w:tc>
        <w:tc>
          <w:tcPr>
            <w:tcW w:w="0" w:type="auto"/>
            <w:vAlign w:val="bottom"/>
          </w:tcPr>
          <w:p w14:paraId="4E68BB2B" w14:textId="77777777" w:rsidR="00217A61" w:rsidRDefault="001C2695">
            <w:pPr>
              <w:spacing w:beforeAutospacing="1" w:afterAutospacing="1"/>
              <w:jc w:val="right"/>
            </w:pPr>
            <w:r>
              <w:rPr>
                <w:color w:val="000000"/>
              </w:rPr>
              <w:t>16,890</w:t>
            </w:r>
          </w:p>
        </w:tc>
        <w:tc>
          <w:tcPr>
            <w:tcW w:w="0" w:type="auto"/>
            <w:vAlign w:val="bottom"/>
          </w:tcPr>
          <w:p w14:paraId="22E132F8" w14:textId="77777777" w:rsidR="00217A61" w:rsidRDefault="001C2695">
            <w:pPr>
              <w:spacing w:beforeAutospacing="1" w:afterAutospacing="1"/>
              <w:jc w:val="right"/>
            </w:pPr>
            <w:r>
              <w:rPr>
                <w:color w:val="000000"/>
              </w:rPr>
              <w:t>234,245</w:t>
            </w:r>
          </w:p>
        </w:tc>
      </w:tr>
      <w:tr w:rsidR="00217A61" w14:paraId="50C06F4D" w14:textId="77777777">
        <w:trPr>
          <w:cantSplit/>
        </w:trPr>
        <w:tc>
          <w:tcPr>
            <w:tcW w:w="0" w:type="auto"/>
          </w:tcPr>
          <w:p w14:paraId="595D3474" w14:textId="77777777" w:rsidR="00217A61" w:rsidRDefault="001C2695">
            <w:pPr>
              <w:spacing w:beforeAutospacing="1" w:afterAutospacing="1"/>
            </w:pPr>
            <w:r>
              <w:rPr>
                <w:color w:val="000000"/>
              </w:rPr>
              <w:t>Having none of four housing problems</w:t>
            </w:r>
          </w:p>
        </w:tc>
        <w:tc>
          <w:tcPr>
            <w:tcW w:w="0" w:type="auto"/>
            <w:vAlign w:val="bottom"/>
          </w:tcPr>
          <w:p w14:paraId="67B23BA0" w14:textId="77777777" w:rsidR="00217A61" w:rsidRDefault="001C2695">
            <w:pPr>
              <w:spacing w:beforeAutospacing="1" w:afterAutospacing="1"/>
              <w:jc w:val="right"/>
            </w:pPr>
            <w:r>
              <w:rPr>
                <w:color w:val="000000"/>
              </w:rPr>
              <w:t>72,845</w:t>
            </w:r>
          </w:p>
        </w:tc>
        <w:tc>
          <w:tcPr>
            <w:tcW w:w="0" w:type="auto"/>
            <w:vAlign w:val="bottom"/>
          </w:tcPr>
          <w:p w14:paraId="3BA66223" w14:textId="77777777" w:rsidR="00217A61" w:rsidRDefault="001C2695">
            <w:pPr>
              <w:spacing w:beforeAutospacing="1" w:afterAutospacing="1"/>
              <w:jc w:val="right"/>
            </w:pPr>
            <w:r>
              <w:rPr>
                <w:color w:val="000000"/>
              </w:rPr>
              <w:t>156,410</w:t>
            </w:r>
          </w:p>
        </w:tc>
        <w:tc>
          <w:tcPr>
            <w:tcW w:w="0" w:type="auto"/>
            <w:vAlign w:val="bottom"/>
          </w:tcPr>
          <w:p w14:paraId="790F9999" w14:textId="77777777" w:rsidR="00217A61" w:rsidRDefault="001C2695">
            <w:pPr>
              <w:spacing w:beforeAutospacing="1" w:afterAutospacing="1"/>
              <w:jc w:val="right"/>
            </w:pPr>
            <w:r>
              <w:rPr>
                <w:color w:val="000000"/>
              </w:rPr>
              <w:t>251,515</w:t>
            </w:r>
          </w:p>
        </w:tc>
        <w:tc>
          <w:tcPr>
            <w:tcW w:w="0" w:type="auto"/>
            <w:vAlign w:val="bottom"/>
          </w:tcPr>
          <w:p w14:paraId="66848E52" w14:textId="77777777" w:rsidR="00217A61" w:rsidRDefault="001C2695">
            <w:pPr>
              <w:spacing w:beforeAutospacing="1" w:afterAutospacing="1"/>
              <w:jc w:val="right"/>
            </w:pPr>
            <w:r>
              <w:rPr>
                <w:color w:val="000000"/>
              </w:rPr>
              <w:t>127,930</w:t>
            </w:r>
          </w:p>
        </w:tc>
        <w:tc>
          <w:tcPr>
            <w:tcW w:w="0" w:type="auto"/>
            <w:vAlign w:val="bottom"/>
          </w:tcPr>
          <w:p w14:paraId="0654D6DB" w14:textId="77777777" w:rsidR="00217A61" w:rsidRDefault="001C2695">
            <w:pPr>
              <w:spacing w:beforeAutospacing="1" w:afterAutospacing="1"/>
              <w:jc w:val="right"/>
            </w:pPr>
            <w:r>
              <w:rPr>
                <w:color w:val="000000"/>
              </w:rPr>
              <w:t>608,700</w:t>
            </w:r>
          </w:p>
        </w:tc>
        <w:tc>
          <w:tcPr>
            <w:tcW w:w="0" w:type="auto"/>
            <w:vAlign w:val="bottom"/>
          </w:tcPr>
          <w:p w14:paraId="7FC334B8" w14:textId="77777777" w:rsidR="00217A61" w:rsidRDefault="001C2695">
            <w:pPr>
              <w:spacing w:beforeAutospacing="1" w:afterAutospacing="1"/>
              <w:jc w:val="right"/>
            </w:pPr>
            <w:r>
              <w:rPr>
                <w:color w:val="000000"/>
              </w:rPr>
              <w:t>51,000</w:t>
            </w:r>
          </w:p>
        </w:tc>
        <w:tc>
          <w:tcPr>
            <w:tcW w:w="0" w:type="auto"/>
            <w:vAlign w:val="bottom"/>
          </w:tcPr>
          <w:p w14:paraId="7ECA7AA4" w14:textId="77777777" w:rsidR="00217A61" w:rsidRDefault="001C2695">
            <w:pPr>
              <w:spacing w:beforeAutospacing="1" w:afterAutospacing="1"/>
              <w:jc w:val="right"/>
            </w:pPr>
            <w:r>
              <w:rPr>
                <w:color w:val="000000"/>
              </w:rPr>
              <w:t>156,200</w:t>
            </w:r>
          </w:p>
        </w:tc>
        <w:tc>
          <w:tcPr>
            <w:tcW w:w="0" w:type="auto"/>
            <w:vAlign w:val="bottom"/>
          </w:tcPr>
          <w:p w14:paraId="38CFD2E6" w14:textId="77777777" w:rsidR="00217A61" w:rsidRDefault="001C2695">
            <w:pPr>
              <w:spacing w:beforeAutospacing="1" w:afterAutospacing="1"/>
              <w:jc w:val="right"/>
            </w:pPr>
            <w:r>
              <w:rPr>
                <w:color w:val="000000"/>
              </w:rPr>
              <w:t>320,305</w:t>
            </w:r>
          </w:p>
        </w:tc>
        <w:tc>
          <w:tcPr>
            <w:tcW w:w="0" w:type="auto"/>
            <w:vAlign w:val="bottom"/>
          </w:tcPr>
          <w:p w14:paraId="17DA9BFF" w14:textId="77777777" w:rsidR="00217A61" w:rsidRDefault="001C2695">
            <w:pPr>
              <w:spacing w:beforeAutospacing="1" w:afterAutospacing="1"/>
              <w:jc w:val="right"/>
            </w:pPr>
            <w:r>
              <w:rPr>
                <w:color w:val="000000"/>
              </w:rPr>
              <w:t>230,705</w:t>
            </w:r>
          </w:p>
        </w:tc>
        <w:tc>
          <w:tcPr>
            <w:tcW w:w="0" w:type="auto"/>
            <w:vAlign w:val="bottom"/>
          </w:tcPr>
          <w:p w14:paraId="389F4254" w14:textId="77777777" w:rsidR="00217A61" w:rsidRDefault="001C2695">
            <w:pPr>
              <w:spacing w:beforeAutospacing="1" w:afterAutospacing="1"/>
              <w:jc w:val="right"/>
            </w:pPr>
            <w:r>
              <w:rPr>
                <w:color w:val="000000"/>
              </w:rPr>
              <w:t>758,210</w:t>
            </w:r>
          </w:p>
        </w:tc>
      </w:tr>
      <w:tr w:rsidR="00217A61" w14:paraId="01971F39" w14:textId="77777777">
        <w:trPr>
          <w:cantSplit/>
        </w:trPr>
        <w:tc>
          <w:tcPr>
            <w:tcW w:w="0" w:type="auto"/>
          </w:tcPr>
          <w:p w14:paraId="017AAE33" w14:textId="77777777" w:rsidR="00217A61" w:rsidRDefault="001C2695">
            <w:pPr>
              <w:spacing w:beforeAutospacing="1" w:afterAutospacing="1"/>
            </w:pPr>
            <w:r>
              <w:rPr>
                <w:color w:val="000000"/>
              </w:rPr>
              <w:lastRenderedPageBreak/>
              <w:t>Household has negative income, but none of the other housing problems</w:t>
            </w:r>
          </w:p>
        </w:tc>
        <w:tc>
          <w:tcPr>
            <w:tcW w:w="0" w:type="auto"/>
            <w:vAlign w:val="bottom"/>
          </w:tcPr>
          <w:p w14:paraId="5A798A1B" w14:textId="77777777" w:rsidR="00217A61" w:rsidRDefault="001C2695">
            <w:pPr>
              <w:spacing w:beforeAutospacing="1" w:afterAutospacing="1"/>
              <w:jc w:val="right"/>
            </w:pPr>
            <w:r>
              <w:rPr>
                <w:color w:val="000000"/>
              </w:rPr>
              <w:t>32,530</w:t>
            </w:r>
          </w:p>
        </w:tc>
        <w:tc>
          <w:tcPr>
            <w:tcW w:w="0" w:type="auto"/>
            <w:vAlign w:val="bottom"/>
          </w:tcPr>
          <w:p w14:paraId="03B414C4" w14:textId="77777777" w:rsidR="00217A61" w:rsidRDefault="001C2695">
            <w:pPr>
              <w:spacing w:beforeAutospacing="1" w:afterAutospacing="1"/>
              <w:jc w:val="right"/>
            </w:pPr>
            <w:r>
              <w:rPr>
                <w:color w:val="000000"/>
              </w:rPr>
              <w:t>0</w:t>
            </w:r>
          </w:p>
        </w:tc>
        <w:tc>
          <w:tcPr>
            <w:tcW w:w="0" w:type="auto"/>
            <w:vAlign w:val="bottom"/>
          </w:tcPr>
          <w:p w14:paraId="2E8D51CF" w14:textId="77777777" w:rsidR="00217A61" w:rsidRDefault="001C2695">
            <w:pPr>
              <w:spacing w:beforeAutospacing="1" w:afterAutospacing="1"/>
              <w:jc w:val="right"/>
            </w:pPr>
            <w:r>
              <w:rPr>
                <w:color w:val="000000"/>
              </w:rPr>
              <w:t>0</w:t>
            </w:r>
          </w:p>
        </w:tc>
        <w:tc>
          <w:tcPr>
            <w:tcW w:w="0" w:type="auto"/>
            <w:vAlign w:val="bottom"/>
          </w:tcPr>
          <w:p w14:paraId="7E884B49" w14:textId="77777777" w:rsidR="00217A61" w:rsidRDefault="001C2695">
            <w:pPr>
              <w:spacing w:beforeAutospacing="1" w:afterAutospacing="1"/>
              <w:jc w:val="right"/>
            </w:pPr>
            <w:r>
              <w:rPr>
                <w:color w:val="000000"/>
              </w:rPr>
              <w:t>0</w:t>
            </w:r>
          </w:p>
        </w:tc>
        <w:tc>
          <w:tcPr>
            <w:tcW w:w="0" w:type="auto"/>
            <w:vAlign w:val="bottom"/>
          </w:tcPr>
          <w:p w14:paraId="4DBD2E99" w14:textId="77777777" w:rsidR="00217A61" w:rsidRDefault="001C2695">
            <w:pPr>
              <w:spacing w:beforeAutospacing="1" w:afterAutospacing="1"/>
              <w:jc w:val="right"/>
            </w:pPr>
            <w:r>
              <w:rPr>
                <w:color w:val="000000"/>
              </w:rPr>
              <w:t>32,530</w:t>
            </w:r>
          </w:p>
        </w:tc>
        <w:tc>
          <w:tcPr>
            <w:tcW w:w="0" w:type="auto"/>
            <w:vAlign w:val="bottom"/>
          </w:tcPr>
          <w:p w14:paraId="6DB17FD1" w14:textId="77777777" w:rsidR="00217A61" w:rsidRDefault="001C2695">
            <w:pPr>
              <w:spacing w:beforeAutospacing="1" w:afterAutospacing="1"/>
              <w:jc w:val="right"/>
            </w:pPr>
            <w:r>
              <w:rPr>
                <w:color w:val="000000"/>
              </w:rPr>
              <w:t>22,195</w:t>
            </w:r>
          </w:p>
        </w:tc>
        <w:tc>
          <w:tcPr>
            <w:tcW w:w="0" w:type="auto"/>
            <w:vAlign w:val="bottom"/>
          </w:tcPr>
          <w:p w14:paraId="4D8165C4" w14:textId="77777777" w:rsidR="00217A61" w:rsidRDefault="001C2695">
            <w:pPr>
              <w:spacing w:beforeAutospacing="1" w:afterAutospacing="1"/>
              <w:jc w:val="right"/>
            </w:pPr>
            <w:r>
              <w:rPr>
                <w:color w:val="000000"/>
              </w:rPr>
              <w:t>0</w:t>
            </w:r>
          </w:p>
        </w:tc>
        <w:tc>
          <w:tcPr>
            <w:tcW w:w="0" w:type="auto"/>
            <w:vAlign w:val="bottom"/>
          </w:tcPr>
          <w:p w14:paraId="7829FF52" w14:textId="77777777" w:rsidR="00217A61" w:rsidRDefault="001C2695">
            <w:pPr>
              <w:spacing w:beforeAutospacing="1" w:afterAutospacing="1"/>
              <w:jc w:val="right"/>
            </w:pPr>
            <w:r>
              <w:rPr>
                <w:color w:val="000000"/>
              </w:rPr>
              <w:t>0</w:t>
            </w:r>
          </w:p>
        </w:tc>
        <w:tc>
          <w:tcPr>
            <w:tcW w:w="0" w:type="auto"/>
            <w:vAlign w:val="bottom"/>
          </w:tcPr>
          <w:p w14:paraId="7E34D4F0" w14:textId="77777777" w:rsidR="00217A61" w:rsidRDefault="001C2695">
            <w:pPr>
              <w:spacing w:beforeAutospacing="1" w:afterAutospacing="1"/>
              <w:jc w:val="right"/>
            </w:pPr>
            <w:r>
              <w:rPr>
                <w:color w:val="000000"/>
              </w:rPr>
              <w:t>0</w:t>
            </w:r>
          </w:p>
        </w:tc>
        <w:tc>
          <w:tcPr>
            <w:tcW w:w="0" w:type="auto"/>
            <w:vAlign w:val="bottom"/>
          </w:tcPr>
          <w:p w14:paraId="4BD9E79C" w14:textId="77777777" w:rsidR="00217A61" w:rsidRDefault="001C2695">
            <w:pPr>
              <w:spacing w:beforeAutospacing="1" w:afterAutospacing="1"/>
              <w:jc w:val="right"/>
            </w:pPr>
            <w:r>
              <w:rPr>
                <w:color w:val="000000"/>
              </w:rPr>
              <w:t>22,195</w:t>
            </w:r>
          </w:p>
        </w:tc>
      </w:tr>
    </w:tbl>
    <w:p w14:paraId="1D956F21" w14:textId="77777777" w:rsidR="00217A61" w:rsidRDefault="001C2695">
      <w:pPr>
        <w:pStyle w:val="Caption"/>
        <w:jc w:val="center"/>
        <w:rPr>
          <w:rFonts w:asciiTheme="minorHAnsi" w:hAnsiTheme="minorHAnsi"/>
        </w:rPr>
      </w:pPr>
      <w:bookmarkStart w:id="3"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Housing Problems 2</w:t>
      </w:r>
      <w:bookmarkEnd w:id="3"/>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217A61" w14:paraId="4BA434CD" w14:textId="77777777">
        <w:trPr>
          <w:cantSplit/>
        </w:trPr>
        <w:tc>
          <w:tcPr>
            <w:tcW w:w="1080" w:type="dxa"/>
          </w:tcPr>
          <w:p w14:paraId="08D4F8EB" w14:textId="77777777" w:rsidR="00217A61" w:rsidRDefault="001C2695">
            <w:pPr>
              <w:spacing w:after="0" w:line="240" w:lineRule="auto"/>
              <w:rPr>
                <w:sz w:val="16"/>
                <w:szCs w:val="16"/>
              </w:rPr>
            </w:pPr>
            <w:r>
              <w:rPr>
                <w:b/>
                <w:bCs/>
                <w:sz w:val="16"/>
                <w:szCs w:val="16"/>
              </w:rPr>
              <w:t>Data Source:</w:t>
            </w:r>
          </w:p>
        </w:tc>
        <w:tc>
          <w:tcPr>
            <w:tcW w:w="12110" w:type="dxa"/>
          </w:tcPr>
          <w:p w14:paraId="6D5E09A0" w14:textId="77777777" w:rsidR="00217A61" w:rsidRDefault="001C2695">
            <w:pPr>
              <w:spacing w:beforeAutospacing="1" w:afterAutospacing="1"/>
              <w:rPr>
                <w:sz w:val="16"/>
                <w:szCs w:val="16"/>
              </w:rPr>
            </w:pPr>
            <w:r>
              <w:rPr>
                <w:sz w:val="16"/>
                <w:szCs w:val="16"/>
              </w:rPr>
              <w:t>2011-2015 CHAS</w:t>
            </w:r>
          </w:p>
        </w:tc>
      </w:tr>
    </w:tbl>
    <w:p w14:paraId="758A6D78" w14:textId="77777777" w:rsidR="00217A61" w:rsidRDefault="00217A61">
      <w:pPr>
        <w:spacing w:after="0" w:line="240" w:lineRule="auto"/>
        <w:rPr>
          <w:vanish/>
        </w:rPr>
      </w:pPr>
    </w:p>
    <w:p w14:paraId="5A967BFE" w14:textId="77777777" w:rsidR="00217A61" w:rsidRDefault="00217A61">
      <w:pPr>
        <w:spacing w:after="0" w:line="240" w:lineRule="auto"/>
        <w:rPr>
          <w:b/>
          <w:bCs/>
          <w:vanish/>
          <w:sz w:val="16"/>
          <w:szCs w:val="16"/>
        </w:rPr>
      </w:pPr>
    </w:p>
    <w:p w14:paraId="5A1FB296" w14:textId="77777777" w:rsidR="00217A61" w:rsidRDefault="00217A61">
      <w:pPr>
        <w:rPr>
          <w:rFonts w:cs="Arial"/>
          <w:sz w:val="16"/>
          <w:szCs w:val="16"/>
        </w:rPr>
      </w:pPr>
    </w:p>
    <w:p w14:paraId="0D13133D" w14:textId="77777777" w:rsidR="00217A61" w:rsidRDefault="001C2695">
      <w:pPr>
        <w:keepNext/>
        <w:widowControl w:val="0"/>
        <w:rPr>
          <w:sz w:val="24"/>
          <w:szCs w:val="24"/>
        </w:rPr>
      </w:pPr>
      <w:r>
        <w:rPr>
          <w:sz w:val="24"/>
          <w:szCs w:val="24"/>
        </w:rPr>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002"/>
        <w:gridCol w:w="1001"/>
        <w:gridCol w:w="1001"/>
        <w:gridCol w:w="1071"/>
        <w:gridCol w:w="1001"/>
        <w:gridCol w:w="1001"/>
        <w:gridCol w:w="1001"/>
        <w:gridCol w:w="1071"/>
      </w:tblGrid>
      <w:tr w:rsidR="00217A61" w14:paraId="1794DD0C" w14:textId="77777777">
        <w:trPr>
          <w:cantSplit/>
          <w:tblHeader/>
        </w:trPr>
        <w:tc>
          <w:tcPr>
            <w:tcW w:w="2432" w:type="dxa"/>
            <w:vMerge w:val="restart"/>
          </w:tcPr>
          <w:p w14:paraId="2FD5D078" w14:textId="77777777" w:rsidR="00217A61" w:rsidRDefault="00217A61">
            <w:pPr>
              <w:keepNext/>
              <w:widowControl w:val="0"/>
              <w:spacing w:after="0" w:line="240" w:lineRule="auto"/>
              <w:jc w:val="center"/>
              <w:rPr>
                <w:sz w:val="20"/>
                <w:szCs w:val="20"/>
              </w:rPr>
            </w:pPr>
          </w:p>
        </w:tc>
        <w:tc>
          <w:tcPr>
            <w:tcW w:w="5372" w:type="dxa"/>
            <w:gridSpan w:val="4"/>
          </w:tcPr>
          <w:p w14:paraId="38AB661C" w14:textId="77777777" w:rsidR="00217A61" w:rsidRDefault="001C2695">
            <w:pPr>
              <w:keepNext/>
              <w:widowControl w:val="0"/>
              <w:spacing w:after="0" w:line="240" w:lineRule="auto"/>
              <w:jc w:val="center"/>
              <w:rPr>
                <w:sz w:val="20"/>
                <w:szCs w:val="20"/>
              </w:rPr>
            </w:pPr>
            <w:r>
              <w:rPr>
                <w:b/>
                <w:bCs/>
                <w:sz w:val="20"/>
                <w:szCs w:val="20"/>
              </w:rPr>
              <w:t>Renter</w:t>
            </w:r>
          </w:p>
        </w:tc>
        <w:tc>
          <w:tcPr>
            <w:tcW w:w="5372" w:type="dxa"/>
            <w:gridSpan w:val="4"/>
          </w:tcPr>
          <w:p w14:paraId="227903D6" w14:textId="77777777" w:rsidR="00217A61" w:rsidRDefault="001C2695">
            <w:pPr>
              <w:keepNext/>
              <w:widowControl w:val="0"/>
              <w:spacing w:after="0" w:line="240" w:lineRule="auto"/>
              <w:jc w:val="center"/>
              <w:rPr>
                <w:sz w:val="20"/>
                <w:szCs w:val="20"/>
              </w:rPr>
            </w:pPr>
            <w:r>
              <w:rPr>
                <w:b/>
                <w:bCs/>
                <w:sz w:val="20"/>
                <w:szCs w:val="20"/>
              </w:rPr>
              <w:t>Owner</w:t>
            </w:r>
          </w:p>
        </w:tc>
      </w:tr>
      <w:tr w:rsidR="00217A61" w14:paraId="54D0703E" w14:textId="77777777">
        <w:trPr>
          <w:cantSplit/>
          <w:tblHeader/>
        </w:trPr>
        <w:tc>
          <w:tcPr>
            <w:tcW w:w="2432" w:type="dxa"/>
            <w:vMerge/>
          </w:tcPr>
          <w:p w14:paraId="44F0C098" w14:textId="77777777" w:rsidR="00217A61" w:rsidRDefault="00217A61">
            <w:pPr>
              <w:keepNext/>
              <w:widowControl w:val="0"/>
              <w:spacing w:after="0" w:line="240" w:lineRule="auto"/>
              <w:rPr>
                <w:sz w:val="20"/>
                <w:szCs w:val="20"/>
              </w:rPr>
            </w:pPr>
          </w:p>
        </w:tc>
        <w:tc>
          <w:tcPr>
            <w:tcW w:w="1253" w:type="dxa"/>
          </w:tcPr>
          <w:p w14:paraId="631959A3" w14:textId="77777777" w:rsidR="00217A61" w:rsidRDefault="001C2695">
            <w:pPr>
              <w:keepNext/>
              <w:widowControl w:val="0"/>
              <w:spacing w:after="0" w:line="240" w:lineRule="auto"/>
              <w:jc w:val="center"/>
              <w:rPr>
                <w:sz w:val="20"/>
                <w:szCs w:val="20"/>
              </w:rPr>
            </w:pPr>
            <w:r>
              <w:rPr>
                <w:b/>
                <w:sz w:val="20"/>
                <w:szCs w:val="20"/>
              </w:rPr>
              <w:t>0-30% AMI</w:t>
            </w:r>
          </w:p>
        </w:tc>
        <w:tc>
          <w:tcPr>
            <w:tcW w:w="1254" w:type="dxa"/>
          </w:tcPr>
          <w:p w14:paraId="5E90BAEC" w14:textId="77777777" w:rsidR="00217A61" w:rsidRDefault="001C2695">
            <w:pPr>
              <w:keepNext/>
              <w:widowControl w:val="0"/>
              <w:spacing w:after="0" w:line="240" w:lineRule="auto"/>
              <w:jc w:val="center"/>
              <w:rPr>
                <w:sz w:val="20"/>
                <w:szCs w:val="20"/>
              </w:rPr>
            </w:pPr>
            <w:r>
              <w:rPr>
                <w:b/>
                <w:sz w:val="20"/>
                <w:szCs w:val="20"/>
              </w:rPr>
              <w:t>&gt;30-50% AMI</w:t>
            </w:r>
          </w:p>
        </w:tc>
        <w:tc>
          <w:tcPr>
            <w:tcW w:w="1254" w:type="dxa"/>
          </w:tcPr>
          <w:p w14:paraId="715FE179" w14:textId="77777777" w:rsidR="00217A61" w:rsidRDefault="001C2695">
            <w:pPr>
              <w:keepNext/>
              <w:widowControl w:val="0"/>
              <w:spacing w:after="0" w:line="240" w:lineRule="auto"/>
              <w:jc w:val="center"/>
              <w:rPr>
                <w:sz w:val="20"/>
                <w:szCs w:val="20"/>
              </w:rPr>
            </w:pPr>
            <w:r>
              <w:rPr>
                <w:b/>
                <w:sz w:val="20"/>
                <w:szCs w:val="20"/>
              </w:rPr>
              <w:t>&gt;50-80% AMI</w:t>
            </w:r>
          </w:p>
        </w:tc>
        <w:tc>
          <w:tcPr>
            <w:tcW w:w="1611" w:type="dxa"/>
          </w:tcPr>
          <w:p w14:paraId="0659D4D3" w14:textId="77777777" w:rsidR="00217A61" w:rsidRDefault="001C2695">
            <w:pPr>
              <w:keepNext/>
              <w:widowControl w:val="0"/>
              <w:spacing w:after="0" w:line="240" w:lineRule="auto"/>
              <w:jc w:val="center"/>
              <w:rPr>
                <w:sz w:val="20"/>
                <w:szCs w:val="20"/>
              </w:rPr>
            </w:pPr>
            <w:r>
              <w:rPr>
                <w:b/>
                <w:sz w:val="20"/>
                <w:szCs w:val="20"/>
              </w:rPr>
              <w:t>Total</w:t>
            </w:r>
          </w:p>
        </w:tc>
        <w:tc>
          <w:tcPr>
            <w:tcW w:w="1253" w:type="dxa"/>
          </w:tcPr>
          <w:p w14:paraId="3F464B7D" w14:textId="77777777" w:rsidR="00217A61" w:rsidRDefault="001C2695">
            <w:pPr>
              <w:keepNext/>
              <w:widowControl w:val="0"/>
              <w:spacing w:after="0" w:line="240" w:lineRule="auto"/>
              <w:jc w:val="center"/>
              <w:rPr>
                <w:sz w:val="20"/>
                <w:szCs w:val="20"/>
              </w:rPr>
            </w:pPr>
            <w:r>
              <w:rPr>
                <w:b/>
                <w:sz w:val="20"/>
                <w:szCs w:val="20"/>
              </w:rPr>
              <w:t>0-30% AMI</w:t>
            </w:r>
          </w:p>
        </w:tc>
        <w:tc>
          <w:tcPr>
            <w:tcW w:w="1254" w:type="dxa"/>
          </w:tcPr>
          <w:p w14:paraId="06CAD407" w14:textId="77777777" w:rsidR="00217A61" w:rsidRDefault="001C2695">
            <w:pPr>
              <w:keepNext/>
              <w:widowControl w:val="0"/>
              <w:spacing w:after="0" w:line="240" w:lineRule="auto"/>
              <w:jc w:val="center"/>
              <w:rPr>
                <w:sz w:val="20"/>
                <w:szCs w:val="20"/>
              </w:rPr>
            </w:pPr>
            <w:r>
              <w:rPr>
                <w:b/>
                <w:sz w:val="20"/>
                <w:szCs w:val="20"/>
              </w:rPr>
              <w:t>&gt;30-50% AMI</w:t>
            </w:r>
          </w:p>
        </w:tc>
        <w:tc>
          <w:tcPr>
            <w:tcW w:w="1254" w:type="dxa"/>
          </w:tcPr>
          <w:p w14:paraId="2E34CD50" w14:textId="77777777" w:rsidR="00217A61" w:rsidRDefault="001C2695">
            <w:pPr>
              <w:keepNext/>
              <w:widowControl w:val="0"/>
              <w:spacing w:after="0" w:line="240" w:lineRule="auto"/>
              <w:jc w:val="center"/>
              <w:rPr>
                <w:sz w:val="20"/>
                <w:szCs w:val="20"/>
              </w:rPr>
            </w:pPr>
            <w:r>
              <w:rPr>
                <w:b/>
                <w:sz w:val="20"/>
                <w:szCs w:val="20"/>
              </w:rPr>
              <w:t>&gt;50-80% AMI</w:t>
            </w:r>
          </w:p>
        </w:tc>
        <w:tc>
          <w:tcPr>
            <w:tcW w:w="1611" w:type="dxa"/>
          </w:tcPr>
          <w:p w14:paraId="3AB53574" w14:textId="77777777" w:rsidR="00217A61" w:rsidRDefault="001C2695">
            <w:pPr>
              <w:keepNext/>
              <w:widowControl w:val="0"/>
              <w:spacing w:after="0" w:line="240" w:lineRule="auto"/>
              <w:jc w:val="center"/>
              <w:rPr>
                <w:sz w:val="20"/>
                <w:szCs w:val="20"/>
              </w:rPr>
            </w:pPr>
            <w:r>
              <w:rPr>
                <w:b/>
                <w:sz w:val="20"/>
                <w:szCs w:val="20"/>
              </w:rPr>
              <w:t>Total</w:t>
            </w:r>
          </w:p>
        </w:tc>
      </w:tr>
      <w:tr w:rsidR="00217A61" w14:paraId="454EAB89" w14:textId="77777777">
        <w:trPr>
          <w:cantSplit/>
        </w:trPr>
        <w:tc>
          <w:tcPr>
            <w:tcW w:w="13176" w:type="dxa"/>
            <w:gridSpan w:val="9"/>
          </w:tcPr>
          <w:p w14:paraId="5B6ED0D7" w14:textId="77777777" w:rsidR="00217A61" w:rsidRDefault="001C2695">
            <w:pPr>
              <w:keepNext/>
              <w:widowControl w:val="0"/>
              <w:spacing w:after="0" w:line="240" w:lineRule="auto"/>
            </w:pPr>
            <w:r>
              <w:t>NUMBER OF HOUSEHOLDS</w:t>
            </w:r>
          </w:p>
        </w:tc>
      </w:tr>
      <w:tr w:rsidR="00217A61" w14:paraId="7669AB3C" w14:textId="77777777">
        <w:trPr>
          <w:cantSplit/>
        </w:trPr>
        <w:tc>
          <w:tcPr>
            <w:tcW w:w="0" w:type="auto"/>
          </w:tcPr>
          <w:p w14:paraId="76178207" w14:textId="77777777" w:rsidR="00217A61" w:rsidRDefault="001C2695">
            <w:pPr>
              <w:spacing w:beforeAutospacing="1" w:afterAutospacing="1"/>
            </w:pPr>
            <w:r>
              <w:rPr>
                <w:color w:val="000000"/>
              </w:rPr>
              <w:t>Small Related</w:t>
            </w:r>
          </w:p>
        </w:tc>
        <w:tc>
          <w:tcPr>
            <w:tcW w:w="0" w:type="auto"/>
            <w:vAlign w:val="bottom"/>
          </w:tcPr>
          <w:p w14:paraId="7EE44FE2" w14:textId="77777777" w:rsidR="00217A61" w:rsidRDefault="001C2695">
            <w:pPr>
              <w:spacing w:beforeAutospacing="1" w:afterAutospacing="1"/>
              <w:jc w:val="right"/>
            </w:pPr>
            <w:r>
              <w:rPr>
                <w:color w:val="000000"/>
              </w:rPr>
              <w:t>91,115</w:t>
            </w:r>
          </w:p>
        </w:tc>
        <w:tc>
          <w:tcPr>
            <w:tcW w:w="0" w:type="auto"/>
            <w:vAlign w:val="bottom"/>
          </w:tcPr>
          <w:p w14:paraId="17D98F5C" w14:textId="77777777" w:rsidR="00217A61" w:rsidRDefault="001C2695">
            <w:pPr>
              <w:spacing w:beforeAutospacing="1" w:afterAutospacing="1"/>
              <w:jc w:val="right"/>
            </w:pPr>
            <w:r>
              <w:rPr>
                <w:color w:val="000000"/>
              </w:rPr>
              <w:t>75,010</w:t>
            </w:r>
          </w:p>
        </w:tc>
        <w:tc>
          <w:tcPr>
            <w:tcW w:w="0" w:type="auto"/>
            <w:vAlign w:val="bottom"/>
          </w:tcPr>
          <w:p w14:paraId="105D7273" w14:textId="77777777" w:rsidR="00217A61" w:rsidRDefault="001C2695">
            <w:pPr>
              <w:spacing w:beforeAutospacing="1" w:afterAutospacing="1"/>
              <w:jc w:val="right"/>
            </w:pPr>
            <w:r>
              <w:rPr>
                <w:color w:val="000000"/>
              </w:rPr>
              <w:t>49,530</w:t>
            </w:r>
          </w:p>
        </w:tc>
        <w:tc>
          <w:tcPr>
            <w:tcW w:w="0" w:type="auto"/>
            <w:vAlign w:val="bottom"/>
          </w:tcPr>
          <w:p w14:paraId="6BFC57D4" w14:textId="77777777" w:rsidR="00217A61" w:rsidRDefault="001C2695">
            <w:pPr>
              <w:spacing w:beforeAutospacing="1" w:afterAutospacing="1"/>
              <w:jc w:val="right"/>
            </w:pPr>
            <w:r>
              <w:rPr>
                <w:color w:val="000000"/>
              </w:rPr>
              <w:t>215,655</w:t>
            </w:r>
          </w:p>
        </w:tc>
        <w:tc>
          <w:tcPr>
            <w:tcW w:w="0" w:type="auto"/>
            <w:vAlign w:val="bottom"/>
          </w:tcPr>
          <w:p w14:paraId="4AC246BE" w14:textId="77777777" w:rsidR="00217A61" w:rsidRDefault="001C2695">
            <w:pPr>
              <w:spacing w:beforeAutospacing="1" w:afterAutospacing="1"/>
              <w:jc w:val="right"/>
            </w:pPr>
            <w:r>
              <w:rPr>
                <w:color w:val="000000"/>
              </w:rPr>
              <w:t>33,480</w:t>
            </w:r>
          </w:p>
        </w:tc>
        <w:tc>
          <w:tcPr>
            <w:tcW w:w="0" w:type="auto"/>
            <w:vAlign w:val="bottom"/>
          </w:tcPr>
          <w:p w14:paraId="1A20C210" w14:textId="77777777" w:rsidR="00217A61" w:rsidRDefault="001C2695">
            <w:pPr>
              <w:spacing w:beforeAutospacing="1" w:afterAutospacing="1"/>
              <w:jc w:val="right"/>
            </w:pPr>
            <w:r>
              <w:rPr>
                <w:color w:val="000000"/>
              </w:rPr>
              <w:t>36,615</w:t>
            </w:r>
          </w:p>
        </w:tc>
        <w:tc>
          <w:tcPr>
            <w:tcW w:w="0" w:type="auto"/>
            <w:vAlign w:val="bottom"/>
          </w:tcPr>
          <w:p w14:paraId="75C1ADE3" w14:textId="77777777" w:rsidR="00217A61" w:rsidRDefault="001C2695">
            <w:pPr>
              <w:spacing w:beforeAutospacing="1" w:afterAutospacing="1"/>
              <w:jc w:val="right"/>
            </w:pPr>
            <w:r>
              <w:rPr>
                <w:color w:val="000000"/>
              </w:rPr>
              <w:t>58,880</w:t>
            </w:r>
          </w:p>
        </w:tc>
        <w:tc>
          <w:tcPr>
            <w:tcW w:w="0" w:type="auto"/>
            <w:vAlign w:val="bottom"/>
          </w:tcPr>
          <w:p w14:paraId="2238C1A5" w14:textId="77777777" w:rsidR="00217A61" w:rsidRDefault="001C2695">
            <w:pPr>
              <w:spacing w:beforeAutospacing="1" w:afterAutospacing="1"/>
              <w:jc w:val="right"/>
            </w:pPr>
            <w:r>
              <w:rPr>
                <w:color w:val="000000"/>
              </w:rPr>
              <w:t>128,975</w:t>
            </w:r>
          </w:p>
        </w:tc>
      </w:tr>
      <w:tr w:rsidR="00217A61" w14:paraId="5AB2EA69" w14:textId="77777777">
        <w:trPr>
          <w:cantSplit/>
        </w:trPr>
        <w:tc>
          <w:tcPr>
            <w:tcW w:w="0" w:type="auto"/>
          </w:tcPr>
          <w:p w14:paraId="4EDB03E6" w14:textId="77777777" w:rsidR="00217A61" w:rsidRDefault="001C2695">
            <w:pPr>
              <w:spacing w:beforeAutospacing="1" w:afterAutospacing="1"/>
            </w:pPr>
            <w:r>
              <w:rPr>
                <w:color w:val="000000"/>
              </w:rPr>
              <w:t>Large Related</w:t>
            </w:r>
          </w:p>
        </w:tc>
        <w:tc>
          <w:tcPr>
            <w:tcW w:w="0" w:type="auto"/>
            <w:vAlign w:val="bottom"/>
          </w:tcPr>
          <w:p w14:paraId="433165FF" w14:textId="77777777" w:rsidR="00217A61" w:rsidRDefault="001C2695">
            <w:pPr>
              <w:spacing w:beforeAutospacing="1" w:afterAutospacing="1"/>
              <w:jc w:val="right"/>
            </w:pPr>
            <w:r>
              <w:rPr>
                <w:color w:val="000000"/>
              </w:rPr>
              <w:t>19,145</w:t>
            </w:r>
          </w:p>
        </w:tc>
        <w:tc>
          <w:tcPr>
            <w:tcW w:w="0" w:type="auto"/>
            <w:vAlign w:val="bottom"/>
          </w:tcPr>
          <w:p w14:paraId="5922C080" w14:textId="77777777" w:rsidR="00217A61" w:rsidRDefault="001C2695">
            <w:pPr>
              <w:spacing w:beforeAutospacing="1" w:afterAutospacing="1"/>
              <w:jc w:val="right"/>
            </w:pPr>
            <w:r>
              <w:rPr>
                <w:color w:val="000000"/>
              </w:rPr>
              <w:t>13,890</w:t>
            </w:r>
          </w:p>
        </w:tc>
        <w:tc>
          <w:tcPr>
            <w:tcW w:w="0" w:type="auto"/>
            <w:vAlign w:val="bottom"/>
          </w:tcPr>
          <w:p w14:paraId="253FD8AD" w14:textId="77777777" w:rsidR="00217A61" w:rsidRDefault="001C2695">
            <w:pPr>
              <w:spacing w:beforeAutospacing="1" w:afterAutospacing="1"/>
              <w:jc w:val="right"/>
            </w:pPr>
            <w:r>
              <w:rPr>
                <w:color w:val="000000"/>
              </w:rPr>
              <w:t>7,195</w:t>
            </w:r>
          </w:p>
        </w:tc>
        <w:tc>
          <w:tcPr>
            <w:tcW w:w="0" w:type="auto"/>
            <w:vAlign w:val="bottom"/>
          </w:tcPr>
          <w:p w14:paraId="1D682716" w14:textId="77777777" w:rsidR="00217A61" w:rsidRDefault="001C2695">
            <w:pPr>
              <w:spacing w:beforeAutospacing="1" w:afterAutospacing="1"/>
              <w:jc w:val="right"/>
            </w:pPr>
            <w:r>
              <w:rPr>
                <w:color w:val="000000"/>
              </w:rPr>
              <w:t>40,230</w:t>
            </w:r>
          </w:p>
        </w:tc>
        <w:tc>
          <w:tcPr>
            <w:tcW w:w="0" w:type="auto"/>
            <w:vAlign w:val="bottom"/>
          </w:tcPr>
          <w:p w14:paraId="3FB04059" w14:textId="77777777" w:rsidR="00217A61" w:rsidRDefault="001C2695">
            <w:pPr>
              <w:spacing w:beforeAutospacing="1" w:afterAutospacing="1"/>
              <w:jc w:val="right"/>
            </w:pPr>
            <w:r>
              <w:rPr>
                <w:color w:val="000000"/>
              </w:rPr>
              <w:t>7,035</w:t>
            </w:r>
          </w:p>
        </w:tc>
        <w:tc>
          <w:tcPr>
            <w:tcW w:w="0" w:type="auto"/>
            <w:vAlign w:val="bottom"/>
          </w:tcPr>
          <w:p w14:paraId="67A16980" w14:textId="77777777" w:rsidR="00217A61" w:rsidRDefault="001C2695">
            <w:pPr>
              <w:spacing w:beforeAutospacing="1" w:afterAutospacing="1"/>
              <w:jc w:val="right"/>
            </w:pPr>
            <w:r>
              <w:rPr>
                <w:color w:val="000000"/>
              </w:rPr>
              <w:t>8,905</w:t>
            </w:r>
          </w:p>
        </w:tc>
        <w:tc>
          <w:tcPr>
            <w:tcW w:w="0" w:type="auto"/>
            <w:vAlign w:val="bottom"/>
          </w:tcPr>
          <w:p w14:paraId="3659452B" w14:textId="77777777" w:rsidR="00217A61" w:rsidRDefault="001C2695">
            <w:pPr>
              <w:spacing w:beforeAutospacing="1" w:afterAutospacing="1"/>
              <w:jc w:val="right"/>
            </w:pPr>
            <w:r>
              <w:rPr>
                <w:color w:val="000000"/>
              </w:rPr>
              <w:t>11,390</w:t>
            </w:r>
          </w:p>
        </w:tc>
        <w:tc>
          <w:tcPr>
            <w:tcW w:w="0" w:type="auto"/>
            <w:vAlign w:val="bottom"/>
          </w:tcPr>
          <w:p w14:paraId="19BF4B28" w14:textId="77777777" w:rsidR="00217A61" w:rsidRDefault="001C2695">
            <w:pPr>
              <w:spacing w:beforeAutospacing="1" w:afterAutospacing="1"/>
              <w:jc w:val="right"/>
            </w:pPr>
            <w:r>
              <w:rPr>
                <w:color w:val="000000"/>
              </w:rPr>
              <w:t>27,330</w:t>
            </w:r>
          </w:p>
        </w:tc>
      </w:tr>
      <w:tr w:rsidR="00217A61" w14:paraId="6B38B865" w14:textId="77777777">
        <w:trPr>
          <w:cantSplit/>
        </w:trPr>
        <w:tc>
          <w:tcPr>
            <w:tcW w:w="0" w:type="auto"/>
          </w:tcPr>
          <w:p w14:paraId="1CD7B6C8" w14:textId="77777777" w:rsidR="00217A61" w:rsidRDefault="001C2695">
            <w:pPr>
              <w:spacing w:beforeAutospacing="1" w:afterAutospacing="1"/>
            </w:pPr>
            <w:r>
              <w:rPr>
                <w:color w:val="000000"/>
              </w:rPr>
              <w:t>Elderly</w:t>
            </w:r>
          </w:p>
        </w:tc>
        <w:tc>
          <w:tcPr>
            <w:tcW w:w="0" w:type="auto"/>
            <w:vAlign w:val="bottom"/>
          </w:tcPr>
          <w:p w14:paraId="1A8BDB12" w14:textId="77777777" w:rsidR="00217A61" w:rsidRDefault="001C2695">
            <w:pPr>
              <w:spacing w:beforeAutospacing="1" w:afterAutospacing="1"/>
              <w:jc w:val="right"/>
            </w:pPr>
            <w:r>
              <w:rPr>
                <w:color w:val="000000"/>
              </w:rPr>
              <w:t>35,650</w:t>
            </w:r>
          </w:p>
        </w:tc>
        <w:tc>
          <w:tcPr>
            <w:tcW w:w="0" w:type="auto"/>
            <w:vAlign w:val="bottom"/>
          </w:tcPr>
          <w:p w14:paraId="025FEECD" w14:textId="77777777" w:rsidR="00217A61" w:rsidRDefault="001C2695">
            <w:pPr>
              <w:spacing w:beforeAutospacing="1" w:afterAutospacing="1"/>
              <w:jc w:val="right"/>
            </w:pPr>
            <w:r>
              <w:rPr>
                <w:color w:val="000000"/>
              </w:rPr>
              <w:t>32,680</w:t>
            </w:r>
          </w:p>
        </w:tc>
        <w:tc>
          <w:tcPr>
            <w:tcW w:w="0" w:type="auto"/>
            <w:vAlign w:val="bottom"/>
          </w:tcPr>
          <w:p w14:paraId="3558D6DC" w14:textId="77777777" w:rsidR="00217A61" w:rsidRDefault="001C2695">
            <w:pPr>
              <w:spacing w:beforeAutospacing="1" w:afterAutospacing="1"/>
              <w:jc w:val="right"/>
            </w:pPr>
            <w:r>
              <w:rPr>
                <w:color w:val="000000"/>
              </w:rPr>
              <w:t>18,115</w:t>
            </w:r>
          </w:p>
        </w:tc>
        <w:tc>
          <w:tcPr>
            <w:tcW w:w="0" w:type="auto"/>
            <w:vAlign w:val="bottom"/>
          </w:tcPr>
          <w:p w14:paraId="2C378C18" w14:textId="77777777" w:rsidR="00217A61" w:rsidRDefault="001C2695">
            <w:pPr>
              <w:spacing w:beforeAutospacing="1" w:afterAutospacing="1"/>
              <w:jc w:val="right"/>
            </w:pPr>
            <w:r>
              <w:rPr>
                <w:color w:val="000000"/>
              </w:rPr>
              <w:t>86,445</w:t>
            </w:r>
          </w:p>
        </w:tc>
        <w:tc>
          <w:tcPr>
            <w:tcW w:w="0" w:type="auto"/>
            <w:vAlign w:val="bottom"/>
          </w:tcPr>
          <w:p w14:paraId="6A063AD9" w14:textId="77777777" w:rsidR="00217A61" w:rsidRDefault="001C2695">
            <w:pPr>
              <w:spacing w:beforeAutospacing="1" w:afterAutospacing="1"/>
              <w:jc w:val="right"/>
            </w:pPr>
            <w:r>
              <w:rPr>
                <w:color w:val="000000"/>
              </w:rPr>
              <w:t>51,160</w:t>
            </w:r>
          </w:p>
        </w:tc>
        <w:tc>
          <w:tcPr>
            <w:tcW w:w="0" w:type="auto"/>
            <w:vAlign w:val="bottom"/>
          </w:tcPr>
          <w:p w14:paraId="0C0C97A3" w14:textId="77777777" w:rsidR="00217A61" w:rsidRDefault="001C2695">
            <w:pPr>
              <w:spacing w:beforeAutospacing="1" w:afterAutospacing="1"/>
              <w:jc w:val="right"/>
            </w:pPr>
            <w:r>
              <w:rPr>
                <w:color w:val="000000"/>
              </w:rPr>
              <w:t>55,595</w:t>
            </w:r>
          </w:p>
        </w:tc>
        <w:tc>
          <w:tcPr>
            <w:tcW w:w="0" w:type="auto"/>
            <w:vAlign w:val="bottom"/>
          </w:tcPr>
          <w:p w14:paraId="5A2204E8" w14:textId="77777777" w:rsidR="00217A61" w:rsidRDefault="001C2695">
            <w:pPr>
              <w:spacing w:beforeAutospacing="1" w:afterAutospacing="1"/>
              <w:jc w:val="right"/>
            </w:pPr>
            <w:r>
              <w:rPr>
                <w:color w:val="000000"/>
              </w:rPr>
              <w:t>49,840</w:t>
            </w:r>
          </w:p>
        </w:tc>
        <w:tc>
          <w:tcPr>
            <w:tcW w:w="0" w:type="auto"/>
            <w:vAlign w:val="bottom"/>
          </w:tcPr>
          <w:p w14:paraId="66231710" w14:textId="77777777" w:rsidR="00217A61" w:rsidRDefault="001C2695">
            <w:pPr>
              <w:spacing w:beforeAutospacing="1" w:afterAutospacing="1"/>
              <w:jc w:val="right"/>
            </w:pPr>
            <w:r>
              <w:rPr>
                <w:color w:val="000000"/>
              </w:rPr>
              <w:t>156,595</w:t>
            </w:r>
          </w:p>
        </w:tc>
      </w:tr>
      <w:tr w:rsidR="00217A61" w14:paraId="7F7F9795" w14:textId="77777777">
        <w:trPr>
          <w:cantSplit/>
        </w:trPr>
        <w:tc>
          <w:tcPr>
            <w:tcW w:w="0" w:type="auto"/>
          </w:tcPr>
          <w:p w14:paraId="7A06F6FF" w14:textId="77777777" w:rsidR="00217A61" w:rsidRDefault="001C2695">
            <w:pPr>
              <w:spacing w:beforeAutospacing="1" w:afterAutospacing="1"/>
            </w:pPr>
            <w:r>
              <w:rPr>
                <w:color w:val="000000"/>
              </w:rPr>
              <w:t>Other</w:t>
            </w:r>
          </w:p>
        </w:tc>
        <w:tc>
          <w:tcPr>
            <w:tcW w:w="0" w:type="auto"/>
            <w:vAlign w:val="bottom"/>
          </w:tcPr>
          <w:p w14:paraId="783E7BA9" w14:textId="77777777" w:rsidR="00217A61" w:rsidRDefault="001C2695">
            <w:pPr>
              <w:spacing w:beforeAutospacing="1" w:afterAutospacing="1"/>
              <w:jc w:val="right"/>
            </w:pPr>
            <w:r>
              <w:rPr>
                <w:color w:val="000000"/>
              </w:rPr>
              <w:t>87,090</w:t>
            </w:r>
          </w:p>
        </w:tc>
        <w:tc>
          <w:tcPr>
            <w:tcW w:w="0" w:type="auto"/>
            <w:vAlign w:val="bottom"/>
          </w:tcPr>
          <w:p w14:paraId="101AF94F" w14:textId="77777777" w:rsidR="00217A61" w:rsidRDefault="001C2695">
            <w:pPr>
              <w:spacing w:beforeAutospacing="1" w:afterAutospacing="1"/>
              <w:jc w:val="right"/>
            </w:pPr>
            <w:r>
              <w:rPr>
                <w:color w:val="000000"/>
              </w:rPr>
              <w:t>62,625</w:t>
            </w:r>
          </w:p>
        </w:tc>
        <w:tc>
          <w:tcPr>
            <w:tcW w:w="0" w:type="auto"/>
            <w:vAlign w:val="bottom"/>
          </w:tcPr>
          <w:p w14:paraId="75DB095D" w14:textId="77777777" w:rsidR="00217A61" w:rsidRDefault="001C2695">
            <w:pPr>
              <w:spacing w:beforeAutospacing="1" w:afterAutospacing="1"/>
              <w:jc w:val="right"/>
            </w:pPr>
            <w:r>
              <w:rPr>
                <w:color w:val="000000"/>
              </w:rPr>
              <w:t>48,910</w:t>
            </w:r>
          </w:p>
        </w:tc>
        <w:tc>
          <w:tcPr>
            <w:tcW w:w="0" w:type="auto"/>
            <w:vAlign w:val="bottom"/>
          </w:tcPr>
          <w:p w14:paraId="6F03216E" w14:textId="77777777" w:rsidR="00217A61" w:rsidRDefault="001C2695">
            <w:pPr>
              <w:spacing w:beforeAutospacing="1" w:afterAutospacing="1"/>
              <w:jc w:val="right"/>
            </w:pPr>
            <w:r>
              <w:rPr>
                <w:color w:val="000000"/>
              </w:rPr>
              <w:t>198,625</w:t>
            </w:r>
          </w:p>
        </w:tc>
        <w:tc>
          <w:tcPr>
            <w:tcW w:w="0" w:type="auto"/>
            <w:vAlign w:val="bottom"/>
          </w:tcPr>
          <w:p w14:paraId="6626617C" w14:textId="77777777" w:rsidR="00217A61" w:rsidRDefault="001C2695">
            <w:pPr>
              <w:spacing w:beforeAutospacing="1" w:afterAutospacing="1"/>
              <w:jc w:val="right"/>
            </w:pPr>
            <w:r>
              <w:rPr>
                <w:color w:val="000000"/>
              </w:rPr>
              <w:t>28,855</w:t>
            </w:r>
          </w:p>
        </w:tc>
        <w:tc>
          <w:tcPr>
            <w:tcW w:w="0" w:type="auto"/>
            <w:vAlign w:val="bottom"/>
          </w:tcPr>
          <w:p w14:paraId="6976BADF" w14:textId="77777777" w:rsidR="00217A61" w:rsidRDefault="001C2695">
            <w:pPr>
              <w:spacing w:beforeAutospacing="1" w:afterAutospacing="1"/>
              <w:jc w:val="right"/>
            </w:pPr>
            <w:r>
              <w:rPr>
                <w:color w:val="000000"/>
              </w:rPr>
              <w:t>19,745</w:t>
            </w:r>
          </w:p>
        </w:tc>
        <w:tc>
          <w:tcPr>
            <w:tcW w:w="0" w:type="auto"/>
            <w:vAlign w:val="bottom"/>
          </w:tcPr>
          <w:p w14:paraId="0AEBDB46" w14:textId="77777777" w:rsidR="00217A61" w:rsidRDefault="001C2695">
            <w:pPr>
              <w:spacing w:beforeAutospacing="1" w:afterAutospacing="1"/>
              <w:jc w:val="right"/>
            </w:pPr>
            <w:r>
              <w:rPr>
                <w:color w:val="000000"/>
              </w:rPr>
              <w:t>27,455</w:t>
            </w:r>
          </w:p>
        </w:tc>
        <w:tc>
          <w:tcPr>
            <w:tcW w:w="0" w:type="auto"/>
            <w:vAlign w:val="bottom"/>
          </w:tcPr>
          <w:p w14:paraId="1547D33D" w14:textId="77777777" w:rsidR="00217A61" w:rsidRDefault="001C2695">
            <w:pPr>
              <w:spacing w:beforeAutospacing="1" w:afterAutospacing="1"/>
              <w:jc w:val="right"/>
            </w:pPr>
            <w:r>
              <w:rPr>
                <w:color w:val="000000"/>
              </w:rPr>
              <w:t>76,055</w:t>
            </w:r>
          </w:p>
        </w:tc>
      </w:tr>
      <w:tr w:rsidR="00217A61" w14:paraId="79158167" w14:textId="77777777">
        <w:trPr>
          <w:cantSplit/>
        </w:trPr>
        <w:tc>
          <w:tcPr>
            <w:tcW w:w="0" w:type="auto"/>
          </w:tcPr>
          <w:p w14:paraId="5CE739D2" w14:textId="77777777" w:rsidR="00217A61" w:rsidRDefault="001C2695">
            <w:pPr>
              <w:spacing w:beforeAutospacing="1" w:afterAutospacing="1"/>
            </w:pPr>
            <w:r>
              <w:rPr>
                <w:color w:val="000000"/>
              </w:rPr>
              <w:t>Total need by income</w:t>
            </w:r>
          </w:p>
        </w:tc>
        <w:tc>
          <w:tcPr>
            <w:tcW w:w="0" w:type="auto"/>
          </w:tcPr>
          <w:p w14:paraId="2DA20F86" w14:textId="77777777" w:rsidR="00217A61" w:rsidRDefault="001C2695">
            <w:pPr>
              <w:spacing w:beforeAutospacing="1" w:afterAutospacing="1"/>
              <w:jc w:val="right"/>
            </w:pPr>
            <w:r>
              <w:rPr>
                <w:color w:val="000000"/>
              </w:rPr>
              <w:t>233,000</w:t>
            </w:r>
          </w:p>
        </w:tc>
        <w:tc>
          <w:tcPr>
            <w:tcW w:w="0" w:type="auto"/>
          </w:tcPr>
          <w:p w14:paraId="3D3A402D" w14:textId="77777777" w:rsidR="00217A61" w:rsidRDefault="001C2695">
            <w:pPr>
              <w:spacing w:beforeAutospacing="1" w:afterAutospacing="1"/>
              <w:jc w:val="right"/>
            </w:pPr>
            <w:r>
              <w:rPr>
                <w:color w:val="000000"/>
              </w:rPr>
              <w:t>184,205</w:t>
            </w:r>
          </w:p>
        </w:tc>
        <w:tc>
          <w:tcPr>
            <w:tcW w:w="0" w:type="auto"/>
          </w:tcPr>
          <w:p w14:paraId="7EBCD689" w14:textId="77777777" w:rsidR="00217A61" w:rsidRDefault="001C2695">
            <w:pPr>
              <w:spacing w:beforeAutospacing="1" w:afterAutospacing="1"/>
              <w:jc w:val="right"/>
            </w:pPr>
            <w:r>
              <w:rPr>
                <w:color w:val="000000"/>
              </w:rPr>
              <w:t>123,750</w:t>
            </w:r>
          </w:p>
        </w:tc>
        <w:tc>
          <w:tcPr>
            <w:tcW w:w="0" w:type="auto"/>
          </w:tcPr>
          <w:p w14:paraId="2D7F3DF5" w14:textId="77777777" w:rsidR="00217A61" w:rsidRDefault="001C2695">
            <w:pPr>
              <w:spacing w:beforeAutospacing="1" w:afterAutospacing="1"/>
              <w:jc w:val="right"/>
            </w:pPr>
            <w:r>
              <w:rPr>
                <w:color w:val="000000"/>
              </w:rPr>
              <w:t>540,955</w:t>
            </w:r>
          </w:p>
        </w:tc>
        <w:tc>
          <w:tcPr>
            <w:tcW w:w="0" w:type="auto"/>
          </w:tcPr>
          <w:p w14:paraId="0578A0F8" w14:textId="77777777" w:rsidR="00217A61" w:rsidRDefault="001C2695">
            <w:pPr>
              <w:spacing w:beforeAutospacing="1" w:afterAutospacing="1"/>
              <w:jc w:val="right"/>
            </w:pPr>
            <w:r>
              <w:rPr>
                <w:color w:val="000000"/>
              </w:rPr>
              <w:t>120,530</w:t>
            </w:r>
          </w:p>
        </w:tc>
        <w:tc>
          <w:tcPr>
            <w:tcW w:w="0" w:type="auto"/>
          </w:tcPr>
          <w:p w14:paraId="7FC41013" w14:textId="77777777" w:rsidR="00217A61" w:rsidRDefault="001C2695">
            <w:pPr>
              <w:spacing w:beforeAutospacing="1" w:afterAutospacing="1"/>
              <w:jc w:val="right"/>
            </w:pPr>
            <w:r>
              <w:rPr>
                <w:color w:val="000000"/>
              </w:rPr>
              <w:t>120,860</w:t>
            </w:r>
          </w:p>
        </w:tc>
        <w:tc>
          <w:tcPr>
            <w:tcW w:w="0" w:type="auto"/>
          </w:tcPr>
          <w:p w14:paraId="1FA99BC5" w14:textId="77777777" w:rsidR="00217A61" w:rsidRDefault="001C2695">
            <w:pPr>
              <w:spacing w:beforeAutospacing="1" w:afterAutospacing="1"/>
              <w:jc w:val="right"/>
            </w:pPr>
            <w:r>
              <w:rPr>
                <w:color w:val="000000"/>
              </w:rPr>
              <w:t>147,565</w:t>
            </w:r>
          </w:p>
        </w:tc>
        <w:tc>
          <w:tcPr>
            <w:tcW w:w="0" w:type="auto"/>
          </w:tcPr>
          <w:p w14:paraId="48C99993" w14:textId="77777777" w:rsidR="00217A61" w:rsidRDefault="001C2695">
            <w:pPr>
              <w:spacing w:beforeAutospacing="1" w:afterAutospacing="1"/>
              <w:jc w:val="right"/>
            </w:pPr>
            <w:r>
              <w:rPr>
                <w:color w:val="000000"/>
              </w:rPr>
              <w:t>388,955</w:t>
            </w:r>
          </w:p>
        </w:tc>
      </w:tr>
    </w:tbl>
    <w:p w14:paraId="491246ED" w14:textId="77777777" w:rsidR="00217A61" w:rsidRDefault="001C2695">
      <w:pPr>
        <w:pStyle w:val="Caption"/>
        <w:jc w:val="center"/>
        <w:rPr>
          <w:rFonts w:asciiTheme="minorHAnsi" w:hAnsiTheme="minorHAnsi"/>
        </w:rPr>
      </w:pPr>
      <w:bookmarkStart w:id="4"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Cost Burden &gt; 30%</w:t>
      </w:r>
      <w:bookmarkEnd w:id="4"/>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217A61" w14:paraId="1E108D30" w14:textId="77777777">
        <w:trPr>
          <w:cantSplit/>
        </w:trPr>
        <w:tc>
          <w:tcPr>
            <w:tcW w:w="1080" w:type="dxa"/>
          </w:tcPr>
          <w:p w14:paraId="5D37CB56" w14:textId="77777777" w:rsidR="00217A61" w:rsidRDefault="001C2695">
            <w:pPr>
              <w:spacing w:after="0" w:line="240" w:lineRule="auto"/>
              <w:rPr>
                <w:sz w:val="16"/>
                <w:szCs w:val="16"/>
              </w:rPr>
            </w:pPr>
            <w:r>
              <w:rPr>
                <w:b/>
                <w:bCs/>
                <w:sz w:val="16"/>
                <w:szCs w:val="16"/>
              </w:rPr>
              <w:t>Data Source:</w:t>
            </w:r>
          </w:p>
        </w:tc>
        <w:tc>
          <w:tcPr>
            <w:tcW w:w="12110" w:type="dxa"/>
          </w:tcPr>
          <w:p w14:paraId="408088E5" w14:textId="77777777" w:rsidR="00217A61" w:rsidRDefault="001C2695">
            <w:pPr>
              <w:spacing w:beforeAutospacing="1" w:afterAutospacing="1"/>
              <w:rPr>
                <w:sz w:val="16"/>
                <w:szCs w:val="16"/>
              </w:rPr>
            </w:pPr>
            <w:r>
              <w:rPr>
                <w:sz w:val="16"/>
                <w:szCs w:val="16"/>
              </w:rPr>
              <w:t>2011-2015 CHAS</w:t>
            </w:r>
          </w:p>
        </w:tc>
      </w:tr>
    </w:tbl>
    <w:p w14:paraId="7C0535AA" w14:textId="77777777" w:rsidR="00217A61" w:rsidRDefault="00217A61">
      <w:pPr>
        <w:spacing w:after="0" w:line="240" w:lineRule="auto"/>
        <w:rPr>
          <w:vanish/>
        </w:rPr>
      </w:pPr>
    </w:p>
    <w:p w14:paraId="6EE8A2AE" w14:textId="77777777" w:rsidR="00217A61" w:rsidRDefault="00217A61">
      <w:pPr>
        <w:spacing w:after="0" w:line="240" w:lineRule="auto"/>
        <w:rPr>
          <w:b/>
          <w:bCs/>
          <w:vanish/>
          <w:sz w:val="16"/>
          <w:szCs w:val="16"/>
        </w:rPr>
      </w:pPr>
    </w:p>
    <w:p w14:paraId="6DB5EB03" w14:textId="77777777" w:rsidR="00217A61" w:rsidRDefault="00217A61"/>
    <w:p w14:paraId="7705D164" w14:textId="77777777" w:rsidR="00217A61" w:rsidRDefault="001C2695">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027"/>
        <w:gridCol w:w="948"/>
        <w:gridCol w:w="948"/>
        <w:gridCol w:w="1128"/>
        <w:gridCol w:w="948"/>
        <w:gridCol w:w="948"/>
        <w:gridCol w:w="948"/>
        <w:gridCol w:w="1128"/>
      </w:tblGrid>
      <w:tr w:rsidR="00217A61" w14:paraId="3C99CC98" w14:textId="77777777">
        <w:trPr>
          <w:cantSplit/>
          <w:tblHeader/>
        </w:trPr>
        <w:tc>
          <w:tcPr>
            <w:tcW w:w="2432" w:type="dxa"/>
            <w:vMerge w:val="restart"/>
          </w:tcPr>
          <w:p w14:paraId="353EDA8C" w14:textId="77777777" w:rsidR="00217A61" w:rsidRDefault="00217A61">
            <w:pPr>
              <w:keepNext/>
              <w:widowControl w:val="0"/>
              <w:spacing w:after="0" w:line="240" w:lineRule="auto"/>
              <w:jc w:val="center"/>
              <w:rPr>
                <w:sz w:val="20"/>
                <w:szCs w:val="20"/>
              </w:rPr>
            </w:pPr>
          </w:p>
        </w:tc>
        <w:tc>
          <w:tcPr>
            <w:tcW w:w="5372" w:type="dxa"/>
            <w:gridSpan w:val="4"/>
          </w:tcPr>
          <w:p w14:paraId="4752F205" w14:textId="77777777" w:rsidR="00217A61" w:rsidRDefault="001C2695">
            <w:pPr>
              <w:keepNext/>
              <w:widowControl w:val="0"/>
              <w:spacing w:after="0" w:line="240" w:lineRule="auto"/>
              <w:jc w:val="center"/>
              <w:rPr>
                <w:sz w:val="20"/>
                <w:szCs w:val="20"/>
              </w:rPr>
            </w:pPr>
            <w:r>
              <w:rPr>
                <w:b/>
                <w:bCs/>
                <w:sz w:val="20"/>
                <w:szCs w:val="20"/>
              </w:rPr>
              <w:t>Renter</w:t>
            </w:r>
          </w:p>
        </w:tc>
        <w:tc>
          <w:tcPr>
            <w:tcW w:w="5372" w:type="dxa"/>
            <w:gridSpan w:val="4"/>
          </w:tcPr>
          <w:p w14:paraId="541B7664" w14:textId="77777777" w:rsidR="00217A61" w:rsidRDefault="001C2695">
            <w:pPr>
              <w:keepNext/>
              <w:widowControl w:val="0"/>
              <w:spacing w:after="0" w:line="240" w:lineRule="auto"/>
              <w:jc w:val="center"/>
              <w:rPr>
                <w:sz w:val="20"/>
                <w:szCs w:val="20"/>
              </w:rPr>
            </w:pPr>
            <w:r>
              <w:rPr>
                <w:b/>
                <w:bCs/>
                <w:sz w:val="20"/>
                <w:szCs w:val="20"/>
              </w:rPr>
              <w:t>Owner</w:t>
            </w:r>
          </w:p>
        </w:tc>
      </w:tr>
      <w:tr w:rsidR="00217A61" w14:paraId="0AAE0667" w14:textId="77777777">
        <w:trPr>
          <w:cantSplit/>
          <w:tblHeader/>
        </w:trPr>
        <w:tc>
          <w:tcPr>
            <w:tcW w:w="2432" w:type="dxa"/>
            <w:vMerge/>
          </w:tcPr>
          <w:p w14:paraId="734ABD21" w14:textId="77777777" w:rsidR="00217A61" w:rsidRDefault="00217A61">
            <w:pPr>
              <w:keepNext/>
              <w:widowControl w:val="0"/>
              <w:spacing w:after="0" w:line="240" w:lineRule="auto"/>
              <w:rPr>
                <w:sz w:val="20"/>
                <w:szCs w:val="20"/>
              </w:rPr>
            </w:pPr>
          </w:p>
        </w:tc>
        <w:tc>
          <w:tcPr>
            <w:tcW w:w="1253" w:type="dxa"/>
          </w:tcPr>
          <w:p w14:paraId="154699FF" w14:textId="77777777" w:rsidR="00217A61" w:rsidRDefault="001C2695">
            <w:pPr>
              <w:keepNext/>
              <w:widowControl w:val="0"/>
              <w:spacing w:after="0" w:line="240" w:lineRule="auto"/>
              <w:jc w:val="center"/>
              <w:rPr>
                <w:sz w:val="20"/>
                <w:szCs w:val="20"/>
              </w:rPr>
            </w:pPr>
            <w:r>
              <w:rPr>
                <w:b/>
                <w:sz w:val="20"/>
                <w:szCs w:val="20"/>
              </w:rPr>
              <w:t>0-30% AMI</w:t>
            </w:r>
          </w:p>
        </w:tc>
        <w:tc>
          <w:tcPr>
            <w:tcW w:w="1254" w:type="dxa"/>
          </w:tcPr>
          <w:p w14:paraId="508E7A9E" w14:textId="77777777" w:rsidR="00217A61" w:rsidRDefault="001C2695">
            <w:pPr>
              <w:keepNext/>
              <w:widowControl w:val="0"/>
              <w:spacing w:after="0" w:line="240" w:lineRule="auto"/>
              <w:jc w:val="center"/>
              <w:rPr>
                <w:sz w:val="20"/>
                <w:szCs w:val="20"/>
              </w:rPr>
            </w:pPr>
            <w:r>
              <w:rPr>
                <w:b/>
                <w:sz w:val="20"/>
                <w:szCs w:val="20"/>
              </w:rPr>
              <w:t>&gt;30-50% AMI</w:t>
            </w:r>
          </w:p>
        </w:tc>
        <w:tc>
          <w:tcPr>
            <w:tcW w:w="1254" w:type="dxa"/>
          </w:tcPr>
          <w:p w14:paraId="0502D4F8" w14:textId="77777777" w:rsidR="00217A61" w:rsidRDefault="001C2695">
            <w:pPr>
              <w:keepNext/>
              <w:widowControl w:val="0"/>
              <w:spacing w:after="0" w:line="240" w:lineRule="auto"/>
              <w:jc w:val="center"/>
              <w:rPr>
                <w:sz w:val="20"/>
                <w:szCs w:val="20"/>
              </w:rPr>
            </w:pPr>
            <w:r>
              <w:rPr>
                <w:b/>
                <w:sz w:val="20"/>
                <w:szCs w:val="20"/>
              </w:rPr>
              <w:t>&gt;50-80% AMI</w:t>
            </w:r>
          </w:p>
        </w:tc>
        <w:tc>
          <w:tcPr>
            <w:tcW w:w="1611" w:type="dxa"/>
          </w:tcPr>
          <w:p w14:paraId="58B0F234" w14:textId="77777777" w:rsidR="00217A61" w:rsidRDefault="001C2695">
            <w:pPr>
              <w:keepNext/>
              <w:widowControl w:val="0"/>
              <w:spacing w:after="0" w:line="240" w:lineRule="auto"/>
              <w:jc w:val="center"/>
              <w:rPr>
                <w:sz w:val="20"/>
                <w:szCs w:val="20"/>
              </w:rPr>
            </w:pPr>
            <w:r>
              <w:rPr>
                <w:b/>
                <w:sz w:val="20"/>
                <w:szCs w:val="20"/>
              </w:rPr>
              <w:t>Total</w:t>
            </w:r>
          </w:p>
        </w:tc>
        <w:tc>
          <w:tcPr>
            <w:tcW w:w="1253" w:type="dxa"/>
          </w:tcPr>
          <w:p w14:paraId="17489301" w14:textId="77777777" w:rsidR="00217A61" w:rsidRDefault="001C2695">
            <w:pPr>
              <w:keepNext/>
              <w:widowControl w:val="0"/>
              <w:spacing w:after="0" w:line="240" w:lineRule="auto"/>
              <w:jc w:val="center"/>
              <w:rPr>
                <w:sz w:val="20"/>
                <w:szCs w:val="20"/>
              </w:rPr>
            </w:pPr>
            <w:r>
              <w:rPr>
                <w:b/>
                <w:sz w:val="20"/>
                <w:szCs w:val="20"/>
              </w:rPr>
              <w:t>0-30% AMI</w:t>
            </w:r>
          </w:p>
        </w:tc>
        <w:tc>
          <w:tcPr>
            <w:tcW w:w="1254" w:type="dxa"/>
          </w:tcPr>
          <w:p w14:paraId="563C463C" w14:textId="77777777" w:rsidR="00217A61" w:rsidRDefault="001C2695">
            <w:pPr>
              <w:keepNext/>
              <w:widowControl w:val="0"/>
              <w:spacing w:after="0" w:line="240" w:lineRule="auto"/>
              <w:jc w:val="center"/>
              <w:rPr>
                <w:sz w:val="20"/>
                <w:szCs w:val="20"/>
              </w:rPr>
            </w:pPr>
            <w:r>
              <w:rPr>
                <w:b/>
                <w:sz w:val="20"/>
                <w:szCs w:val="20"/>
              </w:rPr>
              <w:t>&gt;30-50% AMI</w:t>
            </w:r>
          </w:p>
        </w:tc>
        <w:tc>
          <w:tcPr>
            <w:tcW w:w="1254" w:type="dxa"/>
          </w:tcPr>
          <w:p w14:paraId="615F4077" w14:textId="77777777" w:rsidR="00217A61" w:rsidRDefault="001C2695">
            <w:pPr>
              <w:keepNext/>
              <w:widowControl w:val="0"/>
              <w:spacing w:after="0" w:line="240" w:lineRule="auto"/>
              <w:jc w:val="center"/>
              <w:rPr>
                <w:sz w:val="20"/>
                <w:szCs w:val="20"/>
              </w:rPr>
            </w:pPr>
            <w:r>
              <w:rPr>
                <w:b/>
                <w:sz w:val="20"/>
                <w:szCs w:val="20"/>
              </w:rPr>
              <w:t>&gt;50-80% AMI</w:t>
            </w:r>
          </w:p>
        </w:tc>
        <w:tc>
          <w:tcPr>
            <w:tcW w:w="1611" w:type="dxa"/>
          </w:tcPr>
          <w:p w14:paraId="1E38F8D0" w14:textId="77777777" w:rsidR="00217A61" w:rsidRDefault="001C2695">
            <w:pPr>
              <w:keepNext/>
              <w:widowControl w:val="0"/>
              <w:spacing w:after="0" w:line="240" w:lineRule="auto"/>
              <w:jc w:val="center"/>
              <w:rPr>
                <w:sz w:val="20"/>
                <w:szCs w:val="20"/>
              </w:rPr>
            </w:pPr>
            <w:r>
              <w:rPr>
                <w:b/>
                <w:sz w:val="20"/>
                <w:szCs w:val="20"/>
              </w:rPr>
              <w:t>Total</w:t>
            </w:r>
          </w:p>
        </w:tc>
      </w:tr>
      <w:tr w:rsidR="00217A61" w14:paraId="78A6B14F" w14:textId="77777777">
        <w:trPr>
          <w:cantSplit/>
        </w:trPr>
        <w:tc>
          <w:tcPr>
            <w:tcW w:w="13176" w:type="dxa"/>
            <w:gridSpan w:val="9"/>
          </w:tcPr>
          <w:p w14:paraId="513851CB" w14:textId="77777777" w:rsidR="00217A61" w:rsidRDefault="001C2695">
            <w:pPr>
              <w:keepNext/>
              <w:widowControl w:val="0"/>
              <w:spacing w:after="0" w:line="240" w:lineRule="auto"/>
            </w:pPr>
            <w:r>
              <w:t>NUMBER OF HOUSEHOLDS</w:t>
            </w:r>
          </w:p>
        </w:tc>
      </w:tr>
      <w:tr w:rsidR="00217A61" w14:paraId="1DF12BF6" w14:textId="77777777">
        <w:trPr>
          <w:cantSplit/>
        </w:trPr>
        <w:tc>
          <w:tcPr>
            <w:tcW w:w="0" w:type="auto"/>
          </w:tcPr>
          <w:p w14:paraId="2DED185D" w14:textId="77777777" w:rsidR="00217A61" w:rsidRDefault="001C2695">
            <w:pPr>
              <w:spacing w:beforeAutospacing="1" w:afterAutospacing="1"/>
            </w:pPr>
            <w:r>
              <w:rPr>
                <w:color w:val="000000"/>
              </w:rPr>
              <w:t>Small Related</w:t>
            </w:r>
          </w:p>
        </w:tc>
        <w:tc>
          <w:tcPr>
            <w:tcW w:w="0" w:type="auto"/>
            <w:vAlign w:val="bottom"/>
          </w:tcPr>
          <w:p w14:paraId="7BCC7A94" w14:textId="77777777" w:rsidR="00217A61" w:rsidRDefault="001C2695">
            <w:pPr>
              <w:spacing w:beforeAutospacing="1" w:afterAutospacing="1"/>
              <w:jc w:val="right"/>
            </w:pPr>
            <w:r>
              <w:rPr>
                <w:color w:val="000000"/>
              </w:rPr>
              <w:t>78,160</w:t>
            </w:r>
          </w:p>
        </w:tc>
        <w:tc>
          <w:tcPr>
            <w:tcW w:w="0" w:type="auto"/>
            <w:vAlign w:val="bottom"/>
          </w:tcPr>
          <w:p w14:paraId="6E8774F3" w14:textId="77777777" w:rsidR="00217A61" w:rsidRDefault="001C2695">
            <w:pPr>
              <w:spacing w:beforeAutospacing="1" w:afterAutospacing="1"/>
              <w:jc w:val="right"/>
            </w:pPr>
            <w:r>
              <w:rPr>
                <w:color w:val="000000"/>
              </w:rPr>
              <w:t>26,300</w:t>
            </w:r>
          </w:p>
        </w:tc>
        <w:tc>
          <w:tcPr>
            <w:tcW w:w="0" w:type="auto"/>
            <w:vAlign w:val="bottom"/>
          </w:tcPr>
          <w:p w14:paraId="5D9E91C6" w14:textId="77777777" w:rsidR="00217A61" w:rsidRDefault="001C2695">
            <w:pPr>
              <w:spacing w:beforeAutospacing="1" w:afterAutospacing="1"/>
              <w:jc w:val="right"/>
            </w:pPr>
            <w:r>
              <w:rPr>
                <w:color w:val="000000"/>
              </w:rPr>
              <w:t>5,075</w:t>
            </w:r>
          </w:p>
        </w:tc>
        <w:tc>
          <w:tcPr>
            <w:tcW w:w="0" w:type="auto"/>
            <w:vAlign w:val="bottom"/>
          </w:tcPr>
          <w:p w14:paraId="274B50BE" w14:textId="77777777" w:rsidR="00217A61" w:rsidRDefault="001C2695">
            <w:pPr>
              <w:spacing w:beforeAutospacing="1" w:afterAutospacing="1"/>
              <w:jc w:val="right"/>
            </w:pPr>
            <w:r>
              <w:rPr>
                <w:color w:val="000000"/>
              </w:rPr>
              <w:t>109,535</w:t>
            </w:r>
          </w:p>
        </w:tc>
        <w:tc>
          <w:tcPr>
            <w:tcW w:w="0" w:type="auto"/>
            <w:vAlign w:val="bottom"/>
          </w:tcPr>
          <w:p w14:paraId="0F654D83" w14:textId="77777777" w:rsidR="00217A61" w:rsidRDefault="001C2695">
            <w:pPr>
              <w:spacing w:beforeAutospacing="1" w:afterAutospacing="1"/>
              <w:jc w:val="right"/>
            </w:pPr>
            <w:r>
              <w:rPr>
                <w:color w:val="000000"/>
              </w:rPr>
              <w:t>27,540</w:t>
            </w:r>
          </w:p>
        </w:tc>
        <w:tc>
          <w:tcPr>
            <w:tcW w:w="0" w:type="auto"/>
            <w:vAlign w:val="bottom"/>
          </w:tcPr>
          <w:p w14:paraId="3C5B4ED1" w14:textId="77777777" w:rsidR="00217A61" w:rsidRDefault="001C2695">
            <w:pPr>
              <w:spacing w:beforeAutospacing="1" w:afterAutospacing="1"/>
              <w:jc w:val="right"/>
            </w:pPr>
            <w:r>
              <w:rPr>
                <w:color w:val="000000"/>
              </w:rPr>
              <w:t>19,695</w:t>
            </w:r>
          </w:p>
        </w:tc>
        <w:tc>
          <w:tcPr>
            <w:tcW w:w="0" w:type="auto"/>
            <w:vAlign w:val="bottom"/>
          </w:tcPr>
          <w:p w14:paraId="15EB728F" w14:textId="77777777" w:rsidR="00217A61" w:rsidRDefault="001C2695">
            <w:pPr>
              <w:spacing w:beforeAutospacing="1" w:afterAutospacing="1"/>
              <w:jc w:val="right"/>
            </w:pPr>
            <w:r>
              <w:rPr>
                <w:color w:val="000000"/>
              </w:rPr>
              <w:t>16,240</w:t>
            </w:r>
          </w:p>
        </w:tc>
        <w:tc>
          <w:tcPr>
            <w:tcW w:w="0" w:type="auto"/>
            <w:vAlign w:val="bottom"/>
          </w:tcPr>
          <w:p w14:paraId="04968822" w14:textId="77777777" w:rsidR="00217A61" w:rsidRDefault="001C2695">
            <w:pPr>
              <w:spacing w:beforeAutospacing="1" w:afterAutospacing="1"/>
              <w:jc w:val="right"/>
            </w:pPr>
            <w:r>
              <w:rPr>
                <w:color w:val="000000"/>
              </w:rPr>
              <w:t>63,475</w:t>
            </w:r>
          </w:p>
        </w:tc>
      </w:tr>
      <w:tr w:rsidR="00217A61" w14:paraId="51A90773" w14:textId="77777777">
        <w:trPr>
          <w:cantSplit/>
        </w:trPr>
        <w:tc>
          <w:tcPr>
            <w:tcW w:w="0" w:type="auto"/>
          </w:tcPr>
          <w:p w14:paraId="48304B44" w14:textId="77777777" w:rsidR="00217A61" w:rsidRDefault="001C2695">
            <w:pPr>
              <w:spacing w:beforeAutospacing="1" w:afterAutospacing="1"/>
            </w:pPr>
            <w:r>
              <w:rPr>
                <w:color w:val="000000"/>
              </w:rPr>
              <w:t>Large Related</w:t>
            </w:r>
          </w:p>
        </w:tc>
        <w:tc>
          <w:tcPr>
            <w:tcW w:w="0" w:type="auto"/>
            <w:vAlign w:val="bottom"/>
          </w:tcPr>
          <w:p w14:paraId="7FC453CE" w14:textId="77777777" w:rsidR="00217A61" w:rsidRDefault="001C2695">
            <w:pPr>
              <w:spacing w:beforeAutospacing="1" w:afterAutospacing="1"/>
              <w:jc w:val="right"/>
            </w:pPr>
            <w:r>
              <w:rPr>
                <w:color w:val="000000"/>
              </w:rPr>
              <w:t>14,815</w:t>
            </w:r>
          </w:p>
        </w:tc>
        <w:tc>
          <w:tcPr>
            <w:tcW w:w="0" w:type="auto"/>
            <w:vAlign w:val="bottom"/>
          </w:tcPr>
          <w:p w14:paraId="29CFF974" w14:textId="77777777" w:rsidR="00217A61" w:rsidRDefault="001C2695">
            <w:pPr>
              <w:spacing w:beforeAutospacing="1" w:afterAutospacing="1"/>
              <w:jc w:val="right"/>
            </w:pPr>
            <w:r>
              <w:rPr>
                <w:color w:val="000000"/>
              </w:rPr>
              <w:t>3,535</w:t>
            </w:r>
          </w:p>
        </w:tc>
        <w:tc>
          <w:tcPr>
            <w:tcW w:w="0" w:type="auto"/>
            <w:vAlign w:val="bottom"/>
          </w:tcPr>
          <w:p w14:paraId="2AA1951C" w14:textId="77777777" w:rsidR="00217A61" w:rsidRDefault="001C2695">
            <w:pPr>
              <w:spacing w:beforeAutospacing="1" w:afterAutospacing="1"/>
              <w:jc w:val="right"/>
            </w:pPr>
            <w:r>
              <w:rPr>
                <w:color w:val="000000"/>
              </w:rPr>
              <w:t>650</w:t>
            </w:r>
          </w:p>
        </w:tc>
        <w:tc>
          <w:tcPr>
            <w:tcW w:w="0" w:type="auto"/>
            <w:vAlign w:val="bottom"/>
          </w:tcPr>
          <w:p w14:paraId="13E20EF8" w14:textId="77777777" w:rsidR="00217A61" w:rsidRDefault="001C2695">
            <w:pPr>
              <w:spacing w:beforeAutospacing="1" w:afterAutospacing="1"/>
              <w:jc w:val="right"/>
            </w:pPr>
            <w:r>
              <w:rPr>
                <w:color w:val="000000"/>
              </w:rPr>
              <w:t>19,000</w:t>
            </w:r>
          </w:p>
        </w:tc>
        <w:tc>
          <w:tcPr>
            <w:tcW w:w="0" w:type="auto"/>
            <w:vAlign w:val="bottom"/>
          </w:tcPr>
          <w:p w14:paraId="6264F19F" w14:textId="77777777" w:rsidR="00217A61" w:rsidRDefault="001C2695">
            <w:pPr>
              <w:spacing w:beforeAutospacing="1" w:afterAutospacing="1"/>
              <w:jc w:val="right"/>
            </w:pPr>
            <w:r>
              <w:rPr>
                <w:color w:val="000000"/>
              </w:rPr>
              <w:t>5,220</w:t>
            </w:r>
          </w:p>
        </w:tc>
        <w:tc>
          <w:tcPr>
            <w:tcW w:w="0" w:type="auto"/>
            <w:vAlign w:val="bottom"/>
          </w:tcPr>
          <w:p w14:paraId="55963D13" w14:textId="77777777" w:rsidR="00217A61" w:rsidRDefault="001C2695">
            <w:pPr>
              <w:spacing w:beforeAutospacing="1" w:afterAutospacing="1"/>
              <w:jc w:val="right"/>
            </w:pPr>
            <w:r>
              <w:rPr>
                <w:color w:val="000000"/>
              </w:rPr>
              <w:t>3,825</w:t>
            </w:r>
          </w:p>
        </w:tc>
        <w:tc>
          <w:tcPr>
            <w:tcW w:w="0" w:type="auto"/>
            <w:vAlign w:val="bottom"/>
          </w:tcPr>
          <w:p w14:paraId="7FB1D359" w14:textId="77777777" w:rsidR="00217A61" w:rsidRDefault="001C2695">
            <w:pPr>
              <w:spacing w:beforeAutospacing="1" w:afterAutospacing="1"/>
              <w:jc w:val="right"/>
            </w:pPr>
            <w:r>
              <w:rPr>
                <w:color w:val="000000"/>
              </w:rPr>
              <w:t>2,235</w:t>
            </w:r>
          </w:p>
        </w:tc>
        <w:tc>
          <w:tcPr>
            <w:tcW w:w="0" w:type="auto"/>
            <w:vAlign w:val="bottom"/>
          </w:tcPr>
          <w:p w14:paraId="6405E82E" w14:textId="77777777" w:rsidR="00217A61" w:rsidRDefault="001C2695">
            <w:pPr>
              <w:spacing w:beforeAutospacing="1" w:afterAutospacing="1"/>
              <w:jc w:val="right"/>
            </w:pPr>
            <w:r>
              <w:rPr>
                <w:color w:val="000000"/>
              </w:rPr>
              <w:t>11,280</w:t>
            </w:r>
          </w:p>
        </w:tc>
      </w:tr>
      <w:tr w:rsidR="00217A61" w14:paraId="620324C7" w14:textId="77777777">
        <w:trPr>
          <w:cantSplit/>
        </w:trPr>
        <w:tc>
          <w:tcPr>
            <w:tcW w:w="0" w:type="auto"/>
          </w:tcPr>
          <w:p w14:paraId="5C8F9F57" w14:textId="77777777" w:rsidR="00217A61" w:rsidRDefault="001C2695">
            <w:pPr>
              <w:spacing w:beforeAutospacing="1" w:afterAutospacing="1"/>
            </w:pPr>
            <w:r>
              <w:rPr>
                <w:color w:val="000000"/>
              </w:rPr>
              <w:lastRenderedPageBreak/>
              <w:t>Elderly</w:t>
            </w:r>
          </w:p>
        </w:tc>
        <w:tc>
          <w:tcPr>
            <w:tcW w:w="0" w:type="auto"/>
            <w:vAlign w:val="bottom"/>
          </w:tcPr>
          <w:p w14:paraId="0CE0C146" w14:textId="77777777" w:rsidR="00217A61" w:rsidRDefault="001C2695">
            <w:pPr>
              <w:spacing w:beforeAutospacing="1" w:afterAutospacing="1"/>
              <w:jc w:val="right"/>
            </w:pPr>
            <w:r>
              <w:rPr>
                <w:color w:val="000000"/>
              </w:rPr>
              <w:t>26,935</w:t>
            </w:r>
          </w:p>
        </w:tc>
        <w:tc>
          <w:tcPr>
            <w:tcW w:w="0" w:type="auto"/>
            <w:vAlign w:val="bottom"/>
          </w:tcPr>
          <w:p w14:paraId="256346CA" w14:textId="77777777" w:rsidR="00217A61" w:rsidRDefault="001C2695">
            <w:pPr>
              <w:spacing w:beforeAutospacing="1" w:afterAutospacing="1"/>
              <w:jc w:val="right"/>
            </w:pPr>
            <w:r>
              <w:rPr>
                <w:color w:val="000000"/>
              </w:rPr>
              <w:t>15,130</w:t>
            </w:r>
          </w:p>
        </w:tc>
        <w:tc>
          <w:tcPr>
            <w:tcW w:w="0" w:type="auto"/>
            <w:vAlign w:val="bottom"/>
          </w:tcPr>
          <w:p w14:paraId="6C9F7B3D" w14:textId="77777777" w:rsidR="00217A61" w:rsidRDefault="001C2695">
            <w:pPr>
              <w:spacing w:beforeAutospacing="1" w:afterAutospacing="1"/>
              <w:jc w:val="right"/>
            </w:pPr>
            <w:r>
              <w:rPr>
                <w:color w:val="000000"/>
              </w:rPr>
              <w:t>4,555</w:t>
            </w:r>
          </w:p>
        </w:tc>
        <w:tc>
          <w:tcPr>
            <w:tcW w:w="0" w:type="auto"/>
            <w:vAlign w:val="bottom"/>
          </w:tcPr>
          <w:p w14:paraId="3D47B46B" w14:textId="77777777" w:rsidR="00217A61" w:rsidRDefault="001C2695">
            <w:pPr>
              <w:spacing w:beforeAutospacing="1" w:afterAutospacing="1"/>
              <w:jc w:val="right"/>
            </w:pPr>
            <w:r>
              <w:rPr>
                <w:color w:val="000000"/>
              </w:rPr>
              <w:t>46,620</w:t>
            </w:r>
          </w:p>
        </w:tc>
        <w:tc>
          <w:tcPr>
            <w:tcW w:w="0" w:type="auto"/>
            <w:vAlign w:val="bottom"/>
          </w:tcPr>
          <w:p w14:paraId="02E13E06" w14:textId="77777777" w:rsidR="00217A61" w:rsidRDefault="001C2695">
            <w:pPr>
              <w:spacing w:beforeAutospacing="1" w:afterAutospacing="1"/>
              <w:jc w:val="right"/>
            </w:pPr>
            <w:r>
              <w:rPr>
                <w:color w:val="000000"/>
              </w:rPr>
              <w:t>35,715</w:t>
            </w:r>
          </w:p>
        </w:tc>
        <w:tc>
          <w:tcPr>
            <w:tcW w:w="0" w:type="auto"/>
            <w:vAlign w:val="bottom"/>
          </w:tcPr>
          <w:p w14:paraId="161514CB" w14:textId="77777777" w:rsidR="00217A61" w:rsidRDefault="001C2695">
            <w:pPr>
              <w:spacing w:beforeAutospacing="1" w:afterAutospacing="1"/>
              <w:jc w:val="right"/>
            </w:pPr>
            <w:r>
              <w:rPr>
                <w:color w:val="000000"/>
              </w:rPr>
              <w:t>26,570</w:t>
            </w:r>
          </w:p>
        </w:tc>
        <w:tc>
          <w:tcPr>
            <w:tcW w:w="0" w:type="auto"/>
            <w:vAlign w:val="bottom"/>
          </w:tcPr>
          <w:p w14:paraId="41CB7475" w14:textId="77777777" w:rsidR="00217A61" w:rsidRDefault="001C2695">
            <w:pPr>
              <w:spacing w:beforeAutospacing="1" w:afterAutospacing="1"/>
              <w:jc w:val="right"/>
            </w:pPr>
            <w:r>
              <w:rPr>
                <w:color w:val="000000"/>
              </w:rPr>
              <w:t>16,700</w:t>
            </w:r>
          </w:p>
        </w:tc>
        <w:tc>
          <w:tcPr>
            <w:tcW w:w="0" w:type="auto"/>
            <w:vAlign w:val="bottom"/>
          </w:tcPr>
          <w:p w14:paraId="353F8CA3" w14:textId="77777777" w:rsidR="00217A61" w:rsidRDefault="001C2695">
            <w:pPr>
              <w:spacing w:beforeAutospacing="1" w:afterAutospacing="1"/>
              <w:jc w:val="right"/>
            </w:pPr>
            <w:r>
              <w:rPr>
                <w:color w:val="000000"/>
              </w:rPr>
              <w:t>78,985</w:t>
            </w:r>
          </w:p>
        </w:tc>
      </w:tr>
      <w:tr w:rsidR="00217A61" w14:paraId="5D34B4DF" w14:textId="77777777">
        <w:trPr>
          <w:cantSplit/>
        </w:trPr>
        <w:tc>
          <w:tcPr>
            <w:tcW w:w="0" w:type="auto"/>
          </w:tcPr>
          <w:p w14:paraId="2DA6BEC9" w14:textId="77777777" w:rsidR="00217A61" w:rsidRDefault="001C2695">
            <w:pPr>
              <w:spacing w:beforeAutospacing="1" w:afterAutospacing="1"/>
            </w:pPr>
            <w:r>
              <w:rPr>
                <w:color w:val="000000"/>
              </w:rPr>
              <w:t>Other</w:t>
            </w:r>
          </w:p>
        </w:tc>
        <w:tc>
          <w:tcPr>
            <w:tcW w:w="0" w:type="auto"/>
            <w:vAlign w:val="bottom"/>
          </w:tcPr>
          <w:p w14:paraId="70F1EC59" w14:textId="77777777" w:rsidR="00217A61" w:rsidRDefault="001C2695">
            <w:pPr>
              <w:spacing w:beforeAutospacing="1" w:afterAutospacing="1"/>
              <w:jc w:val="right"/>
            </w:pPr>
            <w:r>
              <w:rPr>
                <w:color w:val="000000"/>
              </w:rPr>
              <w:t>78,090</w:t>
            </w:r>
          </w:p>
        </w:tc>
        <w:tc>
          <w:tcPr>
            <w:tcW w:w="0" w:type="auto"/>
            <w:vAlign w:val="bottom"/>
          </w:tcPr>
          <w:p w14:paraId="0C050F8A" w14:textId="77777777" w:rsidR="00217A61" w:rsidRDefault="001C2695">
            <w:pPr>
              <w:spacing w:beforeAutospacing="1" w:afterAutospacing="1"/>
              <w:jc w:val="right"/>
            </w:pPr>
            <w:r>
              <w:rPr>
                <w:color w:val="000000"/>
              </w:rPr>
              <w:t>27,880</w:t>
            </w:r>
          </w:p>
        </w:tc>
        <w:tc>
          <w:tcPr>
            <w:tcW w:w="0" w:type="auto"/>
            <w:vAlign w:val="bottom"/>
          </w:tcPr>
          <w:p w14:paraId="3931E8B1" w14:textId="77777777" w:rsidR="00217A61" w:rsidRDefault="001C2695">
            <w:pPr>
              <w:spacing w:beforeAutospacing="1" w:afterAutospacing="1"/>
              <w:jc w:val="right"/>
            </w:pPr>
            <w:r>
              <w:rPr>
                <w:color w:val="000000"/>
              </w:rPr>
              <w:t>5,555</w:t>
            </w:r>
          </w:p>
        </w:tc>
        <w:tc>
          <w:tcPr>
            <w:tcW w:w="0" w:type="auto"/>
            <w:vAlign w:val="bottom"/>
          </w:tcPr>
          <w:p w14:paraId="4AB893AF" w14:textId="77777777" w:rsidR="00217A61" w:rsidRDefault="001C2695">
            <w:pPr>
              <w:spacing w:beforeAutospacing="1" w:afterAutospacing="1"/>
              <w:jc w:val="right"/>
            </w:pPr>
            <w:r>
              <w:rPr>
                <w:color w:val="000000"/>
              </w:rPr>
              <w:t>111,525</w:t>
            </w:r>
          </w:p>
        </w:tc>
        <w:tc>
          <w:tcPr>
            <w:tcW w:w="0" w:type="auto"/>
            <w:vAlign w:val="bottom"/>
          </w:tcPr>
          <w:p w14:paraId="2606820F" w14:textId="77777777" w:rsidR="00217A61" w:rsidRDefault="001C2695">
            <w:pPr>
              <w:spacing w:beforeAutospacing="1" w:afterAutospacing="1"/>
              <w:jc w:val="right"/>
            </w:pPr>
            <w:r>
              <w:rPr>
                <w:color w:val="000000"/>
              </w:rPr>
              <w:t>23,635</w:t>
            </w:r>
          </w:p>
        </w:tc>
        <w:tc>
          <w:tcPr>
            <w:tcW w:w="0" w:type="auto"/>
            <w:vAlign w:val="bottom"/>
          </w:tcPr>
          <w:p w14:paraId="62B838FD" w14:textId="77777777" w:rsidR="00217A61" w:rsidRDefault="001C2695">
            <w:pPr>
              <w:spacing w:beforeAutospacing="1" w:afterAutospacing="1"/>
              <w:jc w:val="right"/>
            </w:pPr>
            <w:r>
              <w:rPr>
                <w:color w:val="000000"/>
              </w:rPr>
              <w:t>12,355</w:t>
            </w:r>
          </w:p>
        </w:tc>
        <w:tc>
          <w:tcPr>
            <w:tcW w:w="0" w:type="auto"/>
            <w:vAlign w:val="bottom"/>
          </w:tcPr>
          <w:p w14:paraId="506F1CF3" w14:textId="77777777" w:rsidR="00217A61" w:rsidRDefault="001C2695">
            <w:pPr>
              <w:spacing w:beforeAutospacing="1" w:afterAutospacing="1"/>
              <w:jc w:val="right"/>
            </w:pPr>
            <w:r>
              <w:rPr>
                <w:color w:val="000000"/>
              </w:rPr>
              <w:t>8,540</w:t>
            </w:r>
          </w:p>
        </w:tc>
        <w:tc>
          <w:tcPr>
            <w:tcW w:w="0" w:type="auto"/>
            <w:vAlign w:val="bottom"/>
          </w:tcPr>
          <w:p w14:paraId="51B6645A" w14:textId="77777777" w:rsidR="00217A61" w:rsidRDefault="001C2695">
            <w:pPr>
              <w:spacing w:beforeAutospacing="1" w:afterAutospacing="1"/>
              <w:jc w:val="right"/>
            </w:pPr>
            <w:r>
              <w:rPr>
                <w:color w:val="000000"/>
              </w:rPr>
              <w:t>44,530</w:t>
            </w:r>
          </w:p>
        </w:tc>
      </w:tr>
      <w:tr w:rsidR="00217A61" w14:paraId="672622D2" w14:textId="77777777">
        <w:trPr>
          <w:cantSplit/>
        </w:trPr>
        <w:tc>
          <w:tcPr>
            <w:tcW w:w="0" w:type="auto"/>
          </w:tcPr>
          <w:p w14:paraId="4A0BC998" w14:textId="77777777" w:rsidR="00217A61" w:rsidRDefault="001C2695">
            <w:pPr>
              <w:spacing w:beforeAutospacing="1" w:afterAutospacing="1"/>
            </w:pPr>
            <w:r>
              <w:rPr>
                <w:color w:val="000000"/>
              </w:rPr>
              <w:t>Total need by income</w:t>
            </w:r>
          </w:p>
        </w:tc>
        <w:tc>
          <w:tcPr>
            <w:tcW w:w="0" w:type="auto"/>
          </w:tcPr>
          <w:p w14:paraId="4141AC5A" w14:textId="77777777" w:rsidR="00217A61" w:rsidRDefault="001C2695">
            <w:pPr>
              <w:spacing w:beforeAutospacing="1" w:afterAutospacing="1"/>
              <w:jc w:val="right"/>
            </w:pPr>
            <w:r>
              <w:rPr>
                <w:color w:val="000000"/>
              </w:rPr>
              <w:t>198,000</w:t>
            </w:r>
          </w:p>
        </w:tc>
        <w:tc>
          <w:tcPr>
            <w:tcW w:w="0" w:type="auto"/>
          </w:tcPr>
          <w:p w14:paraId="0F7DD443" w14:textId="77777777" w:rsidR="00217A61" w:rsidRDefault="001C2695">
            <w:pPr>
              <w:spacing w:beforeAutospacing="1" w:afterAutospacing="1"/>
              <w:jc w:val="right"/>
            </w:pPr>
            <w:r>
              <w:rPr>
                <w:color w:val="000000"/>
              </w:rPr>
              <w:t>72,845</w:t>
            </w:r>
          </w:p>
        </w:tc>
        <w:tc>
          <w:tcPr>
            <w:tcW w:w="0" w:type="auto"/>
          </w:tcPr>
          <w:p w14:paraId="6944C077" w14:textId="77777777" w:rsidR="00217A61" w:rsidRDefault="001C2695">
            <w:pPr>
              <w:spacing w:beforeAutospacing="1" w:afterAutospacing="1"/>
              <w:jc w:val="right"/>
            </w:pPr>
            <w:r>
              <w:rPr>
                <w:color w:val="000000"/>
              </w:rPr>
              <w:t>15,835</w:t>
            </w:r>
          </w:p>
        </w:tc>
        <w:tc>
          <w:tcPr>
            <w:tcW w:w="0" w:type="auto"/>
          </w:tcPr>
          <w:p w14:paraId="0D9882EE" w14:textId="77777777" w:rsidR="00217A61" w:rsidRDefault="001C2695">
            <w:pPr>
              <w:spacing w:beforeAutospacing="1" w:afterAutospacing="1"/>
              <w:jc w:val="right"/>
            </w:pPr>
            <w:r>
              <w:rPr>
                <w:color w:val="000000"/>
              </w:rPr>
              <w:t>286,680</w:t>
            </w:r>
          </w:p>
        </w:tc>
        <w:tc>
          <w:tcPr>
            <w:tcW w:w="0" w:type="auto"/>
          </w:tcPr>
          <w:p w14:paraId="2EE394F1" w14:textId="77777777" w:rsidR="00217A61" w:rsidRDefault="001C2695">
            <w:pPr>
              <w:spacing w:beforeAutospacing="1" w:afterAutospacing="1"/>
              <w:jc w:val="right"/>
            </w:pPr>
            <w:r>
              <w:rPr>
                <w:color w:val="000000"/>
              </w:rPr>
              <w:t>92,110</w:t>
            </w:r>
          </w:p>
        </w:tc>
        <w:tc>
          <w:tcPr>
            <w:tcW w:w="0" w:type="auto"/>
          </w:tcPr>
          <w:p w14:paraId="6BD5A908" w14:textId="77777777" w:rsidR="00217A61" w:rsidRDefault="001C2695">
            <w:pPr>
              <w:spacing w:beforeAutospacing="1" w:afterAutospacing="1"/>
              <w:jc w:val="right"/>
            </w:pPr>
            <w:r>
              <w:rPr>
                <w:color w:val="000000"/>
              </w:rPr>
              <w:t>62,445</w:t>
            </w:r>
          </w:p>
        </w:tc>
        <w:tc>
          <w:tcPr>
            <w:tcW w:w="0" w:type="auto"/>
          </w:tcPr>
          <w:p w14:paraId="7EC27CAE" w14:textId="77777777" w:rsidR="00217A61" w:rsidRDefault="001C2695">
            <w:pPr>
              <w:spacing w:beforeAutospacing="1" w:afterAutospacing="1"/>
              <w:jc w:val="right"/>
            </w:pPr>
            <w:r>
              <w:rPr>
                <w:color w:val="000000"/>
              </w:rPr>
              <w:t>43,715</w:t>
            </w:r>
          </w:p>
        </w:tc>
        <w:tc>
          <w:tcPr>
            <w:tcW w:w="0" w:type="auto"/>
          </w:tcPr>
          <w:p w14:paraId="06362B41" w14:textId="77777777" w:rsidR="00217A61" w:rsidRDefault="001C2695">
            <w:pPr>
              <w:spacing w:beforeAutospacing="1" w:afterAutospacing="1"/>
              <w:jc w:val="right"/>
            </w:pPr>
            <w:r>
              <w:rPr>
                <w:color w:val="000000"/>
              </w:rPr>
              <w:t>198,270</w:t>
            </w:r>
          </w:p>
        </w:tc>
      </w:tr>
    </w:tbl>
    <w:p w14:paraId="3D12B3B2" w14:textId="77777777" w:rsidR="00217A61" w:rsidRDefault="001C2695">
      <w:pPr>
        <w:pStyle w:val="Caption"/>
        <w:jc w:val="center"/>
        <w:rPr>
          <w:rFonts w:asciiTheme="minorHAnsi" w:hAnsiTheme="minorHAnsi"/>
        </w:rPr>
      </w:pPr>
      <w:bookmarkStart w:id="5"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Cost Burden &gt; 50%</w:t>
      </w:r>
      <w:bookmarkEnd w:id="5"/>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217A61" w14:paraId="565304B9" w14:textId="77777777">
        <w:trPr>
          <w:cantSplit/>
        </w:trPr>
        <w:tc>
          <w:tcPr>
            <w:tcW w:w="1080" w:type="dxa"/>
          </w:tcPr>
          <w:p w14:paraId="1184929A" w14:textId="77777777" w:rsidR="00217A61" w:rsidRDefault="001C2695">
            <w:pPr>
              <w:spacing w:after="0" w:line="240" w:lineRule="auto"/>
              <w:rPr>
                <w:sz w:val="16"/>
                <w:szCs w:val="16"/>
              </w:rPr>
            </w:pPr>
            <w:r>
              <w:rPr>
                <w:b/>
                <w:bCs/>
                <w:sz w:val="16"/>
                <w:szCs w:val="16"/>
              </w:rPr>
              <w:t>Data Source:</w:t>
            </w:r>
          </w:p>
        </w:tc>
        <w:tc>
          <w:tcPr>
            <w:tcW w:w="12110" w:type="dxa"/>
          </w:tcPr>
          <w:p w14:paraId="25F8D6BE" w14:textId="77777777" w:rsidR="00217A61" w:rsidRDefault="001C2695">
            <w:pPr>
              <w:spacing w:beforeAutospacing="1" w:afterAutospacing="1"/>
              <w:rPr>
                <w:sz w:val="16"/>
                <w:szCs w:val="16"/>
              </w:rPr>
            </w:pPr>
            <w:r>
              <w:rPr>
                <w:rFonts w:cs="Arial"/>
                <w:sz w:val="16"/>
                <w:szCs w:val="16"/>
              </w:rPr>
              <w:t>2011-2015 CHAS</w:t>
            </w:r>
          </w:p>
        </w:tc>
      </w:tr>
    </w:tbl>
    <w:p w14:paraId="49E914E8" w14:textId="77777777" w:rsidR="00217A61" w:rsidRDefault="00217A61">
      <w:pPr>
        <w:spacing w:after="0" w:line="240" w:lineRule="auto"/>
        <w:rPr>
          <w:vanish/>
        </w:rPr>
      </w:pPr>
    </w:p>
    <w:p w14:paraId="0DD3F11C" w14:textId="77777777" w:rsidR="00217A61" w:rsidRDefault="00217A61">
      <w:pPr>
        <w:spacing w:after="0" w:line="240" w:lineRule="auto"/>
        <w:rPr>
          <w:b/>
          <w:bCs/>
          <w:vanish/>
          <w:sz w:val="16"/>
          <w:szCs w:val="16"/>
        </w:rPr>
      </w:pPr>
    </w:p>
    <w:p w14:paraId="16D57712" w14:textId="77777777" w:rsidR="00217A61" w:rsidRDefault="00217A61"/>
    <w:p w14:paraId="1645B459" w14:textId="77777777" w:rsidR="00217A61" w:rsidRDefault="001C2695">
      <w:pPr>
        <w:keepNext/>
        <w:widowControl w:val="0"/>
        <w:rPr>
          <w:bCs/>
          <w:sz w:val="24"/>
          <w:szCs w:val="24"/>
        </w:rPr>
      </w:pPr>
      <w:r>
        <w:rPr>
          <w:sz w:val="24"/>
          <w:szCs w:val="24"/>
        </w:rPr>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846"/>
        <w:gridCol w:w="846"/>
        <w:gridCol w:w="846"/>
        <w:gridCol w:w="742"/>
        <w:gridCol w:w="846"/>
        <w:gridCol w:w="742"/>
        <w:gridCol w:w="742"/>
        <w:gridCol w:w="742"/>
        <w:gridCol w:w="742"/>
        <w:gridCol w:w="846"/>
      </w:tblGrid>
      <w:tr w:rsidR="00217A61" w14:paraId="038E6C2B" w14:textId="77777777">
        <w:trPr>
          <w:cantSplit/>
          <w:tblHeader/>
        </w:trPr>
        <w:tc>
          <w:tcPr>
            <w:tcW w:w="2432" w:type="dxa"/>
            <w:vMerge w:val="restart"/>
          </w:tcPr>
          <w:p w14:paraId="0B2486C3" w14:textId="77777777" w:rsidR="00217A61" w:rsidRDefault="00217A61">
            <w:pPr>
              <w:pStyle w:val="Caption"/>
              <w:keepNext/>
              <w:widowControl w:val="0"/>
              <w:jc w:val="center"/>
              <w:rPr>
                <w:rFonts w:ascii="Calibri" w:hAnsi="Calibri"/>
              </w:rPr>
            </w:pPr>
          </w:p>
        </w:tc>
        <w:tc>
          <w:tcPr>
            <w:tcW w:w="5372" w:type="dxa"/>
            <w:gridSpan w:val="5"/>
          </w:tcPr>
          <w:p w14:paraId="1352A4CF" w14:textId="77777777" w:rsidR="00217A61" w:rsidRDefault="001C2695">
            <w:pPr>
              <w:keepNext/>
              <w:widowControl w:val="0"/>
              <w:spacing w:after="0" w:line="240" w:lineRule="auto"/>
              <w:jc w:val="center"/>
              <w:rPr>
                <w:sz w:val="20"/>
                <w:szCs w:val="20"/>
              </w:rPr>
            </w:pPr>
            <w:r>
              <w:rPr>
                <w:b/>
                <w:bCs/>
                <w:sz w:val="20"/>
                <w:szCs w:val="20"/>
              </w:rPr>
              <w:t>Renter</w:t>
            </w:r>
          </w:p>
        </w:tc>
        <w:tc>
          <w:tcPr>
            <w:tcW w:w="5372" w:type="dxa"/>
            <w:gridSpan w:val="5"/>
          </w:tcPr>
          <w:p w14:paraId="648954FD" w14:textId="77777777" w:rsidR="00217A61" w:rsidRDefault="001C2695">
            <w:pPr>
              <w:keepNext/>
              <w:widowControl w:val="0"/>
              <w:spacing w:after="0" w:line="240" w:lineRule="auto"/>
              <w:jc w:val="center"/>
              <w:rPr>
                <w:sz w:val="20"/>
                <w:szCs w:val="20"/>
              </w:rPr>
            </w:pPr>
            <w:r>
              <w:rPr>
                <w:b/>
                <w:bCs/>
                <w:sz w:val="20"/>
                <w:szCs w:val="20"/>
              </w:rPr>
              <w:t>Owner</w:t>
            </w:r>
          </w:p>
        </w:tc>
      </w:tr>
      <w:tr w:rsidR="00217A61" w14:paraId="31E58F6F" w14:textId="77777777">
        <w:trPr>
          <w:cantSplit/>
          <w:tblHeader/>
        </w:trPr>
        <w:tc>
          <w:tcPr>
            <w:tcW w:w="2432" w:type="dxa"/>
            <w:vMerge/>
          </w:tcPr>
          <w:p w14:paraId="09D86393" w14:textId="77777777" w:rsidR="00217A61" w:rsidRDefault="00217A61">
            <w:pPr>
              <w:pStyle w:val="Caption"/>
              <w:keepNext/>
              <w:widowControl w:val="0"/>
              <w:jc w:val="center"/>
              <w:rPr>
                <w:rFonts w:ascii="Calibri" w:hAnsi="Calibri"/>
              </w:rPr>
            </w:pPr>
          </w:p>
        </w:tc>
        <w:tc>
          <w:tcPr>
            <w:tcW w:w="1074" w:type="dxa"/>
          </w:tcPr>
          <w:p w14:paraId="4D70A97C" w14:textId="77777777" w:rsidR="00217A61" w:rsidRDefault="001C2695">
            <w:pPr>
              <w:keepNext/>
              <w:widowControl w:val="0"/>
              <w:spacing w:after="0" w:line="240" w:lineRule="auto"/>
              <w:jc w:val="center"/>
              <w:rPr>
                <w:sz w:val="20"/>
                <w:szCs w:val="20"/>
              </w:rPr>
            </w:pPr>
            <w:r>
              <w:rPr>
                <w:b/>
                <w:sz w:val="20"/>
                <w:szCs w:val="20"/>
              </w:rPr>
              <w:t>0-30% AMI</w:t>
            </w:r>
          </w:p>
        </w:tc>
        <w:tc>
          <w:tcPr>
            <w:tcW w:w="1074" w:type="dxa"/>
          </w:tcPr>
          <w:p w14:paraId="7622E4E4" w14:textId="77777777" w:rsidR="00217A61" w:rsidRDefault="001C2695">
            <w:pPr>
              <w:keepNext/>
              <w:widowControl w:val="0"/>
              <w:spacing w:after="0" w:line="240" w:lineRule="auto"/>
              <w:jc w:val="center"/>
              <w:rPr>
                <w:sz w:val="20"/>
                <w:szCs w:val="20"/>
              </w:rPr>
            </w:pPr>
            <w:r>
              <w:rPr>
                <w:b/>
                <w:sz w:val="20"/>
                <w:szCs w:val="20"/>
              </w:rPr>
              <w:t>&gt;30-50% AMI</w:t>
            </w:r>
          </w:p>
        </w:tc>
        <w:tc>
          <w:tcPr>
            <w:tcW w:w="1074" w:type="dxa"/>
          </w:tcPr>
          <w:p w14:paraId="33B3FFC8" w14:textId="77777777" w:rsidR="00217A61" w:rsidRDefault="001C2695">
            <w:pPr>
              <w:keepNext/>
              <w:widowControl w:val="0"/>
              <w:spacing w:after="0" w:line="240" w:lineRule="auto"/>
              <w:jc w:val="center"/>
              <w:rPr>
                <w:sz w:val="20"/>
                <w:szCs w:val="20"/>
              </w:rPr>
            </w:pPr>
            <w:r>
              <w:rPr>
                <w:b/>
                <w:sz w:val="20"/>
                <w:szCs w:val="20"/>
              </w:rPr>
              <w:t>&gt;50-80% AMI</w:t>
            </w:r>
          </w:p>
        </w:tc>
        <w:tc>
          <w:tcPr>
            <w:tcW w:w="1075" w:type="dxa"/>
          </w:tcPr>
          <w:p w14:paraId="1B68665D" w14:textId="77777777" w:rsidR="00217A61" w:rsidRDefault="001C2695">
            <w:pPr>
              <w:keepNext/>
              <w:widowControl w:val="0"/>
              <w:spacing w:after="0" w:line="240" w:lineRule="auto"/>
              <w:jc w:val="center"/>
              <w:rPr>
                <w:sz w:val="20"/>
                <w:szCs w:val="20"/>
              </w:rPr>
            </w:pPr>
            <w:r>
              <w:rPr>
                <w:b/>
                <w:sz w:val="20"/>
                <w:szCs w:val="20"/>
              </w:rPr>
              <w:t>&gt;80-100% AMI</w:t>
            </w:r>
          </w:p>
        </w:tc>
        <w:tc>
          <w:tcPr>
            <w:tcW w:w="1075" w:type="dxa"/>
          </w:tcPr>
          <w:p w14:paraId="0F2BB4F0" w14:textId="77777777" w:rsidR="00217A61" w:rsidRDefault="001C2695">
            <w:pPr>
              <w:keepNext/>
              <w:widowControl w:val="0"/>
              <w:spacing w:after="0" w:line="240" w:lineRule="auto"/>
              <w:jc w:val="center"/>
              <w:rPr>
                <w:sz w:val="20"/>
                <w:szCs w:val="20"/>
              </w:rPr>
            </w:pPr>
            <w:r>
              <w:rPr>
                <w:b/>
                <w:sz w:val="20"/>
                <w:szCs w:val="20"/>
              </w:rPr>
              <w:t>Total</w:t>
            </w:r>
          </w:p>
        </w:tc>
        <w:tc>
          <w:tcPr>
            <w:tcW w:w="1074" w:type="dxa"/>
          </w:tcPr>
          <w:p w14:paraId="1AC902AD" w14:textId="77777777" w:rsidR="00217A61" w:rsidRDefault="001C2695">
            <w:pPr>
              <w:keepNext/>
              <w:widowControl w:val="0"/>
              <w:spacing w:after="0" w:line="240" w:lineRule="auto"/>
              <w:jc w:val="center"/>
              <w:rPr>
                <w:sz w:val="20"/>
                <w:szCs w:val="20"/>
              </w:rPr>
            </w:pPr>
            <w:r>
              <w:rPr>
                <w:b/>
                <w:sz w:val="20"/>
                <w:szCs w:val="20"/>
              </w:rPr>
              <w:t>0-30% AMI</w:t>
            </w:r>
          </w:p>
        </w:tc>
        <w:tc>
          <w:tcPr>
            <w:tcW w:w="1074" w:type="dxa"/>
          </w:tcPr>
          <w:p w14:paraId="2C787620" w14:textId="77777777" w:rsidR="00217A61" w:rsidRDefault="001C2695">
            <w:pPr>
              <w:keepNext/>
              <w:widowControl w:val="0"/>
              <w:spacing w:after="0" w:line="240" w:lineRule="auto"/>
              <w:jc w:val="center"/>
              <w:rPr>
                <w:sz w:val="20"/>
                <w:szCs w:val="20"/>
              </w:rPr>
            </w:pPr>
            <w:r>
              <w:rPr>
                <w:b/>
                <w:sz w:val="20"/>
                <w:szCs w:val="20"/>
              </w:rPr>
              <w:t>&gt;30-50% AMI</w:t>
            </w:r>
          </w:p>
        </w:tc>
        <w:tc>
          <w:tcPr>
            <w:tcW w:w="1074" w:type="dxa"/>
          </w:tcPr>
          <w:p w14:paraId="245863D9" w14:textId="77777777" w:rsidR="00217A61" w:rsidRDefault="001C2695">
            <w:pPr>
              <w:keepNext/>
              <w:widowControl w:val="0"/>
              <w:spacing w:after="0" w:line="240" w:lineRule="auto"/>
              <w:jc w:val="center"/>
              <w:rPr>
                <w:sz w:val="20"/>
                <w:szCs w:val="20"/>
              </w:rPr>
            </w:pPr>
            <w:r>
              <w:rPr>
                <w:b/>
                <w:sz w:val="20"/>
                <w:szCs w:val="20"/>
              </w:rPr>
              <w:t>&gt;50-80% AMI</w:t>
            </w:r>
          </w:p>
        </w:tc>
        <w:tc>
          <w:tcPr>
            <w:tcW w:w="1075" w:type="dxa"/>
          </w:tcPr>
          <w:p w14:paraId="6DFB347A" w14:textId="77777777" w:rsidR="00217A61" w:rsidRDefault="001C2695">
            <w:pPr>
              <w:keepNext/>
              <w:widowControl w:val="0"/>
              <w:spacing w:after="0" w:line="240" w:lineRule="auto"/>
              <w:jc w:val="center"/>
              <w:rPr>
                <w:sz w:val="20"/>
                <w:szCs w:val="20"/>
              </w:rPr>
            </w:pPr>
            <w:r>
              <w:rPr>
                <w:b/>
                <w:sz w:val="20"/>
                <w:szCs w:val="20"/>
              </w:rPr>
              <w:t>&gt;80-100% AMI</w:t>
            </w:r>
          </w:p>
        </w:tc>
        <w:tc>
          <w:tcPr>
            <w:tcW w:w="1075" w:type="dxa"/>
          </w:tcPr>
          <w:p w14:paraId="59191272" w14:textId="77777777" w:rsidR="00217A61" w:rsidRDefault="001C2695">
            <w:pPr>
              <w:keepNext/>
              <w:widowControl w:val="0"/>
              <w:spacing w:after="0" w:line="240" w:lineRule="auto"/>
              <w:jc w:val="center"/>
              <w:rPr>
                <w:sz w:val="20"/>
                <w:szCs w:val="20"/>
              </w:rPr>
            </w:pPr>
            <w:r>
              <w:rPr>
                <w:b/>
                <w:sz w:val="20"/>
                <w:szCs w:val="20"/>
              </w:rPr>
              <w:t>Total</w:t>
            </w:r>
          </w:p>
        </w:tc>
      </w:tr>
      <w:tr w:rsidR="00217A61" w14:paraId="2B6F2D8C" w14:textId="77777777">
        <w:trPr>
          <w:cantSplit/>
        </w:trPr>
        <w:tc>
          <w:tcPr>
            <w:tcW w:w="13176" w:type="dxa"/>
            <w:gridSpan w:val="11"/>
          </w:tcPr>
          <w:p w14:paraId="4EBC5E01" w14:textId="77777777" w:rsidR="00217A61" w:rsidRDefault="001C2695">
            <w:pPr>
              <w:keepNext/>
              <w:widowControl w:val="0"/>
              <w:spacing w:after="0" w:line="240" w:lineRule="auto"/>
            </w:pPr>
            <w:r>
              <w:t>NUMBER OF HOUSEHOLDS</w:t>
            </w:r>
          </w:p>
        </w:tc>
      </w:tr>
      <w:tr w:rsidR="00217A61" w14:paraId="7D43A125" w14:textId="77777777">
        <w:trPr>
          <w:cantSplit/>
        </w:trPr>
        <w:tc>
          <w:tcPr>
            <w:tcW w:w="0" w:type="auto"/>
          </w:tcPr>
          <w:p w14:paraId="63331DE3" w14:textId="77777777" w:rsidR="00217A61" w:rsidRDefault="001C2695">
            <w:pPr>
              <w:spacing w:beforeAutospacing="1" w:afterAutospacing="1"/>
            </w:pPr>
            <w:r>
              <w:rPr>
                <w:color w:val="000000"/>
              </w:rPr>
              <w:t>Single family households</w:t>
            </w:r>
          </w:p>
        </w:tc>
        <w:tc>
          <w:tcPr>
            <w:tcW w:w="0" w:type="auto"/>
            <w:vAlign w:val="bottom"/>
          </w:tcPr>
          <w:p w14:paraId="3B0E78FD" w14:textId="77777777" w:rsidR="00217A61" w:rsidRDefault="001C2695">
            <w:pPr>
              <w:spacing w:beforeAutospacing="1" w:afterAutospacing="1"/>
              <w:jc w:val="right"/>
            </w:pPr>
            <w:r>
              <w:rPr>
                <w:color w:val="000000"/>
              </w:rPr>
              <w:t>14,775</w:t>
            </w:r>
          </w:p>
        </w:tc>
        <w:tc>
          <w:tcPr>
            <w:tcW w:w="0" w:type="auto"/>
            <w:vAlign w:val="bottom"/>
          </w:tcPr>
          <w:p w14:paraId="35444E7D" w14:textId="77777777" w:rsidR="00217A61" w:rsidRDefault="001C2695">
            <w:pPr>
              <w:spacing w:beforeAutospacing="1" w:afterAutospacing="1"/>
              <w:jc w:val="right"/>
            </w:pPr>
            <w:r>
              <w:rPr>
                <w:color w:val="000000"/>
              </w:rPr>
              <w:t>11,855</w:t>
            </w:r>
          </w:p>
        </w:tc>
        <w:tc>
          <w:tcPr>
            <w:tcW w:w="0" w:type="auto"/>
            <w:vAlign w:val="bottom"/>
          </w:tcPr>
          <w:p w14:paraId="1883DD51" w14:textId="77777777" w:rsidR="00217A61" w:rsidRDefault="001C2695">
            <w:pPr>
              <w:spacing w:beforeAutospacing="1" w:afterAutospacing="1"/>
              <w:jc w:val="right"/>
            </w:pPr>
            <w:r>
              <w:rPr>
                <w:color w:val="000000"/>
              </w:rPr>
              <w:t>11,375</w:t>
            </w:r>
          </w:p>
        </w:tc>
        <w:tc>
          <w:tcPr>
            <w:tcW w:w="0" w:type="auto"/>
            <w:vAlign w:val="bottom"/>
          </w:tcPr>
          <w:p w14:paraId="15CE1FFB" w14:textId="77777777" w:rsidR="00217A61" w:rsidRDefault="001C2695">
            <w:pPr>
              <w:spacing w:beforeAutospacing="1" w:afterAutospacing="1"/>
              <w:jc w:val="right"/>
            </w:pPr>
            <w:r>
              <w:rPr>
                <w:color w:val="000000"/>
              </w:rPr>
              <w:t>3,740</w:t>
            </w:r>
          </w:p>
        </w:tc>
        <w:tc>
          <w:tcPr>
            <w:tcW w:w="0" w:type="auto"/>
            <w:vAlign w:val="bottom"/>
          </w:tcPr>
          <w:p w14:paraId="1FAD9276" w14:textId="77777777" w:rsidR="00217A61" w:rsidRDefault="001C2695">
            <w:pPr>
              <w:spacing w:beforeAutospacing="1" w:afterAutospacing="1"/>
              <w:jc w:val="right"/>
            </w:pPr>
            <w:r>
              <w:rPr>
                <w:color w:val="000000"/>
              </w:rPr>
              <w:t>41,745</w:t>
            </w:r>
          </w:p>
        </w:tc>
        <w:tc>
          <w:tcPr>
            <w:tcW w:w="0" w:type="auto"/>
            <w:vAlign w:val="bottom"/>
          </w:tcPr>
          <w:p w14:paraId="60D88E22" w14:textId="77777777" w:rsidR="00217A61" w:rsidRDefault="001C2695">
            <w:pPr>
              <w:spacing w:beforeAutospacing="1" w:afterAutospacing="1"/>
              <w:jc w:val="right"/>
            </w:pPr>
            <w:r>
              <w:rPr>
                <w:color w:val="000000"/>
              </w:rPr>
              <w:t>3,125</w:t>
            </w:r>
          </w:p>
        </w:tc>
        <w:tc>
          <w:tcPr>
            <w:tcW w:w="0" w:type="auto"/>
            <w:vAlign w:val="bottom"/>
          </w:tcPr>
          <w:p w14:paraId="6ED1A350" w14:textId="77777777" w:rsidR="00217A61" w:rsidRDefault="001C2695">
            <w:pPr>
              <w:spacing w:beforeAutospacing="1" w:afterAutospacing="1"/>
              <w:jc w:val="right"/>
            </w:pPr>
            <w:r>
              <w:rPr>
                <w:color w:val="000000"/>
              </w:rPr>
              <w:t>4,100</w:t>
            </w:r>
          </w:p>
        </w:tc>
        <w:tc>
          <w:tcPr>
            <w:tcW w:w="0" w:type="auto"/>
            <w:vAlign w:val="bottom"/>
          </w:tcPr>
          <w:p w14:paraId="7B7322A7" w14:textId="77777777" w:rsidR="00217A61" w:rsidRDefault="001C2695">
            <w:pPr>
              <w:spacing w:beforeAutospacing="1" w:afterAutospacing="1"/>
              <w:jc w:val="right"/>
            </w:pPr>
            <w:r>
              <w:rPr>
                <w:color w:val="000000"/>
              </w:rPr>
              <w:t>6,320</w:t>
            </w:r>
          </w:p>
        </w:tc>
        <w:tc>
          <w:tcPr>
            <w:tcW w:w="0" w:type="auto"/>
            <w:vAlign w:val="bottom"/>
          </w:tcPr>
          <w:p w14:paraId="0B0564C5" w14:textId="77777777" w:rsidR="00217A61" w:rsidRDefault="001C2695">
            <w:pPr>
              <w:spacing w:beforeAutospacing="1" w:afterAutospacing="1"/>
              <w:jc w:val="right"/>
            </w:pPr>
            <w:r>
              <w:rPr>
                <w:color w:val="000000"/>
              </w:rPr>
              <w:t>2,800</w:t>
            </w:r>
          </w:p>
        </w:tc>
        <w:tc>
          <w:tcPr>
            <w:tcW w:w="0" w:type="auto"/>
            <w:vAlign w:val="bottom"/>
          </w:tcPr>
          <w:p w14:paraId="68F79608" w14:textId="77777777" w:rsidR="00217A61" w:rsidRDefault="001C2695">
            <w:pPr>
              <w:spacing w:beforeAutospacing="1" w:afterAutospacing="1"/>
              <w:jc w:val="right"/>
            </w:pPr>
            <w:r>
              <w:rPr>
                <w:color w:val="000000"/>
              </w:rPr>
              <w:t>16,345</w:t>
            </w:r>
          </w:p>
        </w:tc>
      </w:tr>
      <w:tr w:rsidR="00217A61" w14:paraId="174890DA" w14:textId="77777777">
        <w:trPr>
          <w:cantSplit/>
        </w:trPr>
        <w:tc>
          <w:tcPr>
            <w:tcW w:w="0" w:type="auto"/>
          </w:tcPr>
          <w:p w14:paraId="268A0C64" w14:textId="77777777" w:rsidR="00217A61" w:rsidRDefault="001C2695">
            <w:pPr>
              <w:spacing w:beforeAutospacing="1" w:afterAutospacing="1"/>
            </w:pPr>
            <w:r>
              <w:rPr>
                <w:color w:val="000000"/>
              </w:rPr>
              <w:t>Multiple, unrelated family households</w:t>
            </w:r>
          </w:p>
        </w:tc>
        <w:tc>
          <w:tcPr>
            <w:tcW w:w="0" w:type="auto"/>
            <w:vAlign w:val="bottom"/>
          </w:tcPr>
          <w:p w14:paraId="190A2D39" w14:textId="77777777" w:rsidR="00217A61" w:rsidRDefault="001C2695">
            <w:pPr>
              <w:spacing w:beforeAutospacing="1" w:afterAutospacing="1"/>
              <w:jc w:val="right"/>
            </w:pPr>
            <w:r>
              <w:rPr>
                <w:color w:val="000000"/>
              </w:rPr>
              <w:t>2,155</w:t>
            </w:r>
          </w:p>
        </w:tc>
        <w:tc>
          <w:tcPr>
            <w:tcW w:w="0" w:type="auto"/>
            <w:vAlign w:val="bottom"/>
          </w:tcPr>
          <w:p w14:paraId="3675B5D4" w14:textId="77777777" w:rsidR="00217A61" w:rsidRDefault="001C2695">
            <w:pPr>
              <w:spacing w:beforeAutospacing="1" w:afterAutospacing="1"/>
              <w:jc w:val="right"/>
            </w:pPr>
            <w:r>
              <w:rPr>
                <w:color w:val="000000"/>
              </w:rPr>
              <w:t>2,080</w:t>
            </w:r>
          </w:p>
        </w:tc>
        <w:tc>
          <w:tcPr>
            <w:tcW w:w="0" w:type="auto"/>
            <w:vAlign w:val="bottom"/>
          </w:tcPr>
          <w:p w14:paraId="5CCD62DA" w14:textId="77777777" w:rsidR="00217A61" w:rsidRDefault="001C2695">
            <w:pPr>
              <w:spacing w:beforeAutospacing="1" w:afterAutospacing="1"/>
              <w:jc w:val="right"/>
            </w:pPr>
            <w:r>
              <w:rPr>
                <w:color w:val="000000"/>
              </w:rPr>
              <w:t>2,435</w:t>
            </w:r>
          </w:p>
        </w:tc>
        <w:tc>
          <w:tcPr>
            <w:tcW w:w="0" w:type="auto"/>
            <w:vAlign w:val="bottom"/>
          </w:tcPr>
          <w:p w14:paraId="4E56210F" w14:textId="77777777" w:rsidR="00217A61" w:rsidRDefault="001C2695">
            <w:pPr>
              <w:spacing w:beforeAutospacing="1" w:afterAutospacing="1"/>
              <w:jc w:val="right"/>
            </w:pPr>
            <w:r>
              <w:rPr>
                <w:color w:val="000000"/>
              </w:rPr>
              <w:t>970</w:t>
            </w:r>
          </w:p>
        </w:tc>
        <w:tc>
          <w:tcPr>
            <w:tcW w:w="0" w:type="auto"/>
            <w:vAlign w:val="bottom"/>
          </w:tcPr>
          <w:p w14:paraId="593F0A73" w14:textId="77777777" w:rsidR="00217A61" w:rsidRDefault="001C2695">
            <w:pPr>
              <w:spacing w:beforeAutospacing="1" w:afterAutospacing="1"/>
              <w:jc w:val="right"/>
            </w:pPr>
            <w:r>
              <w:rPr>
                <w:color w:val="000000"/>
              </w:rPr>
              <w:t>7,640</w:t>
            </w:r>
          </w:p>
        </w:tc>
        <w:tc>
          <w:tcPr>
            <w:tcW w:w="0" w:type="auto"/>
            <w:vAlign w:val="bottom"/>
          </w:tcPr>
          <w:p w14:paraId="6280BAFD" w14:textId="77777777" w:rsidR="00217A61" w:rsidRDefault="001C2695">
            <w:pPr>
              <w:spacing w:beforeAutospacing="1" w:afterAutospacing="1"/>
              <w:jc w:val="right"/>
            </w:pPr>
            <w:r>
              <w:rPr>
                <w:color w:val="000000"/>
              </w:rPr>
              <w:t>1,075</w:t>
            </w:r>
          </w:p>
        </w:tc>
        <w:tc>
          <w:tcPr>
            <w:tcW w:w="0" w:type="auto"/>
            <w:vAlign w:val="bottom"/>
          </w:tcPr>
          <w:p w14:paraId="7F92543F" w14:textId="77777777" w:rsidR="00217A61" w:rsidRDefault="001C2695">
            <w:pPr>
              <w:spacing w:beforeAutospacing="1" w:afterAutospacing="1"/>
              <w:jc w:val="right"/>
            </w:pPr>
            <w:r>
              <w:rPr>
                <w:color w:val="000000"/>
              </w:rPr>
              <w:t>1,290</w:t>
            </w:r>
          </w:p>
        </w:tc>
        <w:tc>
          <w:tcPr>
            <w:tcW w:w="0" w:type="auto"/>
            <w:vAlign w:val="bottom"/>
          </w:tcPr>
          <w:p w14:paraId="2BB6FB03" w14:textId="77777777" w:rsidR="00217A61" w:rsidRDefault="001C2695">
            <w:pPr>
              <w:spacing w:beforeAutospacing="1" w:afterAutospacing="1"/>
              <w:jc w:val="right"/>
            </w:pPr>
            <w:r>
              <w:rPr>
                <w:color w:val="000000"/>
              </w:rPr>
              <w:t>2,420</w:t>
            </w:r>
          </w:p>
        </w:tc>
        <w:tc>
          <w:tcPr>
            <w:tcW w:w="0" w:type="auto"/>
            <w:vAlign w:val="bottom"/>
          </w:tcPr>
          <w:p w14:paraId="25C85AF6" w14:textId="77777777" w:rsidR="00217A61" w:rsidRDefault="001C2695">
            <w:pPr>
              <w:spacing w:beforeAutospacing="1" w:afterAutospacing="1"/>
              <w:jc w:val="right"/>
            </w:pPr>
            <w:r>
              <w:rPr>
                <w:color w:val="000000"/>
              </w:rPr>
              <w:t>1,325</w:t>
            </w:r>
          </w:p>
        </w:tc>
        <w:tc>
          <w:tcPr>
            <w:tcW w:w="0" w:type="auto"/>
            <w:vAlign w:val="bottom"/>
          </w:tcPr>
          <w:p w14:paraId="1256640A" w14:textId="77777777" w:rsidR="00217A61" w:rsidRDefault="001C2695">
            <w:pPr>
              <w:spacing w:beforeAutospacing="1" w:afterAutospacing="1"/>
              <w:jc w:val="right"/>
            </w:pPr>
            <w:r>
              <w:rPr>
                <w:color w:val="000000"/>
              </w:rPr>
              <w:t>6,110</w:t>
            </w:r>
          </w:p>
        </w:tc>
      </w:tr>
      <w:tr w:rsidR="00217A61" w14:paraId="72653D88" w14:textId="77777777">
        <w:trPr>
          <w:cantSplit/>
        </w:trPr>
        <w:tc>
          <w:tcPr>
            <w:tcW w:w="0" w:type="auto"/>
          </w:tcPr>
          <w:p w14:paraId="55E9BE08" w14:textId="77777777" w:rsidR="00217A61" w:rsidRDefault="001C2695">
            <w:pPr>
              <w:spacing w:beforeAutospacing="1" w:afterAutospacing="1"/>
            </w:pPr>
            <w:r>
              <w:rPr>
                <w:color w:val="000000"/>
              </w:rPr>
              <w:t>Other, non-family households</w:t>
            </w:r>
          </w:p>
        </w:tc>
        <w:tc>
          <w:tcPr>
            <w:tcW w:w="0" w:type="auto"/>
            <w:vAlign w:val="bottom"/>
          </w:tcPr>
          <w:p w14:paraId="032C13A6" w14:textId="77777777" w:rsidR="00217A61" w:rsidRDefault="001C2695">
            <w:pPr>
              <w:spacing w:beforeAutospacing="1" w:afterAutospacing="1"/>
              <w:jc w:val="right"/>
            </w:pPr>
            <w:r>
              <w:rPr>
                <w:color w:val="000000"/>
              </w:rPr>
              <w:t>670</w:t>
            </w:r>
          </w:p>
        </w:tc>
        <w:tc>
          <w:tcPr>
            <w:tcW w:w="0" w:type="auto"/>
            <w:vAlign w:val="bottom"/>
          </w:tcPr>
          <w:p w14:paraId="4CFA7982" w14:textId="77777777" w:rsidR="00217A61" w:rsidRDefault="001C2695">
            <w:pPr>
              <w:spacing w:beforeAutospacing="1" w:afterAutospacing="1"/>
              <w:jc w:val="right"/>
            </w:pPr>
            <w:r>
              <w:rPr>
                <w:color w:val="000000"/>
              </w:rPr>
              <w:t>565</w:t>
            </w:r>
          </w:p>
        </w:tc>
        <w:tc>
          <w:tcPr>
            <w:tcW w:w="0" w:type="auto"/>
            <w:vAlign w:val="bottom"/>
          </w:tcPr>
          <w:p w14:paraId="40143E87" w14:textId="77777777" w:rsidR="00217A61" w:rsidRDefault="001C2695">
            <w:pPr>
              <w:spacing w:beforeAutospacing="1" w:afterAutospacing="1"/>
              <w:jc w:val="right"/>
            </w:pPr>
            <w:r>
              <w:rPr>
                <w:color w:val="000000"/>
              </w:rPr>
              <w:t>1,045</w:t>
            </w:r>
          </w:p>
        </w:tc>
        <w:tc>
          <w:tcPr>
            <w:tcW w:w="0" w:type="auto"/>
            <w:vAlign w:val="bottom"/>
          </w:tcPr>
          <w:p w14:paraId="63AFAAC4" w14:textId="77777777" w:rsidR="00217A61" w:rsidRDefault="001C2695">
            <w:pPr>
              <w:spacing w:beforeAutospacing="1" w:afterAutospacing="1"/>
              <w:jc w:val="right"/>
            </w:pPr>
            <w:r>
              <w:rPr>
                <w:color w:val="000000"/>
              </w:rPr>
              <w:t>350</w:t>
            </w:r>
          </w:p>
        </w:tc>
        <w:tc>
          <w:tcPr>
            <w:tcW w:w="0" w:type="auto"/>
            <w:vAlign w:val="bottom"/>
          </w:tcPr>
          <w:p w14:paraId="6537065B" w14:textId="77777777" w:rsidR="00217A61" w:rsidRDefault="001C2695">
            <w:pPr>
              <w:spacing w:beforeAutospacing="1" w:afterAutospacing="1"/>
              <w:jc w:val="right"/>
            </w:pPr>
            <w:r>
              <w:rPr>
                <w:color w:val="000000"/>
              </w:rPr>
              <w:t>2,630</w:t>
            </w:r>
          </w:p>
        </w:tc>
        <w:tc>
          <w:tcPr>
            <w:tcW w:w="0" w:type="auto"/>
            <w:vAlign w:val="bottom"/>
          </w:tcPr>
          <w:p w14:paraId="0AFBB325" w14:textId="77777777" w:rsidR="00217A61" w:rsidRDefault="001C2695">
            <w:pPr>
              <w:spacing w:beforeAutospacing="1" w:afterAutospacing="1"/>
              <w:jc w:val="right"/>
            </w:pPr>
            <w:r>
              <w:rPr>
                <w:color w:val="000000"/>
              </w:rPr>
              <w:t>24</w:t>
            </w:r>
          </w:p>
        </w:tc>
        <w:tc>
          <w:tcPr>
            <w:tcW w:w="0" w:type="auto"/>
            <w:vAlign w:val="bottom"/>
          </w:tcPr>
          <w:p w14:paraId="75143CFF" w14:textId="77777777" w:rsidR="00217A61" w:rsidRDefault="001C2695">
            <w:pPr>
              <w:spacing w:beforeAutospacing="1" w:afterAutospacing="1"/>
              <w:jc w:val="right"/>
            </w:pPr>
            <w:r>
              <w:rPr>
                <w:color w:val="000000"/>
              </w:rPr>
              <w:t>15</w:t>
            </w:r>
          </w:p>
        </w:tc>
        <w:tc>
          <w:tcPr>
            <w:tcW w:w="0" w:type="auto"/>
            <w:vAlign w:val="bottom"/>
          </w:tcPr>
          <w:p w14:paraId="2475096F" w14:textId="77777777" w:rsidR="00217A61" w:rsidRDefault="001C2695">
            <w:pPr>
              <w:spacing w:beforeAutospacing="1" w:afterAutospacing="1"/>
              <w:jc w:val="right"/>
            </w:pPr>
            <w:r>
              <w:rPr>
                <w:color w:val="000000"/>
              </w:rPr>
              <w:t>100</w:t>
            </w:r>
          </w:p>
        </w:tc>
        <w:tc>
          <w:tcPr>
            <w:tcW w:w="0" w:type="auto"/>
            <w:vAlign w:val="bottom"/>
          </w:tcPr>
          <w:p w14:paraId="38F7B879" w14:textId="77777777" w:rsidR="00217A61" w:rsidRDefault="001C2695">
            <w:pPr>
              <w:spacing w:beforeAutospacing="1" w:afterAutospacing="1"/>
              <w:jc w:val="right"/>
            </w:pPr>
            <w:r>
              <w:rPr>
                <w:color w:val="000000"/>
              </w:rPr>
              <w:t>100</w:t>
            </w:r>
          </w:p>
        </w:tc>
        <w:tc>
          <w:tcPr>
            <w:tcW w:w="0" w:type="auto"/>
            <w:vAlign w:val="bottom"/>
          </w:tcPr>
          <w:p w14:paraId="126CC8EF" w14:textId="77777777" w:rsidR="00217A61" w:rsidRDefault="001C2695">
            <w:pPr>
              <w:spacing w:beforeAutospacing="1" w:afterAutospacing="1"/>
              <w:jc w:val="right"/>
            </w:pPr>
            <w:r>
              <w:rPr>
                <w:color w:val="000000"/>
              </w:rPr>
              <w:t>239</w:t>
            </w:r>
          </w:p>
        </w:tc>
      </w:tr>
      <w:tr w:rsidR="00217A61" w14:paraId="4AECE5BE" w14:textId="77777777">
        <w:trPr>
          <w:cantSplit/>
        </w:trPr>
        <w:tc>
          <w:tcPr>
            <w:tcW w:w="0" w:type="auto"/>
          </w:tcPr>
          <w:p w14:paraId="30F679E7" w14:textId="77777777" w:rsidR="00217A61" w:rsidRDefault="001C2695">
            <w:pPr>
              <w:spacing w:beforeAutospacing="1" w:afterAutospacing="1"/>
            </w:pPr>
            <w:r>
              <w:rPr>
                <w:color w:val="000000"/>
              </w:rPr>
              <w:t>Total need by income</w:t>
            </w:r>
          </w:p>
        </w:tc>
        <w:tc>
          <w:tcPr>
            <w:tcW w:w="0" w:type="auto"/>
          </w:tcPr>
          <w:p w14:paraId="7AAF512E" w14:textId="77777777" w:rsidR="00217A61" w:rsidRDefault="001C2695">
            <w:pPr>
              <w:spacing w:beforeAutospacing="1" w:afterAutospacing="1"/>
              <w:jc w:val="right"/>
            </w:pPr>
            <w:r>
              <w:rPr>
                <w:color w:val="000000"/>
              </w:rPr>
              <w:t>17,600</w:t>
            </w:r>
          </w:p>
        </w:tc>
        <w:tc>
          <w:tcPr>
            <w:tcW w:w="0" w:type="auto"/>
          </w:tcPr>
          <w:p w14:paraId="32CA4FBE" w14:textId="77777777" w:rsidR="00217A61" w:rsidRDefault="001C2695">
            <w:pPr>
              <w:spacing w:beforeAutospacing="1" w:afterAutospacing="1"/>
              <w:jc w:val="right"/>
            </w:pPr>
            <w:r>
              <w:rPr>
                <w:color w:val="000000"/>
              </w:rPr>
              <w:t>14,500</w:t>
            </w:r>
          </w:p>
        </w:tc>
        <w:tc>
          <w:tcPr>
            <w:tcW w:w="0" w:type="auto"/>
          </w:tcPr>
          <w:p w14:paraId="1661F395" w14:textId="77777777" w:rsidR="00217A61" w:rsidRDefault="001C2695">
            <w:pPr>
              <w:spacing w:beforeAutospacing="1" w:afterAutospacing="1"/>
              <w:jc w:val="right"/>
            </w:pPr>
            <w:r>
              <w:rPr>
                <w:color w:val="000000"/>
              </w:rPr>
              <w:t>14,855</w:t>
            </w:r>
          </w:p>
        </w:tc>
        <w:tc>
          <w:tcPr>
            <w:tcW w:w="0" w:type="auto"/>
          </w:tcPr>
          <w:p w14:paraId="46CA6083" w14:textId="77777777" w:rsidR="00217A61" w:rsidRDefault="001C2695">
            <w:pPr>
              <w:spacing w:beforeAutospacing="1" w:afterAutospacing="1"/>
              <w:jc w:val="right"/>
            </w:pPr>
            <w:r>
              <w:rPr>
                <w:color w:val="000000"/>
              </w:rPr>
              <w:t>5,060</w:t>
            </w:r>
          </w:p>
        </w:tc>
        <w:tc>
          <w:tcPr>
            <w:tcW w:w="0" w:type="auto"/>
          </w:tcPr>
          <w:p w14:paraId="5CE56312" w14:textId="77777777" w:rsidR="00217A61" w:rsidRDefault="001C2695">
            <w:pPr>
              <w:spacing w:beforeAutospacing="1" w:afterAutospacing="1"/>
              <w:jc w:val="right"/>
            </w:pPr>
            <w:r>
              <w:rPr>
                <w:color w:val="000000"/>
              </w:rPr>
              <w:t>52,015</w:t>
            </w:r>
          </w:p>
        </w:tc>
        <w:tc>
          <w:tcPr>
            <w:tcW w:w="0" w:type="auto"/>
          </w:tcPr>
          <w:p w14:paraId="67168F71" w14:textId="77777777" w:rsidR="00217A61" w:rsidRDefault="001C2695">
            <w:pPr>
              <w:spacing w:beforeAutospacing="1" w:afterAutospacing="1"/>
              <w:jc w:val="right"/>
            </w:pPr>
            <w:r>
              <w:rPr>
                <w:color w:val="000000"/>
              </w:rPr>
              <w:t>4,224</w:t>
            </w:r>
          </w:p>
        </w:tc>
        <w:tc>
          <w:tcPr>
            <w:tcW w:w="0" w:type="auto"/>
          </w:tcPr>
          <w:p w14:paraId="6789BD16" w14:textId="77777777" w:rsidR="00217A61" w:rsidRDefault="001C2695">
            <w:pPr>
              <w:spacing w:beforeAutospacing="1" w:afterAutospacing="1"/>
              <w:jc w:val="right"/>
            </w:pPr>
            <w:r>
              <w:rPr>
                <w:color w:val="000000"/>
              </w:rPr>
              <w:t>5,405</w:t>
            </w:r>
          </w:p>
        </w:tc>
        <w:tc>
          <w:tcPr>
            <w:tcW w:w="0" w:type="auto"/>
          </w:tcPr>
          <w:p w14:paraId="2A27E96F" w14:textId="77777777" w:rsidR="00217A61" w:rsidRDefault="001C2695">
            <w:pPr>
              <w:spacing w:beforeAutospacing="1" w:afterAutospacing="1"/>
              <w:jc w:val="right"/>
            </w:pPr>
            <w:r>
              <w:rPr>
                <w:color w:val="000000"/>
              </w:rPr>
              <w:t>8,840</w:t>
            </w:r>
          </w:p>
        </w:tc>
        <w:tc>
          <w:tcPr>
            <w:tcW w:w="0" w:type="auto"/>
          </w:tcPr>
          <w:p w14:paraId="58330524" w14:textId="77777777" w:rsidR="00217A61" w:rsidRDefault="001C2695">
            <w:pPr>
              <w:spacing w:beforeAutospacing="1" w:afterAutospacing="1"/>
              <w:jc w:val="right"/>
            </w:pPr>
            <w:r>
              <w:rPr>
                <w:color w:val="000000"/>
              </w:rPr>
              <w:t>4,225</w:t>
            </w:r>
          </w:p>
        </w:tc>
        <w:tc>
          <w:tcPr>
            <w:tcW w:w="0" w:type="auto"/>
          </w:tcPr>
          <w:p w14:paraId="38590A4C" w14:textId="77777777" w:rsidR="00217A61" w:rsidRDefault="001C2695">
            <w:pPr>
              <w:spacing w:beforeAutospacing="1" w:afterAutospacing="1"/>
              <w:jc w:val="right"/>
            </w:pPr>
            <w:r>
              <w:rPr>
                <w:color w:val="000000"/>
              </w:rPr>
              <w:t>22,694</w:t>
            </w:r>
          </w:p>
        </w:tc>
      </w:tr>
    </w:tbl>
    <w:p w14:paraId="7D368595"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Crowding Information – 1/2</w:t>
      </w:r>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217A61" w14:paraId="36478B74" w14:textId="77777777">
        <w:trPr>
          <w:cantSplit/>
        </w:trPr>
        <w:tc>
          <w:tcPr>
            <w:tcW w:w="1080" w:type="dxa"/>
          </w:tcPr>
          <w:p w14:paraId="2FAFA3FC" w14:textId="77777777" w:rsidR="00217A61" w:rsidRDefault="001C2695">
            <w:pPr>
              <w:spacing w:after="0" w:line="240" w:lineRule="auto"/>
              <w:rPr>
                <w:sz w:val="16"/>
                <w:szCs w:val="16"/>
              </w:rPr>
            </w:pPr>
            <w:r>
              <w:rPr>
                <w:b/>
                <w:bCs/>
                <w:sz w:val="16"/>
                <w:szCs w:val="16"/>
              </w:rPr>
              <w:t>Data Source:</w:t>
            </w:r>
          </w:p>
        </w:tc>
        <w:tc>
          <w:tcPr>
            <w:tcW w:w="12110" w:type="dxa"/>
          </w:tcPr>
          <w:p w14:paraId="0032C1F5" w14:textId="77777777" w:rsidR="00217A61" w:rsidRDefault="001C2695">
            <w:pPr>
              <w:spacing w:beforeAutospacing="1" w:afterAutospacing="1"/>
              <w:rPr>
                <w:sz w:val="16"/>
                <w:szCs w:val="16"/>
              </w:rPr>
            </w:pPr>
            <w:r>
              <w:rPr>
                <w:sz w:val="16"/>
                <w:szCs w:val="16"/>
              </w:rPr>
              <w:t>2011-2015 CHAS</w:t>
            </w:r>
          </w:p>
        </w:tc>
      </w:tr>
    </w:tbl>
    <w:p w14:paraId="71BDA480" w14:textId="77777777" w:rsidR="00217A61" w:rsidRDefault="00217A61">
      <w:pPr>
        <w:spacing w:after="0" w:line="240" w:lineRule="auto"/>
        <w:rPr>
          <w:vanish/>
        </w:rPr>
      </w:pPr>
    </w:p>
    <w:p w14:paraId="135CB60B" w14:textId="77777777" w:rsidR="00217A61" w:rsidRDefault="00217A61">
      <w:pPr>
        <w:spacing w:after="0" w:line="240" w:lineRule="auto"/>
        <w:rPr>
          <w:b/>
          <w:bCs/>
          <w:vanish/>
          <w:sz w:val="16"/>
          <w:szCs w:val="16"/>
        </w:rPr>
      </w:pPr>
    </w:p>
    <w:p w14:paraId="66C07B11" w14:textId="77777777" w:rsidR="00217A61" w:rsidRDefault="00217A61"/>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25"/>
        <w:gridCol w:w="735"/>
        <w:gridCol w:w="735"/>
        <w:gridCol w:w="776"/>
        <w:gridCol w:w="725"/>
        <w:gridCol w:w="735"/>
        <w:gridCol w:w="735"/>
        <w:gridCol w:w="776"/>
      </w:tblGrid>
      <w:tr w:rsidR="00217A61" w14:paraId="354FF4A9" w14:textId="77777777">
        <w:trPr>
          <w:cantSplit/>
          <w:tblHeader/>
        </w:trPr>
        <w:tc>
          <w:tcPr>
            <w:tcW w:w="2433" w:type="dxa"/>
            <w:vMerge w:val="restart"/>
          </w:tcPr>
          <w:p w14:paraId="013E286D" w14:textId="77777777" w:rsidR="00217A61" w:rsidRDefault="00217A61">
            <w:pPr>
              <w:pStyle w:val="Caption"/>
              <w:keepNext/>
              <w:keepLines/>
              <w:jc w:val="center"/>
              <w:rPr>
                <w:rFonts w:ascii="Calibri" w:hAnsi="Calibri"/>
              </w:rPr>
            </w:pPr>
          </w:p>
        </w:tc>
        <w:tc>
          <w:tcPr>
            <w:tcW w:w="4297" w:type="dxa"/>
            <w:gridSpan w:val="4"/>
          </w:tcPr>
          <w:p w14:paraId="48A18AA1" w14:textId="77777777" w:rsidR="00217A61" w:rsidRDefault="001C2695">
            <w:pPr>
              <w:keepNext/>
              <w:keepLines/>
              <w:spacing w:after="0" w:line="240" w:lineRule="auto"/>
              <w:jc w:val="center"/>
              <w:rPr>
                <w:sz w:val="20"/>
                <w:szCs w:val="20"/>
              </w:rPr>
            </w:pPr>
            <w:r>
              <w:rPr>
                <w:b/>
                <w:bCs/>
                <w:sz w:val="20"/>
                <w:szCs w:val="20"/>
              </w:rPr>
              <w:t>Renter</w:t>
            </w:r>
          </w:p>
        </w:tc>
        <w:tc>
          <w:tcPr>
            <w:tcW w:w="4297" w:type="dxa"/>
            <w:gridSpan w:val="4"/>
          </w:tcPr>
          <w:p w14:paraId="785022B2" w14:textId="77777777" w:rsidR="00217A61" w:rsidRDefault="001C2695">
            <w:pPr>
              <w:keepNext/>
              <w:keepLines/>
              <w:spacing w:after="0" w:line="240" w:lineRule="auto"/>
              <w:jc w:val="center"/>
              <w:rPr>
                <w:sz w:val="20"/>
                <w:szCs w:val="20"/>
              </w:rPr>
            </w:pPr>
            <w:r>
              <w:rPr>
                <w:b/>
                <w:bCs/>
                <w:sz w:val="20"/>
                <w:szCs w:val="20"/>
              </w:rPr>
              <w:t>Owner</w:t>
            </w:r>
          </w:p>
        </w:tc>
      </w:tr>
      <w:tr w:rsidR="00217A61" w14:paraId="410D5966" w14:textId="77777777">
        <w:trPr>
          <w:cantSplit/>
          <w:tblHeader/>
        </w:trPr>
        <w:tc>
          <w:tcPr>
            <w:tcW w:w="2433" w:type="dxa"/>
            <w:vMerge/>
          </w:tcPr>
          <w:p w14:paraId="5769C3BF" w14:textId="77777777" w:rsidR="00217A61" w:rsidRDefault="00217A61">
            <w:pPr>
              <w:pStyle w:val="Caption"/>
              <w:keepNext/>
              <w:keepLines/>
              <w:jc w:val="center"/>
              <w:rPr>
                <w:rFonts w:ascii="Calibri" w:hAnsi="Calibri"/>
              </w:rPr>
            </w:pPr>
          </w:p>
        </w:tc>
        <w:tc>
          <w:tcPr>
            <w:tcW w:w="1074" w:type="dxa"/>
          </w:tcPr>
          <w:p w14:paraId="0F8753C0" w14:textId="77777777" w:rsidR="00217A61" w:rsidRDefault="001C2695">
            <w:pPr>
              <w:keepNext/>
              <w:keepLines/>
              <w:spacing w:after="0" w:line="240" w:lineRule="auto"/>
              <w:jc w:val="center"/>
              <w:rPr>
                <w:sz w:val="20"/>
                <w:szCs w:val="20"/>
              </w:rPr>
            </w:pPr>
            <w:r>
              <w:rPr>
                <w:b/>
                <w:sz w:val="20"/>
                <w:szCs w:val="20"/>
              </w:rPr>
              <w:t>0-30% AMI</w:t>
            </w:r>
          </w:p>
        </w:tc>
        <w:tc>
          <w:tcPr>
            <w:tcW w:w="1074" w:type="dxa"/>
          </w:tcPr>
          <w:p w14:paraId="55A4ACAA" w14:textId="77777777" w:rsidR="00217A61" w:rsidRDefault="001C2695">
            <w:pPr>
              <w:keepNext/>
              <w:keepLines/>
              <w:spacing w:after="0" w:line="240" w:lineRule="auto"/>
              <w:jc w:val="center"/>
              <w:rPr>
                <w:sz w:val="20"/>
                <w:szCs w:val="20"/>
              </w:rPr>
            </w:pPr>
            <w:r>
              <w:rPr>
                <w:b/>
                <w:sz w:val="20"/>
                <w:szCs w:val="20"/>
              </w:rPr>
              <w:t>&gt;30-50% AMI</w:t>
            </w:r>
          </w:p>
        </w:tc>
        <w:tc>
          <w:tcPr>
            <w:tcW w:w="1074" w:type="dxa"/>
          </w:tcPr>
          <w:p w14:paraId="2980CD47" w14:textId="77777777" w:rsidR="00217A61" w:rsidRDefault="001C2695">
            <w:pPr>
              <w:keepNext/>
              <w:keepLines/>
              <w:spacing w:after="0" w:line="240" w:lineRule="auto"/>
              <w:jc w:val="center"/>
              <w:rPr>
                <w:sz w:val="20"/>
                <w:szCs w:val="20"/>
              </w:rPr>
            </w:pPr>
            <w:r>
              <w:rPr>
                <w:b/>
                <w:sz w:val="20"/>
                <w:szCs w:val="20"/>
              </w:rPr>
              <w:t>&gt;50-80% AMI</w:t>
            </w:r>
          </w:p>
        </w:tc>
        <w:tc>
          <w:tcPr>
            <w:tcW w:w="1075" w:type="dxa"/>
          </w:tcPr>
          <w:p w14:paraId="4D4FD643" w14:textId="77777777" w:rsidR="00217A61" w:rsidRDefault="001C2695">
            <w:pPr>
              <w:keepNext/>
              <w:keepLines/>
              <w:spacing w:after="0" w:line="240" w:lineRule="auto"/>
              <w:jc w:val="center"/>
              <w:rPr>
                <w:sz w:val="20"/>
                <w:szCs w:val="20"/>
              </w:rPr>
            </w:pPr>
            <w:r>
              <w:rPr>
                <w:b/>
                <w:sz w:val="20"/>
                <w:szCs w:val="20"/>
              </w:rPr>
              <w:t>Total</w:t>
            </w:r>
          </w:p>
        </w:tc>
        <w:tc>
          <w:tcPr>
            <w:tcW w:w="1075" w:type="dxa"/>
          </w:tcPr>
          <w:p w14:paraId="0ADBAE65" w14:textId="77777777" w:rsidR="00217A61" w:rsidRDefault="001C2695">
            <w:pPr>
              <w:keepNext/>
              <w:keepLines/>
              <w:spacing w:after="0" w:line="240" w:lineRule="auto"/>
              <w:jc w:val="center"/>
              <w:rPr>
                <w:sz w:val="20"/>
                <w:szCs w:val="20"/>
              </w:rPr>
            </w:pPr>
            <w:r>
              <w:rPr>
                <w:b/>
                <w:sz w:val="20"/>
                <w:szCs w:val="20"/>
              </w:rPr>
              <w:t>0-30% AMI</w:t>
            </w:r>
          </w:p>
        </w:tc>
        <w:tc>
          <w:tcPr>
            <w:tcW w:w="1074" w:type="dxa"/>
          </w:tcPr>
          <w:p w14:paraId="28BE1B4E" w14:textId="77777777" w:rsidR="00217A61" w:rsidRDefault="001C2695">
            <w:pPr>
              <w:keepNext/>
              <w:keepLines/>
              <w:spacing w:after="0" w:line="240" w:lineRule="auto"/>
              <w:jc w:val="center"/>
              <w:rPr>
                <w:sz w:val="20"/>
                <w:szCs w:val="20"/>
              </w:rPr>
            </w:pPr>
            <w:r>
              <w:rPr>
                <w:b/>
                <w:sz w:val="20"/>
                <w:szCs w:val="20"/>
              </w:rPr>
              <w:t>&gt;30-50% AMI</w:t>
            </w:r>
          </w:p>
        </w:tc>
        <w:tc>
          <w:tcPr>
            <w:tcW w:w="1074" w:type="dxa"/>
          </w:tcPr>
          <w:p w14:paraId="202A452C" w14:textId="77777777" w:rsidR="00217A61" w:rsidRDefault="001C2695">
            <w:pPr>
              <w:keepNext/>
              <w:keepLines/>
              <w:spacing w:after="0" w:line="240" w:lineRule="auto"/>
              <w:jc w:val="center"/>
              <w:rPr>
                <w:sz w:val="20"/>
                <w:szCs w:val="20"/>
              </w:rPr>
            </w:pPr>
            <w:r>
              <w:rPr>
                <w:b/>
                <w:sz w:val="20"/>
                <w:szCs w:val="20"/>
              </w:rPr>
              <w:t>&gt;50-80% AMI</w:t>
            </w:r>
          </w:p>
        </w:tc>
        <w:tc>
          <w:tcPr>
            <w:tcW w:w="1074" w:type="dxa"/>
          </w:tcPr>
          <w:p w14:paraId="10AC678D" w14:textId="77777777" w:rsidR="00217A61" w:rsidRDefault="001C2695">
            <w:pPr>
              <w:keepNext/>
              <w:keepLines/>
              <w:spacing w:after="0" w:line="240" w:lineRule="auto"/>
              <w:jc w:val="center"/>
              <w:rPr>
                <w:sz w:val="20"/>
                <w:szCs w:val="20"/>
              </w:rPr>
            </w:pPr>
            <w:r>
              <w:rPr>
                <w:b/>
                <w:sz w:val="20"/>
                <w:szCs w:val="20"/>
              </w:rPr>
              <w:t>Total</w:t>
            </w:r>
          </w:p>
        </w:tc>
      </w:tr>
      <w:tr w:rsidR="00217A61" w14:paraId="66B25584" w14:textId="77777777">
        <w:trPr>
          <w:cantSplit/>
        </w:trPr>
        <w:tc>
          <w:tcPr>
            <w:tcW w:w="0" w:type="auto"/>
          </w:tcPr>
          <w:p w14:paraId="382B7B57" w14:textId="77777777" w:rsidR="00217A61" w:rsidRDefault="001C2695">
            <w:pPr>
              <w:spacing w:beforeAutospacing="1" w:afterAutospacing="1"/>
            </w:pPr>
            <w:r>
              <w:rPr>
                <w:color w:val="000000"/>
              </w:rPr>
              <w:t>Households with Children Present</w:t>
            </w:r>
          </w:p>
        </w:tc>
        <w:tc>
          <w:tcPr>
            <w:tcW w:w="0" w:type="auto"/>
            <w:vAlign w:val="bottom"/>
          </w:tcPr>
          <w:p w14:paraId="772797E9" w14:textId="77777777" w:rsidR="00217A61" w:rsidRDefault="001C2695">
            <w:pPr>
              <w:spacing w:beforeAutospacing="1" w:afterAutospacing="1"/>
              <w:jc w:val="right"/>
            </w:pPr>
            <w:r>
              <w:rPr>
                <w:color w:val="000000"/>
              </w:rPr>
              <w:t>0</w:t>
            </w:r>
          </w:p>
        </w:tc>
        <w:tc>
          <w:tcPr>
            <w:tcW w:w="0" w:type="auto"/>
            <w:vAlign w:val="bottom"/>
          </w:tcPr>
          <w:p w14:paraId="44FBC7A5" w14:textId="77777777" w:rsidR="00217A61" w:rsidRDefault="001C2695">
            <w:pPr>
              <w:spacing w:beforeAutospacing="1" w:afterAutospacing="1"/>
              <w:jc w:val="right"/>
            </w:pPr>
            <w:r>
              <w:rPr>
                <w:color w:val="000000"/>
              </w:rPr>
              <w:t>0</w:t>
            </w:r>
          </w:p>
        </w:tc>
        <w:tc>
          <w:tcPr>
            <w:tcW w:w="0" w:type="auto"/>
            <w:vAlign w:val="bottom"/>
          </w:tcPr>
          <w:p w14:paraId="0A26E47B" w14:textId="77777777" w:rsidR="00217A61" w:rsidRDefault="001C2695">
            <w:pPr>
              <w:spacing w:beforeAutospacing="1" w:afterAutospacing="1"/>
              <w:jc w:val="right"/>
            </w:pPr>
            <w:r>
              <w:rPr>
                <w:color w:val="000000"/>
              </w:rPr>
              <w:t>0</w:t>
            </w:r>
          </w:p>
        </w:tc>
        <w:tc>
          <w:tcPr>
            <w:tcW w:w="0" w:type="auto"/>
            <w:vAlign w:val="bottom"/>
          </w:tcPr>
          <w:p w14:paraId="1117E681" w14:textId="77777777" w:rsidR="00217A61" w:rsidRDefault="001C2695">
            <w:pPr>
              <w:spacing w:beforeAutospacing="1" w:afterAutospacing="1"/>
              <w:jc w:val="right"/>
            </w:pPr>
            <w:r>
              <w:rPr>
                <w:color w:val="000000"/>
              </w:rPr>
              <w:t>0</w:t>
            </w:r>
          </w:p>
        </w:tc>
        <w:tc>
          <w:tcPr>
            <w:tcW w:w="0" w:type="auto"/>
            <w:vAlign w:val="bottom"/>
          </w:tcPr>
          <w:p w14:paraId="5CF28F98" w14:textId="77777777" w:rsidR="00217A61" w:rsidRDefault="001C2695">
            <w:pPr>
              <w:spacing w:beforeAutospacing="1" w:afterAutospacing="1"/>
              <w:jc w:val="right"/>
            </w:pPr>
            <w:r>
              <w:rPr>
                <w:color w:val="000000"/>
              </w:rPr>
              <w:t>0</w:t>
            </w:r>
          </w:p>
        </w:tc>
        <w:tc>
          <w:tcPr>
            <w:tcW w:w="0" w:type="auto"/>
            <w:vAlign w:val="bottom"/>
          </w:tcPr>
          <w:p w14:paraId="607BA4EA" w14:textId="77777777" w:rsidR="00217A61" w:rsidRDefault="001C2695">
            <w:pPr>
              <w:spacing w:beforeAutospacing="1" w:afterAutospacing="1"/>
              <w:jc w:val="right"/>
            </w:pPr>
            <w:r>
              <w:rPr>
                <w:color w:val="000000"/>
              </w:rPr>
              <w:t>0</w:t>
            </w:r>
          </w:p>
        </w:tc>
        <w:tc>
          <w:tcPr>
            <w:tcW w:w="0" w:type="auto"/>
            <w:vAlign w:val="bottom"/>
          </w:tcPr>
          <w:p w14:paraId="02729807" w14:textId="77777777" w:rsidR="00217A61" w:rsidRDefault="001C2695">
            <w:pPr>
              <w:spacing w:beforeAutospacing="1" w:afterAutospacing="1"/>
              <w:jc w:val="right"/>
            </w:pPr>
            <w:r>
              <w:rPr>
                <w:color w:val="000000"/>
              </w:rPr>
              <w:t>0</w:t>
            </w:r>
          </w:p>
        </w:tc>
        <w:tc>
          <w:tcPr>
            <w:tcW w:w="0" w:type="auto"/>
            <w:vAlign w:val="bottom"/>
          </w:tcPr>
          <w:p w14:paraId="013EF10E" w14:textId="77777777" w:rsidR="00217A61" w:rsidRDefault="001C2695">
            <w:pPr>
              <w:spacing w:beforeAutospacing="1" w:afterAutospacing="1"/>
              <w:jc w:val="right"/>
            </w:pPr>
            <w:r>
              <w:rPr>
                <w:color w:val="000000"/>
              </w:rPr>
              <w:t>0</w:t>
            </w:r>
          </w:p>
        </w:tc>
      </w:tr>
    </w:tbl>
    <w:p w14:paraId="628798F7"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Crowding Information – 2/2</w:t>
      </w:r>
    </w:p>
    <w:p w14:paraId="070417AC" w14:textId="77777777" w:rsidR="00217A61" w:rsidRDefault="00217A61">
      <w:pPr>
        <w:keepNext/>
        <w:keepLines/>
        <w:spacing w:after="0" w:line="240" w:lineRule="auto"/>
        <w:rPr>
          <w:vanish/>
        </w:rPr>
      </w:pPr>
    </w:p>
    <w:p w14:paraId="430CD017" w14:textId="77777777" w:rsidR="00217A61" w:rsidRDefault="00217A61">
      <w:pPr>
        <w:keepNext/>
        <w:keepLines/>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63"/>
        <w:gridCol w:w="7697"/>
      </w:tblGrid>
      <w:tr w:rsidR="00217A61" w14:paraId="642F3739" w14:textId="77777777">
        <w:trPr>
          <w:cantSplit/>
        </w:trPr>
        <w:tc>
          <w:tcPr>
            <w:tcW w:w="1980" w:type="dxa"/>
            <w:vAlign w:val="bottom"/>
          </w:tcPr>
          <w:p w14:paraId="5D97DB72" w14:textId="77777777" w:rsidR="00217A61" w:rsidRDefault="001C2695">
            <w:pPr>
              <w:keepNext/>
              <w:keepLines/>
              <w:spacing w:after="0" w:line="240" w:lineRule="auto"/>
              <w:rPr>
                <w:sz w:val="16"/>
                <w:szCs w:val="16"/>
              </w:rPr>
            </w:pPr>
            <w:r>
              <w:rPr>
                <w:b/>
                <w:bCs/>
                <w:sz w:val="16"/>
                <w:szCs w:val="16"/>
              </w:rPr>
              <w:t xml:space="preserve">Data Source </w:t>
            </w:r>
            <w:r>
              <w:rPr>
                <w:b/>
                <w:bCs/>
                <w:sz w:val="16"/>
                <w:szCs w:val="16"/>
              </w:rPr>
              <w:t>Comments:</w:t>
            </w:r>
          </w:p>
        </w:tc>
        <w:tc>
          <w:tcPr>
            <w:tcW w:w="11210" w:type="dxa"/>
            <w:vAlign w:val="bottom"/>
          </w:tcPr>
          <w:p w14:paraId="25CA7D22" w14:textId="77777777" w:rsidR="00217A61" w:rsidRDefault="00217A61">
            <w:pPr>
              <w:keepNext/>
              <w:keepLines/>
              <w:spacing w:after="0" w:line="240" w:lineRule="auto"/>
              <w:rPr>
                <w:sz w:val="16"/>
                <w:szCs w:val="16"/>
              </w:rPr>
            </w:pPr>
          </w:p>
        </w:tc>
      </w:tr>
    </w:tbl>
    <w:p w14:paraId="0266768E" w14:textId="77777777" w:rsidR="00217A61" w:rsidRDefault="00217A61"/>
    <w:p w14:paraId="2FDEC7D4" w14:textId="77777777" w:rsidR="00217A61" w:rsidRDefault="001C2695">
      <w:pPr>
        <w:rPr>
          <w:b/>
          <w:sz w:val="24"/>
          <w:szCs w:val="24"/>
        </w:rPr>
      </w:pPr>
      <w:r>
        <w:rPr>
          <w:b/>
          <w:sz w:val="24"/>
          <w:szCs w:val="24"/>
        </w:rPr>
        <w:t>Describe the number and type of single person households in need of housing assistance.</w:t>
      </w:r>
    </w:p>
    <w:p w14:paraId="10A4EA3C" w14:textId="77777777" w:rsidR="00217A61" w:rsidRDefault="001C2695">
      <w:pPr>
        <w:spacing w:beforeAutospacing="1" w:afterAutospacing="1"/>
        <w:rPr>
          <w:rFonts w:cs="Arial"/>
        </w:rPr>
      </w:pPr>
      <w:r>
        <w:rPr>
          <w:rFonts w:cs="Arial"/>
        </w:rPr>
        <w:lastRenderedPageBreak/>
        <w:t xml:space="preserve">North Carolina has 1.1 million single person households, many of whom are elderly and low-income.  It also has single person households with disabilities and single person households who are homeless.  It is common for members of these populations to need </w:t>
      </w:r>
      <w:r>
        <w:rPr>
          <w:rFonts w:cs="Arial"/>
        </w:rPr>
        <w:t>housing assistance.</w:t>
      </w:r>
    </w:p>
    <w:p w14:paraId="21BABE97" w14:textId="77777777" w:rsidR="00217A61" w:rsidRDefault="001C2695">
      <w:pPr>
        <w:spacing w:beforeAutospacing="1" w:afterAutospacing="1"/>
        <w:rPr>
          <w:rFonts w:cs="Arial"/>
        </w:rPr>
      </w:pPr>
      <w:r>
        <w:rPr>
          <w:rFonts w:cs="Arial"/>
        </w:rPr>
        <w:t>ACS 2017 One-Year data estimates that there are 1.1 million one-person households in occupied units.54% of these households reside in owner-occupied units, while 46% reside in renter-occupied units. 37% of 1-person households are elderl</w:t>
      </w:r>
      <w:r>
        <w:rPr>
          <w:rFonts w:cs="Arial"/>
        </w:rPr>
        <w:t>y (65+).</w:t>
      </w:r>
    </w:p>
    <w:p w14:paraId="142E6294" w14:textId="77777777" w:rsidR="00217A61" w:rsidRDefault="001C2695">
      <w:pPr>
        <w:spacing w:beforeAutospacing="1" w:afterAutospacing="1"/>
        <w:rPr>
          <w:rFonts w:cs="Arial"/>
        </w:rPr>
      </w:pPr>
      <w:r>
        <w:rPr>
          <w:rFonts w:cs="Arial"/>
        </w:rPr>
        <w:t>Single person households in North Carolina have lower incomes than households with multiple earners.  Households with lower incomes are more likely to experience challenges with housing affordability.  The median income for a 1-person household in</w:t>
      </w:r>
      <w:r>
        <w:rPr>
          <w:rFonts w:cs="Arial"/>
        </w:rPr>
        <w:t xml:space="preserve"> 2017 was $27,978, significantly lower than the statewide median income for households of any size that year ($52,752).</w:t>
      </w:r>
    </w:p>
    <w:p w14:paraId="52887253" w14:textId="77777777" w:rsidR="00217A61" w:rsidRDefault="001C2695">
      <w:pPr>
        <w:spacing w:beforeAutospacing="1" w:afterAutospacing="1"/>
        <w:rPr>
          <w:rFonts w:cs="Arial"/>
        </w:rPr>
      </w:pPr>
      <w:r>
        <w:rPr>
          <w:rFonts w:cs="Arial"/>
        </w:rPr>
        <w:t>Nationally, single-person households (“individuals”) represent about 2/3 of all people experiencing homelessness; the same is probably t</w:t>
      </w:r>
      <w:r>
        <w:rPr>
          <w:rFonts w:cs="Arial"/>
        </w:rPr>
        <w:t>rue in North Carolina.  The research also states that nationally between 2007 and 2016, the number of sheltered individuals over age 50 increased by 23%, including a 48% increase in the number of sheltered individuals age 62 and older.</w:t>
      </w:r>
    </w:p>
    <w:p w14:paraId="5796BA95" w14:textId="77777777" w:rsidR="00217A61" w:rsidRDefault="001C2695">
      <w:pPr>
        <w:spacing w:beforeAutospacing="1" w:afterAutospacing="1"/>
        <w:rPr>
          <w:rFonts w:cs="Arial"/>
        </w:rPr>
      </w:pPr>
      <w:r>
        <w:rPr>
          <w:rFonts w:cs="Arial"/>
        </w:rPr>
        <w:t>Older adults that ar</w:t>
      </w:r>
      <w:r>
        <w:rPr>
          <w:rFonts w:cs="Arial"/>
        </w:rPr>
        <w:t>e the most vulnerable to becoming homeless include those that have lost housing after the death of a loved one, or when age-related illness or infirmity results in the loss of employment and income. There is a supportive housing need in North Carolina of 6</w:t>
      </w:r>
      <w:r>
        <w:rPr>
          <w:rFonts w:cs="Arial"/>
        </w:rPr>
        <w:t>,145 units for the aging population based on Corporation for Supportive Housing data.</w:t>
      </w:r>
      <w:r>
        <w:rPr>
          <w:rFonts w:cs="Arial"/>
        </w:rPr>
        <w:br/>
      </w:r>
    </w:p>
    <w:p w14:paraId="4C80DD90" w14:textId="77777777" w:rsidR="00217A61" w:rsidRDefault="001C2695">
      <w:pPr>
        <w:rPr>
          <w:b/>
          <w:sz w:val="24"/>
          <w:szCs w:val="24"/>
        </w:rPr>
      </w:pPr>
      <w:r>
        <w:rPr>
          <w:b/>
          <w:sz w:val="24"/>
          <w:szCs w:val="24"/>
        </w:rPr>
        <w:t xml:space="preserve">Estimate the number and type of families in need of housing assistance who are disabled or victims of domestic violence, dating violence, sexual </w:t>
      </w:r>
      <w:proofErr w:type="gramStart"/>
      <w:r>
        <w:rPr>
          <w:b/>
          <w:sz w:val="24"/>
          <w:szCs w:val="24"/>
        </w:rPr>
        <w:t>assault</w:t>
      </w:r>
      <w:proofErr w:type="gramEnd"/>
      <w:r>
        <w:rPr>
          <w:b/>
          <w:sz w:val="24"/>
          <w:szCs w:val="24"/>
        </w:rPr>
        <w:t xml:space="preserve"> and stalking.</w:t>
      </w:r>
    </w:p>
    <w:p w14:paraId="06C0CBB0" w14:textId="77777777" w:rsidR="00217A61" w:rsidRDefault="001C2695">
      <w:pPr>
        <w:spacing w:beforeAutospacing="1" w:afterAutospacing="1"/>
        <w:rPr>
          <w:b/>
          <w:sz w:val="24"/>
          <w:szCs w:val="24"/>
        </w:rPr>
      </w:pPr>
      <w:r>
        <w:rPr>
          <w:rFonts w:cs="Arial"/>
        </w:rPr>
        <w:t>Ma</w:t>
      </w:r>
      <w:r>
        <w:rPr>
          <w:rFonts w:cs="Arial"/>
        </w:rPr>
        <w:t>ny North Carolina households in need of housing assistance also have household members with disabilities or who are survivors of domestic violence, dating violence, sexual assault, or stalking.</w:t>
      </w:r>
    </w:p>
    <w:p w14:paraId="2D52C168" w14:textId="77777777" w:rsidR="00217A61" w:rsidRDefault="001C2695">
      <w:pPr>
        <w:spacing w:beforeAutospacing="1" w:afterAutospacing="1"/>
        <w:rPr>
          <w:b/>
          <w:sz w:val="24"/>
          <w:szCs w:val="24"/>
        </w:rPr>
      </w:pPr>
      <w:r>
        <w:rPr>
          <w:rFonts w:cs="Arial"/>
        </w:rPr>
        <w:t>Roughly 13%, or 1.35 million, of all North Carolinians have on</w:t>
      </w:r>
      <w:r>
        <w:rPr>
          <w:rFonts w:cs="Arial"/>
        </w:rPr>
        <w:t>e or more disabilities. Persons 65 and older are more affected, with 42% of disabled individuals in this age range. Because people with disabilities are more likely to be low-income or extremely low-income, they are more likely to be cost-burdened.  Additi</w:t>
      </w:r>
      <w:r>
        <w:rPr>
          <w:rFonts w:cs="Arial"/>
        </w:rPr>
        <w:t>onal barriers such as accessibility and discrimination further limit their housing options.  According to the Corporation for Supportive Housing, 5,872 supportive housing units are needed to meet the housing need for individuals on the IDD Waitlist and who</w:t>
      </w:r>
      <w:r>
        <w:rPr>
          <w:rFonts w:cs="Arial"/>
        </w:rPr>
        <w:t xml:space="preserve"> need to reside in IDD Residential and Institutional facilities; of those, 3,333 are on the waitlist.</w:t>
      </w:r>
    </w:p>
    <w:p w14:paraId="5AD27B89" w14:textId="77777777" w:rsidR="00217A61" w:rsidRDefault="001C2695">
      <w:pPr>
        <w:spacing w:beforeAutospacing="1" w:afterAutospacing="1"/>
        <w:rPr>
          <w:b/>
          <w:sz w:val="24"/>
          <w:szCs w:val="24"/>
        </w:rPr>
      </w:pPr>
      <w:r>
        <w:rPr>
          <w:rFonts w:cs="Arial"/>
        </w:rPr>
        <w:t xml:space="preserve">Many persons with disabilities’ housing needs are directly related to having incomes as low as SSI levels.  In North Carolina, 229,000 people were living </w:t>
      </w:r>
      <w:r>
        <w:rPr>
          <w:rFonts w:cs="Arial"/>
        </w:rPr>
        <w:t xml:space="preserve">on SSI in 2018, when the maximum monthly SSI amount for an individual was $750. That year the median rent for a 1-bedroom unit was $801/month, more than the entire monthly SSI payment. The SSI maximum has risen to $783 per month in 2020 for </w:t>
      </w:r>
      <w:r>
        <w:rPr>
          <w:rFonts w:cs="Arial"/>
        </w:rPr>
        <w:lastRenderedPageBreak/>
        <w:t>those not livin</w:t>
      </w:r>
      <w:r>
        <w:rPr>
          <w:rFonts w:cs="Arial"/>
        </w:rPr>
        <w:t>g in an adult care home.  But the Fair Market Rent in North Carolina for a one-bedroom apartment has also risen to $773 per month.</w:t>
      </w:r>
      <w:r>
        <w:rPr>
          <w:rFonts w:cs="Arial"/>
        </w:rPr>
        <w:br/>
      </w:r>
    </w:p>
    <w:p w14:paraId="57DA1EEB" w14:textId="77777777" w:rsidR="00217A61" w:rsidRDefault="001C2695">
      <w:pPr>
        <w:spacing w:beforeAutospacing="1" w:afterAutospacing="1"/>
        <w:rPr>
          <w:b/>
          <w:sz w:val="24"/>
          <w:szCs w:val="24"/>
        </w:rPr>
      </w:pPr>
      <w:r>
        <w:rPr>
          <w:rFonts w:cs="Arial"/>
        </w:rPr>
        <w:t>Domestic violence is consistently identified as a significant factor in homelessness. Fully 92% of homeless women report hav</w:t>
      </w:r>
      <w:r>
        <w:rPr>
          <w:rFonts w:cs="Arial"/>
        </w:rPr>
        <w:t>ing experienced severe physical or sexual violence at some point in their lives, and 50% of all homeless women report that domestic violence was the immediate cause of their homelessness. Domestic violence, homelessness, and housing insecurity are undeniab</w:t>
      </w:r>
      <w:r>
        <w:rPr>
          <w:rFonts w:cs="Arial"/>
        </w:rPr>
        <w:t xml:space="preserve">ly linked, as lack of safe and affordable housing is often reported as one of the primary </w:t>
      </w:r>
      <w:proofErr w:type="gramStart"/>
      <w:r>
        <w:rPr>
          <w:rFonts w:cs="Arial"/>
        </w:rPr>
        <w:t>barriers</w:t>
      </w:r>
      <w:proofErr w:type="gramEnd"/>
      <w:r>
        <w:rPr>
          <w:rFonts w:cs="Arial"/>
        </w:rPr>
        <w:t xml:space="preserve"> survivors of domestic violence face when they choose to leave an abusive partner.</w:t>
      </w:r>
    </w:p>
    <w:p w14:paraId="65E109A4" w14:textId="77777777" w:rsidR="00217A61" w:rsidRDefault="001C2695">
      <w:pPr>
        <w:spacing w:beforeAutospacing="1" w:afterAutospacing="1"/>
        <w:rPr>
          <w:b/>
          <w:sz w:val="24"/>
          <w:szCs w:val="24"/>
        </w:rPr>
      </w:pPr>
      <w:r>
        <w:rPr>
          <w:rFonts w:cs="Arial"/>
        </w:rPr>
        <w:t xml:space="preserve">There </w:t>
      </w:r>
      <w:proofErr w:type="gramStart"/>
      <w:r>
        <w:rPr>
          <w:rFonts w:cs="Arial"/>
        </w:rPr>
        <w:t>were</w:t>
      </w:r>
      <w:proofErr w:type="gramEnd"/>
      <w:r>
        <w:rPr>
          <w:rFonts w:cs="Arial"/>
        </w:rPr>
        <w:t xml:space="preserve"> a total of 744 survivors of domestic violence experiencing homel</w:t>
      </w:r>
      <w:r>
        <w:rPr>
          <w:rFonts w:cs="Arial"/>
        </w:rPr>
        <w:t>essness during the January 2019 PIT count. The majority (534) of these survivors were in either transitional housing or emergency shelter and 210 were unsheltered. A report from the March 2020 Domestic Violence Counts Report for North Carolina claims that,</w:t>
      </w:r>
      <w:r>
        <w:rPr>
          <w:rFonts w:cs="Arial"/>
        </w:rPr>
        <w:t xml:space="preserve"> in one day, domestic violence victims made 125 requests for services that could not be provided because programs lacked the resources to meet the needs; these requests were for emergency shelter, housing, transportation, childcare, legal representation, a</w:t>
      </w:r>
      <w:r>
        <w:rPr>
          <w:rFonts w:cs="Arial"/>
        </w:rPr>
        <w:t>nd other needs. Of those unmet requests, 86 were for housing or emergency shelter.</w:t>
      </w:r>
    </w:p>
    <w:p w14:paraId="053BC47B" w14:textId="77777777" w:rsidR="00217A61" w:rsidRDefault="001C2695">
      <w:pPr>
        <w:rPr>
          <w:b/>
          <w:sz w:val="24"/>
          <w:szCs w:val="24"/>
        </w:rPr>
      </w:pPr>
      <w:r>
        <w:rPr>
          <w:b/>
          <w:sz w:val="24"/>
          <w:szCs w:val="24"/>
        </w:rPr>
        <w:t>What are the most common housing problems?</w:t>
      </w:r>
    </w:p>
    <w:p w14:paraId="60ED4560" w14:textId="77777777" w:rsidR="00217A61" w:rsidRDefault="001C2695">
      <w:pPr>
        <w:spacing w:beforeAutospacing="1" w:afterAutospacing="1"/>
        <w:rPr>
          <w:rFonts w:cs="Arial"/>
        </w:rPr>
      </w:pPr>
      <w:r>
        <w:rPr>
          <w:rFonts w:cs="Arial"/>
        </w:rPr>
        <w:t>The most common housing problem for low-income renters and homeowners is cost-burden.</w:t>
      </w:r>
    </w:p>
    <w:p w14:paraId="098B518A" w14:textId="77777777" w:rsidR="00217A61" w:rsidRDefault="001C2695">
      <w:pPr>
        <w:spacing w:beforeAutospacing="1" w:afterAutospacing="1"/>
        <w:rPr>
          <w:rFonts w:cs="Arial"/>
        </w:rPr>
      </w:pPr>
      <w:r>
        <w:rPr>
          <w:rFonts w:cs="Arial"/>
        </w:rPr>
        <w:t>Many low-income renters pay more than they c</w:t>
      </w:r>
      <w:r>
        <w:rPr>
          <w:rFonts w:cs="Arial"/>
        </w:rPr>
        <w:t>an afford for housing. Severe cost-burden (paying more than half the household’s income for housing) affects 34% of renters earning less than 80% AMI and 63% of those earning 0-30% AMI. Paying more than 30% of income for housing (called “cost-burden”) affe</w:t>
      </w:r>
      <w:r>
        <w:rPr>
          <w:rFonts w:cs="Arial"/>
        </w:rPr>
        <w:t>cts 64% of all renters earning less than 80% of the AMI, 75% of very low-income renters (those earning 30-50% AMI), and 74% of extremely low-income renters (those earning 0-30% AMI).</w:t>
      </w:r>
    </w:p>
    <w:p w14:paraId="40C3D08F" w14:textId="77777777" w:rsidR="00217A61" w:rsidRDefault="001C2695">
      <w:pPr>
        <w:spacing w:beforeAutospacing="1" w:afterAutospacing="1"/>
        <w:rPr>
          <w:rFonts w:cs="Arial"/>
        </w:rPr>
      </w:pPr>
      <w:r>
        <w:rPr>
          <w:rFonts w:cs="Arial"/>
        </w:rPr>
        <w:t>Low-income homeowners are similarly cost-burdened. Fifty-one percent of h</w:t>
      </w:r>
      <w:r>
        <w:rPr>
          <w:rFonts w:cs="Arial"/>
        </w:rPr>
        <w:t>omeowners earning less than 80% AMI are cost-burdened, and 72% of extremely low-income homeowners are cost-burdened. Severe cost burden is also a problem for homeowners, who typically have higher incomes than renters, but to a lesser extent than renter hou</w:t>
      </w:r>
      <w:r>
        <w:rPr>
          <w:rFonts w:cs="Arial"/>
        </w:rPr>
        <w:t>seholds. Twenty-six percent of owners earning less than 80% AMI experience severe cost burden, and 55% of extremely low-income homeowners are severely cost-burdened.</w:t>
      </w:r>
    </w:p>
    <w:p w14:paraId="3324C4FB" w14:textId="77777777" w:rsidR="00217A61" w:rsidRDefault="001C2695">
      <w:pPr>
        <w:rPr>
          <w:b/>
          <w:sz w:val="24"/>
          <w:szCs w:val="24"/>
        </w:rPr>
      </w:pPr>
      <w:r>
        <w:rPr>
          <w:b/>
          <w:sz w:val="24"/>
          <w:szCs w:val="24"/>
        </w:rPr>
        <w:t>Are any populations/household types more affected than others by these problems?</w:t>
      </w:r>
    </w:p>
    <w:p w14:paraId="24A5B284" w14:textId="77777777" w:rsidR="00217A61" w:rsidRDefault="001C2695">
      <w:pPr>
        <w:spacing w:beforeAutospacing="1" w:afterAutospacing="1"/>
        <w:rPr>
          <w:rFonts w:cs="Arial"/>
        </w:rPr>
      </w:pPr>
      <w:r>
        <w:rPr>
          <w:rFonts w:cs="Arial"/>
        </w:rPr>
        <w:t>Non-elder</w:t>
      </w:r>
      <w:r>
        <w:rPr>
          <w:rFonts w:cs="Arial"/>
        </w:rPr>
        <w:t>ly non-family households are most at risk of cost burdening. And households without children are at greater risk of homelessness than households with children.</w:t>
      </w:r>
    </w:p>
    <w:p w14:paraId="03BE49EC" w14:textId="77777777" w:rsidR="00217A61" w:rsidRDefault="001C2695">
      <w:pPr>
        <w:spacing w:beforeAutospacing="1" w:afterAutospacing="1"/>
        <w:rPr>
          <w:rFonts w:cs="Arial"/>
        </w:rPr>
      </w:pPr>
      <w:r>
        <w:rPr>
          <w:rFonts w:cs="Arial"/>
        </w:rPr>
        <w:lastRenderedPageBreak/>
        <w:t>Thirty percent of elderly families are cost burdened, 30% of large families (5 or more people) a</w:t>
      </w:r>
      <w:r>
        <w:rPr>
          <w:rFonts w:cs="Arial"/>
        </w:rPr>
        <w:t>re cost burdened, 26% of small families are cost burdened, and 40% of non-elderly non-family households are cost burdened.</w:t>
      </w:r>
    </w:p>
    <w:p w14:paraId="36269FA7" w14:textId="77777777" w:rsidR="00217A61" w:rsidRDefault="001C2695">
      <w:pPr>
        <w:spacing w:beforeAutospacing="1" w:afterAutospacing="1"/>
        <w:rPr>
          <w:rFonts w:cs="Arial"/>
        </w:rPr>
      </w:pPr>
      <w:r>
        <w:rPr>
          <w:rFonts w:cs="Arial"/>
        </w:rPr>
        <w:t>January 2019 Point-in-Time data show more of the homelessness population are households without children than households with childre</w:t>
      </w:r>
      <w:r>
        <w:rPr>
          <w:rFonts w:cs="Arial"/>
        </w:rPr>
        <w:t>n (6600 households without children compared to 767 households with children, a ratio of 8.6 to 1). Households without children also comprise a greater share of the housed households, but at a ratio of only 2.3 childless households to 1 household with chil</w:t>
      </w:r>
      <w:r>
        <w:rPr>
          <w:rFonts w:cs="Arial"/>
        </w:rPr>
        <w:t xml:space="preserve">d(ren). </w:t>
      </w:r>
      <w:proofErr w:type="gramStart"/>
      <w:r>
        <w:rPr>
          <w:rFonts w:cs="Arial"/>
        </w:rPr>
        <w:t>So</w:t>
      </w:r>
      <w:proofErr w:type="gramEnd"/>
      <w:r>
        <w:rPr>
          <w:rFonts w:cs="Arial"/>
        </w:rPr>
        <w:t xml:space="preserve"> the rate of childless households becoming homeless is disproportionate to their share of the overall population.</w:t>
      </w:r>
    </w:p>
    <w:p w14:paraId="02C796FF" w14:textId="77777777" w:rsidR="00217A61" w:rsidRDefault="001C2695">
      <w:pPr>
        <w:rPr>
          <w:b/>
          <w:sz w:val="24"/>
          <w:szCs w:val="24"/>
        </w:rPr>
      </w:pPr>
      <w:r>
        <w:rPr>
          <w:b/>
          <w:sz w:val="24"/>
          <w:szCs w:val="24"/>
        </w:rPr>
        <w:t xml:space="preserve">Describe the characteristics and needs of Low-income individuals and families with children (especially extremely </w:t>
      </w:r>
      <w:r>
        <w:rPr>
          <w:b/>
          <w:sz w:val="24"/>
          <w:szCs w:val="24"/>
        </w:rPr>
        <w:t>low-income) who are currently housed but are at imminent risk of either residing in shelters or becoming unsheltered 91.205(c)/91.305(c)). Also discuss the needs of formerly homeless families and individuals who are receiving rapid re-housing assistance an</w:t>
      </w:r>
      <w:r>
        <w:rPr>
          <w:b/>
          <w:sz w:val="24"/>
          <w:szCs w:val="24"/>
        </w:rPr>
        <w:t xml:space="preserve">d are nearing the termination of that </w:t>
      </w:r>
      <w:proofErr w:type="gramStart"/>
      <w:r>
        <w:rPr>
          <w:b/>
          <w:sz w:val="24"/>
          <w:szCs w:val="24"/>
        </w:rPr>
        <w:t>assistance</w:t>
      </w:r>
      <w:proofErr w:type="gramEnd"/>
    </w:p>
    <w:p w14:paraId="3DF8797F" w14:textId="77777777" w:rsidR="00217A61" w:rsidRDefault="001C2695">
      <w:pPr>
        <w:spacing w:beforeAutospacing="1" w:afterAutospacing="1"/>
        <w:rPr>
          <w:rFonts w:cs="Arial"/>
        </w:rPr>
      </w:pPr>
      <w:r>
        <w:rPr>
          <w:rFonts w:cs="Arial"/>
        </w:rPr>
        <w:t xml:space="preserve">The characteristics and needs of families and individuals at imminent risk of homelessness can be ascertained by looking at families and individuals who have </w:t>
      </w:r>
      <w:proofErr w:type="gramStart"/>
      <w:r>
        <w:rPr>
          <w:rFonts w:cs="Arial"/>
        </w:rPr>
        <w:t>actually entered</w:t>
      </w:r>
      <w:proofErr w:type="gramEnd"/>
      <w:r>
        <w:rPr>
          <w:rFonts w:cs="Arial"/>
        </w:rPr>
        <w:t xml:space="preserve"> homelessness.</w:t>
      </w:r>
    </w:p>
    <w:p w14:paraId="0059D436" w14:textId="77777777" w:rsidR="00217A61" w:rsidRDefault="001C2695">
      <w:pPr>
        <w:spacing w:beforeAutospacing="1" w:afterAutospacing="1"/>
        <w:rPr>
          <w:rFonts w:cs="Arial"/>
        </w:rPr>
      </w:pPr>
      <w:r>
        <w:rPr>
          <w:rFonts w:cs="Arial"/>
        </w:rPr>
        <w:t>The shortage of af</w:t>
      </w:r>
      <w:r>
        <w:rPr>
          <w:rFonts w:cs="Arial"/>
        </w:rPr>
        <w:t>fordable rental housing is a driving factor for families that become homeless, given low incomes from employment, benefits, or other sources. When people are paying too large a share of their income for rent even a minor crisis or setback, such as a reduct</w:t>
      </w:r>
      <w:r>
        <w:rPr>
          <w:rFonts w:cs="Arial"/>
        </w:rPr>
        <w:t>ion in work hours or an unexpected expense, can be de-stabilizing and result in the loss of housing. The United States Interagency Council on Homelessness cites worst-case housing needs, evictions, family violence, and adverse childhood experiences as risk</w:t>
      </w:r>
      <w:r>
        <w:rPr>
          <w:rFonts w:cs="Arial"/>
        </w:rPr>
        <w:t xml:space="preserve"> factors of homelessness for families.</w:t>
      </w:r>
    </w:p>
    <w:p w14:paraId="112EC249" w14:textId="77777777" w:rsidR="00217A61" w:rsidRDefault="001C2695">
      <w:pPr>
        <w:spacing w:beforeAutospacing="1" w:afterAutospacing="1"/>
        <w:rPr>
          <w:rFonts w:cs="Arial"/>
        </w:rPr>
      </w:pPr>
      <w:r>
        <w:rPr>
          <w:rFonts w:cs="Arial"/>
        </w:rPr>
        <w:t xml:space="preserve">For individuals experiencing homelessness, major contributors to becoming homeless are </w:t>
      </w:r>
      <w:proofErr w:type="gramStart"/>
      <w:r>
        <w:rPr>
          <w:rFonts w:cs="Arial"/>
        </w:rPr>
        <w:t>similar to</w:t>
      </w:r>
      <w:proofErr w:type="gramEnd"/>
      <w:r>
        <w:rPr>
          <w:rFonts w:cs="Arial"/>
        </w:rPr>
        <w:t xml:space="preserve"> those for homeless families: (a) a shortage of rental housing affordable to people with extremely low incomes or who re</w:t>
      </w:r>
      <w:r>
        <w:rPr>
          <w:rFonts w:cs="Arial"/>
        </w:rPr>
        <w:t>ly on SSI benefits, (b) high rates of adverse childhood experiences, (c) incarceration, and (d) behavioral health disorders.</w:t>
      </w:r>
    </w:p>
    <w:p w14:paraId="49E01382" w14:textId="77777777" w:rsidR="00217A61" w:rsidRDefault="001C2695">
      <w:pPr>
        <w:spacing w:beforeAutospacing="1" w:afterAutospacing="1"/>
        <w:rPr>
          <w:rFonts w:cs="Arial"/>
        </w:rPr>
      </w:pPr>
      <w:r>
        <w:rPr>
          <w:rFonts w:cs="Arial"/>
        </w:rPr>
        <w:t xml:space="preserve">There is currently limited research and data on the needs of formerly homeless families and individuals that are exiting the rapid </w:t>
      </w:r>
      <w:r>
        <w:rPr>
          <w:rFonts w:cs="Arial"/>
        </w:rPr>
        <w:t>re-housing program. The Urban Institute published a literature review on rapid rehousing. This review found that families who exited the HUD Rapid Re-housing for Homeless Families Demonstration still experienced significant challenges one year after exit (</w:t>
      </w:r>
      <w:r>
        <w:rPr>
          <w:rFonts w:cs="Arial"/>
        </w:rPr>
        <w:t>even when housed). In all, 70% worried about food security, 57% struggled with money for rent, 14% had a child expelled or suspended from school within the last year, and 17% reported deteriorating health.</w:t>
      </w:r>
    </w:p>
    <w:p w14:paraId="345931C8" w14:textId="77777777" w:rsidR="00217A61" w:rsidRDefault="001C2695">
      <w:pPr>
        <w:rPr>
          <w:b/>
          <w:sz w:val="24"/>
          <w:szCs w:val="24"/>
        </w:rPr>
      </w:pPr>
      <w:r>
        <w:rPr>
          <w:b/>
          <w:sz w:val="24"/>
          <w:szCs w:val="24"/>
        </w:rPr>
        <w:t>If a jurisdiction provides estimates of the at-ris</w:t>
      </w:r>
      <w:r>
        <w:rPr>
          <w:b/>
          <w:sz w:val="24"/>
          <w:szCs w:val="24"/>
        </w:rPr>
        <w:t>k population(s), it should also include a description of the operational definition of the at-risk group and the methodology used to generate the estimates:</w:t>
      </w:r>
    </w:p>
    <w:p w14:paraId="5CD7A39D" w14:textId="77777777" w:rsidR="00217A61" w:rsidRDefault="001C2695">
      <w:pPr>
        <w:spacing w:beforeAutospacing="1" w:afterAutospacing="1"/>
        <w:rPr>
          <w:rFonts w:cs="Arial"/>
        </w:rPr>
      </w:pPr>
      <w:r>
        <w:rPr>
          <w:rFonts w:cs="Arial"/>
        </w:rPr>
        <w:lastRenderedPageBreak/>
        <w:t>Not applicable.</w:t>
      </w:r>
    </w:p>
    <w:p w14:paraId="57ACB5B2" w14:textId="77777777" w:rsidR="00217A61" w:rsidRDefault="001C2695">
      <w:pPr>
        <w:rPr>
          <w:b/>
          <w:sz w:val="24"/>
          <w:szCs w:val="24"/>
        </w:rPr>
      </w:pPr>
      <w:r>
        <w:rPr>
          <w:b/>
          <w:sz w:val="24"/>
          <w:szCs w:val="24"/>
        </w:rPr>
        <w:t>Specify particular housing characteristics that have been linked with instability a</w:t>
      </w:r>
      <w:r>
        <w:rPr>
          <w:b/>
          <w:sz w:val="24"/>
          <w:szCs w:val="24"/>
        </w:rPr>
        <w:t xml:space="preserve">nd an increased risk of </w:t>
      </w:r>
      <w:proofErr w:type="gramStart"/>
      <w:r>
        <w:rPr>
          <w:b/>
          <w:sz w:val="24"/>
          <w:szCs w:val="24"/>
        </w:rPr>
        <w:t>homelessness</w:t>
      </w:r>
      <w:proofErr w:type="gramEnd"/>
    </w:p>
    <w:p w14:paraId="17C34A94" w14:textId="77777777" w:rsidR="00217A61" w:rsidRDefault="001C2695">
      <w:pPr>
        <w:spacing w:beforeAutospacing="1" w:afterAutospacing="1"/>
        <w:rPr>
          <w:rFonts w:cs="Arial"/>
        </w:rPr>
      </w:pPr>
      <w:r>
        <w:rPr>
          <w:rFonts w:cs="Arial"/>
        </w:rPr>
        <w:t>Doubling-up, lack of income, and family size are all linked with housing instability and an increased risk of homelessness.</w:t>
      </w:r>
    </w:p>
    <w:p w14:paraId="3A10CC3C" w14:textId="77777777" w:rsidR="00217A61" w:rsidRDefault="001C2695">
      <w:pPr>
        <w:spacing w:beforeAutospacing="1" w:afterAutospacing="1"/>
        <w:rPr>
          <w:rFonts w:cs="Arial"/>
        </w:rPr>
      </w:pPr>
      <w:r>
        <w:rPr>
          <w:rFonts w:cs="Arial"/>
        </w:rPr>
        <w:t>Recent research found that families with previous homeless episodes returned to shelter more fr</w:t>
      </w:r>
      <w:r>
        <w:rPr>
          <w:rFonts w:cs="Arial"/>
        </w:rPr>
        <w:t>equently than other families, and those who had previously doubled up were more likely than other families to double up again. These findings add to previous research that suggests past housing instability predicts future instability. For households that a</w:t>
      </w:r>
      <w:r>
        <w:rPr>
          <w:rFonts w:cs="Arial"/>
        </w:rPr>
        <w:t>re comprised of a single family with a subfamily or comprised of more than one family, 18% of such households live in crowded conditions (compared to only 2% of all households).</w:t>
      </w:r>
    </w:p>
    <w:p w14:paraId="3177E3AD" w14:textId="77777777" w:rsidR="00217A61" w:rsidRDefault="001C2695">
      <w:pPr>
        <w:spacing w:beforeAutospacing="1" w:afterAutospacing="1"/>
        <w:rPr>
          <w:rFonts w:cs="Arial"/>
        </w:rPr>
      </w:pPr>
      <w:r>
        <w:rPr>
          <w:rFonts w:cs="Arial"/>
        </w:rPr>
        <w:t xml:space="preserve">In contrast to doubling-up and lack of income, which </w:t>
      </w:r>
      <w:proofErr w:type="spellStart"/>
      <w:r>
        <w:rPr>
          <w:rFonts w:cs="Arial"/>
        </w:rPr>
        <w:t>increase</w:t>
      </w:r>
      <w:proofErr w:type="spellEnd"/>
      <w:r>
        <w:rPr>
          <w:rFonts w:cs="Arial"/>
        </w:rPr>
        <w:t xml:space="preserve"> risk of homeless</w:t>
      </w:r>
      <w:r>
        <w:rPr>
          <w:rFonts w:cs="Arial"/>
        </w:rPr>
        <w:t>ness, housing subsidies decrease housing instability (increasing stability). For most families, homelessness is a housing affordability problem; lack of resources to afford housing increases instability and increases risk of homelessness. Access to afforda</w:t>
      </w:r>
      <w:r>
        <w:rPr>
          <w:rFonts w:cs="Arial"/>
        </w:rPr>
        <w:t>ble housing and access to long-term housing subsidies decrease risk of homelessness and increase housing stability. The Family Options Study, a multi-site random assignment experiment designed to study the impact of various housing and services interventio</w:t>
      </w:r>
      <w:r>
        <w:rPr>
          <w:rFonts w:cs="Arial"/>
        </w:rPr>
        <w:t xml:space="preserve">ns for homeless families, found that housing subsidies reduced all forms of housing instability dramatically, </w:t>
      </w:r>
      <w:proofErr w:type="gramStart"/>
      <w:r>
        <w:rPr>
          <w:rFonts w:cs="Arial"/>
        </w:rPr>
        <w:t>and also</w:t>
      </w:r>
      <w:proofErr w:type="gramEnd"/>
      <w:r>
        <w:rPr>
          <w:rFonts w:cs="Arial"/>
        </w:rPr>
        <w:t xml:space="preserve"> had significant impact on many aspects of family stability (like intimate partner violence, separation from children, food insecurity, an</w:t>
      </w:r>
      <w:r>
        <w:rPr>
          <w:rFonts w:cs="Arial"/>
        </w:rPr>
        <w:t>d school absences).</w:t>
      </w:r>
    </w:p>
    <w:p w14:paraId="5F66416E" w14:textId="77777777" w:rsidR="00217A61" w:rsidRDefault="001C2695">
      <w:pPr>
        <w:spacing w:line="204" w:lineRule="auto"/>
        <w:rPr>
          <w:b/>
          <w:sz w:val="24"/>
          <w:szCs w:val="24"/>
        </w:rPr>
      </w:pPr>
      <w:r>
        <w:rPr>
          <w:b/>
          <w:sz w:val="24"/>
          <w:szCs w:val="24"/>
        </w:rPr>
        <w:t>Discussion</w:t>
      </w:r>
    </w:p>
    <w:p w14:paraId="70E91424" w14:textId="77777777" w:rsidR="00217A61" w:rsidRDefault="00217A61">
      <w:pPr>
        <w:spacing w:line="204" w:lineRule="auto"/>
        <w:rPr>
          <w:b/>
          <w:sz w:val="24"/>
          <w:szCs w:val="24"/>
        </w:rPr>
      </w:pPr>
    </w:p>
    <w:p w14:paraId="38B69A98" w14:textId="77777777" w:rsidR="00217A61" w:rsidRDefault="001C2695">
      <w:pPr>
        <w:pStyle w:val="Heading2"/>
        <w:pageBreakBefore/>
        <w:rPr>
          <w:rFonts w:ascii="Calibri" w:hAnsi="Calibri"/>
          <w:i w:val="0"/>
        </w:rPr>
      </w:pPr>
      <w:r>
        <w:rPr>
          <w:rFonts w:ascii="Calibri" w:hAnsi="Calibri"/>
          <w:i w:val="0"/>
        </w:rPr>
        <w:lastRenderedPageBreak/>
        <w:t>NA-15 Disproportionately Greater Need: Housing Problems - 91.305 (b)(2)</w:t>
      </w:r>
    </w:p>
    <w:p w14:paraId="50559A40" w14:textId="77777777" w:rsidR="00217A61" w:rsidRDefault="001C2695">
      <w:r>
        <w:t xml:space="preserve">Assess the need of any racial or ethnic group that has disproportionately greater need in comparison to the needs of that category of </w:t>
      </w:r>
      <w:proofErr w:type="gramStart"/>
      <w:r>
        <w:t>need as a whole</w:t>
      </w:r>
      <w:proofErr w:type="gramEnd"/>
      <w:r>
        <w:t>.</w:t>
      </w:r>
    </w:p>
    <w:p w14:paraId="7F0B6BB4" w14:textId="77777777" w:rsidR="00217A61" w:rsidRDefault="001C2695">
      <w:pPr>
        <w:spacing w:line="204" w:lineRule="auto"/>
        <w:rPr>
          <w:b/>
          <w:sz w:val="24"/>
          <w:szCs w:val="24"/>
        </w:rPr>
      </w:pPr>
      <w:r>
        <w:rPr>
          <w:b/>
          <w:sz w:val="24"/>
          <w:szCs w:val="24"/>
        </w:rPr>
        <w:t>I</w:t>
      </w:r>
      <w:r>
        <w:rPr>
          <w:b/>
          <w:sz w:val="24"/>
          <w:szCs w:val="24"/>
        </w:rPr>
        <w:t>ntroduction</w:t>
      </w:r>
    </w:p>
    <w:p w14:paraId="742FCC27" w14:textId="77777777" w:rsidR="00217A61" w:rsidRDefault="001C2695">
      <w:pPr>
        <w:spacing w:beforeAutospacing="1" w:afterAutospacing="1"/>
        <w:rPr>
          <w:b/>
          <w:sz w:val="24"/>
          <w:szCs w:val="24"/>
        </w:rPr>
      </w:pPr>
      <w:r>
        <w:rPr>
          <w:rFonts w:cs="Arial"/>
        </w:rPr>
        <w:t>The percentage of North Carolinians suffering from housing unit problems varies along patterns of income and race of the household.</w:t>
      </w:r>
    </w:p>
    <w:p w14:paraId="68B7E66E" w14:textId="77777777" w:rsidR="00217A61" w:rsidRDefault="001C2695">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217A61" w14:paraId="0B080FAD" w14:textId="77777777">
        <w:trPr>
          <w:cantSplit/>
          <w:tblHeader/>
        </w:trPr>
        <w:tc>
          <w:tcPr>
            <w:tcW w:w="3600" w:type="dxa"/>
          </w:tcPr>
          <w:p w14:paraId="72100A4F" w14:textId="77777777" w:rsidR="00217A61" w:rsidRDefault="001C2695">
            <w:pPr>
              <w:keepNext/>
              <w:widowControl w:val="0"/>
              <w:spacing w:after="0" w:line="240" w:lineRule="auto"/>
              <w:jc w:val="center"/>
              <w:rPr>
                <w:b/>
              </w:rPr>
            </w:pPr>
            <w:r>
              <w:rPr>
                <w:b/>
                <w:bCs/>
              </w:rPr>
              <w:t>Housing Problems</w:t>
            </w:r>
          </w:p>
        </w:tc>
        <w:tc>
          <w:tcPr>
            <w:tcW w:w="1996" w:type="dxa"/>
          </w:tcPr>
          <w:p w14:paraId="6C687EAB" w14:textId="77777777" w:rsidR="00217A61" w:rsidRDefault="001C2695">
            <w:pPr>
              <w:keepNext/>
              <w:widowControl w:val="0"/>
              <w:spacing w:after="0" w:line="240" w:lineRule="auto"/>
              <w:jc w:val="center"/>
              <w:rPr>
                <w:b/>
              </w:rPr>
            </w:pPr>
            <w:r>
              <w:rPr>
                <w:b/>
                <w:bCs/>
              </w:rPr>
              <w:t>Has one or more of four housing problems</w:t>
            </w:r>
          </w:p>
        </w:tc>
        <w:tc>
          <w:tcPr>
            <w:tcW w:w="1997" w:type="dxa"/>
          </w:tcPr>
          <w:p w14:paraId="7FD05DA1" w14:textId="77777777" w:rsidR="00217A61" w:rsidRDefault="001C2695">
            <w:pPr>
              <w:keepNext/>
              <w:widowControl w:val="0"/>
              <w:spacing w:after="0" w:line="240" w:lineRule="auto"/>
              <w:jc w:val="center"/>
              <w:rPr>
                <w:b/>
              </w:rPr>
            </w:pPr>
            <w:r>
              <w:rPr>
                <w:b/>
                <w:bCs/>
              </w:rPr>
              <w:t>Has none of the four hous</w:t>
            </w:r>
            <w:r>
              <w:rPr>
                <w:b/>
                <w:bCs/>
              </w:rPr>
              <w:t>ing problems</w:t>
            </w:r>
          </w:p>
        </w:tc>
        <w:tc>
          <w:tcPr>
            <w:tcW w:w="1997" w:type="dxa"/>
          </w:tcPr>
          <w:p w14:paraId="77A4DEE6" w14:textId="77777777" w:rsidR="00217A61" w:rsidRDefault="001C2695">
            <w:pPr>
              <w:keepNext/>
              <w:widowControl w:val="0"/>
              <w:spacing w:after="0" w:line="240" w:lineRule="auto"/>
              <w:jc w:val="center"/>
              <w:rPr>
                <w:b/>
              </w:rPr>
            </w:pPr>
            <w:r>
              <w:rPr>
                <w:b/>
                <w:bCs/>
              </w:rPr>
              <w:t>Household has no/negative income, but none of the other housing problems</w:t>
            </w:r>
          </w:p>
        </w:tc>
      </w:tr>
      <w:tr w:rsidR="00217A61" w14:paraId="61208E6F" w14:textId="77777777">
        <w:trPr>
          <w:cantSplit/>
        </w:trPr>
        <w:tc>
          <w:tcPr>
            <w:tcW w:w="3600" w:type="dxa"/>
          </w:tcPr>
          <w:p w14:paraId="4F4E0589" w14:textId="77777777" w:rsidR="00217A61" w:rsidRDefault="001C2695">
            <w:pPr>
              <w:spacing w:beforeAutospacing="1" w:afterAutospacing="1"/>
            </w:pPr>
            <w:r>
              <w:rPr>
                <w:color w:val="000000"/>
              </w:rPr>
              <w:t>Jurisdiction as a whole</w:t>
            </w:r>
          </w:p>
        </w:tc>
        <w:tc>
          <w:tcPr>
            <w:tcW w:w="1996" w:type="dxa"/>
            <w:vAlign w:val="bottom"/>
          </w:tcPr>
          <w:p w14:paraId="7F37409E" w14:textId="77777777" w:rsidR="00217A61" w:rsidRDefault="001C2695">
            <w:pPr>
              <w:spacing w:beforeAutospacing="1" w:afterAutospacing="1"/>
              <w:jc w:val="right"/>
            </w:pPr>
            <w:r>
              <w:rPr>
                <w:color w:val="000000"/>
              </w:rPr>
              <w:t>360,361</w:t>
            </w:r>
          </w:p>
        </w:tc>
        <w:tc>
          <w:tcPr>
            <w:tcW w:w="1997" w:type="dxa"/>
            <w:vAlign w:val="bottom"/>
          </w:tcPr>
          <w:p w14:paraId="05B6E42A" w14:textId="77777777" w:rsidR="00217A61" w:rsidRDefault="001C2695">
            <w:pPr>
              <w:spacing w:beforeAutospacing="1" w:afterAutospacing="1"/>
              <w:jc w:val="right"/>
            </w:pPr>
            <w:r>
              <w:rPr>
                <w:color w:val="000000"/>
              </w:rPr>
              <w:t>66,608</w:t>
            </w:r>
          </w:p>
        </w:tc>
        <w:tc>
          <w:tcPr>
            <w:tcW w:w="1997" w:type="dxa"/>
            <w:vAlign w:val="bottom"/>
          </w:tcPr>
          <w:p w14:paraId="545BCEFC" w14:textId="77777777" w:rsidR="00217A61" w:rsidRDefault="001C2695">
            <w:pPr>
              <w:spacing w:beforeAutospacing="1" w:afterAutospacing="1"/>
              <w:jc w:val="right"/>
            </w:pPr>
            <w:r>
              <w:rPr>
                <w:color w:val="000000"/>
              </w:rPr>
              <w:t>54,719</w:t>
            </w:r>
          </w:p>
        </w:tc>
      </w:tr>
      <w:tr w:rsidR="00217A61" w14:paraId="45A1D4E2" w14:textId="77777777">
        <w:trPr>
          <w:cantSplit/>
        </w:trPr>
        <w:tc>
          <w:tcPr>
            <w:tcW w:w="3600" w:type="dxa"/>
          </w:tcPr>
          <w:p w14:paraId="39051FF3" w14:textId="77777777" w:rsidR="00217A61" w:rsidRDefault="001C2695">
            <w:pPr>
              <w:spacing w:beforeAutospacing="1" w:afterAutospacing="1"/>
            </w:pPr>
            <w:r>
              <w:rPr>
                <w:color w:val="000000"/>
              </w:rPr>
              <w:t>White</w:t>
            </w:r>
          </w:p>
        </w:tc>
        <w:tc>
          <w:tcPr>
            <w:tcW w:w="1996" w:type="dxa"/>
            <w:vAlign w:val="bottom"/>
          </w:tcPr>
          <w:p w14:paraId="14A78F23" w14:textId="77777777" w:rsidR="00217A61" w:rsidRDefault="001C2695">
            <w:pPr>
              <w:spacing w:beforeAutospacing="1" w:afterAutospacing="1"/>
              <w:jc w:val="right"/>
            </w:pPr>
            <w:r>
              <w:rPr>
                <w:color w:val="000000"/>
              </w:rPr>
              <w:t>178,395</w:t>
            </w:r>
          </w:p>
        </w:tc>
        <w:tc>
          <w:tcPr>
            <w:tcW w:w="1997" w:type="dxa"/>
            <w:vAlign w:val="bottom"/>
          </w:tcPr>
          <w:p w14:paraId="7B2AEDBB" w14:textId="77777777" w:rsidR="00217A61" w:rsidRDefault="001C2695">
            <w:pPr>
              <w:spacing w:beforeAutospacing="1" w:afterAutospacing="1"/>
              <w:jc w:val="right"/>
            </w:pPr>
            <w:r>
              <w:rPr>
                <w:color w:val="000000"/>
              </w:rPr>
              <w:t>38,779</w:t>
            </w:r>
          </w:p>
        </w:tc>
        <w:tc>
          <w:tcPr>
            <w:tcW w:w="1997" w:type="dxa"/>
            <w:vAlign w:val="bottom"/>
          </w:tcPr>
          <w:p w14:paraId="38EF0BBB" w14:textId="77777777" w:rsidR="00217A61" w:rsidRDefault="001C2695">
            <w:pPr>
              <w:spacing w:beforeAutospacing="1" w:afterAutospacing="1"/>
              <w:jc w:val="right"/>
            </w:pPr>
            <w:r>
              <w:rPr>
                <w:color w:val="000000"/>
              </w:rPr>
              <w:t>30,916</w:t>
            </w:r>
          </w:p>
        </w:tc>
      </w:tr>
      <w:tr w:rsidR="00217A61" w14:paraId="7DF0848C" w14:textId="77777777">
        <w:trPr>
          <w:cantSplit/>
        </w:trPr>
        <w:tc>
          <w:tcPr>
            <w:tcW w:w="3600" w:type="dxa"/>
          </w:tcPr>
          <w:p w14:paraId="6C70B4AC" w14:textId="77777777" w:rsidR="00217A61" w:rsidRDefault="001C2695">
            <w:pPr>
              <w:spacing w:beforeAutospacing="1" w:afterAutospacing="1"/>
            </w:pPr>
            <w:r>
              <w:rPr>
                <w:color w:val="000000"/>
              </w:rPr>
              <w:t>Black / African American</w:t>
            </w:r>
          </w:p>
        </w:tc>
        <w:tc>
          <w:tcPr>
            <w:tcW w:w="1996" w:type="dxa"/>
            <w:vAlign w:val="bottom"/>
          </w:tcPr>
          <w:p w14:paraId="3AD00AC5" w14:textId="77777777" w:rsidR="00217A61" w:rsidRDefault="001C2695">
            <w:pPr>
              <w:spacing w:beforeAutospacing="1" w:afterAutospacing="1"/>
              <w:jc w:val="right"/>
            </w:pPr>
            <w:r>
              <w:rPr>
                <w:color w:val="000000"/>
              </w:rPr>
              <w:t>128,957</w:t>
            </w:r>
          </w:p>
        </w:tc>
        <w:tc>
          <w:tcPr>
            <w:tcW w:w="1997" w:type="dxa"/>
            <w:vAlign w:val="bottom"/>
          </w:tcPr>
          <w:p w14:paraId="5A39EAC7" w14:textId="77777777" w:rsidR="00217A61" w:rsidRDefault="001C2695">
            <w:pPr>
              <w:spacing w:beforeAutospacing="1" w:afterAutospacing="1"/>
              <w:jc w:val="right"/>
            </w:pPr>
            <w:r>
              <w:rPr>
                <w:color w:val="000000"/>
              </w:rPr>
              <w:t>21,918</w:t>
            </w:r>
          </w:p>
        </w:tc>
        <w:tc>
          <w:tcPr>
            <w:tcW w:w="1997" w:type="dxa"/>
            <w:vAlign w:val="bottom"/>
          </w:tcPr>
          <w:p w14:paraId="7AF0AB82" w14:textId="77777777" w:rsidR="00217A61" w:rsidRDefault="001C2695">
            <w:pPr>
              <w:spacing w:beforeAutospacing="1" w:afterAutospacing="1"/>
              <w:jc w:val="right"/>
            </w:pPr>
            <w:r>
              <w:rPr>
                <w:color w:val="000000"/>
              </w:rPr>
              <w:t>16,752</w:t>
            </w:r>
          </w:p>
        </w:tc>
      </w:tr>
      <w:tr w:rsidR="00217A61" w14:paraId="00964B7A" w14:textId="77777777">
        <w:trPr>
          <w:cantSplit/>
        </w:trPr>
        <w:tc>
          <w:tcPr>
            <w:tcW w:w="3600" w:type="dxa"/>
          </w:tcPr>
          <w:p w14:paraId="0F19E579" w14:textId="77777777" w:rsidR="00217A61" w:rsidRDefault="001C2695">
            <w:pPr>
              <w:spacing w:beforeAutospacing="1" w:afterAutospacing="1"/>
            </w:pPr>
            <w:r>
              <w:rPr>
                <w:color w:val="000000"/>
              </w:rPr>
              <w:t>Asian</w:t>
            </w:r>
          </w:p>
        </w:tc>
        <w:tc>
          <w:tcPr>
            <w:tcW w:w="1996" w:type="dxa"/>
            <w:vAlign w:val="bottom"/>
          </w:tcPr>
          <w:p w14:paraId="6F851B1C" w14:textId="77777777" w:rsidR="00217A61" w:rsidRDefault="001C2695">
            <w:pPr>
              <w:spacing w:beforeAutospacing="1" w:afterAutospacing="1"/>
              <w:jc w:val="right"/>
            </w:pPr>
            <w:r>
              <w:rPr>
                <w:color w:val="000000"/>
              </w:rPr>
              <w:t>5,726</w:t>
            </w:r>
          </w:p>
        </w:tc>
        <w:tc>
          <w:tcPr>
            <w:tcW w:w="1997" w:type="dxa"/>
            <w:vAlign w:val="bottom"/>
          </w:tcPr>
          <w:p w14:paraId="606DFE4D" w14:textId="77777777" w:rsidR="00217A61" w:rsidRDefault="001C2695">
            <w:pPr>
              <w:spacing w:beforeAutospacing="1" w:afterAutospacing="1"/>
              <w:jc w:val="right"/>
            </w:pPr>
            <w:r>
              <w:rPr>
                <w:color w:val="000000"/>
              </w:rPr>
              <w:t>384</w:t>
            </w:r>
          </w:p>
        </w:tc>
        <w:tc>
          <w:tcPr>
            <w:tcW w:w="1997" w:type="dxa"/>
            <w:vAlign w:val="bottom"/>
          </w:tcPr>
          <w:p w14:paraId="76C1B6FF" w14:textId="77777777" w:rsidR="00217A61" w:rsidRDefault="001C2695">
            <w:pPr>
              <w:spacing w:beforeAutospacing="1" w:afterAutospacing="1"/>
              <w:jc w:val="right"/>
            </w:pPr>
            <w:r>
              <w:rPr>
                <w:color w:val="000000"/>
              </w:rPr>
              <w:t>1,719</w:t>
            </w:r>
          </w:p>
        </w:tc>
      </w:tr>
      <w:tr w:rsidR="00217A61" w14:paraId="62883580" w14:textId="77777777">
        <w:trPr>
          <w:cantSplit/>
        </w:trPr>
        <w:tc>
          <w:tcPr>
            <w:tcW w:w="3600" w:type="dxa"/>
          </w:tcPr>
          <w:p w14:paraId="20DA3E18" w14:textId="77777777" w:rsidR="00217A61" w:rsidRDefault="001C2695">
            <w:pPr>
              <w:spacing w:beforeAutospacing="1" w:afterAutospacing="1"/>
            </w:pPr>
            <w:r>
              <w:rPr>
                <w:color w:val="000000"/>
              </w:rPr>
              <w:t>American Indian, Alaska Native</w:t>
            </w:r>
          </w:p>
        </w:tc>
        <w:tc>
          <w:tcPr>
            <w:tcW w:w="1996" w:type="dxa"/>
            <w:vAlign w:val="bottom"/>
          </w:tcPr>
          <w:p w14:paraId="6F8CF017" w14:textId="77777777" w:rsidR="00217A61" w:rsidRDefault="001C2695">
            <w:pPr>
              <w:spacing w:beforeAutospacing="1" w:afterAutospacing="1"/>
              <w:jc w:val="right"/>
            </w:pPr>
            <w:r>
              <w:rPr>
                <w:color w:val="000000"/>
              </w:rPr>
              <w:t>5,286</w:t>
            </w:r>
          </w:p>
        </w:tc>
        <w:tc>
          <w:tcPr>
            <w:tcW w:w="1997" w:type="dxa"/>
            <w:vAlign w:val="bottom"/>
          </w:tcPr>
          <w:p w14:paraId="0CE391BD" w14:textId="77777777" w:rsidR="00217A61" w:rsidRDefault="001C2695">
            <w:pPr>
              <w:spacing w:beforeAutospacing="1" w:afterAutospacing="1"/>
              <w:jc w:val="right"/>
            </w:pPr>
            <w:r>
              <w:rPr>
                <w:color w:val="000000"/>
              </w:rPr>
              <w:t>1,416</w:t>
            </w:r>
          </w:p>
        </w:tc>
        <w:tc>
          <w:tcPr>
            <w:tcW w:w="1997" w:type="dxa"/>
            <w:vAlign w:val="bottom"/>
          </w:tcPr>
          <w:p w14:paraId="115AC6C5" w14:textId="77777777" w:rsidR="00217A61" w:rsidRDefault="001C2695">
            <w:pPr>
              <w:spacing w:beforeAutospacing="1" w:afterAutospacing="1"/>
              <w:jc w:val="right"/>
            </w:pPr>
            <w:r>
              <w:rPr>
                <w:color w:val="000000"/>
              </w:rPr>
              <w:t>1,282</w:t>
            </w:r>
          </w:p>
        </w:tc>
      </w:tr>
      <w:tr w:rsidR="00217A61" w14:paraId="7BA69F21" w14:textId="77777777">
        <w:trPr>
          <w:cantSplit/>
        </w:trPr>
        <w:tc>
          <w:tcPr>
            <w:tcW w:w="3600" w:type="dxa"/>
          </w:tcPr>
          <w:p w14:paraId="1E7969B6" w14:textId="77777777" w:rsidR="00217A61" w:rsidRDefault="001C2695">
            <w:pPr>
              <w:spacing w:beforeAutospacing="1" w:afterAutospacing="1"/>
            </w:pPr>
            <w:r>
              <w:rPr>
                <w:color w:val="000000"/>
              </w:rPr>
              <w:t>Pacific Islander</w:t>
            </w:r>
          </w:p>
        </w:tc>
        <w:tc>
          <w:tcPr>
            <w:tcW w:w="1996" w:type="dxa"/>
            <w:vAlign w:val="bottom"/>
          </w:tcPr>
          <w:p w14:paraId="32D92869" w14:textId="77777777" w:rsidR="00217A61" w:rsidRDefault="001C2695">
            <w:pPr>
              <w:spacing w:beforeAutospacing="1" w:afterAutospacing="1"/>
              <w:jc w:val="right"/>
            </w:pPr>
            <w:r>
              <w:rPr>
                <w:color w:val="000000"/>
              </w:rPr>
              <w:t>126</w:t>
            </w:r>
          </w:p>
        </w:tc>
        <w:tc>
          <w:tcPr>
            <w:tcW w:w="1997" w:type="dxa"/>
            <w:vAlign w:val="bottom"/>
          </w:tcPr>
          <w:p w14:paraId="4FF00DF3" w14:textId="77777777" w:rsidR="00217A61" w:rsidRDefault="001C2695">
            <w:pPr>
              <w:spacing w:beforeAutospacing="1" w:afterAutospacing="1"/>
              <w:jc w:val="right"/>
            </w:pPr>
            <w:r>
              <w:rPr>
                <w:color w:val="000000"/>
              </w:rPr>
              <w:t>10</w:t>
            </w:r>
          </w:p>
        </w:tc>
        <w:tc>
          <w:tcPr>
            <w:tcW w:w="1997" w:type="dxa"/>
            <w:vAlign w:val="bottom"/>
          </w:tcPr>
          <w:p w14:paraId="4753F9E5" w14:textId="77777777" w:rsidR="00217A61" w:rsidRDefault="001C2695">
            <w:pPr>
              <w:spacing w:beforeAutospacing="1" w:afterAutospacing="1"/>
              <w:jc w:val="right"/>
            </w:pPr>
            <w:r>
              <w:rPr>
                <w:color w:val="000000"/>
              </w:rPr>
              <w:t>59</w:t>
            </w:r>
          </w:p>
        </w:tc>
      </w:tr>
      <w:tr w:rsidR="00217A61" w14:paraId="236179F1" w14:textId="77777777">
        <w:trPr>
          <w:cantSplit/>
        </w:trPr>
        <w:tc>
          <w:tcPr>
            <w:tcW w:w="3600" w:type="dxa"/>
          </w:tcPr>
          <w:p w14:paraId="4233A621" w14:textId="77777777" w:rsidR="00217A61" w:rsidRDefault="001C2695">
            <w:pPr>
              <w:spacing w:beforeAutospacing="1" w:afterAutospacing="1"/>
            </w:pPr>
            <w:r>
              <w:rPr>
                <w:color w:val="000000"/>
              </w:rPr>
              <w:t>Hispanic</w:t>
            </w:r>
          </w:p>
        </w:tc>
        <w:tc>
          <w:tcPr>
            <w:tcW w:w="1996" w:type="dxa"/>
            <w:vAlign w:val="bottom"/>
          </w:tcPr>
          <w:p w14:paraId="5279249E" w14:textId="77777777" w:rsidR="00217A61" w:rsidRDefault="001C2695">
            <w:pPr>
              <w:spacing w:beforeAutospacing="1" w:afterAutospacing="1"/>
              <w:jc w:val="right"/>
            </w:pPr>
            <w:r>
              <w:rPr>
                <w:color w:val="000000"/>
              </w:rPr>
              <w:t>34,843</w:t>
            </w:r>
          </w:p>
        </w:tc>
        <w:tc>
          <w:tcPr>
            <w:tcW w:w="1997" w:type="dxa"/>
            <w:vAlign w:val="bottom"/>
          </w:tcPr>
          <w:p w14:paraId="0C7E9911" w14:textId="77777777" w:rsidR="00217A61" w:rsidRDefault="001C2695">
            <w:pPr>
              <w:spacing w:beforeAutospacing="1" w:afterAutospacing="1"/>
              <w:jc w:val="right"/>
            </w:pPr>
            <w:r>
              <w:rPr>
                <w:color w:val="000000"/>
              </w:rPr>
              <w:t>2,977</w:t>
            </w:r>
          </w:p>
        </w:tc>
        <w:tc>
          <w:tcPr>
            <w:tcW w:w="1997" w:type="dxa"/>
            <w:vAlign w:val="bottom"/>
          </w:tcPr>
          <w:p w14:paraId="6FC2E894" w14:textId="77777777" w:rsidR="00217A61" w:rsidRDefault="001C2695">
            <w:pPr>
              <w:spacing w:beforeAutospacing="1" w:afterAutospacing="1"/>
              <w:jc w:val="right"/>
            </w:pPr>
            <w:r>
              <w:rPr>
                <w:color w:val="000000"/>
              </w:rPr>
              <w:t>2,916</w:t>
            </w:r>
          </w:p>
        </w:tc>
      </w:tr>
    </w:tbl>
    <w:p w14:paraId="6D8FD5E9"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Disproportionally Greater Need 0 - 30%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217A61" w14:paraId="13AEBC78" w14:textId="77777777">
        <w:trPr>
          <w:cantSplit/>
        </w:trPr>
        <w:tc>
          <w:tcPr>
            <w:tcW w:w="1080" w:type="dxa"/>
          </w:tcPr>
          <w:p w14:paraId="420E30CC" w14:textId="77777777" w:rsidR="00217A61" w:rsidRDefault="001C2695">
            <w:pPr>
              <w:spacing w:after="0" w:line="240" w:lineRule="auto"/>
              <w:rPr>
                <w:sz w:val="16"/>
                <w:szCs w:val="16"/>
              </w:rPr>
            </w:pPr>
            <w:r>
              <w:rPr>
                <w:b/>
                <w:bCs/>
                <w:sz w:val="16"/>
                <w:szCs w:val="16"/>
              </w:rPr>
              <w:t>Data Source:</w:t>
            </w:r>
          </w:p>
        </w:tc>
        <w:tc>
          <w:tcPr>
            <w:tcW w:w="8510" w:type="dxa"/>
          </w:tcPr>
          <w:p w14:paraId="3572E457" w14:textId="77777777" w:rsidR="00217A61" w:rsidRDefault="001C2695">
            <w:pPr>
              <w:spacing w:beforeAutospacing="1" w:afterAutospacing="1"/>
              <w:rPr>
                <w:sz w:val="16"/>
                <w:szCs w:val="16"/>
              </w:rPr>
            </w:pPr>
            <w:r>
              <w:rPr>
                <w:sz w:val="16"/>
                <w:szCs w:val="16"/>
              </w:rPr>
              <w:t>2011-2015 CHAS</w:t>
            </w:r>
          </w:p>
        </w:tc>
      </w:tr>
    </w:tbl>
    <w:p w14:paraId="3180F96C" w14:textId="77777777" w:rsidR="00217A61" w:rsidRDefault="00217A61">
      <w:pPr>
        <w:spacing w:after="0" w:line="240" w:lineRule="auto"/>
        <w:rPr>
          <w:vanish/>
        </w:rPr>
      </w:pPr>
    </w:p>
    <w:p w14:paraId="3BED760F" w14:textId="77777777" w:rsidR="00217A61" w:rsidRDefault="00217A61">
      <w:pPr>
        <w:spacing w:after="0" w:line="240" w:lineRule="auto"/>
        <w:rPr>
          <w:b/>
          <w:bCs/>
          <w:vanish/>
          <w:sz w:val="16"/>
          <w:szCs w:val="16"/>
        </w:rPr>
      </w:pPr>
    </w:p>
    <w:p w14:paraId="1FD6DE6A" w14:textId="77777777" w:rsidR="00217A61" w:rsidRDefault="00217A61">
      <w:pPr>
        <w:spacing w:after="0" w:line="240" w:lineRule="auto"/>
      </w:pPr>
    </w:p>
    <w:p w14:paraId="111F4E7E" w14:textId="77777777" w:rsidR="00217A61" w:rsidRDefault="001C2695">
      <w:pPr>
        <w:spacing w:after="0" w:line="240" w:lineRule="auto"/>
      </w:pPr>
      <w:r>
        <w:t xml:space="preserve">*The four housing problems are: </w:t>
      </w:r>
    </w:p>
    <w:p w14:paraId="79130446" w14:textId="77777777" w:rsidR="00217A61" w:rsidRDefault="001C2695">
      <w:pPr>
        <w:spacing w:after="0" w:line="240" w:lineRule="auto"/>
      </w:pPr>
      <w:r>
        <w:t xml:space="preserve">1. Lacks complete kitchen facilities, 2. Lacks complete plumbing facilities, 3. More than one person per room, </w:t>
      </w:r>
      <w:proofErr w:type="gramStart"/>
      <w:r>
        <w:t>4.Cost</w:t>
      </w:r>
      <w:proofErr w:type="gramEnd"/>
      <w:r>
        <w:t xml:space="preserve"> Burden greater than 30% </w:t>
      </w:r>
    </w:p>
    <w:p w14:paraId="6997DCBA" w14:textId="77777777" w:rsidR="00217A61" w:rsidRDefault="00217A61">
      <w:pPr>
        <w:spacing w:after="0" w:line="240" w:lineRule="auto"/>
      </w:pPr>
    </w:p>
    <w:p w14:paraId="01FBA99C" w14:textId="77777777" w:rsidR="00217A61" w:rsidRDefault="00217A61">
      <w:pPr>
        <w:spacing w:after="0" w:line="240" w:lineRule="auto"/>
        <w:rPr>
          <w:szCs w:val="26"/>
        </w:rPr>
      </w:pPr>
    </w:p>
    <w:p w14:paraId="2EA67793" w14:textId="77777777" w:rsidR="00217A61" w:rsidRDefault="001C2695">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217A61" w14:paraId="506C7624" w14:textId="77777777">
        <w:trPr>
          <w:cantSplit/>
          <w:tblHeader/>
        </w:trPr>
        <w:tc>
          <w:tcPr>
            <w:tcW w:w="3600" w:type="dxa"/>
          </w:tcPr>
          <w:p w14:paraId="43461B32" w14:textId="77777777" w:rsidR="00217A61" w:rsidRDefault="001C2695">
            <w:pPr>
              <w:keepNext/>
              <w:widowControl w:val="0"/>
              <w:spacing w:after="0" w:line="240" w:lineRule="auto"/>
              <w:jc w:val="center"/>
              <w:rPr>
                <w:b/>
              </w:rPr>
            </w:pPr>
            <w:r>
              <w:rPr>
                <w:b/>
                <w:bCs/>
              </w:rPr>
              <w:t>Housing Problems</w:t>
            </w:r>
          </w:p>
        </w:tc>
        <w:tc>
          <w:tcPr>
            <w:tcW w:w="1996" w:type="dxa"/>
          </w:tcPr>
          <w:p w14:paraId="738E2102" w14:textId="77777777" w:rsidR="00217A61" w:rsidRDefault="001C2695">
            <w:pPr>
              <w:keepNext/>
              <w:widowControl w:val="0"/>
              <w:spacing w:after="0" w:line="240" w:lineRule="auto"/>
              <w:jc w:val="center"/>
              <w:rPr>
                <w:b/>
              </w:rPr>
            </w:pPr>
            <w:r>
              <w:rPr>
                <w:b/>
                <w:bCs/>
              </w:rPr>
              <w:t>Has one or more of four housing</w:t>
            </w:r>
            <w:r>
              <w:rPr>
                <w:b/>
                <w:bCs/>
              </w:rPr>
              <w:t xml:space="preserve"> problems</w:t>
            </w:r>
          </w:p>
        </w:tc>
        <w:tc>
          <w:tcPr>
            <w:tcW w:w="1997" w:type="dxa"/>
          </w:tcPr>
          <w:p w14:paraId="2E952D62" w14:textId="77777777" w:rsidR="00217A61" w:rsidRDefault="001C2695">
            <w:pPr>
              <w:keepNext/>
              <w:widowControl w:val="0"/>
              <w:spacing w:after="0" w:line="240" w:lineRule="auto"/>
              <w:jc w:val="center"/>
              <w:rPr>
                <w:b/>
              </w:rPr>
            </w:pPr>
            <w:r>
              <w:rPr>
                <w:b/>
                <w:bCs/>
              </w:rPr>
              <w:t>Has none of the four housing problems</w:t>
            </w:r>
          </w:p>
        </w:tc>
        <w:tc>
          <w:tcPr>
            <w:tcW w:w="1997" w:type="dxa"/>
          </w:tcPr>
          <w:p w14:paraId="2BFAD28F" w14:textId="77777777" w:rsidR="00217A61" w:rsidRDefault="001C2695">
            <w:pPr>
              <w:keepNext/>
              <w:widowControl w:val="0"/>
              <w:spacing w:after="0" w:line="240" w:lineRule="auto"/>
              <w:jc w:val="center"/>
              <w:rPr>
                <w:b/>
              </w:rPr>
            </w:pPr>
            <w:r>
              <w:rPr>
                <w:b/>
                <w:bCs/>
              </w:rPr>
              <w:t>Household has no/negative income, but none of the other housing problems</w:t>
            </w:r>
          </w:p>
        </w:tc>
      </w:tr>
      <w:tr w:rsidR="00217A61" w14:paraId="12D4D48A" w14:textId="77777777">
        <w:trPr>
          <w:cantSplit/>
        </w:trPr>
        <w:tc>
          <w:tcPr>
            <w:tcW w:w="3600" w:type="dxa"/>
          </w:tcPr>
          <w:p w14:paraId="6BFD13C6" w14:textId="77777777" w:rsidR="00217A61" w:rsidRDefault="001C2695">
            <w:pPr>
              <w:spacing w:beforeAutospacing="1" w:afterAutospacing="1"/>
            </w:pPr>
            <w:r>
              <w:rPr>
                <w:color w:val="000000"/>
              </w:rPr>
              <w:t>Jurisdiction as a whole</w:t>
            </w:r>
          </w:p>
        </w:tc>
        <w:tc>
          <w:tcPr>
            <w:tcW w:w="1996" w:type="dxa"/>
            <w:vAlign w:val="bottom"/>
          </w:tcPr>
          <w:p w14:paraId="66EC84D2" w14:textId="77777777" w:rsidR="00217A61" w:rsidRDefault="001C2695">
            <w:pPr>
              <w:spacing w:beforeAutospacing="1" w:afterAutospacing="1"/>
              <w:jc w:val="right"/>
            </w:pPr>
            <w:r>
              <w:rPr>
                <w:color w:val="000000"/>
              </w:rPr>
              <w:t>315,105</w:t>
            </w:r>
          </w:p>
        </w:tc>
        <w:tc>
          <w:tcPr>
            <w:tcW w:w="1997" w:type="dxa"/>
            <w:vAlign w:val="bottom"/>
          </w:tcPr>
          <w:p w14:paraId="1AB049BA" w14:textId="77777777" w:rsidR="00217A61" w:rsidRDefault="001C2695">
            <w:pPr>
              <w:spacing w:beforeAutospacing="1" w:afterAutospacing="1"/>
              <w:jc w:val="right"/>
            </w:pPr>
            <w:r>
              <w:rPr>
                <w:color w:val="000000"/>
              </w:rPr>
              <w:t>153,274</w:t>
            </w:r>
          </w:p>
        </w:tc>
        <w:tc>
          <w:tcPr>
            <w:tcW w:w="1997" w:type="dxa"/>
            <w:vAlign w:val="bottom"/>
          </w:tcPr>
          <w:p w14:paraId="78092B73" w14:textId="77777777" w:rsidR="00217A61" w:rsidRDefault="001C2695">
            <w:pPr>
              <w:spacing w:beforeAutospacing="1" w:afterAutospacing="1"/>
              <w:jc w:val="right"/>
            </w:pPr>
            <w:r>
              <w:rPr>
                <w:color w:val="000000"/>
              </w:rPr>
              <w:t>0</w:t>
            </w:r>
          </w:p>
        </w:tc>
      </w:tr>
      <w:tr w:rsidR="00217A61" w14:paraId="631B6C4A" w14:textId="77777777">
        <w:trPr>
          <w:cantSplit/>
        </w:trPr>
        <w:tc>
          <w:tcPr>
            <w:tcW w:w="3600" w:type="dxa"/>
          </w:tcPr>
          <w:p w14:paraId="09EA6C0E" w14:textId="77777777" w:rsidR="00217A61" w:rsidRDefault="001C2695">
            <w:pPr>
              <w:spacing w:beforeAutospacing="1" w:afterAutospacing="1"/>
            </w:pPr>
            <w:r>
              <w:rPr>
                <w:color w:val="000000"/>
              </w:rPr>
              <w:t>White</w:t>
            </w:r>
          </w:p>
        </w:tc>
        <w:tc>
          <w:tcPr>
            <w:tcW w:w="1996" w:type="dxa"/>
            <w:vAlign w:val="bottom"/>
          </w:tcPr>
          <w:p w14:paraId="0140183A" w14:textId="77777777" w:rsidR="00217A61" w:rsidRDefault="001C2695">
            <w:pPr>
              <w:spacing w:beforeAutospacing="1" w:afterAutospacing="1"/>
              <w:jc w:val="right"/>
            </w:pPr>
            <w:r>
              <w:rPr>
                <w:color w:val="000000"/>
              </w:rPr>
              <w:t>168,265</w:t>
            </w:r>
          </w:p>
        </w:tc>
        <w:tc>
          <w:tcPr>
            <w:tcW w:w="1997" w:type="dxa"/>
            <w:vAlign w:val="bottom"/>
          </w:tcPr>
          <w:p w14:paraId="12EE12F5" w14:textId="77777777" w:rsidR="00217A61" w:rsidRDefault="001C2695">
            <w:pPr>
              <w:spacing w:beforeAutospacing="1" w:afterAutospacing="1"/>
              <w:jc w:val="right"/>
            </w:pPr>
            <w:r>
              <w:rPr>
                <w:color w:val="000000"/>
              </w:rPr>
              <w:t>105,053</w:t>
            </w:r>
          </w:p>
        </w:tc>
        <w:tc>
          <w:tcPr>
            <w:tcW w:w="1997" w:type="dxa"/>
            <w:vAlign w:val="bottom"/>
          </w:tcPr>
          <w:p w14:paraId="525A0916" w14:textId="77777777" w:rsidR="00217A61" w:rsidRDefault="001C2695">
            <w:pPr>
              <w:spacing w:beforeAutospacing="1" w:afterAutospacing="1"/>
              <w:jc w:val="right"/>
            </w:pPr>
            <w:r>
              <w:rPr>
                <w:color w:val="000000"/>
              </w:rPr>
              <w:t>0</w:t>
            </w:r>
          </w:p>
        </w:tc>
      </w:tr>
      <w:tr w:rsidR="00217A61" w14:paraId="7912CCA1" w14:textId="77777777">
        <w:trPr>
          <w:cantSplit/>
        </w:trPr>
        <w:tc>
          <w:tcPr>
            <w:tcW w:w="3600" w:type="dxa"/>
          </w:tcPr>
          <w:p w14:paraId="2E164C91" w14:textId="77777777" w:rsidR="00217A61" w:rsidRDefault="001C2695">
            <w:pPr>
              <w:spacing w:beforeAutospacing="1" w:afterAutospacing="1"/>
            </w:pPr>
            <w:r>
              <w:rPr>
                <w:color w:val="000000"/>
              </w:rPr>
              <w:t>Black / African American</w:t>
            </w:r>
          </w:p>
        </w:tc>
        <w:tc>
          <w:tcPr>
            <w:tcW w:w="1996" w:type="dxa"/>
            <w:vAlign w:val="bottom"/>
          </w:tcPr>
          <w:p w14:paraId="28842FEB" w14:textId="77777777" w:rsidR="00217A61" w:rsidRDefault="001C2695">
            <w:pPr>
              <w:spacing w:beforeAutospacing="1" w:afterAutospacing="1"/>
              <w:jc w:val="right"/>
            </w:pPr>
            <w:r>
              <w:rPr>
                <w:color w:val="000000"/>
              </w:rPr>
              <w:t>98,778</w:t>
            </w:r>
          </w:p>
        </w:tc>
        <w:tc>
          <w:tcPr>
            <w:tcW w:w="1997" w:type="dxa"/>
            <w:vAlign w:val="bottom"/>
          </w:tcPr>
          <w:p w14:paraId="722F0AA8" w14:textId="77777777" w:rsidR="00217A61" w:rsidRDefault="001C2695">
            <w:pPr>
              <w:spacing w:beforeAutospacing="1" w:afterAutospacing="1"/>
              <w:jc w:val="right"/>
            </w:pPr>
            <w:r>
              <w:rPr>
                <w:color w:val="000000"/>
              </w:rPr>
              <w:t>32,022</w:t>
            </w:r>
          </w:p>
        </w:tc>
        <w:tc>
          <w:tcPr>
            <w:tcW w:w="1997" w:type="dxa"/>
            <w:vAlign w:val="bottom"/>
          </w:tcPr>
          <w:p w14:paraId="11B8C964" w14:textId="77777777" w:rsidR="00217A61" w:rsidRDefault="001C2695">
            <w:pPr>
              <w:spacing w:beforeAutospacing="1" w:afterAutospacing="1"/>
              <w:jc w:val="right"/>
            </w:pPr>
            <w:r>
              <w:rPr>
                <w:color w:val="000000"/>
              </w:rPr>
              <w:t>0</w:t>
            </w:r>
          </w:p>
        </w:tc>
      </w:tr>
      <w:tr w:rsidR="00217A61" w14:paraId="517FBBF7" w14:textId="77777777">
        <w:trPr>
          <w:cantSplit/>
        </w:trPr>
        <w:tc>
          <w:tcPr>
            <w:tcW w:w="3600" w:type="dxa"/>
          </w:tcPr>
          <w:p w14:paraId="61412B61" w14:textId="77777777" w:rsidR="00217A61" w:rsidRDefault="001C2695">
            <w:pPr>
              <w:spacing w:beforeAutospacing="1" w:afterAutospacing="1"/>
            </w:pPr>
            <w:r>
              <w:rPr>
                <w:color w:val="000000"/>
              </w:rPr>
              <w:t>Asian</w:t>
            </w:r>
          </w:p>
        </w:tc>
        <w:tc>
          <w:tcPr>
            <w:tcW w:w="1996" w:type="dxa"/>
            <w:vAlign w:val="bottom"/>
          </w:tcPr>
          <w:p w14:paraId="1C2A21D9" w14:textId="77777777" w:rsidR="00217A61" w:rsidRDefault="001C2695">
            <w:pPr>
              <w:spacing w:beforeAutospacing="1" w:afterAutospacing="1"/>
              <w:jc w:val="right"/>
            </w:pPr>
            <w:r>
              <w:rPr>
                <w:color w:val="000000"/>
              </w:rPr>
              <w:t>5,610</w:t>
            </w:r>
          </w:p>
        </w:tc>
        <w:tc>
          <w:tcPr>
            <w:tcW w:w="1997" w:type="dxa"/>
            <w:vAlign w:val="bottom"/>
          </w:tcPr>
          <w:p w14:paraId="1761541B" w14:textId="77777777" w:rsidR="00217A61" w:rsidRDefault="001C2695">
            <w:pPr>
              <w:spacing w:beforeAutospacing="1" w:afterAutospacing="1"/>
              <w:jc w:val="right"/>
            </w:pPr>
            <w:r>
              <w:rPr>
                <w:color w:val="000000"/>
              </w:rPr>
              <w:t>1,240</w:t>
            </w:r>
          </w:p>
        </w:tc>
        <w:tc>
          <w:tcPr>
            <w:tcW w:w="1997" w:type="dxa"/>
            <w:vAlign w:val="bottom"/>
          </w:tcPr>
          <w:p w14:paraId="0BE45439" w14:textId="77777777" w:rsidR="00217A61" w:rsidRDefault="001C2695">
            <w:pPr>
              <w:spacing w:beforeAutospacing="1" w:afterAutospacing="1"/>
              <w:jc w:val="right"/>
            </w:pPr>
            <w:r>
              <w:rPr>
                <w:color w:val="000000"/>
              </w:rPr>
              <w:t>0</w:t>
            </w:r>
          </w:p>
        </w:tc>
      </w:tr>
      <w:tr w:rsidR="00217A61" w14:paraId="15078D49" w14:textId="77777777">
        <w:trPr>
          <w:cantSplit/>
        </w:trPr>
        <w:tc>
          <w:tcPr>
            <w:tcW w:w="3600" w:type="dxa"/>
          </w:tcPr>
          <w:p w14:paraId="2C5AC17B" w14:textId="77777777" w:rsidR="00217A61" w:rsidRDefault="001C2695">
            <w:pPr>
              <w:spacing w:beforeAutospacing="1" w:afterAutospacing="1"/>
            </w:pPr>
            <w:r>
              <w:rPr>
                <w:color w:val="000000"/>
              </w:rPr>
              <w:t>American Indian, Alaska Native</w:t>
            </w:r>
          </w:p>
        </w:tc>
        <w:tc>
          <w:tcPr>
            <w:tcW w:w="1996" w:type="dxa"/>
            <w:vAlign w:val="bottom"/>
          </w:tcPr>
          <w:p w14:paraId="30BD61DA" w14:textId="77777777" w:rsidR="00217A61" w:rsidRDefault="001C2695">
            <w:pPr>
              <w:spacing w:beforeAutospacing="1" w:afterAutospacing="1"/>
              <w:jc w:val="right"/>
            </w:pPr>
            <w:r>
              <w:rPr>
                <w:color w:val="000000"/>
              </w:rPr>
              <w:t>3,126</w:t>
            </w:r>
          </w:p>
        </w:tc>
        <w:tc>
          <w:tcPr>
            <w:tcW w:w="1997" w:type="dxa"/>
            <w:vAlign w:val="bottom"/>
          </w:tcPr>
          <w:p w14:paraId="6C5FBDB0" w14:textId="77777777" w:rsidR="00217A61" w:rsidRDefault="001C2695">
            <w:pPr>
              <w:spacing w:beforeAutospacing="1" w:afterAutospacing="1"/>
              <w:jc w:val="right"/>
            </w:pPr>
            <w:r>
              <w:rPr>
                <w:color w:val="000000"/>
              </w:rPr>
              <w:t>2,468</w:t>
            </w:r>
          </w:p>
        </w:tc>
        <w:tc>
          <w:tcPr>
            <w:tcW w:w="1997" w:type="dxa"/>
            <w:vAlign w:val="bottom"/>
          </w:tcPr>
          <w:p w14:paraId="2FFCEC72" w14:textId="77777777" w:rsidR="00217A61" w:rsidRDefault="001C2695">
            <w:pPr>
              <w:spacing w:beforeAutospacing="1" w:afterAutospacing="1"/>
              <w:jc w:val="right"/>
            </w:pPr>
            <w:r>
              <w:rPr>
                <w:color w:val="000000"/>
              </w:rPr>
              <w:t>0</w:t>
            </w:r>
          </w:p>
        </w:tc>
      </w:tr>
      <w:tr w:rsidR="00217A61" w14:paraId="3E9EB19B" w14:textId="77777777">
        <w:trPr>
          <w:cantSplit/>
        </w:trPr>
        <w:tc>
          <w:tcPr>
            <w:tcW w:w="3600" w:type="dxa"/>
          </w:tcPr>
          <w:p w14:paraId="5DC3E204" w14:textId="77777777" w:rsidR="00217A61" w:rsidRDefault="001C2695">
            <w:pPr>
              <w:spacing w:beforeAutospacing="1" w:afterAutospacing="1"/>
            </w:pPr>
            <w:r>
              <w:rPr>
                <w:color w:val="000000"/>
              </w:rPr>
              <w:t>Pacific Islander</w:t>
            </w:r>
          </w:p>
        </w:tc>
        <w:tc>
          <w:tcPr>
            <w:tcW w:w="1996" w:type="dxa"/>
            <w:vAlign w:val="bottom"/>
          </w:tcPr>
          <w:p w14:paraId="3EC28BA5" w14:textId="77777777" w:rsidR="00217A61" w:rsidRDefault="001C2695">
            <w:pPr>
              <w:spacing w:beforeAutospacing="1" w:afterAutospacing="1"/>
              <w:jc w:val="right"/>
            </w:pPr>
            <w:r>
              <w:rPr>
                <w:color w:val="000000"/>
              </w:rPr>
              <w:t>154</w:t>
            </w:r>
          </w:p>
        </w:tc>
        <w:tc>
          <w:tcPr>
            <w:tcW w:w="1997" w:type="dxa"/>
            <w:vAlign w:val="bottom"/>
          </w:tcPr>
          <w:p w14:paraId="48740AC3" w14:textId="77777777" w:rsidR="00217A61" w:rsidRDefault="001C2695">
            <w:pPr>
              <w:spacing w:beforeAutospacing="1" w:afterAutospacing="1"/>
              <w:jc w:val="right"/>
            </w:pPr>
            <w:r>
              <w:rPr>
                <w:color w:val="000000"/>
              </w:rPr>
              <w:t>19</w:t>
            </w:r>
          </w:p>
        </w:tc>
        <w:tc>
          <w:tcPr>
            <w:tcW w:w="1997" w:type="dxa"/>
            <w:vAlign w:val="bottom"/>
          </w:tcPr>
          <w:p w14:paraId="26CDC22B" w14:textId="77777777" w:rsidR="00217A61" w:rsidRDefault="001C2695">
            <w:pPr>
              <w:spacing w:beforeAutospacing="1" w:afterAutospacing="1"/>
              <w:jc w:val="right"/>
            </w:pPr>
            <w:r>
              <w:rPr>
                <w:color w:val="000000"/>
              </w:rPr>
              <w:t>0</w:t>
            </w:r>
          </w:p>
        </w:tc>
      </w:tr>
      <w:tr w:rsidR="00217A61" w14:paraId="29B42931" w14:textId="77777777">
        <w:trPr>
          <w:cantSplit/>
        </w:trPr>
        <w:tc>
          <w:tcPr>
            <w:tcW w:w="3600" w:type="dxa"/>
          </w:tcPr>
          <w:p w14:paraId="691053CF" w14:textId="77777777" w:rsidR="00217A61" w:rsidRDefault="001C2695">
            <w:pPr>
              <w:spacing w:beforeAutospacing="1" w:afterAutospacing="1"/>
            </w:pPr>
            <w:r>
              <w:rPr>
                <w:color w:val="000000"/>
              </w:rPr>
              <w:lastRenderedPageBreak/>
              <w:t>Hispanic</w:t>
            </w:r>
          </w:p>
        </w:tc>
        <w:tc>
          <w:tcPr>
            <w:tcW w:w="1996" w:type="dxa"/>
            <w:vAlign w:val="bottom"/>
          </w:tcPr>
          <w:p w14:paraId="326C177F" w14:textId="77777777" w:rsidR="00217A61" w:rsidRDefault="001C2695">
            <w:pPr>
              <w:spacing w:beforeAutospacing="1" w:afterAutospacing="1"/>
              <w:jc w:val="right"/>
            </w:pPr>
            <w:r>
              <w:rPr>
                <w:color w:val="000000"/>
              </w:rPr>
              <w:t>34,016</w:t>
            </w:r>
          </w:p>
        </w:tc>
        <w:tc>
          <w:tcPr>
            <w:tcW w:w="1997" w:type="dxa"/>
            <w:vAlign w:val="bottom"/>
          </w:tcPr>
          <w:p w14:paraId="77CE412B" w14:textId="77777777" w:rsidR="00217A61" w:rsidRDefault="001C2695">
            <w:pPr>
              <w:spacing w:beforeAutospacing="1" w:afterAutospacing="1"/>
              <w:jc w:val="right"/>
            </w:pPr>
            <w:r>
              <w:rPr>
                <w:color w:val="000000"/>
              </w:rPr>
              <w:t>11,270</w:t>
            </w:r>
          </w:p>
        </w:tc>
        <w:tc>
          <w:tcPr>
            <w:tcW w:w="1997" w:type="dxa"/>
            <w:vAlign w:val="bottom"/>
          </w:tcPr>
          <w:p w14:paraId="3EA70D40" w14:textId="77777777" w:rsidR="00217A61" w:rsidRDefault="001C2695">
            <w:pPr>
              <w:spacing w:beforeAutospacing="1" w:afterAutospacing="1"/>
              <w:jc w:val="right"/>
            </w:pPr>
            <w:r>
              <w:rPr>
                <w:color w:val="000000"/>
              </w:rPr>
              <w:t>0</w:t>
            </w:r>
          </w:p>
        </w:tc>
      </w:tr>
    </w:tbl>
    <w:p w14:paraId="7F9D0793"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Disproportionally Greater Need 30 - 50%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217A61" w14:paraId="5032B3EB" w14:textId="77777777">
        <w:trPr>
          <w:cantSplit/>
        </w:trPr>
        <w:tc>
          <w:tcPr>
            <w:tcW w:w="1080" w:type="dxa"/>
          </w:tcPr>
          <w:p w14:paraId="46389D3F" w14:textId="77777777" w:rsidR="00217A61" w:rsidRDefault="001C2695">
            <w:pPr>
              <w:spacing w:after="0" w:line="240" w:lineRule="auto"/>
              <w:rPr>
                <w:sz w:val="16"/>
                <w:szCs w:val="16"/>
              </w:rPr>
            </w:pPr>
            <w:r>
              <w:rPr>
                <w:b/>
                <w:bCs/>
                <w:sz w:val="16"/>
                <w:szCs w:val="16"/>
              </w:rPr>
              <w:t>Data Source:</w:t>
            </w:r>
          </w:p>
        </w:tc>
        <w:tc>
          <w:tcPr>
            <w:tcW w:w="8510" w:type="dxa"/>
          </w:tcPr>
          <w:p w14:paraId="04F543B2" w14:textId="77777777" w:rsidR="00217A61" w:rsidRDefault="001C2695">
            <w:pPr>
              <w:spacing w:beforeAutospacing="1" w:afterAutospacing="1"/>
              <w:rPr>
                <w:sz w:val="16"/>
                <w:szCs w:val="16"/>
              </w:rPr>
            </w:pPr>
            <w:r>
              <w:rPr>
                <w:sz w:val="16"/>
                <w:szCs w:val="16"/>
              </w:rPr>
              <w:t>2011-2015 CHAS</w:t>
            </w:r>
          </w:p>
        </w:tc>
      </w:tr>
    </w:tbl>
    <w:p w14:paraId="442D1750" w14:textId="77777777" w:rsidR="00217A61" w:rsidRDefault="00217A61">
      <w:pPr>
        <w:spacing w:after="0" w:line="240" w:lineRule="auto"/>
        <w:rPr>
          <w:vanish/>
        </w:rPr>
      </w:pPr>
    </w:p>
    <w:p w14:paraId="10E422D8" w14:textId="77777777" w:rsidR="00217A61" w:rsidRDefault="00217A61">
      <w:pPr>
        <w:spacing w:after="0" w:line="240" w:lineRule="auto"/>
        <w:rPr>
          <w:b/>
          <w:bCs/>
          <w:vanish/>
          <w:sz w:val="16"/>
          <w:szCs w:val="16"/>
        </w:rPr>
      </w:pPr>
    </w:p>
    <w:p w14:paraId="1B197696" w14:textId="77777777" w:rsidR="00217A61" w:rsidRDefault="00217A61">
      <w:pPr>
        <w:spacing w:after="0" w:line="240" w:lineRule="auto"/>
      </w:pPr>
    </w:p>
    <w:p w14:paraId="3AE72239" w14:textId="77777777" w:rsidR="00217A61" w:rsidRDefault="001C2695">
      <w:pPr>
        <w:spacing w:after="0" w:line="240" w:lineRule="auto"/>
      </w:pPr>
      <w:r>
        <w:t xml:space="preserve">*The four housing problems are: </w:t>
      </w:r>
    </w:p>
    <w:p w14:paraId="5018B45B" w14:textId="77777777" w:rsidR="00217A61" w:rsidRDefault="001C2695">
      <w:pPr>
        <w:spacing w:after="0" w:line="240" w:lineRule="auto"/>
      </w:pPr>
      <w:r>
        <w:t xml:space="preserve">1. Lacks complete kitchen facilities, 2. Lacks complete plumbing facilities, 3. More than one person per room, </w:t>
      </w:r>
      <w:proofErr w:type="gramStart"/>
      <w:r>
        <w:t>4.Cost</w:t>
      </w:r>
      <w:proofErr w:type="gramEnd"/>
      <w:r>
        <w:t xml:space="preserve"> Burden greater than 30% </w:t>
      </w:r>
    </w:p>
    <w:p w14:paraId="5ECBE41E" w14:textId="77777777" w:rsidR="00217A61" w:rsidRDefault="00217A61">
      <w:pPr>
        <w:spacing w:after="0" w:line="240" w:lineRule="auto"/>
      </w:pPr>
    </w:p>
    <w:p w14:paraId="4EFB43AA" w14:textId="77777777" w:rsidR="00217A61" w:rsidRDefault="00217A61">
      <w:pPr>
        <w:spacing w:after="0" w:line="240" w:lineRule="auto"/>
        <w:rPr>
          <w:szCs w:val="26"/>
        </w:rPr>
      </w:pPr>
    </w:p>
    <w:p w14:paraId="185FB8C3" w14:textId="77777777" w:rsidR="00217A61" w:rsidRDefault="001C2695">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217A61" w14:paraId="6FB2A5F7" w14:textId="77777777">
        <w:trPr>
          <w:cantSplit/>
          <w:tblHeader/>
        </w:trPr>
        <w:tc>
          <w:tcPr>
            <w:tcW w:w="3600" w:type="dxa"/>
          </w:tcPr>
          <w:p w14:paraId="2B3FC8D0" w14:textId="77777777" w:rsidR="00217A61" w:rsidRDefault="001C2695">
            <w:pPr>
              <w:keepNext/>
              <w:widowControl w:val="0"/>
              <w:spacing w:after="0" w:line="240" w:lineRule="auto"/>
              <w:jc w:val="center"/>
              <w:rPr>
                <w:b/>
              </w:rPr>
            </w:pPr>
            <w:r>
              <w:rPr>
                <w:b/>
                <w:bCs/>
              </w:rPr>
              <w:t>Housing Problems</w:t>
            </w:r>
          </w:p>
        </w:tc>
        <w:tc>
          <w:tcPr>
            <w:tcW w:w="1996" w:type="dxa"/>
          </w:tcPr>
          <w:p w14:paraId="4907A156" w14:textId="77777777" w:rsidR="00217A61" w:rsidRDefault="001C2695">
            <w:pPr>
              <w:keepNext/>
              <w:widowControl w:val="0"/>
              <w:spacing w:after="0" w:line="240" w:lineRule="auto"/>
              <w:jc w:val="center"/>
              <w:rPr>
                <w:b/>
              </w:rPr>
            </w:pPr>
            <w:r>
              <w:rPr>
                <w:b/>
                <w:bCs/>
              </w:rPr>
              <w:t>Has one or more of four housing</w:t>
            </w:r>
            <w:r>
              <w:rPr>
                <w:b/>
                <w:bCs/>
              </w:rPr>
              <w:t xml:space="preserve"> problems</w:t>
            </w:r>
          </w:p>
        </w:tc>
        <w:tc>
          <w:tcPr>
            <w:tcW w:w="1997" w:type="dxa"/>
          </w:tcPr>
          <w:p w14:paraId="44C54EE9" w14:textId="77777777" w:rsidR="00217A61" w:rsidRDefault="001C2695">
            <w:pPr>
              <w:keepNext/>
              <w:widowControl w:val="0"/>
              <w:spacing w:after="0" w:line="240" w:lineRule="auto"/>
              <w:jc w:val="center"/>
              <w:rPr>
                <w:b/>
              </w:rPr>
            </w:pPr>
            <w:r>
              <w:rPr>
                <w:b/>
                <w:bCs/>
              </w:rPr>
              <w:t>Has none of the four housing problems</w:t>
            </w:r>
          </w:p>
        </w:tc>
        <w:tc>
          <w:tcPr>
            <w:tcW w:w="1997" w:type="dxa"/>
          </w:tcPr>
          <w:p w14:paraId="60712559" w14:textId="77777777" w:rsidR="00217A61" w:rsidRDefault="001C2695">
            <w:pPr>
              <w:keepNext/>
              <w:widowControl w:val="0"/>
              <w:spacing w:after="0" w:line="240" w:lineRule="auto"/>
              <w:jc w:val="center"/>
              <w:rPr>
                <w:b/>
              </w:rPr>
            </w:pPr>
            <w:r>
              <w:rPr>
                <w:b/>
                <w:bCs/>
              </w:rPr>
              <w:t>Household has no/negative income, but none of the other housing problems</w:t>
            </w:r>
          </w:p>
        </w:tc>
      </w:tr>
      <w:tr w:rsidR="00217A61" w14:paraId="4C28D528" w14:textId="77777777">
        <w:trPr>
          <w:cantSplit/>
        </w:trPr>
        <w:tc>
          <w:tcPr>
            <w:tcW w:w="3600" w:type="dxa"/>
          </w:tcPr>
          <w:p w14:paraId="3395DE61" w14:textId="77777777" w:rsidR="00217A61" w:rsidRDefault="001C2695">
            <w:pPr>
              <w:spacing w:beforeAutospacing="1" w:afterAutospacing="1"/>
            </w:pPr>
            <w:r>
              <w:rPr>
                <w:color w:val="000000"/>
              </w:rPr>
              <w:t>Jurisdiction as a whole</w:t>
            </w:r>
          </w:p>
        </w:tc>
        <w:tc>
          <w:tcPr>
            <w:tcW w:w="1996" w:type="dxa"/>
            <w:vAlign w:val="bottom"/>
          </w:tcPr>
          <w:p w14:paraId="17810D93" w14:textId="77777777" w:rsidR="00217A61" w:rsidRDefault="001C2695">
            <w:pPr>
              <w:spacing w:beforeAutospacing="1" w:afterAutospacing="1"/>
              <w:jc w:val="right"/>
            </w:pPr>
            <w:r>
              <w:rPr>
                <w:color w:val="000000"/>
              </w:rPr>
              <w:t>292,866</w:t>
            </w:r>
          </w:p>
        </w:tc>
        <w:tc>
          <w:tcPr>
            <w:tcW w:w="1997" w:type="dxa"/>
            <w:vAlign w:val="bottom"/>
          </w:tcPr>
          <w:p w14:paraId="4CF28E2D" w14:textId="77777777" w:rsidR="00217A61" w:rsidRDefault="001C2695">
            <w:pPr>
              <w:spacing w:beforeAutospacing="1" w:afterAutospacing="1"/>
              <w:jc w:val="right"/>
            </w:pPr>
            <w:r>
              <w:rPr>
                <w:color w:val="000000"/>
              </w:rPr>
              <w:t>365,942</w:t>
            </w:r>
          </w:p>
        </w:tc>
        <w:tc>
          <w:tcPr>
            <w:tcW w:w="1997" w:type="dxa"/>
            <w:vAlign w:val="bottom"/>
          </w:tcPr>
          <w:p w14:paraId="10454305" w14:textId="77777777" w:rsidR="00217A61" w:rsidRDefault="001C2695">
            <w:pPr>
              <w:spacing w:beforeAutospacing="1" w:afterAutospacing="1"/>
              <w:jc w:val="right"/>
            </w:pPr>
            <w:r>
              <w:rPr>
                <w:color w:val="000000"/>
              </w:rPr>
              <w:t>0</w:t>
            </w:r>
          </w:p>
        </w:tc>
      </w:tr>
      <w:tr w:rsidR="00217A61" w14:paraId="5F9435DF" w14:textId="77777777">
        <w:trPr>
          <w:cantSplit/>
        </w:trPr>
        <w:tc>
          <w:tcPr>
            <w:tcW w:w="3600" w:type="dxa"/>
          </w:tcPr>
          <w:p w14:paraId="55863E2A" w14:textId="77777777" w:rsidR="00217A61" w:rsidRDefault="001C2695">
            <w:pPr>
              <w:spacing w:beforeAutospacing="1" w:afterAutospacing="1"/>
            </w:pPr>
            <w:r>
              <w:rPr>
                <w:color w:val="000000"/>
              </w:rPr>
              <w:t>White</w:t>
            </w:r>
          </w:p>
        </w:tc>
        <w:tc>
          <w:tcPr>
            <w:tcW w:w="1996" w:type="dxa"/>
            <w:vAlign w:val="bottom"/>
          </w:tcPr>
          <w:p w14:paraId="1A0BBAE9" w14:textId="77777777" w:rsidR="00217A61" w:rsidRDefault="001C2695">
            <w:pPr>
              <w:spacing w:beforeAutospacing="1" w:afterAutospacing="1"/>
              <w:jc w:val="right"/>
            </w:pPr>
            <w:r>
              <w:rPr>
                <w:color w:val="000000"/>
              </w:rPr>
              <w:t>173,777</w:t>
            </w:r>
          </w:p>
        </w:tc>
        <w:tc>
          <w:tcPr>
            <w:tcW w:w="1997" w:type="dxa"/>
            <w:vAlign w:val="bottom"/>
          </w:tcPr>
          <w:p w14:paraId="4F0E3477" w14:textId="77777777" w:rsidR="00217A61" w:rsidRDefault="001C2695">
            <w:pPr>
              <w:spacing w:beforeAutospacing="1" w:afterAutospacing="1"/>
              <w:jc w:val="right"/>
            </w:pPr>
            <w:r>
              <w:rPr>
                <w:color w:val="000000"/>
              </w:rPr>
              <w:t>245,275</w:t>
            </w:r>
          </w:p>
        </w:tc>
        <w:tc>
          <w:tcPr>
            <w:tcW w:w="1997" w:type="dxa"/>
            <w:vAlign w:val="bottom"/>
          </w:tcPr>
          <w:p w14:paraId="6EFF9F6E" w14:textId="77777777" w:rsidR="00217A61" w:rsidRDefault="001C2695">
            <w:pPr>
              <w:spacing w:beforeAutospacing="1" w:afterAutospacing="1"/>
              <w:jc w:val="right"/>
            </w:pPr>
            <w:r>
              <w:rPr>
                <w:color w:val="000000"/>
              </w:rPr>
              <w:t>0</w:t>
            </w:r>
          </w:p>
        </w:tc>
      </w:tr>
      <w:tr w:rsidR="00217A61" w14:paraId="45A1B5DC" w14:textId="77777777">
        <w:trPr>
          <w:cantSplit/>
        </w:trPr>
        <w:tc>
          <w:tcPr>
            <w:tcW w:w="3600" w:type="dxa"/>
          </w:tcPr>
          <w:p w14:paraId="53E3900A" w14:textId="77777777" w:rsidR="00217A61" w:rsidRDefault="001C2695">
            <w:pPr>
              <w:spacing w:beforeAutospacing="1" w:afterAutospacing="1"/>
            </w:pPr>
            <w:r>
              <w:rPr>
                <w:color w:val="000000"/>
              </w:rPr>
              <w:t>Black / African American</w:t>
            </w:r>
          </w:p>
        </w:tc>
        <w:tc>
          <w:tcPr>
            <w:tcW w:w="1996" w:type="dxa"/>
            <w:vAlign w:val="bottom"/>
          </w:tcPr>
          <w:p w14:paraId="5C19BC47" w14:textId="77777777" w:rsidR="00217A61" w:rsidRDefault="001C2695">
            <w:pPr>
              <w:spacing w:beforeAutospacing="1" w:afterAutospacing="1"/>
              <w:jc w:val="right"/>
            </w:pPr>
            <w:r>
              <w:rPr>
                <w:color w:val="000000"/>
              </w:rPr>
              <w:t>80,787</w:t>
            </w:r>
          </w:p>
        </w:tc>
        <w:tc>
          <w:tcPr>
            <w:tcW w:w="1997" w:type="dxa"/>
            <w:vAlign w:val="bottom"/>
          </w:tcPr>
          <w:p w14:paraId="6258D82B" w14:textId="77777777" w:rsidR="00217A61" w:rsidRDefault="001C2695">
            <w:pPr>
              <w:spacing w:beforeAutospacing="1" w:afterAutospacing="1"/>
              <w:jc w:val="right"/>
            </w:pPr>
            <w:r>
              <w:rPr>
                <w:color w:val="000000"/>
              </w:rPr>
              <w:t>79,340</w:t>
            </w:r>
          </w:p>
        </w:tc>
        <w:tc>
          <w:tcPr>
            <w:tcW w:w="1997" w:type="dxa"/>
            <w:vAlign w:val="bottom"/>
          </w:tcPr>
          <w:p w14:paraId="0569C470" w14:textId="77777777" w:rsidR="00217A61" w:rsidRDefault="001C2695">
            <w:pPr>
              <w:spacing w:beforeAutospacing="1" w:afterAutospacing="1"/>
              <w:jc w:val="right"/>
            </w:pPr>
            <w:r>
              <w:rPr>
                <w:color w:val="000000"/>
              </w:rPr>
              <w:t>0</w:t>
            </w:r>
          </w:p>
        </w:tc>
      </w:tr>
      <w:tr w:rsidR="00217A61" w14:paraId="7652C0C6" w14:textId="77777777">
        <w:trPr>
          <w:cantSplit/>
        </w:trPr>
        <w:tc>
          <w:tcPr>
            <w:tcW w:w="3600" w:type="dxa"/>
          </w:tcPr>
          <w:p w14:paraId="67CA8319" w14:textId="77777777" w:rsidR="00217A61" w:rsidRDefault="001C2695">
            <w:pPr>
              <w:spacing w:beforeAutospacing="1" w:afterAutospacing="1"/>
            </w:pPr>
            <w:r>
              <w:rPr>
                <w:color w:val="000000"/>
              </w:rPr>
              <w:t>Asian</w:t>
            </w:r>
          </w:p>
        </w:tc>
        <w:tc>
          <w:tcPr>
            <w:tcW w:w="1996" w:type="dxa"/>
            <w:vAlign w:val="bottom"/>
          </w:tcPr>
          <w:p w14:paraId="5F144F8A" w14:textId="77777777" w:rsidR="00217A61" w:rsidRDefault="001C2695">
            <w:pPr>
              <w:spacing w:beforeAutospacing="1" w:afterAutospacing="1"/>
              <w:jc w:val="right"/>
            </w:pPr>
            <w:r>
              <w:rPr>
                <w:color w:val="000000"/>
              </w:rPr>
              <w:t>5,812</w:t>
            </w:r>
          </w:p>
        </w:tc>
        <w:tc>
          <w:tcPr>
            <w:tcW w:w="1997" w:type="dxa"/>
            <w:vAlign w:val="bottom"/>
          </w:tcPr>
          <w:p w14:paraId="293C4BD5" w14:textId="77777777" w:rsidR="00217A61" w:rsidRDefault="001C2695">
            <w:pPr>
              <w:spacing w:beforeAutospacing="1" w:afterAutospacing="1"/>
              <w:jc w:val="right"/>
            </w:pPr>
            <w:r>
              <w:rPr>
                <w:color w:val="000000"/>
              </w:rPr>
              <w:t>4,944</w:t>
            </w:r>
          </w:p>
        </w:tc>
        <w:tc>
          <w:tcPr>
            <w:tcW w:w="1997" w:type="dxa"/>
            <w:vAlign w:val="bottom"/>
          </w:tcPr>
          <w:p w14:paraId="0935F709" w14:textId="77777777" w:rsidR="00217A61" w:rsidRDefault="001C2695">
            <w:pPr>
              <w:spacing w:beforeAutospacing="1" w:afterAutospacing="1"/>
              <w:jc w:val="right"/>
            </w:pPr>
            <w:r>
              <w:rPr>
                <w:color w:val="000000"/>
              </w:rPr>
              <w:t>0</w:t>
            </w:r>
          </w:p>
        </w:tc>
      </w:tr>
      <w:tr w:rsidR="00217A61" w14:paraId="2BA726BC" w14:textId="77777777">
        <w:trPr>
          <w:cantSplit/>
        </w:trPr>
        <w:tc>
          <w:tcPr>
            <w:tcW w:w="3600" w:type="dxa"/>
          </w:tcPr>
          <w:p w14:paraId="5FBA6816" w14:textId="77777777" w:rsidR="00217A61" w:rsidRDefault="001C2695">
            <w:pPr>
              <w:spacing w:beforeAutospacing="1" w:afterAutospacing="1"/>
            </w:pPr>
            <w:r>
              <w:rPr>
                <w:color w:val="000000"/>
              </w:rPr>
              <w:t>American Indian, Alaska Native</w:t>
            </w:r>
          </w:p>
        </w:tc>
        <w:tc>
          <w:tcPr>
            <w:tcW w:w="1996" w:type="dxa"/>
            <w:vAlign w:val="bottom"/>
          </w:tcPr>
          <w:p w14:paraId="0D37ED16" w14:textId="77777777" w:rsidR="00217A61" w:rsidRDefault="001C2695">
            <w:pPr>
              <w:spacing w:beforeAutospacing="1" w:afterAutospacing="1"/>
              <w:jc w:val="right"/>
            </w:pPr>
            <w:r>
              <w:rPr>
                <w:color w:val="000000"/>
              </w:rPr>
              <w:t>2,809</w:t>
            </w:r>
          </w:p>
        </w:tc>
        <w:tc>
          <w:tcPr>
            <w:tcW w:w="1997" w:type="dxa"/>
            <w:vAlign w:val="bottom"/>
          </w:tcPr>
          <w:p w14:paraId="358F1758" w14:textId="77777777" w:rsidR="00217A61" w:rsidRDefault="001C2695">
            <w:pPr>
              <w:spacing w:beforeAutospacing="1" w:afterAutospacing="1"/>
              <w:jc w:val="right"/>
            </w:pPr>
            <w:r>
              <w:rPr>
                <w:color w:val="000000"/>
              </w:rPr>
              <w:t>4,315</w:t>
            </w:r>
          </w:p>
        </w:tc>
        <w:tc>
          <w:tcPr>
            <w:tcW w:w="1997" w:type="dxa"/>
            <w:vAlign w:val="bottom"/>
          </w:tcPr>
          <w:p w14:paraId="4D7F6734" w14:textId="77777777" w:rsidR="00217A61" w:rsidRDefault="001C2695">
            <w:pPr>
              <w:spacing w:beforeAutospacing="1" w:afterAutospacing="1"/>
              <w:jc w:val="right"/>
            </w:pPr>
            <w:r>
              <w:rPr>
                <w:color w:val="000000"/>
              </w:rPr>
              <w:t>0</w:t>
            </w:r>
          </w:p>
        </w:tc>
      </w:tr>
      <w:tr w:rsidR="00217A61" w14:paraId="754F1566" w14:textId="77777777">
        <w:trPr>
          <w:cantSplit/>
        </w:trPr>
        <w:tc>
          <w:tcPr>
            <w:tcW w:w="3600" w:type="dxa"/>
          </w:tcPr>
          <w:p w14:paraId="4685C2E7" w14:textId="77777777" w:rsidR="00217A61" w:rsidRDefault="001C2695">
            <w:pPr>
              <w:spacing w:beforeAutospacing="1" w:afterAutospacing="1"/>
            </w:pPr>
            <w:r>
              <w:rPr>
                <w:color w:val="000000"/>
              </w:rPr>
              <w:t>Pacific Islander</w:t>
            </w:r>
          </w:p>
        </w:tc>
        <w:tc>
          <w:tcPr>
            <w:tcW w:w="1996" w:type="dxa"/>
            <w:vAlign w:val="bottom"/>
          </w:tcPr>
          <w:p w14:paraId="1492F222" w14:textId="77777777" w:rsidR="00217A61" w:rsidRDefault="001C2695">
            <w:pPr>
              <w:spacing w:beforeAutospacing="1" w:afterAutospacing="1"/>
              <w:jc w:val="right"/>
            </w:pPr>
            <w:r>
              <w:rPr>
                <w:color w:val="000000"/>
              </w:rPr>
              <w:t>243</w:t>
            </w:r>
          </w:p>
        </w:tc>
        <w:tc>
          <w:tcPr>
            <w:tcW w:w="1997" w:type="dxa"/>
            <w:vAlign w:val="bottom"/>
          </w:tcPr>
          <w:p w14:paraId="645FD080" w14:textId="77777777" w:rsidR="00217A61" w:rsidRDefault="001C2695">
            <w:pPr>
              <w:spacing w:beforeAutospacing="1" w:afterAutospacing="1"/>
              <w:jc w:val="right"/>
            </w:pPr>
            <w:r>
              <w:rPr>
                <w:color w:val="000000"/>
              </w:rPr>
              <w:t>119</w:t>
            </w:r>
          </w:p>
        </w:tc>
        <w:tc>
          <w:tcPr>
            <w:tcW w:w="1997" w:type="dxa"/>
            <w:vAlign w:val="bottom"/>
          </w:tcPr>
          <w:p w14:paraId="4ACEA9A6" w14:textId="77777777" w:rsidR="00217A61" w:rsidRDefault="001C2695">
            <w:pPr>
              <w:spacing w:beforeAutospacing="1" w:afterAutospacing="1"/>
              <w:jc w:val="right"/>
            </w:pPr>
            <w:r>
              <w:rPr>
                <w:color w:val="000000"/>
              </w:rPr>
              <w:t>0</w:t>
            </w:r>
          </w:p>
        </w:tc>
      </w:tr>
      <w:tr w:rsidR="00217A61" w14:paraId="4CF96650" w14:textId="77777777">
        <w:trPr>
          <w:cantSplit/>
        </w:trPr>
        <w:tc>
          <w:tcPr>
            <w:tcW w:w="3600" w:type="dxa"/>
          </w:tcPr>
          <w:p w14:paraId="75F4F0EC" w14:textId="77777777" w:rsidR="00217A61" w:rsidRDefault="001C2695">
            <w:pPr>
              <w:spacing w:beforeAutospacing="1" w:afterAutospacing="1"/>
            </w:pPr>
            <w:r>
              <w:rPr>
                <w:color w:val="000000"/>
              </w:rPr>
              <w:t>Hispanic</w:t>
            </w:r>
          </w:p>
        </w:tc>
        <w:tc>
          <w:tcPr>
            <w:tcW w:w="1996" w:type="dxa"/>
            <w:vAlign w:val="bottom"/>
          </w:tcPr>
          <w:p w14:paraId="50CB8C23" w14:textId="77777777" w:rsidR="00217A61" w:rsidRDefault="001C2695">
            <w:pPr>
              <w:spacing w:beforeAutospacing="1" w:afterAutospacing="1"/>
              <w:jc w:val="right"/>
            </w:pPr>
            <w:r>
              <w:rPr>
                <w:color w:val="000000"/>
              </w:rPr>
              <w:t>25,593</w:t>
            </w:r>
          </w:p>
        </w:tc>
        <w:tc>
          <w:tcPr>
            <w:tcW w:w="1997" w:type="dxa"/>
            <w:vAlign w:val="bottom"/>
          </w:tcPr>
          <w:p w14:paraId="2BCC050A" w14:textId="77777777" w:rsidR="00217A61" w:rsidRDefault="001C2695">
            <w:pPr>
              <w:spacing w:beforeAutospacing="1" w:afterAutospacing="1"/>
              <w:jc w:val="right"/>
            </w:pPr>
            <w:r>
              <w:rPr>
                <w:color w:val="000000"/>
              </w:rPr>
              <w:t>27,952</w:t>
            </w:r>
          </w:p>
        </w:tc>
        <w:tc>
          <w:tcPr>
            <w:tcW w:w="1997" w:type="dxa"/>
            <w:vAlign w:val="bottom"/>
          </w:tcPr>
          <w:p w14:paraId="4CEA20CE" w14:textId="77777777" w:rsidR="00217A61" w:rsidRDefault="001C2695">
            <w:pPr>
              <w:spacing w:beforeAutospacing="1" w:afterAutospacing="1"/>
              <w:jc w:val="right"/>
            </w:pPr>
            <w:r>
              <w:rPr>
                <w:color w:val="000000"/>
              </w:rPr>
              <w:t>0</w:t>
            </w:r>
          </w:p>
        </w:tc>
      </w:tr>
    </w:tbl>
    <w:p w14:paraId="16D6DEFC"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Disproportionally Greater Need 50 - 80%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217A61" w14:paraId="250C6C18" w14:textId="77777777">
        <w:trPr>
          <w:cantSplit/>
        </w:trPr>
        <w:tc>
          <w:tcPr>
            <w:tcW w:w="1080" w:type="dxa"/>
          </w:tcPr>
          <w:p w14:paraId="4C352DCE" w14:textId="77777777" w:rsidR="00217A61" w:rsidRDefault="001C2695">
            <w:pPr>
              <w:spacing w:after="0" w:line="240" w:lineRule="auto"/>
              <w:rPr>
                <w:sz w:val="16"/>
                <w:szCs w:val="16"/>
              </w:rPr>
            </w:pPr>
            <w:r>
              <w:rPr>
                <w:b/>
                <w:bCs/>
                <w:sz w:val="16"/>
                <w:szCs w:val="16"/>
              </w:rPr>
              <w:t>Data Source:</w:t>
            </w:r>
          </w:p>
        </w:tc>
        <w:tc>
          <w:tcPr>
            <w:tcW w:w="8510" w:type="dxa"/>
          </w:tcPr>
          <w:p w14:paraId="2F2B23E2" w14:textId="77777777" w:rsidR="00217A61" w:rsidRDefault="001C2695">
            <w:pPr>
              <w:spacing w:beforeAutospacing="1" w:afterAutospacing="1"/>
              <w:rPr>
                <w:sz w:val="16"/>
                <w:szCs w:val="16"/>
              </w:rPr>
            </w:pPr>
            <w:r>
              <w:rPr>
                <w:sz w:val="16"/>
                <w:szCs w:val="16"/>
              </w:rPr>
              <w:t>2011-2015 CHAS</w:t>
            </w:r>
          </w:p>
        </w:tc>
      </w:tr>
    </w:tbl>
    <w:p w14:paraId="689BAA23" w14:textId="77777777" w:rsidR="00217A61" w:rsidRDefault="00217A61">
      <w:pPr>
        <w:spacing w:after="0" w:line="240" w:lineRule="auto"/>
        <w:rPr>
          <w:vanish/>
        </w:rPr>
      </w:pPr>
    </w:p>
    <w:p w14:paraId="36DADD41" w14:textId="77777777" w:rsidR="00217A61" w:rsidRDefault="00217A61">
      <w:pPr>
        <w:spacing w:after="0" w:line="240" w:lineRule="auto"/>
        <w:rPr>
          <w:b/>
          <w:bCs/>
          <w:vanish/>
          <w:sz w:val="16"/>
          <w:szCs w:val="16"/>
        </w:rPr>
      </w:pPr>
    </w:p>
    <w:p w14:paraId="0566C69B" w14:textId="77777777" w:rsidR="00217A61" w:rsidRDefault="00217A61">
      <w:pPr>
        <w:spacing w:after="0" w:line="240" w:lineRule="auto"/>
      </w:pPr>
    </w:p>
    <w:p w14:paraId="52DDE06E" w14:textId="77777777" w:rsidR="00217A61" w:rsidRDefault="001C2695">
      <w:pPr>
        <w:spacing w:after="0" w:line="240" w:lineRule="auto"/>
      </w:pPr>
      <w:r>
        <w:t xml:space="preserve">*The four housing problems are: </w:t>
      </w:r>
    </w:p>
    <w:p w14:paraId="24F7B7AD" w14:textId="77777777" w:rsidR="00217A61" w:rsidRDefault="001C2695">
      <w:r>
        <w:t xml:space="preserve">1. Lacks complete kitchen facilities, 2. Lacks complete plumbing facilities, 3. More than one person per room, </w:t>
      </w:r>
      <w:proofErr w:type="gramStart"/>
      <w:r>
        <w:t>4.Cost</w:t>
      </w:r>
      <w:proofErr w:type="gramEnd"/>
      <w:r>
        <w:t xml:space="preserve"> Burden greater than 30%</w:t>
      </w:r>
    </w:p>
    <w:p w14:paraId="4E4E27E9" w14:textId="77777777" w:rsidR="00217A61" w:rsidRDefault="001C2695">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217A61" w14:paraId="60421D33" w14:textId="77777777">
        <w:trPr>
          <w:cantSplit/>
          <w:tblHeader/>
        </w:trPr>
        <w:tc>
          <w:tcPr>
            <w:tcW w:w="3600" w:type="dxa"/>
          </w:tcPr>
          <w:p w14:paraId="275DFB19" w14:textId="77777777" w:rsidR="00217A61" w:rsidRDefault="001C2695">
            <w:pPr>
              <w:keepNext/>
              <w:widowControl w:val="0"/>
              <w:spacing w:after="0" w:line="240" w:lineRule="auto"/>
              <w:jc w:val="center"/>
              <w:rPr>
                <w:b/>
              </w:rPr>
            </w:pPr>
            <w:r>
              <w:rPr>
                <w:b/>
                <w:bCs/>
              </w:rPr>
              <w:t>Housing Problems</w:t>
            </w:r>
          </w:p>
        </w:tc>
        <w:tc>
          <w:tcPr>
            <w:tcW w:w="1996" w:type="dxa"/>
          </w:tcPr>
          <w:p w14:paraId="5B76C5AC" w14:textId="77777777" w:rsidR="00217A61" w:rsidRDefault="001C2695">
            <w:pPr>
              <w:keepNext/>
              <w:widowControl w:val="0"/>
              <w:spacing w:after="0" w:line="240" w:lineRule="auto"/>
              <w:jc w:val="center"/>
              <w:rPr>
                <w:b/>
              </w:rPr>
            </w:pPr>
            <w:r>
              <w:rPr>
                <w:b/>
                <w:bCs/>
              </w:rPr>
              <w:t>Has one or more of four housing p</w:t>
            </w:r>
            <w:r>
              <w:rPr>
                <w:b/>
                <w:bCs/>
              </w:rPr>
              <w:t>roblems</w:t>
            </w:r>
          </w:p>
        </w:tc>
        <w:tc>
          <w:tcPr>
            <w:tcW w:w="1997" w:type="dxa"/>
          </w:tcPr>
          <w:p w14:paraId="768A3E48" w14:textId="77777777" w:rsidR="00217A61" w:rsidRDefault="001C2695">
            <w:pPr>
              <w:keepNext/>
              <w:widowControl w:val="0"/>
              <w:spacing w:after="0" w:line="240" w:lineRule="auto"/>
              <w:jc w:val="center"/>
              <w:rPr>
                <w:b/>
              </w:rPr>
            </w:pPr>
            <w:r>
              <w:rPr>
                <w:b/>
                <w:bCs/>
              </w:rPr>
              <w:t>Has none of the four housing problems</w:t>
            </w:r>
          </w:p>
        </w:tc>
        <w:tc>
          <w:tcPr>
            <w:tcW w:w="1997" w:type="dxa"/>
          </w:tcPr>
          <w:p w14:paraId="30845874" w14:textId="77777777" w:rsidR="00217A61" w:rsidRDefault="001C2695">
            <w:pPr>
              <w:keepNext/>
              <w:widowControl w:val="0"/>
              <w:spacing w:after="0" w:line="240" w:lineRule="auto"/>
              <w:jc w:val="center"/>
              <w:rPr>
                <w:b/>
              </w:rPr>
            </w:pPr>
            <w:r>
              <w:rPr>
                <w:b/>
                <w:bCs/>
              </w:rPr>
              <w:t>Household has no/negative income, but none of the other housing problems</w:t>
            </w:r>
          </w:p>
        </w:tc>
      </w:tr>
      <w:tr w:rsidR="00217A61" w14:paraId="2EFCF4D2" w14:textId="77777777">
        <w:trPr>
          <w:cantSplit/>
        </w:trPr>
        <w:tc>
          <w:tcPr>
            <w:tcW w:w="3600" w:type="dxa"/>
          </w:tcPr>
          <w:p w14:paraId="63671D2B" w14:textId="77777777" w:rsidR="00217A61" w:rsidRDefault="001C2695">
            <w:pPr>
              <w:spacing w:beforeAutospacing="1" w:afterAutospacing="1"/>
            </w:pPr>
            <w:r>
              <w:rPr>
                <w:color w:val="000000"/>
              </w:rPr>
              <w:t>Jurisdiction as a whole</w:t>
            </w:r>
          </w:p>
        </w:tc>
        <w:tc>
          <w:tcPr>
            <w:tcW w:w="1996" w:type="dxa"/>
            <w:vAlign w:val="bottom"/>
          </w:tcPr>
          <w:p w14:paraId="05D6ED31" w14:textId="77777777" w:rsidR="00217A61" w:rsidRDefault="001C2695">
            <w:pPr>
              <w:spacing w:beforeAutospacing="1" w:afterAutospacing="1"/>
              <w:jc w:val="right"/>
            </w:pPr>
            <w:r>
              <w:rPr>
                <w:color w:val="000000"/>
              </w:rPr>
              <w:t>97,181</w:t>
            </w:r>
          </w:p>
        </w:tc>
        <w:tc>
          <w:tcPr>
            <w:tcW w:w="1997" w:type="dxa"/>
            <w:vAlign w:val="bottom"/>
          </w:tcPr>
          <w:p w14:paraId="215619DD" w14:textId="77777777" w:rsidR="00217A61" w:rsidRDefault="001C2695">
            <w:pPr>
              <w:spacing w:beforeAutospacing="1" w:afterAutospacing="1"/>
              <w:jc w:val="right"/>
            </w:pPr>
            <w:r>
              <w:rPr>
                <w:color w:val="000000"/>
              </w:rPr>
              <w:t>285,914</w:t>
            </w:r>
          </w:p>
        </w:tc>
        <w:tc>
          <w:tcPr>
            <w:tcW w:w="1997" w:type="dxa"/>
            <w:vAlign w:val="bottom"/>
          </w:tcPr>
          <w:p w14:paraId="7F2AFB70" w14:textId="77777777" w:rsidR="00217A61" w:rsidRDefault="001C2695">
            <w:pPr>
              <w:spacing w:beforeAutospacing="1" w:afterAutospacing="1"/>
              <w:jc w:val="right"/>
            </w:pPr>
            <w:r>
              <w:rPr>
                <w:color w:val="000000"/>
              </w:rPr>
              <w:t>0</w:t>
            </w:r>
          </w:p>
        </w:tc>
      </w:tr>
      <w:tr w:rsidR="00217A61" w14:paraId="7971DAA7" w14:textId="77777777">
        <w:trPr>
          <w:cantSplit/>
        </w:trPr>
        <w:tc>
          <w:tcPr>
            <w:tcW w:w="3600" w:type="dxa"/>
          </w:tcPr>
          <w:p w14:paraId="3948DCF4" w14:textId="77777777" w:rsidR="00217A61" w:rsidRDefault="001C2695">
            <w:pPr>
              <w:spacing w:beforeAutospacing="1" w:afterAutospacing="1"/>
            </w:pPr>
            <w:r>
              <w:rPr>
                <w:color w:val="000000"/>
              </w:rPr>
              <w:t>White</w:t>
            </w:r>
          </w:p>
        </w:tc>
        <w:tc>
          <w:tcPr>
            <w:tcW w:w="1996" w:type="dxa"/>
            <w:vAlign w:val="bottom"/>
          </w:tcPr>
          <w:p w14:paraId="3B514D1D" w14:textId="77777777" w:rsidR="00217A61" w:rsidRDefault="001C2695">
            <w:pPr>
              <w:spacing w:beforeAutospacing="1" w:afterAutospacing="1"/>
              <w:jc w:val="right"/>
            </w:pPr>
            <w:r>
              <w:rPr>
                <w:color w:val="000000"/>
              </w:rPr>
              <w:t>65,131</w:t>
            </w:r>
          </w:p>
        </w:tc>
        <w:tc>
          <w:tcPr>
            <w:tcW w:w="1997" w:type="dxa"/>
            <w:vAlign w:val="bottom"/>
          </w:tcPr>
          <w:p w14:paraId="39082E86" w14:textId="77777777" w:rsidR="00217A61" w:rsidRDefault="001C2695">
            <w:pPr>
              <w:spacing w:beforeAutospacing="1" w:afterAutospacing="1"/>
              <w:jc w:val="right"/>
            </w:pPr>
            <w:r>
              <w:rPr>
                <w:color w:val="000000"/>
              </w:rPr>
              <w:t>199,996</w:t>
            </w:r>
          </w:p>
        </w:tc>
        <w:tc>
          <w:tcPr>
            <w:tcW w:w="1997" w:type="dxa"/>
            <w:vAlign w:val="bottom"/>
          </w:tcPr>
          <w:p w14:paraId="09ED8E1E" w14:textId="77777777" w:rsidR="00217A61" w:rsidRDefault="001C2695">
            <w:pPr>
              <w:spacing w:beforeAutospacing="1" w:afterAutospacing="1"/>
              <w:jc w:val="right"/>
            </w:pPr>
            <w:r>
              <w:rPr>
                <w:color w:val="000000"/>
              </w:rPr>
              <w:t>0</w:t>
            </w:r>
          </w:p>
        </w:tc>
      </w:tr>
      <w:tr w:rsidR="00217A61" w14:paraId="74295B74" w14:textId="77777777">
        <w:trPr>
          <w:cantSplit/>
        </w:trPr>
        <w:tc>
          <w:tcPr>
            <w:tcW w:w="3600" w:type="dxa"/>
          </w:tcPr>
          <w:p w14:paraId="1FDE3CFE" w14:textId="77777777" w:rsidR="00217A61" w:rsidRDefault="001C2695">
            <w:pPr>
              <w:spacing w:beforeAutospacing="1" w:afterAutospacing="1"/>
            </w:pPr>
            <w:r>
              <w:rPr>
                <w:color w:val="000000"/>
              </w:rPr>
              <w:t>Black / African American</w:t>
            </w:r>
          </w:p>
        </w:tc>
        <w:tc>
          <w:tcPr>
            <w:tcW w:w="1996" w:type="dxa"/>
            <w:vAlign w:val="bottom"/>
          </w:tcPr>
          <w:p w14:paraId="2BD6ADB9" w14:textId="77777777" w:rsidR="00217A61" w:rsidRDefault="001C2695">
            <w:pPr>
              <w:spacing w:beforeAutospacing="1" w:afterAutospacing="1"/>
              <w:jc w:val="right"/>
            </w:pPr>
            <w:r>
              <w:rPr>
                <w:color w:val="000000"/>
              </w:rPr>
              <w:t>20,862</w:t>
            </w:r>
          </w:p>
        </w:tc>
        <w:tc>
          <w:tcPr>
            <w:tcW w:w="1997" w:type="dxa"/>
            <w:vAlign w:val="bottom"/>
          </w:tcPr>
          <w:p w14:paraId="65D356B1" w14:textId="77777777" w:rsidR="00217A61" w:rsidRDefault="001C2695">
            <w:pPr>
              <w:spacing w:beforeAutospacing="1" w:afterAutospacing="1"/>
              <w:jc w:val="right"/>
            </w:pPr>
            <w:r>
              <w:rPr>
                <w:color w:val="000000"/>
              </w:rPr>
              <w:t>59,996</w:t>
            </w:r>
          </w:p>
        </w:tc>
        <w:tc>
          <w:tcPr>
            <w:tcW w:w="1997" w:type="dxa"/>
            <w:vAlign w:val="bottom"/>
          </w:tcPr>
          <w:p w14:paraId="77B19EE3" w14:textId="77777777" w:rsidR="00217A61" w:rsidRDefault="001C2695">
            <w:pPr>
              <w:spacing w:beforeAutospacing="1" w:afterAutospacing="1"/>
              <w:jc w:val="right"/>
            </w:pPr>
            <w:r>
              <w:rPr>
                <w:color w:val="000000"/>
              </w:rPr>
              <w:t>0</w:t>
            </w:r>
          </w:p>
        </w:tc>
      </w:tr>
      <w:tr w:rsidR="00217A61" w14:paraId="45BEF566" w14:textId="77777777">
        <w:trPr>
          <w:cantSplit/>
        </w:trPr>
        <w:tc>
          <w:tcPr>
            <w:tcW w:w="3600" w:type="dxa"/>
          </w:tcPr>
          <w:p w14:paraId="71A66E0B" w14:textId="77777777" w:rsidR="00217A61" w:rsidRDefault="001C2695">
            <w:pPr>
              <w:spacing w:beforeAutospacing="1" w:afterAutospacing="1"/>
            </w:pPr>
            <w:r>
              <w:rPr>
                <w:color w:val="000000"/>
              </w:rPr>
              <w:lastRenderedPageBreak/>
              <w:t>Asian</w:t>
            </w:r>
          </w:p>
        </w:tc>
        <w:tc>
          <w:tcPr>
            <w:tcW w:w="1996" w:type="dxa"/>
            <w:vAlign w:val="bottom"/>
          </w:tcPr>
          <w:p w14:paraId="18D89469" w14:textId="77777777" w:rsidR="00217A61" w:rsidRDefault="001C2695">
            <w:pPr>
              <w:spacing w:beforeAutospacing="1" w:afterAutospacing="1"/>
              <w:jc w:val="right"/>
            </w:pPr>
            <w:r>
              <w:rPr>
                <w:color w:val="000000"/>
              </w:rPr>
              <w:t>2,005</w:t>
            </w:r>
          </w:p>
        </w:tc>
        <w:tc>
          <w:tcPr>
            <w:tcW w:w="1997" w:type="dxa"/>
            <w:vAlign w:val="bottom"/>
          </w:tcPr>
          <w:p w14:paraId="47C22FB9" w14:textId="77777777" w:rsidR="00217A61" w:rsidRDefault="001C2695">
            <w:pPr>
              <w:spacing w:beforeAutospacing="1" w:afterAutospacing="1"/>
              <w:jc w:val="right"/>
            </w:pPr>
            <w:r>
              <w:rPr>
                <w:color w:val="000000"/>
              </w:rPr>
              <w:t>4,268</w:t>
            </w:r>
          </w:p>
        </w:tc>
        <w:tc>
          <w:tcPr>
            <w:tcW w:w="1997" w:type="dxa"/>
            <w:vAlign w:val="bottom"/>
          </w:tcPr>
          <w:p w14:paraId="7FADB328" w14:textId="77777777" w:rsidR="00217A61" w:rsidRDefault="001C2695">
            <w:pPr>
              <w:spacing w:beforeAutospacing="1" w:afterAutospacing="1"/>
              <w:jc w:val="right"/>
            </w:pPr>
            <w:r>
              <w:rPr>
                <w:color w:val="000000"/>
              </w:rPr>
              <w:t>0</w:t>
            </w:r>
          </w:p>
        </w:tc>
      </w:tr>
      <w:tr w:rsidR="00217A61" w14:paraId="38BE31D1" w14:textId="77777777">
        <w:trPr>
          <w:cantSplit/>
        </w:trPr>
        <w:tc>
          <w:tcPr>
            <w:tcW w:w="3600" w:type="dxa"/>
          </w:tcPr>
          <w:p w14:paraId="49D92B3D" w14:textId="77777777" w:rsidR="00217A61" w:rsidRDefault="001C2695">
            <w:pPr>
              <w:spacing w:beforeAutospacing="1" w:afterAutospacing="1"/>
            </w:pPr>
            <w:r>
              <w:rPr>
                <w:color w:val="000000"/>
              </w:rPr>
              <w:t>American Indian, Alaska Native</w:t>
            </w:r>
          </w:p>
        </w:tc>
        <w:tc>
          <w:tcPr>
            <w:tcW w:w="1996" w:type="dxa"/>
            <w:vAlign w:val="bottom"/>
          </w:tcPr>
          <w:p w14:paraId="2B5C8D31" w14:textId="77777777" w:rsidR="00217A61" w:rsidRDefault="001C2695">
            <w:pPr>
              <w:spacing w:beforeAutospacing="1" w:afterAutospacing="1"/>
              <w:jc w:val="right"/>
            </w:pPr>
            <w:r>
              <w:rPr>
                <w:color w:val="000000"/>
              </w:rPr>
              <w:t>736</w:t>
            </w:r>
          </w:p>
        </w:tc>
        <w:tc>
          <w:tcPr>
            <w:tcW w:w="1997" w:type="dxa"/>
            <w:vAlign w:val="bottom"/>
          </w:tcPr>
          <w:p w14:paraId="18A155F6" w14:textId="77777777" w:rsidR="00217A61" w:rsidRDefault="001C2695">
            <w:pPr>
              <w:spacing w:beforeAutospacing="1" w:afterAutospacing="1"/>
              <w:jc w:val="right"/>
            </w:pPr>
            <w:r>
              <w:rPr>
                <w:color w:val="000000"/>
              </w:rPr>
              <w:t>2,647</w:t>
            </w:r>
          </w:p>
        </w:tc>
        <w:tc>
          <w:tcPr>
            <w:tcW w:w="1997" w:type="dxa"/>
            <w:vAlign w:val="bottom"/>
          </w:tcPr>
          <w:p w14:paraId="006B8AF3" w14:textId="77777777" w:rsidR="00217A61" w:rsidRDefault="001C2695">
            <w:pPr>
              <w:spacing w:beforeAutospacing="1" w:afterAutospacing="1"/>
              <w:jc w:val="right"/>
            </w:pPr>
            <w:r>
              <w:rPr>
                <w:color w:val="000000"/>
              </w:rPr>
              <w:t>0</w:t>
            </w:r>
          </w:p>
        </w:tc>
      </w:tr>
      <w:tr w:rsidR="00217A61" w14:paraId="50CC091B" w14:textId="77777777">
        <w:trPr>
          <w:cantSplit/>
        </w:trPr>
        <w:tc>
          <w:tcPr>
            <w:tcW w:w="3600" w:type="dxa"/>
          </w:tcPr>
          <w:p w14:paraId="7389F8D7" w14:textId="77777777" w:rsidR="00217A61" w:rsidRDefault="001C2695">
            <w:pPr>
              <w:spacing w:beforeAutospacing="1" w:afterAutospacing="1"/>
            </w:pPr>
            <w:r>
              <w:rPr>
                <w:color w:val="000000"/>
              </w:rPr>
              <w:t>Pacific Islander</w:t>
            </w:r>
          </w:p>
        </w:tc>
        <w:tc>
          <w:tcPr>
            <w:tcW w:w="1996" w:type="dxa"/>
            <w:vAlign w:val="bottom"/>
          </w:tcPr>
          <w:p w14:paraId="0F1C3437" w14:textId="77777777" w:rsidR="00217A61" w:rsidRDefault="001C2695">
            <w:pPr>
              <w:spacing w:beforeAutospacing="1" w:afterAutospacing="1"/>
              <w:jc w:val="right"/>
            </w:pPr>
            <w:r>
              <w:rPr>
                <w:color w:val="000000"/>
              </w:rPr>
              <w:t>120</w:t>
            </w:r>
          </w:p>
        </w:tc>
        <w:tc>
          <w:tcPr>
            <w:tcW w:w="1997" w:type="dxa"/>
            <w:vAlign w:val="bottom"/>
          </w:tcPr>
          <w:p w14:paraId="480BC8DE" w14:textId="77777777" w:rsidR="00217A61" w:rsidRDefault="001C2695">
            <w:pPr>
              <w:spacing w:beforeAutospacing="1" w:afterAutospacing="1"/>
              <w:jc w:val="right"/>
            </w:pPr>
            <w:r>
              <w:rPr>
                <w:color w:val="000000"/>
              </w:rPr>
              <w:t>64</w:t>
            </w:r>
          </w:p>
        </w:tc>
        <w:tc>
          <w:tcPr>
            <w:tcW w:w="1997" w:type="dxa"/>
            <w:vAlign w:val="bottom"/>
          </w:tcPr>
          <w:p w14:paraId="0725D0E8" w14:textId="77777777" w:rsidR="00217A61" w:rsidRDefault="001C2695">
            <w:pPr>
              <w:spacing w:beforeAutospacing="1" w:afterAutospacing="1"/>
              <w:jc w:val="right"/>
            </w:pPr>
            <w:r>
              <w:rPr>
                <w:color w:val="000000"/>
              </w:rPr>
              <w:t>0</w:t>
            </w:r>
          </w:p>
        </w:tc>
      </w:tr>
      <w:tr w:rsidR="00217A61" w14:paraId="1EFE4FED" w14:textId="77777777">
        <w:trPr>
          <w:cantSplit/>
        </w:trPr>
        <w:tc>
          <w:tcPr>
            <w:tcW w:w="3600" w:type="dxa"/>
          </w:tcPr>
          <w:p w14:paraId="3E862CD2" w14:textId="77777777" w:rsidR="00217A61" w:rsidRDefault="001C2695">
            <w:pPr>
              <w:spacing w:beforeAutospacing="1" w:afterAutospacing="1"/>
            </w:pPr>
            <w:r>
              <w:rPr>
                <w:color w:val="000000"/>
              </w:rPr>
              <w:t>Hispanic</w:t>
            </w:r>
          </w:p>
        </w:tc>
        <w:tc>
          <w:tcPr>
            <w:tcW w:w="1996" w:type="dxa"/>
            <w:vAlign w:val="bottom"/>
          </w:tcPr>
          <w:p w14:paraId="3C72503A" w14:textId="77777777" w:rsidR="00217A61" w:rsidRDefault="001C2695">
            <w:pPr>
              <w:spacing w:beforeAutospacing="1" w:afterAutospacing="1"/>
              <w:jc w:val="right"/>
            </w:pPr>
            <w:r>
              <w:rPr>
                <w:color w:val="000000"/>
              </w:rPr>
              <w:t>7,089</w:t>
            </w:r>
          </w:p>
        </w:tc>
        <w:tc>
          <w:tcPr>
            <w:tcW w:w="1997" w:type="dxa"/>
            <w:vAlign w:val="bottom"/>
          </w:tcPr>
          <w:p w14:paraId="087C960B" w14:textId="77777777" w:rsidR="00217A61" w:rsidRDefault="001C2695">
            <w:pPr>
              <w:spacing w:beforeAutospacing="1" w:afterAutospacing="1"/>
              <w:jc w:val="right"/>
            </w:pPr>
            <w:r>
              <w:rPr>
                <w:color w:val="000000"/>
              </w:rPr>
              <w:t>16,015</w:t>
            </w:r>
          </w:p>
        </w:tc>
        <w:tc>
          <w:tcPr>
            <w:tcW w:w="1997" w:type="dxa"/>
            <w:vAlign w:val="bottom"/>
          </w:tcPr>
          <w:p w14:paraId="2E94D6B9" w14:textId="77777777" w:rsidR="00217A61" w:rsidRDefault="001C2695">
            <w:pPr>
              <w:spacing w:beforeAutospacing="1" w:afterAutospacing="1"/>
              <w:jc w:val="right"/>
            </w:pPr>
            <w:r>
              <w:rPr>
                <w:color w:val="000000"/>
              </w:rPr>
              <w:t>0</w:t>
            </w:r>
          </w:p>
        </w:tc>
      </w:tr>
    </w:tbl>
    <w:p w14:paraId="1D4CECF9"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Disproportionally Greater Need 80 - 100%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217A61" w14:paraId="24A3AEF6" w14:textId="77777777">
        <w:trPr>
          <w:cantSplit/>
        </w:trPr>
        <w:tc>
          <w:tcPr>
            <w:tcW w:w="1080" w:type="dxa"/>
          </w:tcPr>
          <w:p w14:paraId="2B2BD6F0" w14:textId="77777777" w:rsidR="00217A61" w:rsidRDefault="001C2695">
            <w:pPr>
              <w:spacing w:after="0" w:line="240" w:lineRule="auto"/>
              <w:rPr>
                <w:sz w:val="16"/>
                <w:szCs w:val="16"/>
              </w:rPr>
            </w:pPr>
            <w:r>
              <w:rPr>
                <w:b/>
                <w:bCs/>
                <w:sz w:val="16"/>
                <w:szCs w:val="16"/>
              </w:rPr>
              <w:t>Data Source:</w:t>
            </w:r>
          </w:p>
        </w:tc>
        <w:tc>
          <w:tcPr>
            <w:tcW w:w="8510" w:type="dxa"/>
          </w:tcPr>
          <w:p w14:paraId="4BE17DCB" w14:textId="77777777" w:rsidR="00217A61" w:rsidRDefault="001C2695">
            <w:pPr>
              <w:spacing w:beforeAutospacing="1" w:afterAutospacing="1"/>
              <w:rPr>
                <w:sz w:val="16"/>
                <w:szCs w:val="16"/>
              </w:rPr>
            </w:pPr>
            <w:r>
              <w:rPr>
                <w:sz w:val="16"/>
                <w:szCs w:val="16"/>
              </w:rPr>
              <w:t>2011-2015 CHAS</w:t>
            </w:r>
          </w:p>
        </w:tc>
      </w:tr>
    </w:tbl>
    <w:p w14:paraId="367BE185" w14:textId="77777777" w:rsidR="00217A61" w:rsidRDefault="00217A61">
      <w:pPr>
        <w:spacing w:after="0" w:line="240" w:lineRule="auto"/>
        <w:rPr>
          <w:vanish/>
        </w:rPr>
      </w:pPr>
    </w:p>
    <w:p w14:paraId="4987701A" w14:textId="77777777" w:rsidR="00217A61" w:rsidRDefault="00217A61">
      <w:pPr>
        <w:spacing w:after="0" w:line="240" w:lineRule="auto"/>
        <w:rPr>
          <w:b/>
          <w:bCs/>
          <w:vanish/>
          <w:sz w:val="16"/>
          <w:szCs w:val="16"/>
        </w:rPr>
      </w:pPr>
    </w:p>
    <w:p w14:paraId="6BE4658B" w14:textId="77777777" w:rsidR="00217A61" w:rsidRDefault="00217A61">
      <w:pPr>
        <w:spacing w:after="0" w:line="240" w:lineRule="auto"/>
      </w:pPr>
    </w:p>
    <w:p w14:paraId="34186601" w14:textId="77777777" w:rsidR="00217A61" w:rsidRDefault="001C2695">
      <w:pPr>
        <w:spacing w:after="0" w:line="240" w:lineRule="auto"/>
      </w:pPr>
      <w:r>
        <w:t xml:space="preserve">*The four housing problems are: </w:t>
      </w:r>
    </w:p>
    <w:p w14:paraId="270E0C68" w14:textId="77777777" w:rsidR="00217A61" w:rsidRDefault="001C2695">
      <w:r>
        <w:t xml:space="preserve">1. Lacks complete kitchen facilities, 2. Lacks complete plumbing facilities, 3. More than one person per room, </w:t>
      </w:r>
      <w:proofErr w:type="gramStart"/>
      <w:r>
        <w:t>4.Cost</w:t>
      </w:r>
      <w:proofErr w:type="gramEnd"/>
      <w:r>
        <w:t xml:space="preserve"> Burden greater than 30%</w:t>
      </w:r>
    </w:p>
    <w:p w14:paraId="60FEB5AA" w14:textId="77777777" w:rsidR="00217A61" w:rsidRDefault="001C2695">
      <w:pPr>
        <w:spacing w:line="204" w:lineRule="auto"/>
        <w:rPr>
          <w:b/>
          <w:sz w:val="24"/>
          <w:szCs w:val="24"/>
        </w:rPr>
      </w:pPr>
      <w:r>
        <w:rPr>
          <w:b/>
          <w:sz w:val="24"/>
          <w:szCs w:val="24"/>
        </w:rPr>
        <w:t>Discussion</w:t>
      </w:r>
    </w:p>
    <w:p w14:paraId="268C2A54" w14:textId="77777777" w:rsidR="00217A61" w:rsidRDefault="001C2695">
      <w:pPr>
        <w:spacing w:beforeAutospacing="1" w:afterAutospacing="1"/>
        <w:rPr>
          <w:b/>
          <w:sz w:val="24"/>
          <w:szCs w:val="24"/>
        </w:rPr>
      </w:pPr>
      <w:r>
        <w:rPr>
          <w:rFonts w:cs="Arial"/>
        </w:rPr>
        <w:t>There are roughly 360,000 extremely low-income households (earning 0-3</w:t>
      </w:r>
      <w:r>
        <w:rPr>
          <w:rFonts w:cs="Arial"/>
        </w:rPr>
        <w:t>0% AMI) in North Carolina with one or more housing problems. This is 75% of the approximately 482,000 extremely-low-income households in the state. Extremely low-income Hispanic households are disproportionately affected, with 86% experiencing 1 or more ho</w:t>
      </w:r>
      <w:r>
        <w:rPr>
          <w:rFonts w:cs="Arial"/>
        </w:rPr>
        <w:t xml:space="preserve">using problems. </w:t>
      </w:r>
    </w:p>
    <w:p w14:paraId="6A409DBF" w14:textId="77777777" w:rsidR="00217A61" w:rsidRDefault="001C2695">
      <w:pPr>
        <w:spacing w:beforeAutospacing="1" w:afterAutospacing="1"/>
        <w:rPr>
          <w:b/>
          <w:sz w:val="24"/>
          <w:szCs w:val="24"/>
        </w:rPr>
      </w:pPr>
      <w:r>
        <w:rPr>
          <w:rFonts w:cs="Arial"/>
        </w:rPr>
        <w:t>There are approximately 315,000 very low-income households (earning 30-50% AMI) in North Carolina with one or more housing problems; this is 67% of the very low-income households. Pacific Islander and Asian households experience the greate</w:t>
      </w:r>
      <w:r>
        <w:rPr>
          <w:rFonts w:cs="Arial"/>
        </w:rPr>
        <w:t xml:space="preserve">st disproportionate need in this income category, with 89% and 82% experiencing one or more housing problems, respectively. </w:t>
      </w:r>
    </w:p>
    <w:p w14:paraId="4BF0A24B" w14:textId="77777777" w:rsidR="00217A61" w:rsidRDefault="001C2695">
      <w:pPr>
        <w:spacing w:beforeAutospacing="1" w:afterAutospacing="1"/>
        <w:rPr>
          <w:b/>
          <w:sz w:val="24"/>
          <w:szCs w:val="24"/>
        </w:rPr>
      </w:pPr>
      <w:r>
        <w:rPr>
          <w:rFonts w:cs="Arial"/>
        </w:rPr>
        <w:t>There are nearly 293,000 low-income households (earning 50-80% AMI) in North Carolina with one or more housing problems, which tota</w:t>
      </w:r>
      <w:r>
        <w:rPr>
          <w:rFonts w:cs="Arial"/>
        </w:rPr>
        <w:t xml:space="preserve">ls 44% of the low-income households. Pacific Islander households have the most disproportionate need, with 67% experiencing one or more housing problems. This is followed by Asian households at 54%. </w:t>
      </w:r>
    </w:p>
    <w:p w14:paraId="698F0563" w14:textId="77777777" w:rsidR="00217A61" w:rsidRDefault="001C2695">
      <w:pPr>
        <w:spacing w:beforeAutospacing="1" w:afterAutospacing="1"/>
        <w:rPr>
          <w:b/>
          <w:sz w:val="24"/>
          <w:szCs w:val="24"/>
        </w:rPr>
      </w:pPr>
      <w:r>
        <w:rPr>
          <w:rFonts w:cs="Arial"/>
        </w:rPr>
        <w:t>There are approximately 97,000 moderate-income households (earning 80-100% AMI) in North Carolina with one or more housing problems. This represents 25% of the moderate-income population. Pacific Islander households experience the greatest proportionate ne</w:t>
      </w:r>
      <w:r>
        <w:rPr>
          <w:rFonts w:cs="Arial"/>
        </w:rPr>
        <w:t>ed, with 65% experiencing one or more housing problems.</w:t>
      </w:r>
    </w:p>
    <w:p w14:paraId="2ECEA79E" w14:textId="77777777" w:rsidR="00217A61" w:rsidRDefault="001C2695">
      <w:pPr>
        <w:pStyle w:val="Heading2"/>
        <w:pageBreakBefore/>
        <w:rPr>
          <w:rFonts w:ascii="Calibri" w:hAnsi="Calibri"/>
          <w:i w:val="0"/>
        </w:rPr>
      </w:pPr>
      <w:r>
        <w:rPr>
          <w:rFonts w:ascii="Calibri" w:hAnsi="Calibri"/>
          <w:i w:val="0"/>
        </w:rPr>
        <w:lastRenderedPageBreak/>
        <w:t>NA-20 Disproportionately Greater Need: Severe Housing Problems – 91.305(b)(2)</w:t>
      </w:r>
    </w:p>
    <w:p w14:paraId="49012D84" w14:textId="77777777" w:rsidR="00217A61" w:rsidRDefault="001C2695">
      <w:r>
        <w:t xml:space="preserve">Assess the need of any racial or ethnic group that has disproportionately greater need in comparison to the needs of that </w:t>
      </w:r>
      <w:r>
        <w:t xml:space="preserve">category of </w:t>
      </w:r>
      <w:proofErr w:type="gramStart"/>
      <w:r>
        <w:t>need as a whole</w:t>
      </w:r>
      <w:proofErr w:type="gramEnd"/>
      <w:r>
        <w:t>.</w:t>
      </w:r>
    </w:p>
    <w:p w14:paraId="4D3C07FB" w14:textId="77777777" w:rsidR="00217A61" w:rsidRDefault="001C2695">
      <w:pPr>
        <w:spacing w:line="204" w:lineRule="auto"/>
        <w:rPr>
          <w:b/>
          <w:sz w:val="24"/>
          <w:szCs w:val="24"/>
        </w:rPr>
      </w:pPr>
      <w:r>
        <w:rPr>
          <w:b/>
          <w:sz w:val="24"/>
          <w:szCs w:val="24"/>
        </w:rPr>
        <w:t>Introduction</w:t>
      </w:r>
    </w:p>
    <w:p w14:paraId="130AF8A9" w14:textId="77777777" w:rsidR="00217A61" w:rsidRDefault="001C2695">
      <w:pPr>
        <w:spacing w:beforeAutospacing="1" w:afterAutospacing="1"/>
        <w:rPr>
          <w:b/>
          <w:sz w:val="24"/>
          <w:szCs w:val="24"/>
        </w:rPr>
      </w:pPr>
      <w:r>
        <w:rPr>
          <w:rFonts w:cs="Arial"/>
        </w:rPr>
        <w:t>North Carolinians that experience severe housing problems also vary according to income and race/ethnicity patterns.</w:t>
      </w:r>
    </w:p>
    <w:p w14:paraId="26F22205" w14:textId="77777777" w:rsidR="00217A61" w:rsidRDefault="001C2695">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217A61" w14:paraId="35874786" w14:textId="77777777">
        <w:trPr>
          <w:cantSplit/>
          <w:tblHeader/>
        </w:trPr>
        <w:tc>
          <w:tcPr>
            <w:tcW w:w="3600" w:type="dxa"/>
          </w:tcPr>
          <w:p w14:paraId="320FDD41" w14:textId="77777777" w:rsidR="00217A61" w:rsidRDefault="001C2695">
            <w:pPr>
              <w:keepNext/>
              <w:widowControl w:val="0"/>
              <w:spacing w:after="0" w:line="240" w:lineRule="auto"/>
              <w:jc w:val="center"/>
              <w:rPr>
                <w:b/>
              </w:rPr>
            </w:pPr>
            <w:r>
              <w:rPr>
                <w:b/>
                <w:bCs/>
              </w:rPr>
              <w:t>Severe Housing Problems*</w:t>
            </w:r>
          </w:p>
        </w:tc>
        <w:tc>
          <w:tcPr>
            <w:tcW w:w="1996" w:type="dxa"/>
          </w:tcPr>
          <w:p w14:paraId="25A7CC60" w14:textId="77777777" w:rsidR="00217A61" w:rsidRDefault="001C2695">
            <w:pPr>
              <w:keepNext/>
              <w:widowControl w:val="0"/>
              <w:spacing w:after="0" w:line="240" w:lineRule="auto"/>
              <w:jc w:val="center"/>
              <w:rPr>
                <w:b/>
              </w:rPr>
            </w:pPr>
            <w:r>
              <w:rPr>
                <w:b/>
                <w:bCs/>
              </w:rPr>
              <w:t>Has one or more of four housing problems</w:t>
            </w:r>
          </w:p>
        </w:tc>
        <w:tc>
          <w:tcPr>
            <w:tcW w:w="1997" w:type="dxa"/>
          </w:tcPr>
          <w:p w14:paraId="31583679" w14:textId="77777777" w:rsidR="00217A61" w:rsidRDefault="001C2695">
            <w:pPr>
              <w:keepNext/>
              <w:widowControl w:val="0"/>
              <w:spacing w:after="0" w:line="240" w:lineRule="auto"/>
              <w:jc w:val="center"/>
              <w:rPr>
                <w:b/>
              </w:rPr>
            </w:pPr>
            <w:r>
              <w:rPr>
                <w:b/>
                <w:bCs/>
              </w:rPr>
              <w:t>Has none of the four housing problems</w:t>
            </w:r>
          </w:p>
        </w:tc>
        <w:tc>
          <w:tcPr>
            <w:tcW w:w="1997" w:type="dxa"/>
          </w:tcPr>
          <w:p w14:paraId="202E9142" w14:textId="77777777" w:rsidR="00217A61" w:rsidRDefault="001C2695">
            <w:pPr>
              <w:keepNext/>
              <w:widowControl w:val="0"/>
              <w:spacing w:after="0" w:line="240" w:lineRule="auto"/>
              <w:jc w:val="center"/>
              <w:rPr>
                <w:b/>
              </w:rPr>
            </w:pPr>
            <w:r>
              <w:rPr>
                <w:b/>
                <w:bCs/>
              </w:rPr>
              <w:t>Household has no/negative income, but none of the other housing problems</w:t>
            </w:r>
          </w:p>
        </w:tc>
      </w:tr>
      <w:tr w:rsidR="00217A61" w14:paraId="55143B8F" w14:textId="77777777">
        <w:trPr>
          <w:cantSplit/>
        </w:trPr>
        <w:tc>
          <w:tcPr>
            <w:tcW w:w="3600" w:type="dxa"/>
          </w:tcPr>
          <w:p w14:paraId="21CFC283" w14:textId="77777777" w:rsidR="00217A61" w:rsidRDefault="001C2695">
            <w:pPr>
              <w:spacing w:beforeAutospacing="1" w:afterAutospacing="1"/>
            </w:pPr>
            <w:r>
              <w:rPr>
                <w:color w:val="000000"/>
              </w:rPr>
              <w:t>Jurisdiction as a whole</w:t>
            </w:r>
          </w:p>
        </w:tc>
        <w:tc>
          <w:tcPr>
            <w:tcW w:w="1996" w:type="dxa"/>
            <w:vAlign w:val="bottom"/>
          </w:tcPr>
          <w:p w14:paraId="3A65E578" w14:textId="77777777" w:rsidR="00217A61" w:rsidRDefault="001C2695">
            <w:pPr>
              <w:spacing w:beforeAutospacing="1" w:afterAutospacing="1"/>
              <w:jc w:val="right"/>
            </w:pPr>
            <w:r>
              <w:rPr>
                <w:color w:val="000000"/>
              </w:rPr>
              <w:t>303,116</w:t>
            </w:r>
          </w:p>
        </w:tc>
        <w:tc>
          <w:tcPr>
            <w:tcW w:w="1997" w:type="dxa"/>
            <w:vAlign w:val="bottom"/>
          </w:tcPr>
          <w:p w14:paraId="72210A2D" w14:textId="77777777" w:rsidR="00217A61" w:rsidRDefault="001C2695">
            <w:pPr>
              <w:spacing w:beforeAutospacing="1" w:afterAutospacing="1"/>
              <w:jc w:val="right"/>
            </w:pPr>
            <w:r>
              <w:rPr>
                <w:color w:val="000000"/>
              </w:rPr>
              <w:t>123,868</w:t>
            </w:r>
          </w:p>
        </w:tc>
        <w:tc>
          <w:tcPr>
            <w:tcW w:w="1997" w:type="dxa"/>
            <w:vAlign w:val="bottom"/>
          </w:tcPr>
          <w:p w14:paraId="78905B87" w14:textId="77777777" w:rsidR="00217A61" w:rsidRDefault="001C2695">
            <w:pPr>
              <w:spacing w:beforeAutospacing="1" w:afterAutospacing="1"/>
              <w:jc w:val="right"/>
            </w:pPr>
            <w:r>
              <w:rPr>
                <w:color w:val="000000"/>
              </w:rPr>
              <w:t>54,719</w:t>
            </w:r>
          </w:p>
        </w:tc>
      </w:tr>
      <w:tr w:rsidR="00217A61" w14:paraId="15D2930A" w14:textId="77777777">
        <w:trPr>
          <w:cantSplit/>
        </w:trPr>
        <w:tc>
          <w:tcPr>
            <w:tcW w:w="3600" w:type="dxa"/>
          </w:tcPr>
          <w:p w14:paraId="043DBDFC" w14:textId="77777777" w:rsidR="00217A61" w:rsidRDefault="001C2695">
            <w:pPr>
              <w:spacing w:beforeAutospacing="1" w:afterAutospacing="1"/>
            </w:pPr>
            <w:r>
              <w:rPr>
                <w:color w:val="000000"/>
              </w:rPr>
              <w:t>White</w:t>
            </w:r>
          </w:p>
        </w:tc>
        <w:tc>
          <w:tcPr>
            <w:tcW w:w="1996" w:type="dxa"/>
            <w:vAlign w:val="bottom"/>
          </w:tcPr>
          <w:p w14:paraId="4FAE28A4" w14:textId="77777777" w:rsidR="00217A61" w:rsidRDefault="001C2695">
            <w:pPr>
              <w:spacing w:beforeAutospacing="1" w:afterAutospacing="1"/>
              <w:jc w:val="right"/>
            </w:pPr>
            <w:r>
              <w:rPr>
                <w:color w:val="000000"/>
              </w:rPr>
              <w:t>148,353</w:t>
            </w:r>
          </w:p>
        </w:tc>
        <w:tc>
          <w:tcPr>
            <w:tcW w:w="1997" w:type="dxa"/>
            <w:vAlign w:val="bottom"/>
          </w:tcPr>
          <w:p w14:paraId="6759E8FA" w14:textId="77777777" w:rsidR="00217A61" w:rsidRDefault="001C2695">
            <w:pPr>
              <w:spacing w:beforeAutospacing="1" w:afterAutospacing="1"/>
              <w:jc w:val="right"/>
            </w:pPr>
            <w:r>
              <w:rPr>
                <w:color w:val="000000"/>
              </w:rPr>
              <w:t>68,749</w:t>
            </w:r>
          </w:p>
        </w:tc>
        <w:tc>
          <w:tcPr>
            <w:tcW w:w="1997" w:type="dxa"/>
            <w:vAlign w:val="bottom"/>
          </w:tcPr>
          <w:p w14:paraId="7F4BB102" w14:textId="77777777" w:rsidR="00217A61" w:rsidRDefault="001C2695">
            <w:pPr>
              <w:spacing w:beforeAutospacing="1" w:afterAutospacing="1"/>
              <w:jc w:val="right"/>
            </w:pPr>
            <w:r>
              <w:rPr>
                <w:color w:val="000000"/>
              </w:rPr>
              <w:t>30,916</w:t>
            </w:r>
          </w:p>
        </w:tc>
      </w:tr>
      <w:tr w:rsidR="00217A61" w14:paraId="4A040A51" w14:textId="77777777">
        <w:trPr>
          <w:cantSplit/>
        </w:trPr>
        <w:tc>
          <w:tcPr>
            <w:tcW w:w="3600" w:type="dxa"/>
          </w:tcPr>
          <w:p w14:paraId="4A5F9D1B" w14:textId="77777777" w:rsidR="00217A61" w:rsidRDefault="001C2695">
            <w:pPr>
              <w:spacing w:beforeAutospacing="1" w:afterAutospacing="1"/>
            </w:pPr>
            <w:r>
              <w:rPr>
                <w:color w:val="000000"/>
              </w:rPr>
              <w:t>Black / African American</w:t>
            </w:r>
          </w:p>
        </w:tc>
        <w:tc>
          <w:tcPr>
            <w:tcW w:w="1996" w:type="dxa"/>
            <w:vAlign w:val="bottom"/>
          </w:tcPr>
          <w:p w14:paraId="511AF0AC" w14:textId="77777777" w:rsidR="00217A61" w:rsidRDefault="001C2695">
            <w:pPr>
              <w:spacing w:beforeAutospacing="1" w:afterAutospacing="1"/>
              <w:jc w:val="right"/>
            </w:pPr>
            <w:r>
              <w:rPr>
                <w:color w:val="000000"/>
              </w:rPr>
              <w:t>109,037</w:t>
            </w:r>
          </w:p>
        </w:tc>
        <w:tc>
          <w:tcPr>
            <w:tcW w:w="1997" w:type="dxa"/>
            <w:vAlign w:val="bottom"/>
          </w:tcPr>
          <w:p w14:paraId="118FC47D" w14:textId="77777777" w:rsidR="00217A61" w:rsidRDefault="001C2695">
            <w:pPr>
              <w:spacing w:beforeAutospacing="1" w:afterAutospacing="1"/>
              <w:jc w:val="right"/>
            </w:pPr>
            <w:r>
              <w:rPr>
                <w:color w:val="000000"/>
              </w:rPr>
              <w:t>41,741</w:t>
            </w:r>
          </w:p>
        </w:tc>
        <w:tc>
          <w:tcPr>
            <w:tcW w:w="1997" w:type="dxa"/>
            <w:vAlign w:val="bottom"/>
          </w:tcPr>
          <w:p w14:paraId="5371A642" w14:textId="77777777" w:rsidR="00217A61" w:rsidRDefault="001C2695">
            <w:pPr>
              <w:spacing w:beforeAutospacing="1" w:afterAutospacing="1"/>
              <w:jc w:val="right"/>
            </w:pPr>
            <w:r>
              <w:rPr>
                <w:color w:val="000000"/>
              </w:rPr>
              <w:t>16,752</w:t>
            </w:r>
          </w:p>
        </w:tc>
      </w:tr>
      <w:tr w:rsidR="00217A61" w14:paraId="4CD9275D" w14:textId="77777777">
        <w:trPr>
          <w:cantSplit/>
        </w:trPr>
        <w:tc>
          <w:tcPr>
            <w:tcW w:w="3600" w:type="dxa"/>
          </w:tcPr>
          <w:p w14:paraId="180CA530" w14:textId="77777777" w:rsidR="00217A61" w:rsidRDefault="001C2695">
            <w:pPr>
              <w:spacing w:beforeAutospacing="1" w:afterAutospacing="1"/>
            </w:pPr>
            <w:r>
              <w:rPr>
                <w:color w:val="000000"/>
              </w:rPr>
              <w:t>Asian</w:t>
            </w:r>
          </w:p>
        </w:tc>
        <w:tc>
          <w:tcPr>
            <w:tcW w:w="1996" w:type="dxa"/>
            <w:vAlign w:val="bottom"/>
          </w:tcPr>
          <w:p w14:paraId="3829DB29" w14:textId="77777777" w:rsidR="00217A61" w:rsidRDefault="001C2695">
            <w:pPr>
              <w:spacing w:beforeAutospacing="1" w:afterAutospacing="1"/>
              <w:jc w:val="right"/>
            </w:pPr>
            <w:r>
              <w:rPr>
                <w:color w:val="000000"/>
              </w:rPr>
              <w:t>5,193</w:t>
            </w:r>
          </w:p>
        </w:tc>
        <w:tc>
          <w:tcPr>
            <w:tcW w:w="1997" w:type="dxa"/>
            <w:vAlign w:val="bottom"/>
          </w:tcPr>
          <w:p w14:paraId="38C97AA1" w14:textId="77777777" w:rsidR="00217A61" w:rsidRDefault="001C2695">
            <w:pPr>
              <w:spacing w:beforeAutospacing="1" w:afterAutospacing="1"/>
              <w:jc w:val="right"/>
            </w:pPr>
            <w:r>
              <w:rPr>
                <w:color w:val="000000"/>
              </w:rPr>
              <w:t>920</w:t>
            </w:r>
          </w:p>
        </w:tc>
        <w:tc>
          <w:tcPr>
            <w:tcW w:w="1997" w:type="dxa"/>
            <w:vAlign w:val="bottom"/>
          </w:tcPr>
          <w:p w14:paraId="247237F3" w14:textId="77777777" w:rsidR="00217A61" w:rsidRDefault="001C2695">
            <w:pPr>
              <w:spacing w:beforeAutospacing="1" w:afterAutospacing="1"/>
              <w:jc w:val="right"/>
            </w:pPr>
            <w:r>
              <w:rPr>
                <w:color w:val="000000"/>
              </w:rPr>
              <w:t>1,719</w:t>
            </w:r>
          </w:p>
        </w:tc>
      </w:tr>
      <w:tr w:rsidR="00217A61" w14:paraId="6A98926F" w14:textId="77777777">
        <w:trPr>
          <w:cantSplit/>
        </w:trPr>
        <w:tc>
          <w:tcPr>
            <w:tcW w:w="3600" w:type="dxa"/>
          </w:tcPr>
          <w:p w14:paraId="41C7FC91" w14:textId="77777777" w:rsidR="00217A61" w:rsidRDefault="001C2695">
            <w:pPr>
              <w:spacing w:beforeAutospacing="1" w:afterAutospacing="1"/>
            </w:pPr>
            <w:r>
              <w:rPr>
                <w:color w:val="000000"/>
              </w:rPr>
              <w:t>American Indian, Alaska Native</w:t>
            </w:r>
          </w:p>
        </w:tc>
        <w:tc>
          <w:tcPr>
            <w:tcW w:w="1996" w:type="dxa"/>
            <w:vAlign w:val="bottom"/>
          </w:tcPr>
          <w:p w14:paraId="30312217" w14:textId="77777777" w:rsidR="00217A61" w:rsidRDefault="001C2695">
            <w:pPr>
              <w:spacing w:beforeAutospacing="1" w:afterAutospacing="1"/>
              <w:jc w:val="right"/>
            </w:pPr>
            <w:r>
              <w:rPr>
                <w:color w:val="000000"/>
              </w:rPr>
              <w:t>4,241</w:t>
            </w:r>
          </w:p>
        </w:tc>
        <w:tc>
          <w:tcPr>
            <w:tcW w:w="1997" w:type="dxa"/>
            <w:vAlign w:val="bottom"/>
          </w:tcPr>
          <w:p w14:paraId="67F596E8" w14:textId="77777777" w:rsidR="00217A61" w:rsidRDefault="001C2695">
            <w:pPr>
              <w:spacing w:beforeAutospacing="1" w:afterAutospacing="1"/>
              <w:jc w:val="right"/>
            </w:pPr>
            <w:r>
              <w:rPr>
                <w:color w:val="000000"/>
              </w:rPr>
              <w:t>2,445</w:t>
            </w:r>
          </w:p>
        </w:tc>
        <w:tc>
          <w:tcPr>
            <w:tcW w:w="1997" w:type="dxa"/>
            <w:vAlign w:val="bottom"/>
          </w:tcPr>
          <w:p w14:paraId="53AB3838" w14:textId="77777777" w:rsidR="00217A61" w:rsidRDefault="001C2695">
            <w:pPr>
              <w:spacing w:beforeAutospacing="1" w:afterAutospacing="1"/>
              <w:jc w:val="right"/>
            </w:pPr>
            <w:r>
              <w:rPr>
                <w:color w:val="000000"/>
              </w:rPr>
              <w:t>1,282</w:t>
            </w:r>
          </w:p>
        </w:tc>
      </w:tr>
      <w:tr w:rsidR="00217A61" w14:paraId="6828DB3C" w14:textId="77777777">
        <w:trPr>
          <w:cantSplit/>
        </w:trPr>
        <w:tc>
          <w:tcPr>
            <w:tcW w:w="3600" w:type="dxa"/>
          </w:tcPr>
          <w:p w14:paraId="7A36A136" w14:textId="77777777" w:rsidR="00217A61" w:rsidRDefault="001C2695">
            <w:pPr>
              <w:spacing w:beforeAutospacing="1" w:afterAutospacing="1"/>
            </w:pPr>
            <w:r>
              <w:rPr>
                <w:color w:val="000000"/>
              </w:rPr>
              <w:t>Pacific Islander</w:t>
            </w:r>
          </w:p>
        </w:tc>
        <w:tc>
          <w:tcPr>
            <w:tcW w:w="1996" w:type="dxa"/>
            <w:vAlign w:val="bottom"/>
          </w:tcPr>
          <w:p w14:paraId="1CD37C3F" w14:textId="77777777" w:rsidR="00217A61" w:rsidRDefault="001C2695">
            <w:pPr>
              <w:spacing w:beforeAutospacing="1" w:afterAutospacing="1"/>
              <w:jc w:val="right"/>
            </w:pPr>
            <w:r>
              <w:rPr>
                <w:color w:val="000000"/>
              </w:rPr>
              <w:t>96</w:t>
            </w:r>
          </w:p>
        </w:tc>
        <w:tc>
          <w:tcPr>
            <w:tcW w:w="1997" w:type="dxa"/>
            <w:vAlign w:val="bottom"/>
          </w:tcPr>
          <w:p w14:paraId="78523874" w14:textId="77777777" w:rsidR="00217A61" w:rsidRDefault="001C2695">
            <w:pPr>
              <w:spacing w:beforeAutospacing="1" w:afterAutospacing="1"/>
              <w:jc w:val="right"/>
            </w:pPr>
            <w:r>
              <w:rPr>
                <w:color w:val="000000"/>
              </w:rPr>
              <w:t>40</w:t>
            </w:r>
          </w:p>
        </w:tc>
        <w:tc>
          <w:tcPr>
            <w:tcW w:w="1997" w:type="dxa"/>
            <w:vAlign w:val="bottom"/>
          </w:tcPr>
          <w:p w14:paraId="054CA37E" w14:textId="77777777" w:rsidR="00217A61" w:rsidRDefault="001C2695">
            <w:pPr>
              <w:spacing w:beforeAutospacing="1" w:afterAutospacing="1"/>
              <w:jc w:val="right"/>
            </w:pPr>
            <w:r>
              <w:rPr>
                <w:color w:val="000000"/>
              </w:rPr>
              <w:t>59</w:t>
            </w:r>
          </w:p>
        </w:tc>
      </w:tr>
      <w:tr w:rsidR="00217A61" w14:paraId="67F66DDD" w14:textId="77777777">
        <w:trPr>
          <w:cantSplit/>
        </w:trPr>
        <w:tc>
          <w:tcPr>
            <w:tcW w:w="3600" w:type="dxa"/>
          </w:tcPr>
          <w:p w14:paraId="026F6B10" w14:textId="77777777" w:rsidR="00217A61" w:rsidRDefault="001C2695">
            <w:pPr>
              <w:spacing w:beforeAutospacing="1" w:afterAutospacing="1"/>
            </w:pPr>
            <w:r>
              <w:rPr>
                <w:color w:val="000000"/>
              </w:rPr>
              <w:t>Hispanic</w:t>
            </w:r>
          </w:p>
        </w:tc>
        <w:tc>
          <w:tcPr>
            <w:tcW w:w="1996" w:type="dxa"/>
            <w:vAlign w:val="bottom"/>
          </w:tcPr>
          <w:p w14:paraId="076AE543" w14:textId="77777777" w:rsidR="00217A61" w:rsidRDefault="001C2695">
            <w:pPr>
              <w:spacing w:beforeAutospacing="1" w:afterAutospacing="1"/>
              <w:jc w:val="right"/>
            </w:pPr>
            <w:r>
              <w:rPr>
                <w:color w:val="000000"/>
              </w:rPr>
              <w:t>29,797</w:t>
            </w:r>
          </w:p>
        </w:tc>
        <w:tc>
          <w:tcPr>
            <w:tcW w:w="1997" w:type="dxa"/>
            <w:vAlign w:val="bottom"/>
          </w:tcPr>
          <w:p w14:paraId="2AE9E168" w14:textId="77777777" w:rsidR="00217A61" w:rsidRDefault="001C2695">
            <w:pPr>
              <w:spacing w:beforeAutospacing="1" w:afterAutospacing="1"/>
              <w:jc w:val="right"/>
            </w:pPr>
            <w:r>
              <w:rPr>
                <w:color w:val="000000"/>
              </w:rPr>
              <w:t>7,981</w:t>
            </w:r>
          </w:p>
        </w:tc>
        <w:tc>
          <w:tcPr>
            <w:tcW w:w="1997" w:type="dxa"/>
            <w:vAlign w:val="bottom"/>
          </w:tcPr>
          <w:p w14:paraId="697927BD" w14:textId="77777777" w:rsidR="00217A61" w:rsidRDefault="001C2695">
            <w:pPr>
              <w:spacing w:beforeAutospacing="1" w:afterAutospacing="1"/>
              <w:jc w:val="right"/>
            </w:pPr>
            <w:r>
              <w:rPr>
                <w:color w:val="000000"/>
              </w:rPr>
              <w:t>2,916</w:t>
            </w:r>
          </w:p>
        </w:tc>
      </w:tr>
    </w:tbl>
    <w:p w14:paraId="73E1A487"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Severe Housing Problems 0 - 30%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217A61" w14:paraId="468E159D" w14:textId="77777777">
        <w:trPr>
          <w:cantSplit/>
        </w:trPr>
        <w:tc>
          <w:tcPr>
            <w:tcW w:w="1080" w:type="dxa"/>
          </w:tcPr>
          <w:p w14:paraId="3271C8CD" w14:textId="77777777" w:rsidR="00217A61" w:rsidRDefault="001C2695">
            <w:pPr>
              <w:spacing w:after="0" w:line="240" w:lineRule="auto"/>
              <w:rPr>
                <w:sz w:val="16"/>
                <w:szCs w:val="16"/>
              </w:rPr>
            </w:pPr>
            <w:r>
              <w:rPr>
                <w:b/>
                <w:bCs/>
                <w:sz w:val="16"/>
                <w:szCs w:val="16"/>
              </w:rPr>
              <w:t>Data Source:</w:t>
            </w:r>
          </w:p>
        </w:tc>
        <w:tc>
          <w:tcPr>
            <w:tcW w:w="8510" w:type="dxa"/>
          </w:tcPr>
          <w:p w14:paraId="523140C1" w14:textId="77777777" w:rsidR="00217A61" w:rsidRDefault="001C2695">
            <w:pPr>
              <w:spacing w:beforeAutospacing="1" w:afterAutospacing="1"/>
              <w:rPr>
                <w:sz w:val="16"/>
                <w:szCs w:val="16"/>
              </w:rPr>
            </w:pPr>
            <w:r>
              <w:rPr>
                <w:sz w:val="16"/>
                <w:szCs w:val="16"/>
              </w:rPr>
              <w:t>2011-2015 CHAS</w:t>
            </w:r>
          </w:p>
        </w:tc>
      </w:tr>
    </w:tbl>
    <w:p w14:paraId="53DFF848" w14:textId="77777777" w:rsidR="00217A61" w:rsidRDefault="00217A61">
      <w:pPr>
        <w:spacing w:after="0" w:line="240" w:lineRule="auto"/>
        <w:rPr>
          <w:vanish/>
        </w:rPr>
      </w:pPr>
    </w:p>
    <w:p w14:paraId="5244D09A" w14:textId="77777777" w:rsidR="00217A61" w:rsidRDefault="00217A61">
      <w:pPr>
        <w:spacing w:after="0" w:line="240" w:lineRule="auto"/>
        <w:rPr>
          <w:b/>
          <w:bCs/>
          <w:vanish/>
          <w:sz w:val="16"/>
          <w:szCs w:val="16"/>
        </w:rPr>
      </w:pPr>
    </w:p>
    <w:p w14:paraId="350373BF" w14:textId="77777777" w:rsidR="00217A61" w:rsidRDefault="00217A61">
      <w:pPr>
        <w:spacing w:after="0" w:line="240" w:lineRule="auto"/>
      </w:pPr>
    </w:p>
    <w:p w14:paraId="607C2B05" w14:textId="77777777" w:rsidR="00217A61" w:rsidRDefault="001C2695">
      <w:pPr>
        <w:spacing w:after="0" w:line="240" w:lineRule="auto"/>
      </w:pPr>
      <w:r>
        <w:t xml:space="preserve">*The four severe housing problems are: </w:t>
      </w:r>
    </w:p>
    <w:p w14:paraId="168B4758" w14:textId="77777777" w:rsidR="00217A61" w:rsidRDefault="001C2695">
      <w:pPr>
        <w:spacing w:after="0" w:line="240" w:lineRule="auto"/>
      </w:pPr>
      <w:r>
        <w:t xml:space="preserve">1. Lacks complete kitchen facilities, 2. Lacks complete plumbing facilities, 3. More than 1.5 persons per room, </w:t>
      </w:r>
      <w:proofErr w:type="gramStart"/>
      <w:r>
        <w:t>4.Cost</w:t>
      </w:r>
      <w:proofErr w:type="gramEnd"/>
      <w:r>
        <w:t xml:space="preserve"> Burden over 50% </w:t>
      </w:r>
    </w:p>
    <w:p w14:paraId="783CBD5A" w14:textId="77777777" w:rsidR="00217A61" w:rsidRDefault="00217A61">
      <w:pPr>
        <w:spacing w:after="0" w:line="240" w:lineRule="auto"/>
      </w:pPr>
    </w:p>
    <w:p w14:paraId="4D392359" w14:textId="77777777" w:rsidR="00217A61" w:rsidRDefault="00217A61">
      <w:pPr>
        <w:spacing w:after="0" w:line="240" w:lineRule="auto"/>
      </w:pPr>
    </w:p>
    <w:p w14:paraId="240DFEB3" w14:textId="77777777" w:rsidR="00217A61" w:rsidRDefault="001C2695">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217A61" w14:paraId="0D5564DE" w14:textId="77777777">
        <w:trPr>
          <w:cantSplit/>
          <w:tblHeader/>
        </w:trPr>
        <w:tc>
          <w:tcPr>
            <w:tcW w:w="3600" w:type="dxa"/>
          </w:tcPr>
          <w:p w14:paraId="47F0EC0C" w14:textId="77777777" w:rsidR="00217A61" w:rsidRDefault="001C2695">
            <w:pPr>
              <w:keepNext/>
              <w:widowControl w:val="0"/>
              <w:spacing w:after="0" w:line="240" w:lineRule="auto"/>
              <w:jc w:val="center"/>
              <w:rPr>
                <w:b/>
              </w:rPr>
            </w:pPr>
            <w:r>
              <w:rPr>
                <w:b/>
                <w:bCs/>
              </w:rPr>
              <w:t>Severe Housing Problems*</w:t>
            </w:r>
          </w:p>
        </w:tc>
        <w:tc>
          <w:tcPr>
            <w:tcW w:w="1996" w:type="dxa"/>
          </w:tcPr>
          <w:p w14:paraId="009C6C18" w14:textId="77777777" w:rsidR="00217A61" w:rsidRDefault="001C2695">
            <w:pPr>
              <w:keepNext/>
              <w:widowControl w:val="0"/>
              <w:spacing w:after="0" w:line="240" w:lineRule="auto"/>
              <w:jc w:val="center"/>
              <w:rPr>
                <w:b/>
              </w:rPr>
            </w:pPr>
            <w:r>
              <w:rPr>
                <w:b/>
                <w:bCs/>
              </w:rPr>
              <w:t>Has one or more of four</w:t>
            </w:r>
            <w:r>
              <w:rPr>
                <w:b/>
                <w:bCs/>
              </w:rPr>
              <w:t xml:space="preserve"> housing problems</w:t>
            </w:r>
          </w:p>
        </w:tc>
        <w:tc>
          <w:tcPr>
            <w:tcW w:w="1997" w:type="dxa"/>
          </w:tcPr>
          <w:p w14:paraId="0BEB7F22" w14:textId="77777777" w:rsidR="00217A61" w:rsidRDefault="001C2695">
            <w:pPr>
              <w:keepNext/>
              <w:widowControl w:val="0"/>
              <w:spacing w:after="0" w:line="240" w:lineRule="auto"/>
              <w:jc w:val="center"/>
              <w:rPr>
                <w:b/>
              </w:rPr>
            </w:pPr>
            <w:r>
              <w:rPr>
                <w:b/>
                <w:bCs/>
              </w:rPr>
              <w:t>Has none of the four housing problems</w:t>
            </w:r>
          </w:p>
        </w:tc>
        <w:tc>
          <w:tcPr>
            <w:tcW w:w="1997" w:type="dxa"/>
          </w:tcPr>
          <w:p w14:paraId="6478E77C" w14:textId="77777777" w:rsidR="00217A61" w:rsidRDefault="001C2695">
            <w:pPr>
              <w:keepNext/>
              <w:widowControl w:val="0"/>
              <w:spacing w:after="0" w:line="240" w:lineRule="auto"/>
              <w:jc w:val="center"/>
              <w:rPr>
                <w:b/>
              </w:rPr>
            </w:pPr>
            <w:r>
              <w:rPr>
                <w:b/>
                <w:bCs/>
              </w:rPr>
              <w:t>Household has no/negative income, but none of the other housing problems</w:t>
            </w:r>
          </w:p>
        </w:tc>
      </w:tr>
      <w:tr w:rsidR="00217A61" w14:paraId="09E1BE58" w14:textId="77777777">
        <w:trPr>
          <w:cantSplit/>
        </w:trPr>
        <w:tc>
          <w:tcPr>
            <w:tcW w:w="3600" w:type="dxa"/>
          </w:tcPr>
          <w:p w14:paraId="200B4828" w14:textId="77777777" w:rsidR="00217A61" w:rsidRDefault="001C2695">
            <w:pPr>
              <w:spacing w:beforeAutospacing="1" w:afterAutospacing="1"/>
            </w:pPr>
            <w:r>
              <w:rPr>
                <w:color w:val="000000"/>
              </w:rPr>
              <w:t>Jurisdiction as a whole</w:t>
            </w:r>
          </w:p>
        </w:tc>
        <w:tc>
          <w:tcPr>
            <w:tcW w:w="1996" w:type="dxa"/>
            <w:vAlign w:val="bottom"/>
          </w:tcPr>
          <w:p w14:paraId="6BDBE026" w14:textId="77777777" w:rsidR="00217A61" w:rsidRDefault="001C2695">
            <w:pPr>
              <w:spacing w:beforeAutospacing="1" w:afterAutospacing="1"/>
              <w:jc w:val="right"/>
            </w:pPr>
            <w:r>
              <w:rPr>
                <w:color w:val="000000"/>
              </w:rPr>
              <w:t>155,999</w:t>
            </w:r>
          </w:p>
        </w:tc>
        <w:tc>
          <w:tcPr>
            <w:tcW w:w="1997" w:type="dxa"/>
            <w:vAlign w:val="bottom"/>
          </w:tcPr>
          <w:p w14:paraId="6D3305CB" w14:textId="77777777" w:rsidR="00217A61" w:rsidRDefault="001C2695">
            <w:pPr>
              <w:spacing w:beforeAutospacing="1" w:afterAutospacing="1"/>
              <w:jc w:val="right"/>
            </w:pPr>
            <w:r>
              <w:rPr>
                <w:color w:val="000000"/>
              </w:rPr>
              <w:t>312,402</w:t>
            </w:r>
          </w:p>
        </w:tc>
        <w:tc>
          <w:tcPr>
            <w:tcW w:w="1997" w:type="dxa"/>
            <w:vAlign w:val="bottom"/>
          </w:tcPr>
          <w:p w14:paraId="59721D7A" w14:textId="77777777" w:rsidR="00217A61" w:rsidRDefault="001C2695">
            <w:pPr>
              <w:spacing w:beforeAutospacing="1" w:afterAutospacing="1"/>
              <w:jc w:val="right"/>
            </w:pPr>
            <w:r>
              <w:rPr>
                <w:color w:val="000000"/>
              </w:rPr>
              <w:t>0</w:t>
            </w:r>
          </w:p>
        </w:tc>
      </w:tr>
      <w:tr w:rsidR="00217A61" w14:paraId="621A6E02" w14:textId="77777777">
        <w:trPr>
          <w:cantSplit/>
        </w:trPr>
        <w:tc>
          <w:tcPr>
            <w:tcW w:w="3600" w:type="dxa"/>
          </w:tcPr>
          <w:p w14:paraId="344FF476" w14:textId="77777777" w:rsidR="00217A61" w:rsidRDefault="001C2695">
            <w:pPr>
              <w:spacing w:beforeAutospacing="1" w:afterAutospacing="1"/>
            </w:pPr>
            <w:r>
              <w:rPr>
                <w:color w:val="000000"/>
              </w:rPr>
              <w:t>White</w:t>
            </w:r>
          </w:p>
        </w:tc>
        <w:tc>
          <w:tcPr>
            <w:tcW w:w="1996" w:type="dxa"/>
            <w:vAlign w:val="bottom"/>
          </w:tcPr>
          <w:p w14:paraId="7A621912" w14:textId="77777777" w:rsidR="00217A61" w:rsidRDefault="001C2695">
            <w:pPr>
              <w:spacing w:beforeAutospacing="1" w:afterAutospacing="1"/>
              <w:jc w:val="right"/>
            </w:pPr>
            <w:r>
              <w:rPr>
                <w:color w:val="000000"/>
              </w:rPr>
              <w:t>84,186</w:t>
            </w:r>
          </w:p>
        </w:tc>
        <w:tc>
          <w:tcPr>
            <w:tcW w:w="1997" w:type="dxa"/>
            <w:vAlign w:val="bottom"/>
          </w:tcPr>
          <w:p w14:paraId="2068CF50" w14:textId="77777777" w:rsidR="00217A61" w:rsidRDefault="001C2695">
            <w:pPr>
              <w:spacing w:beforeAutospacing="1" w:afterAutospacing="1"/>
              <w:jc w:val="right"/>
            </w:pPr>
            <w:r>
              <w:rPr>
                <w:color w:val="000000"/>
              </w:rPr>
              <w:t>189,144</w:t>
            </w:r>
          </w:p>
        </w:tc>
        <w:tc>
          <w:tcPr>
            <w:tcW w:w="1997" w:type="dxa"/>
            <w:vAlign w:val="bottom"/>
          </w:tcPr>
          <w:p w14:paraId="6FE5E8A1" w14:textId="77777777" w:rsidR="00217A61" w:rsidRDefault="001C2695">
            <w:pPr>
              <w:spacing w:beforeAutospacing="1" w:afterAutospacing="1"/>
              <w:jc w:val="right"/>
            </w:pPr>
            <w:r>
              <w:rPr>
                <w:color w:val="000000"/>
              </w:rPr>
              <w:t>0</w:t>
            </w:r>
          </w:p>
        </w:tc>
      </w:tr>
      <w:tr w:rsidR="00217A61" w14:paraId="4F9D30F7" w14:textId="77777777">
        <w:trPr>
          <w:cantSplit/>
        </w:trPr>
        <w:tc>
          <w:tcPr>
            <w:tcW w:w="3600" w:type="dxa"/>
          </w:tcPr>
          <w:p w14:paraId="2AFB36F1" w14:textId="77777777" w:rsidR="00217A61" w:rsidRDefault="001C2695">
            <w:pPr>
              <w:spacing w:beforeAutospacing="1" w:afterAutospacing="1"/>
            </w:pPr>
            <w:r>
              <w:rPr>
                <w:color w:val="000000"/>
              </w:rPr>
              <w:t>Black / African American</w:t>
            </w:r>
          </w:p>
        </w:tc>
        <w:tc>
          <w:tcPr>
            <w:tcW w:w="1996" w:type="dxa"/>
            <w:vAlign w:val="bottom"/>
          </w:tcPr>
          <w:p w14:paraId="02778AD4" w14:textId="77777777" w:rsidR="00217A61" w:rsidRDefault="001C2695">
            <w:pPr>
              <w:spacing w:beforeAutospacing="1" w:afterAutospacing="1"/>
              <w:jc w:val="right"/>
            </w:pPr>
            <w:r>
              <w:rPr>
                <w:color w:val="000000"/>
              </w:rPr>
              <w:t>46,904</w:t>
            </w:r>
          </w:p>
        </w:tc>
        <w:tc>
          <w:tcPr>
            <w:tcW w:w="1997" w:type="dxa"/>
            <w:vAlign w:val="bottom"/>
          </w:tcPr>
          <w:p w14:paraId="3F15A13C" w14:textId="77777777" w:rsidR="00217A61" w:rsidRDefault="001C2695">
            <w:pPr>
              <w:spacing w:beforeAutospacing="1" w:afterAutospacing="1"/>
              <w:jc w:val="right"/>
            </w:pPr>
            <w:r>
              <w:rPr>
                <w:color w:val="000000"/>
              </w:rPr>
              <w:t>83,850</w:t>
            </w:r>
          </w:p>
        </w:tc>
        <w:tc>
          <w:tcPr>
            <w:tcW w:w="1997" w:type="dxa"/>
            <w:vAlign w:val="bottom"/>
          </w:tcPr>
          <w:p w14:paraId="3BD759CF" w14:textId="77777777" w:rsidR="00217A61" w:rsidRDefault="001C2695">
            <w:pPr>
              <w:spacing w:beforeAutospacing="1" w:afterAutospacing="1"/>
              <w:jc w:val="right"/>
            </w:pPr>
            <w:r>
              <w:rPr>
                <w:color w:val="000000"/>
              </w:rPr>
              <w:t>0</w:t>
            </w:r>
          </w:p>
        </w:tc>
      </w:tr>
      <w:tr w:rsidR="00217A61" w14:paraId="5487C319" w14:textId="77777777">
        <w:trPr>
          <w:cantSplit/>
        </w:trPr>
        <w:tc>
          <w:tcPr>
            <w:tcW w:w="3600" w:type="dxa"/>
          </w:tcPr>
          <w:p w14:paraId="5C6C5A9B" w14:textId="77777777" w:rsidR="00217A61" w:rsidRDefault="001C2695">
            <w:pPr>
              <w:spacing w:beforeAutospacing="1" w:afterAutospacing="1"/>
            </w:pPr>
            <w:r>
              <w:rPr>
                <w:color w:val="000000"/>
              </w:rPr>
              <w:t>Asian</w:t>
            </w:r>
          </w:p>
        </w:tc>
        <w:tc>
          <w:tcPr>
            <w:tcW w:w="1996" w:type="dxa"/>
            <w:vAlign w:val="bottom"/>
          </w:tcPr>
          <w:p w14:paraId="43DCD535" w14:textId="77777777" w:rsidR="00217A61" w:rsidRDefault="001C2695">
            <w:pPr>
              <w:spacing w:beforeAutospacing="1" w:afterAutospacing="1"/>
              <w:jc w:val="right"/>
            </w:pPr>
            <w:r>
              <w:rPr>
                <w:color w:val="000000"/>
              </w:rPr>
              <w:t>2,951</w:t>
            </w:r>
          </w:p>
        </w:tc>
        <w:tc>
          <w:tcPr>
            <w:tcW w:w="1997" w:type="dxa"/>
            <w:vAlign w:val="bottom"/>
          </w:tcPr>
          <w:p w14:paraId="09EC377C" w14:textId="77777777" w:rsidR="00217A61" w:rsidRDefault="001C2695">
            <w:pPr>
              <w:spacing w:beforeAutospacing="1" w:afterAutospacing="1"/>
              <w:jc w:val="right"/>
            </w:pPr>
            <w:r>
              <w:rPr>
                <w:color w:val="000000"/>
              </w:rPr>
              <w:t>3,906</w:t>
            </w:r>
          </w:p>
        </w:tc>
        <w:tc>
          <w:tcPr>
            <w:tcW w:w="1997" w:type="dxa"/>
            <w:vAlign w:val="bottom"/>
          </w:tcPr>
          <w:p w14:paraId="461952BC" w14:textId="77777777" w:rsidR="00217A61" w:rsidRDefault="001C2695">
            <w:pPr>
              <w:spacing w:beforeAutospacing="1" w:afterAutospacing="1"/>
              <w:jc w:val="right"/>
            </w:pPr>
            <w:r>
              <w:rPr>
                <w:color w:val="000000"/>
              </w:rPr>
              <w:t>0</w:t>
            </w:r>
          </w:p>
        </w:tc>
      </w:tr>
      <w:tr w:rsidR="00217A61" w14:paraId="6F832972" w14:textId="77777777">
        <w:trPr>
          <w:cantSplit/>
        </w:trPr>
        <w:tc>
          <w:tcPr>
            <w:tcW w:w="3600" w:type="dxa"/>
          </w:tcPr>
          <w:p w14:paraId="775476E3" w14:textId="77777777" w:rsidR="00217A61" w:rsidRDefault="001C2695">
            <w:pPr>
              <w:spacing w:beforeAutospacing="1" w:afterAutospacing="1"/>
            </w:pPr>
            <w:r>
              <w:rPr>
                <w:color w:val="000000"/>
              </w:rPr>
              <w:lastRenderedPageBreak/>
              <w:t>American Indian, Alaska Native</w:t>
            </w:r>
          </w:p>
        </w:tc>
        <w:tc>
          <w:tcPr>
            <w:tcW w:w="1996" w:type="dxa"/>
            <w:vAlign w:val="bottom"/>
          </w:tcPr>
          <w:p w14:paraId="7E61D660" w14:textId="77777777" w:rsidR="00217A61" w:rsidRDefault="001C2695">
            <w:pPr>
              <w:spacing w:beforeAutospacing="1" w:afterAutospacing="1"/>
              <w:jc w:val="right"/>
            </w:pPr>
            <w:r>
              <w:rPr>
                <w:color w:val="000000"/>
              </w:rPr>
              <w:t>1,526</w:t>
            </w:r>
          </w:p>
        </w:tc>
        <w:tc>
          <w:tcPr>
            <w:tcW w:w="1997" w:type="dxa"/>
            <w:vAlign w:val="bottom"/>
          </w:tcPr>
          <w:p w14:paraId="0A6A2115" w14:textId="77777777" w:rsidR="00217A61" w:rsidRDefault="001C2695">
            <w:pPr>
              <w:spacing w:beforeAutospacing="1" w:afterAutospacing="1"/>
              <w:jc w:val="right"/>
            </w:pPr>
            <w:r>
              <w:rPr>
                <w:color w:val="000000"/>
              </w:rPr>
              <w:t>4,089</w:t>
            </w:r>
          </w:p>
        </w:tc>
        <w:tc>
          <w:tcPr>
            <w:tcW w:w="1997" w:type="dxa"/>
            <w:vAlign w:val="bottom"/>
          </w:tcPr>
          <w:p w14:paraId="2483CE04" w14:textId="77777777" w:rsidR="00217A61" w:rsidRDefault="001C2695">
            <w:pPr>
              <w:spacing w:beforeAutospacing="1" w:afterAutospacing="1"/>
              <w:jc w:val="right"/>
            </w:pPr>
            <w:r>
              <w:rPr>
                <w:color w:val="000000"/>
              </w:rPr>
              <w:t>0</w:t>
            </w:r>
          </w:p>
        </w:tc>
      </w:tr>
      <w:tr w:rsidR="00217A61" w14:paraId="313B2068" w14:textId="77777777">
        <w:trPr>
          <w:cantSplit/>
        </w:trPr>
        <w:tc>
          <w:tcPr>
            <w:tcW w:w="3600" w:type="dxa"/>
          </w:tcPr>
          <w:p w14:paraId="15D9EAE2" w14:textId="77777777" w:rsidR="00217A61" w:rsidRDefault="001C2695">
            <w:pPr>
              <w:spacing w:beforeAutospacing="1" w:afterAutospacing="1"/>
            </w:pPr>
            <w:r>
              <w:rPr>
                <w:color w:val="000000"/>
              </w:rPr>
              <w:t>Pacific Islander</w:t>
            </w:r>
          </w:p>
        </w:tc>
        <w:tc>
          <w:tcPr>
            <w:tcW w:w="1996" w:type="dxa"/>
            <w:vAlign w:val="bottom"/>
          </w:tcPr>
          <w:p w14:paraId="6414AC4D" w14:textId="77777777" w:rsidR="00217A61" w:rsidRDefault="001C2695">
            <w:pPr>
              <w:spacing w:beforeAutospacing="1" w:afterAutospacing="1"/>
              <w:jc w:val="right"/>
            </w:pPr>
            <w:r>
              <w:rPr>
                <w:color w:val="000000"/>
              </w:rPr>
              <w:t>133</w:t>
            </w:r>
          </w:p>
        </w:tc>
        <w:tc>
          <w:tcPr>
            <w:tcW w:w="1997" w:type="dxa"/>
            <w:vAlign w:val="bottom"/>
          </w:tcPr>
          <w:p w14:paraId="0822FBC3" w14:textId="77777777" w:rsidR="00217A61" w:rsidRDefault="001C2695">
            <w:pPr>
              <w:spacing w:beforeAutospacing="1" w:afterAutospacing="1"/>
              <w:jc w:val="right"/>
            </w:pPr>
            <w:r>
              <w:rPr>
                <w:color w:val="000000"/>
              </w:rPr>
              <w:t>44</w:t>
            </w:r>
          </w:p>
        </w:tc>
        <w:tc>
          <w:tcPr>
            <w:tcW w:w="1997" w:type="dxa"/>
            <w:vAlign w:val="bottom"/>
          </w:tcPr>
          <w:p w14:paraId="41212FFF" w14:textId="77777777" w:rsidR="00217A61" w:rsidRDefault="001C2695">
            <w:pPr>
              <w:spacing w:beforeAutospacing="1" w:afterAutospacing="1"/>
              <w:jc w:val="right"/>
            </w:pPr>
            <w:r>
              <w:rPr>
                <w:color w:val="000000"/>
              </w:rPr>
              <w:t>0</w:t>
            </w:r>
          </w:p>
        </w:tc>
      </w:tr>
      <w:tr w:rsidR="00217A61" w14:paraId="5DB4ADEF" w14:textId="77777777">
        <w:trPr>
          <w:cantSplit/>
        </w:trPr>
        <w:tc>
          <w:tcPr>
            <w:tcW w:w="3600" w:type="dxa"/>
          </w:tcPr>
          <w:p w14:paraId="4456F64B" w14:textId="77777777" w:rsidR="00217A61" w:rsidRDefault="001C2695">
            <w:pPr>
              <w:spacing w:beforeAutospacing="1" w:afterAutospacing="1"/>
            </w:pPr>
            <w:r>
              <w:rPr>
                <w:color w:val="000000"/>
              </w:rPr>
              <w:t>Hispanic</w:t>
            </w:r>
          </w:p>
        </w:tc>
        <w:tc>
          <w:tcPr>
            <w:tcW w:w="1996" w:type="dxa"/>
            <w:vAlign w:val="bottom"/>
          </w:tcPr>
          <w:p w14:paraId="57338425" w14:textId="77777777" w:rsidR="00217A61" w:rsidRDefault="001C2695">
            <w:pPr>
              <w:spacing w:beforeAutospacing="1" w:afterAutospacing="1"/>
              <w:jc w:val="right"/>
            </w:pPr>
            <w:r>
              <w:rPr>
                <w:color w:val="000000"/>
              </w:rPr>
              <w:t>17,481</w:t>
            </w:r>
          </w:p>
        </w:tc>
        <w:tc>
          <w:tcPr>
            <w:tcW w:w="1997" w:type="dxa"/>
            <w:vAlign w:val="bottom"/>
          </w:tcPr>
          <w:p w14:paraId="6E6164AB" w14:textId="77777777" w:rsidR="00217A61" w:rsidRDefault="001C2695">
            <w:pPr>
              <w:spacing w:beforeAutospacing="1" w:afterAutospacing="1"/>
              <w:jc w:val="right"/>
            </w:pPr>
            <w:r>
              <w:rPr>
                <w:color w:val="000000"/>
              </w:rPr>
              <w:t>27,863</w:t>
            </w:r>
          </w:p>
        </w:tc>
        <w:tc>
          <w:tcPr>
            <w:tcW w:w="1997" w:type="dxa"/>
            <w:vAlign w:val="bottom"/>
          </w:tcPr>
          <w:p w14:paraId="295FDD2C" w14:textId="77777777" w:rsidR="00217A61" w:rsidRDefault="001C2695">
            <w:pPr>
              <w:spacing w:beforeAutospacing="1" w:afterAutospacing="1"/>
              <w:jc w:val="right"/>
            </w:pPr>
            <w:r>
              <w:rPr>
                <w:color w:val="000000"/>
              </w:rPr>
              <w:t>0</w:t>
            </w:r>
          </w:p>
        </w:tc>
      </w:tr>
    </w:tbl>
    <w:p w14:paraId="77819891"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Severe Housing Problems 30 - 50%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217A61" w14:paraId="6FDDE65C" w14:textId="77777777">
        <w:trPr>
          <w:cantSplit/>
        </w:trPr>
        <w:tc>
          <w:tcPr>
            <w:tcW w:w="1080" w:type="dxa"/>
          </w:tcPr>
          <w:p w14:paraId="41C6DE59" w14:textId="77777777" w:rsidR="00217A61" w:rsidRDefault="001C2695">
            <w:pPr>
              <w:spacing w:after="0" w:line="240" w:lineRule="auto"/>
              <w:rPr>
                <w:sz w:val="16"/>
                <w:szCs w:val="16"/>
              </w:rPr>
            </w:pPr>
            <w:r>
              <w:rPr>
                <w:b/>
                <w:bCs/>
                <w:sz w:val="16"/>
                <w:szCs w:val="16"/>
              </w:rPr>
              <w:t>Data Source:</w:t>
            </w:r>
          </w:p>
        </w:tc>
        <w:tc>
          <w:tcPr>
            <w:tcW w:w="8510" w:type="dxa"/>
          </w:tcPr>
          <w:p w14:paraId="054CD6ED" w14:textId="77777777" w:rsidR="00217A61" w:rsidRDefault="001C2695">
            <w:pPr>
              <w:spacing w:beforeAutospacing="1" w:afterAutospacing="1"/>
              <w:rPr>
                <w:sz w:val="16"/>
                <w:szCs w:val="16"/>
              </w:rPr>
            </w:pPr>
            <w:r>
              <w:rPr>
                <w:sz w:val="16"/>
                <w:szCs w:val="16"/>
              </w:rPr>
              <w:t>2011-2015 CHAS</w:t>
            </w:r>
          </w:p>
        </w:tc>
      </w:tr>
    </w:tbl>
    <w:p w14:paraId="2EDB5454" w14:textId="77777777" w:rsidR="00217A61" w:rsidRDefault="00217A61">
      <w:pPr>
        <w:spacing w:after="0" w:line="240" w:lineRule="auto"/>
        <w:rPr>
          <w:vanish/>
        </w:rPr>
      </w:pPr>
    </w:p>
    <w:p w14:paraId="2F3EEC90" w14:textId="77777777" w:rsidR="00217A61" w:rsidRDefault="00217A61">
      <w:pPr>
        <w:spacing w:after="0" w:line="240" w:lineRule="auto"/>
        <w:rPr>
          <w:b/>
          <w:bCs/>
          <w:vanish/>
          <w:sz w:val="16"/>
          <w:szCs w:val="16"/>
        </w:rPr>
      </w:pPr>
    </w:p>
    <w:p w14:paraId="1C06262F" w14:textId="77777777" w:rsidR="00217A61" w:rsidRDefault="00217A61">
      <w:pPr>
        <w:spacing w:after="0" w:line="240" w:lineRule="auto"/>
      </w:pPr>
    </w:p>
    <w:p w14:paraId="32F392B2" w14:textId="77777777" w:rsidR="00217A61" w:rsidRDefault="001C2695">
      <w:pPr>
        <w:spacing w:after="0" w:line="240" w:lineRule="auto"/>
      </w:pPr>
      <w:r>
        <w:t xml:space="preserve">*The four severe housing problems are: </w:t>
      </w:r>
    </w:p>
    <w:p w14:paraId="454F844A" w14:textId="77777777" w:rsidR="00217A61" w:rsidRDefault="001C2695">
      <w:pPr>
        <w:spacing w:after="0" w:line="240" w:lineRule="auto"/>
      </w:pPr>
      <w:r>
        <w:t xml:space="preserve">1. Lacks complete kitchen facilities, 2. Lacks complete plumbing facilities, 3. More than 1.5 persons per room, </w:t>
      </w:r>
      <w:proofErr w:type="gramStart"/>
      <w:r>
        <w:t>4.Cost</w:t>
      </w:r>
      <w:proofErr w:type="gramEnd"/>
      <w:r>
        <w:t xml:space="preserve"> Burden over 50% </w:t>
      </w:r>
    </w:p>
    <w:p w14:paraId="1692EB9E" w14:textId="77777777" w:rsidR="00217A61" w:rsidRDefault="00217A61">
      <w:pPr>
        <w:spacing w:after="0" w:line="240" w:lineRule="auto"/>
      </w:pPr>
    </w:p>
    <w:p w14:paraId="1D65D2FC" w14:textId="77777777" w:rsidR="00217A61" w:rsidRDefault="00217A61">
      <w:pPr>
        <w:spacing w:after="0" w:line="240" w:lineRule="auto"/>
      </w:pPr>
    </w:p>
    <w:p w14:paraId="665BC511" w14:textId="77777777" w:rsidR="00217A61" w:rsidRDefault="001C2695">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217A61" w14:paraId="7FB42C81" w14:textId="77777777">
        <w:trPr>
          <w:cantSplit/>
          <w:tblHeader/>
        </w:trPr>
        <w:tc>
          <w:tcPr>
            <w:tcW w:w="3600" w:type="dxa"/>
          </w:tcPr>
          <w:p w14:paraId="69A40DDE" w14:textId="77777777" w:rsidR="00217A61" w:rsidRDefault="001C2695">
            <w:pPr>
              <w:keepNext/>
              <w:widowControl w:val="0"/>
              <w:spacing w:after="0" w:line="240" w:lineRule="auto"/>
              <w:jc w:val="center"/>
              <w:rPr>
                <w:b/>
              </w:rPr>
            </w:pPr>
            <w:r>
              <w:rPr>
                <w:b/>
                <w:bCs/>
              </w:rPr>
              <w:t>Severe Housing Problems*</w:t>
            </w:r>
          </w:p>
        </w:tc>
        <w:tc>
          <w:tcPr>
            <w:tcW w:w="1996" w:type="dxa"/>
          </w:tcPr>
          <w:p w14:paraId="55B4DEAE" w14:textId="77777777" w:rsidR="00217A61" w:rsidRDefault="001C2695">
            <w:pPr>
              <w:keepNext/>
              <w:widowControl w:val="0"/>
              <w:spacing w:after="0" w:line="240" w:lineRule="auto"/>
              <w:jc w:val="center"/>
              <w:rPr>
                <w:b/>
              </w:rPr>
            </w:pPr>
            <w:r>
              <w:rPr>
                <w:b/>
                <w:bCs/>
              </w:rPr>
              <w:t>Has one or more of four</w:t>
            </w:r>
            <w:r>
              <w:rPr>
                <w:b/>
                <w:bCs/>
              </w:rPr>
              <w:t xml:space="preserve"> housing problems</w:t>
            </w:r>
          </w:p>
        </w:tc>
        <w:tc>
          <w:tcPr>
            <w:tcW w:w="1997" w:type="dxa"/>
          </w:tcPr>
          <w:p w14:paraId="16CF9BAB" w14:textId="77777777" w:rsidR="00217A61" w:rsidRDefault="001C2695">
            <w:pPr>
              <w:keepNext/>
              <w:widowControl w:val="0"/>
              <w:spacing w:after="0" w:line="240" w:lineRule="auto"/>
              <w:jc w:val="center"/>
              <w:rPr>
                <w:b/>
              </w:rPr>
            </w:pPr>
            <w:r>
              <w:rPr>
                <w:b/>
                <w:bCs/>
              </w:rPr>
              <w:t>Has none of the four housing problems</w:t>
            </w:r>
          </w:p>
        </w:tc>
        <w:tc>
          <w:tcPr>
            <w:tcW w:w="1997" w:type="dxa"/>
          </w:tcPr>
          <w:p w14:paraId="3593BC86" w14:textId="77777777" w:rsidR="00217A61" w:rsidRDefault="001C2695">
            <w:pPr>
              <w:keepNext/>
              <w:widowControl w:val="0"/>
              <w:spacing w:after="0" w:line="240" w:lineRule="auto"/>
              <w:jc w:val="center"/>
              <w:rPr>
                <w:b/>
              </w:rPr>
            </w:pPr>
            <w:r>
              <w:rPr>
                <w:b/>
                <w:bCs/>
              </w:rPr>
              <w:t>Household has no/negative income, but none of the other housing problems</w:t>
            </w:r>
          </w:p>
        </w:tc>
      </w:tr>
      <w:tr w:rsidR="00217A61" w14:paraId="1E2F3ED6" w14:textId="77777777">
        <w:trPr>
          <w:cantSplit/>
        </w:trPr>
        <w:tc>
          <w:tcPr>
            <w:tcW w:w="3600" w:type="dxa"/>
          </w:tcPr>
          <w:p w14:paraId="3E1C4A2C" w14:textId="77777777" w:rsidR="00217A61" w:rsidRDefault="001C2695">
            <w:pPr>
              <w:spacing w:beforeAutospacing="1" w:afterAutospacing="1"/>
            </w:pPr>
            <w:r>
              <w:rPr>
                <w:color w:val="000000"/>
              </w:rPr>
              <w:t>Jurisdiction as a whole</w:t>
            </w:r>
          </w:p>
        </w:tc>
        <w:tc>
          <w:tcPr>
            <w:tcW w:w="1996" w:type="dxa"/>
            <w:vAlign w:val="bottom"/>
          </w:tcPr>
          <w:p w14:paraId="5E5656D2" w14:textId="77777777" w:rsidR="00217A61" w:rsidRDefault="001C2695">
            <w:pPr>
              <w:spacing w:beforeAutospacing="1" w:afterAutospacing="1"/>
              <w:jc w:val="right"/>
            </w:pPr>
            <w:r>
              <w:rPr>
                <w:color w:val="000000"/>
              </w:rPr>
              <w:t>87,273</w:t>
            </w:r>
          </w:p>
        </w:tc>
        <w:tc>
          <w:tcPr>
            <w:tcW w:w="1997" w:type="dxa"/>
            <w:vAlign w:val="bottom"/>
          </w:tcPr>
          <w:p w14:paraId="314D9227" w14:textId="77777777" w:rsidR="00217A61" w:rsidRDefault="001C2695">
            <w:pPr>
              <w:spacing w:beforeAutospacing="1" w:afterAutospacing="1"/>
              <w:jc w:val="right"/>
            </w:pPr>
            <w:r>
              <w:rPr>
                <w:color w:val="000000"/>
              </w:rPr>
              <w:t>571,576</w:t>
            </w:r>
          </w:p>
        </w:tc>
        <w:tc>
          <w:tcPr>
            <w:tcW w:w="1997" w:type="dxa"/>
            <w:vAlign w:val="bottom"/>
          </w:tcPr>
          <w:p w14:paraId="07ECB02C" w14:textId="77777777" w:rsidR="00217A61" w:rsidRDefault="001C2695">
            <w:pPr>
              <w:spacing w:beforeAutospacing="1" w:afterAutospacing="1"/>
              <w:jc w:val="right"/>
            </w:pPr>
            <w:r>
              <w:rPr>
                <w:color w:val="000000"/>
              </w:rPr>
              <w:t>0</w:t>
            </w:r>
          </w:p>
        </w:tc>
      </w:tr>
      <w:tr w:rsidR="00217A61" w14:paraId="18F14BFC" w14:textId="77777777">
        <w:trPr>
          <w:cantSplit/>
        </w:trPr>
        <w:tc>
          <w:tcPr>
            <w:tcW w:w="3600" w:type="dxa"/>
          </w:tcPr>
          <w:p w14:paraId="158A49B9" w14:textId="77777777" w:rsidR="00217A61" w:rsidRDefault="001C2695">
            <w:pPr>
              <w:spacing w:beforeAutospacing="1" w:afterAutospacing="1"/>
            </w:pPr>
            <w:r>
              <w:rPr>
                <w:color w:val="000000"/>
              </w:rPr>
              <w:t>White</w:t>
            </w:r>
          </w:p>
        </w:tc>
        <w:tc>
          <w:tcPr>
            <w:tcW w:w="1996" w:type="dxa"/>
            <w:vAlign w:val="bottom"/>
          </w:tcPr>
          <w:p w14:paraId="753AF799" w14:textId="77777777" w:rsidR="00217A61" w:rsidRDefault="001C2695">
            <w:pPr>
              <w:spacing w:beforeAutospacing="1" w:afterAutospacing="1"/>
              <w:jc w:val="right"/>
            </w:pPr>
            <w:r>
              <w:rPr>
                <w:color w:val="000000"/>
              </w:rPr>
              <w:t>50,686</w:t>
            </w:r>
          </w:p>
        </w:tc>
        <w:tc>
          <w:tcPr>
            <w:tcW w:w="1997" w:type="dxa"/>
            <w:vAlign w:val="bottom"/>
          </w:tcPr>
          <w:p w14:paraId="7239AE07" w14:textId="77777777" w:rsidR="00217A61" w:rsidRDefault="001C2695">
            <w:pPr>
              <w:spacing w:beforeAutospacing="1" w:afterAutospacing="1"/>
              <w:jc w:val="right"/>
            </w:pPr>
            <w:r>
              <w:rPr>
                <w:color w:val="000000"/>
              </w:rPr>
              <w:t>368,345</w:t>
            </w:r>
          </w:p>
        </w:tc>
        <w:tc>
          <w:tcPr>
            <w:tcW w:w="1997" w:type="dxa"/>
            <w:vAlign w:val="bottom"/>
          </w:tcPr>
          <w:p w14:paraId="29D62FB7" w14:textId="77777777" w:rsidR="00217A61" w:rsidRDefault="001C2695">
            <w:pPr>
              <w:spacing w:beforeAutospacing="1" w:afterAutospacing="1"/>
              <w:jc w:val="right"/>
            </w:pPr>
            <w:r>
              <w:rPr>
                <w:color w:val="000000"/>
              </w:rPr>
              <w:t>0</w:t>
            </w:r>
          </w:p>
        </w:tc>
      </w:tr>
      <w:tr w:rsidR="00217A61" w14:paraId="514BC276" w14:textId="77777777">
        <w:trPr>
          <w:cantSplit/>
        </w:trPr>
        <w:tc>
          <w:tcPr>
            <w:tcW w:w="3600" w:type="dxa"/>
          </w:tcPr>
          <w:p w14:paraId="7BFCC77A" w14:textId="77777777" w:rsidR="00217A61" w:rsidRDefault="001C2695">
            <w:pPr>
              <w:spacing w:beforeAutospacing="1" w:afterAutospacing="1"/>
            </w:pPr>
            <w:r>
              <w:rPr>
                <w:color w:val="000000"/>
              </w:rPr>
              <w:t>Black / African American</w:t>
            </w:r>
          </w:p>
        </w:tc>
        <w:tc>
          <w:tcPr>
            <w:tcW w:w="1996" w:type="dxa"/>
            <w:vAlign w:val="bottom"/>
          </w:tcPr>
          <w:p w14:paraId="2B7D97B8" w14:textId="77777777" w:rsidR="00217A61" w:rsidRDefault="001C2695">
            <w:pPr>
              <w:spacing w:beforeAutospacing="1" w:afterAutospacing="1"/>
              <w:jc w:val="right"/>
            </w:pPr>
            <w:r>
              <w:rPr>
                <w:color w:val="000000"/>
              </w:rPr>
              <w:t>20,274</w:t>
            </w:r>
          </w:p>
        </w:tc>
        <w:tc>
          <w:tcPr>
            <w:tcW w:w="1997" w:type="dxa"/>
            <w:vAlign w:val="bottom"/>
          </w:tcPr>
          <w:p w14:paraId="0C324630" w14:textId="77777777" w:rsidR="00217A61" w:rsidRDefault="001C2695">
            <w:pPr>
              <w:spacing w:beforeAutospacing="1" w:afterAutospacing="1"/>
              <w:jc w:val="right"/>
            </w:pPr>
            <w:r>
              <w:rPr>
                <w:color w:val="000000"/>
              </w:rPr>
              <w:t>139,902</w:t>
            </w:r>
          </w:p>
        </w:tc>
        <w:tc>
          <w:tcPr>
            <w:tcW w:w="1997" w:type="dxa"/>
            <w:vAlign w:val="bottom"/>
          </w:tcPr>
          <w:p w14:paraId="7FBB58D4" w14:textId="77777777" w:rsidR="00217A61" w:rsidRDefault="001C2695">
            <w:pPr>
              <w:spacing w:beforeAutospacing="1" w:afterAutospacing="1"/>
              <w:jc w:val="right"/>
            </w:pPr>
            <w:r>
              <w:rPr>
                <w:color w:val="000000"/>
              </w:rPr>
              <w:t>0</w:t>
            </w:r>
          </w:p>
        </w:tc>
      </w:tr>
      <w:tr w:rsidR="00217A61" w14:paraId="6616702A" w14:textId="77777777">
        <w:trPr>
          <w:cantSplit/>
        </w:trPr>
        <w:tc>
          <w:tcPr>
            <w:tcW w:w="3600" w:type="dxa"/>
          </w:tcPr>
          <w:p w14:paraId="62701609" w14:textId="77777777" w:rsidR="00217A61" w:rsidRDefault="001C2695">
            <w:pPr>
              <w:spacing w:beforeAutospacing="1" w:afterAutospacing="1"/>
            </w:pPr>
            <w:r>
              <w:rPr>
                <w:color w:val="000000"/>
              </w:rPr>
              <w:t>Asian</w:t>
            </w:r>
          </w:p>
        </w:tc>
        <w:tc>
          <w:tcPr>
            <w:tcW w:w="1996" w:type="dxa"/>
            <w:vAlign w:val="bottom"/>
          </w:tcPr>
          <w:p w14:paraId="010A4A10" w14:textId="77777777" w:rsidR="00217A61" w:rsidRDefault="001C2695">
            <w:pPr>
              <w:spacing w:beforeAutospacing="1" w:afterAutospacing="1"/>
              <w:jc w:val="right"/>
            </w:pPr>
            <w:r>
              <w:rPr>
                <w:color w:val="000000"/>
              </w:rPr>
              <w:t>2,787</w:t>
            </w:r>
          </w:p>
        </w:tc>
        <w:tc>
          <w:tcPr>
            <w:tcW w:w="1997" w:type="dxa"/>
            <w:vAlign w:val="bottom"/>
          </w:tcPr>
          <w:p w14:paraId="02C805C8" w14:textId="77777777" w:rsidR="00217A61" w:rsidRDefault="001C2695">
            <w:pPr>
              <w:spacing w:beforeAutospacing="1" w:afterAutospacing="1"/>
              <w:jc w:val="right"/>
            </w:pPr>
            <w:r>
              <w:rPr>
                <w:color w:val="000000"/>
              </w:rPr>
              <w:t>7,975</w:t>
            </w:r>
          </w:p>
        </w:tc>
        <w:tc>
          <w:tcPr>
            <w:tcW w:w="1997" w:type="dxa"/>
            <w:vAlign w:val="bottom"/>
          </w:tcPr>
          <w:p w14:paraId="4E928573" w14:textId="77777777" w:rsidR="00217A61" w:rsidRDefault="001C2695">
            <w:pPr>
              <w:spacing w:beforeAutospacing="1" w:afterAutospacing="1"/>
              <w:jc w:val="right"/>
            </w:pPr>
            <w:r>
              <w:rPr>
                <w:color w:val="000000"/>
              </w:rPr>
              <w:t>0</w:t>
            </w:r>
          </w:p>
        </w:tc>
      </w:tr>
      <w:tr w:rsidR="00217A61" w14:paraId="50357540" w14:textId="77777777">
        <w:trPr>
          <w:cantSplit/>
        </w:trPr>
        <w:tc>
          <w:tcPr>
            <w:tcW w:w="3600" w:type="dxa"/>
          </w:tcPr>
          <w:p w14:paraId="05D9F59F" w14:textId="77777777" w:rsidR="00217A61" w:rsidRDefault="001C2695">
            <w:pPr>
              <w:spacing w:beforeAutospacing="1" w:afterAutospacing="1"/>
            </w:pPr>
            <w:r>
              <w:rPr>
                <w:color w:val="000000"/>
              </w:rPr>
              <w:t>American Indian, Alaska Native</w:t>
            </w:r>
          </w:p>
        </w:tc>
        <w:tc>
          <w:tcPr>
            <w:tcW w:w="1996" w:type="dxa"/>
            <w:vAlign w:val="bottom"/>
          </w:tcPr>
          <w:p w14:paraId="15B079A1" w14:textId="77777777" w:rsidR="00217A61" w:rsidRDefault="001C2695">
            <w:pPr>
              <w:spacing w:beforeAutospacing="1" w:afterAutospacing="1"/>
              <w:jc w:val="right"/>
            </w:pPr>
            <w:r>
              <w:rPr>
                <w:color w:val="000000"/>
              </w:rPr>
              <w:t>1,023</w:t>
            </w:r>
          </w:p>
        </w:tc>
        <w:tc>
          <w:tcPr>
            <w:tcW w:w="1997" w:type="dxa"/>
            <w:vAlign w:val="bottom"/>
          </w:tcPr>
          <w:p w14:paraId="2E36D70D" w14:textId="77777777" w:rsidR="00217A61" w:rsidRDefault="001C2695">
            <w:pPr>
              <w:spacing w:beforeAutospacing="1" w:afterAutospacing="1"/>
              <w:jc w:val="right"/>
            </w:pPr>
            <w:r>
              <w:rPr>
                <w:color w:val="000000"/>
              </w:rPr>
              <w:t>6,086</w:t>
            </w:r>
          </w:p>
        </w:tc>
        <w:tc>
          <w:tcPr>
            <w:tcW w:w="1997" w:type="dxa"/>
            <w:vAlign w:val="bottom"/>
          </w:tcPr>
          <w:p w14:paraId="08E4E518" w14:textId="77777777" w:rsidR="00217A61" w:rsidRDefault="001C2695">
            <w:pPr>
              <w:spacing w:beforeAutospacing="1" w:afterAutospacing="1"/>
              <w:jc w:val="right"/>
            </w:pPr>
            <w:r>
              <w:rPr>
                <w:color w:val="000000"/>
              </w:rPr>
              <w:t>0</w:t>
            </w:r>
          </w:p>
        </w:tc>
      </w:tr>
      <w:tr w:rsidR="00217A61" w14:paraId="3675E036" w14:textId="77777777">
        <w:trPr>
          <w:cantSplit/>
        </w:trPr>
        <w:tc>
          <w:tcPr>
            <w:tcW w:w="3600" w:type="dxa"/>
          </w:tcPr>
          <w:p w14:paraId="2DE0068C" w14:textId="77777777" w:rsidR="00217A61" w:rsidRDefault="001C2695">
            <w:pPr>
              <w:spacing w:beforeAutospacing="1" w:afterAutospacing="1"/>
            </w:pPr>
            <w:r>
              <w:rPr>
                <w:color w:val="000000"/>
              </w:rPr>
              <w:t>Pacific Islander</w:t>
            </w:r>
          </w:p>
        </w:tc>
        <w:tc>
          <w:tcPr>
            <w:tcW w:w="1996" w:type="dxa"/>
            <w:vAlign w:val="bottom"/>
          </w:tcPr>
          <w:p w14:paraId="0667EABA" w14:textId="77777777" w:rsidR="00217A61" w:rsidRDefault="001C2695">
            <w:pPr>
              <w:spacing w:beforeAutospacing="1" w:afterAutospacing="1"/>
              <w:jc w:val="right"/>
            </w:pPr>
            <w:r>
              <w:rPr>
                <w:color w:val="000000"/>
              </w:rPr>
              <w:t>50</w:t>
            </w:r>
          </w:p>
        </w:tc>
        <w:tc>
          <w:tcPr>
            <w:tcW w:w="1997" w:type="dxa"/>
            <w:vAlign w:val="bottom"/>
          </w:tcPr>
          <w:p w14:paraId="5BA48815" w14:textId="77777777" w:rsidR="00217A61" w:rsidRDefault="001C2695">
            <w:pPr>
              <w:spacing w:beforeAutospacing="1" w:afterAutospacing="1"/>
              <w:jc w:val="right"/>
            </w:pPr>
            <w:r>
              <w:rPr>
                <w:color w:val="000000"/>
              </w:rPr>
              <w:t>312</w:t>
            </w:r>
          </w:p>
        </w:tc>
        <w:tc>
          <w:tcPr>
            <w:tcW w:w="1997" w:type="dxa"/>
            <w:vAlign w:val="bottom"/>
          </w:tcPr>
          <w:p w14:paraId="52057567" w14:textId="77777777" w:rsidR="00217A61" w:rsidRDefault="001C2695">
            <w:pPr>
              <w:spacing w:beforeAutospacing="1" w:afterAutospacing="1"/>
              <w:jc w:val="right"/>
            </w:pPr>
            <w:r>
              <w:rPr>
                <w:color w:val="000000"/>
              </w:rPr>
              <w:t>0</w:t>
            </w:r>
          </w:p>
        </w:tc>
      </w:tr>
      <w:tr w:rsidR="00217A61" w14:paraId="60DA1FA3" w14:textId="77777777">
        <w:trPr>
          <w:cantSplit/>
        </w:trPr>
        <w:tc>
          <w:tcPr>
            <w:tcW w:w="3600" w:type="dxa"/>
          </w:tcPr>
          <w:p w14:paraId="632751C1" w14:textId="77777777" w:rsidR="00217A61" w:rsidRDefault="001C2695">
            <w:pPr>
              <w:spacing w:beforeAutospacing="1" w:afterAutospacing="1"/>
            </w:pPr>
            <w:r>
              <w:rPr>
                <w:color w:val="000000"/>
              </w:rPr>
              <w:t>Hispanic</w:t>
            </w:r>
          </w:p>
        </w:tc>
        <w:tc>
          <w:tcPr>
            <w:tcW w:w="1996" w:type="dxa"/>
            <w:vAlign w:val="bottom"/>
          </w:tcPr>
          <w:p w14:paraId="767846A8" w14:textId="77777777" w:rsidR="00217A61" w:rsidRDefault="001C2695">
            <w:pPr>
              <w:spacing w:beforeAutospacing="1" w:afterAutospacing="1"/>
              <w:jc w:val="right"/>
            </w:pPr>
            <w:r>
              <w:rPr>
                <w:color w:val="000000"/>
              </w:rPr>
              <w:t>11,350</w:t>
            </w:r>
          </w:p>
        </w:tc>
        <w:tc>
          <w:tcPr>
            <w:tcW w:w="1997" w:type="dxa"/>
            <w:vAlign w:val="bottom"/>
          </w:tcPr>
          <w:p w14:paraId="7F3B8A4C" w14:textId="77777777" w:rsidR="00217A61" w:rsidRDefault="001C2695">
            <w:pPr>
              <w:spacing w:beforeAutospacing="1" w:afterAutospacing="1"/>
              <w:jc w:val="right"/>
            </w:pPr>
            <w:r>
              <w:rPr>
                <w:color w:val="000000"/>
              </w:rPr>
              <w:t>42,166</w:t>
            </w:r>
          </w:p>
        </w:tc>
        <w:tc>
          <w:tcPr>
            <w:tcW w:w="1997" w:type="dxa"/>
            <w:vAlign w:val="bottom"/>
          </w:tcPr>
          <w:p w14:paraId="2A357BC6" w14:textId="77777777" w:rsidR="00217A61" w:rsidRDefault="001C2695">
            <w:pPr>
              <w:spacing w:beforeAutospacing="1" w:afterAutospacing="1"/>
              <w:jc w:val="right"/>
            </w:pPr>
            <w:r>
              <w:rPr>
                <w:color w:val="000000"/>
              </w:rPr>
              <w:t>0</w:t>
            </w:r>
          </w:p>
        </w:tc>
      </w:tr>
    </w:tbl>
    <w:p w14:paraId="2AFC9FB6"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Severe Housing Problems 50 - 80%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217A61" w14:paraId="23A7687A" w14:textId="77777777">
        <w:trPr>
          <w:cantSplit/>
        </w:trPr>
        <w:tc>
          <w:tcPr>
            <w:tcW w:w="1080" w:type="dxa"/>
          </w:tcPr>
          <w:p w14:paraId="3887C762" w14:textId="77777777" w:rsidR="00217A61" w:rsidRDefault="001C2695">
            <w:pPr>
              <w:spacing w:after="0" w:line="240" w:lineRule="auto"/>
              <w:rPr>
                <w:sz w:val="16"/>
                <w:szCs w:val="16"/>
              </w:rPr>
            </w:pPr>
            <w:r>
              <w:rPr>
                <w:b/>
                <w:bCs/>
                <w:sz w:val="16"/>
                <w:szCs w:val="16"/>
              </w:rPr>
              <w:t>Data Source:</w:t>
            </w:r>
          </w:p>
        </w:tc>
        <w:tc>
          <w:tcPr>
            <w:tcW w:w="8510" w:type="dxa"/>
          </w:tcPr>
          <w:p w14:paraId="4BF8D244" w14:textId="77777777" w:rsidR="00217A61" w:rsidRDefault="001C2695">
            <w:pPr>
              <w:spacing w:beforeAutospacing="1" w:afterAutospacing="1"/>
              <w:rPr>
                <w:sz w:val="16"/>
                <w:szCs w:val="16"/>
              </w:rPr>
            </w:pPr>
            <w:r>
              <w:rPr>
                <w:rFonts w:cs="Arial"/>
                <w:sz w:val="16"/>
                <w:szCs w:val="16"/>
              </w:rPr>
              <w:t>2011-2015 CHAS</w:t>
            </w:r>
          </w:p>
        </w:tc>
      </w:tr>
    </w:tbl>
    <w:p w14:paraId="685FC7C4" w14:textId="77777777" w:rsidR="00217A61" w:rsidRDefault="00217A61">
      <w:pPr>
        <w:spacing w:after="0" w:line="240" w:lineRule="auto"/>
        <w:rPr>
          <w:vanish/>
        </w:rPr>
      </w:pPr>
    </w:p>
    <w:p w14:paraId="3D7F93ED" w14:textId="77777777" w:rsidR="00217A61" w:rsidRDefault="00217A61">
      <w:pPr>
        <w:spacing w:after="0" w:line="240" w:lineRule="auto"/>
        <w:rPr>
          <w:b/>
          <w:bCs/>
          <w:vanish/>
          <w:sz w:val="16"/>
          <w:szCs w:val="16"/>
        </w:rPr>
      </w:pPr>
    </w:p>
    <w:p w14:paraId="625AD040" w14:textId="77777777" w:rsidR="00217A61" w:rsidRDefault="00217A61">
      <w:pPr>
        <w:spacing w:after="0" w:line="240" w:lineRule="auto"/>
      </w:pPr>
    </w:p>
    <w:p w14:paraId="50F40955" w14:textId="77777777" w:rsidR="00217A61" w:rsidRDefault="001C2695">
      <w:pPr>
        <w:spacing w:after="0" w:line="240" w:lineRule="auto"/>
      </w:pPr>
      <w:r>
        <w:t xml:space="preserve">*The four severe housing problems are: </w:t>
      </w:r>
    </w:p>
    <w:p w14:paraId="3D16D2CD" w14:textId="77777777" w:rsidR="00217A61" w:rsidRDefault="001C2695">
      <w:pPr>
        <w:spacing w:after="0" w:line="240" w:lineRule="auto"/>
      </w:pPr>
      <w:r>
        <w:t xml:space="preserve">1. Lacks complete kitchen facilities, 2. Lacks complete plumbing facilities, 3. More than 1.5 persons per room, </w:t>
      </w:r>
      <w:proofErr w:type="gramStart"/>
      <w:r>
        <w:t>4.Cost</w:t>
      </w:r>
      <w:proofErr w:type="gramEnd"/>
      <w:r>
        <w:t xml:space="preserve"> Burden over 50% </w:t>
      </w:r>
    </w:p>
    <w:p w14:paraId="2FA1E2E8" w14:textId="77777777" w:rsidR="00217A61" w:rsidRDefault="00217A61">
      <w:pPr>
        <w:spacing w:after="0" w:line="240" w:lineRule="auto"/>
      </w:pPr>
    </w:p>
    <w:p w14:paraId="708AAF5A" w14:textId="77777777" w:rsidR="00217A61" w:rsidRDefault="00217A61">
      <w:pPr>
        <w:spacing w:after="0" w:line="240" w:lineRule="auto"/>
      </w:pPr>
    </w:p>
    <w:p w14:paraId="1375FE11" w14:textId="77777777" w:rsidR="00217A61" w:rsidRDefault="001C2695">
      <w:pPr>
        <w:keepNext/>
        <w:widowControl w:val="0"/>
        <w:rPr>
          <w:b/>
          <w:sz w:val="24"/>
          <w:szCs w:val="24"/>
        </w:rPr>
      </w:pPr>
      <w:r>
        <w:rPr>
          <w:b/>
          <w:sz w:val="24"/>
          <w:szCs w:val="24"/>
        </w:rPr>
        <w:lastRenderedPageBreak/>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217A61" w14:paraId="01383893" w14:textId="77777777">
        <w:trPr>
          <w:cantSplit/>
          <w:tblHeader/>
        </w:trPr>
        <w:tc>
          <w:tcPr>
            <w:tcW w:w="3600" w:type="dxa"/>
          </w:tcPr>
          <w:p w14:paraId="30A09B15" w14:textId="77777777" w:rsidR="00217A61" w:rsidRDefault="001C2695">
            <w:pPr>
              <w:keepNext/>
              <w:widowControl w:val="0"/>
              <w:spacing w:after="0" w:line="240" w:lineRule="auto"/>
              <w:jc w:val="center"/>
              <w:rPr>
                <w:b/>
              </w:rPr>
            </w:pPr>
            <w:r>
              <w:rPr>
                <w:b/>
                <w:bCs/>
              </w:rPr>
              <w:t>Severe Housing Problems*</w:t>
            </w:r>
          </w:p>
        </w:tc>
        <w:tc>
          <w:tcPr>
            <w:tcW w:w="1996" w:type="dxa"/>
          </w:tcPr>
          <w:p w14:paraId="1C6A445B" w14:textId="77777777" w:rsidR="00217A61" w:rsidRDefault="001C2695">
            <w:pPr>
              <w:keepNext/>
              <w:widowControl w:val="0"/>
              <w:spacing w:after="0" w:line="240" w:lineRule="auto"/>
              <w:jc w:val="center"/>
              <w:rPr>
                <w:b/>
              </w:rPr>
            </w:pPr>
            <w:r>
              <w:rPr>
                <w:b/>
                <w:bCs/>
              </w:rPr>
              <w:t xml:space="preserve">Has one or more of </w:t>
            </w:r>
            <w:r>
              <w:rPr>
                <w:b/>
                <w:bCs/>
              </w:rPr>
              <w:t>four housing problems</w:t>
            </w:r>
          </w:p>
        </w:tc>
        <w:tc>
          <w:tcPr>
            <w:tcW w:w="1997" w:type="dxa"/>
          </w:tcPr>
          <w:p w14:paraId="33CD14BA" w14:textId="77777777" w:rsidR="00217A61" w:rsidRDefault="001C2695">
            <w:pPr>
              <w:keepNext/>
              <w:widowControl w:val="0"/>
              <w:spacing w:after="0" w:line="240" w:lineRule="auto"/>
              <w:jc w:val="center"/>
              <w:rPr>
                <w:b/>
              </w:rPr>
            </w:pPr>
            <w:r>
              <w:rPr>
                <w:b/>
                <w:bCs/>
              </w:rPr>
              <w:t>Has none of the four housing problems</w:t>
            </w:r>
          </w:p>
        </w:tc>
        <w:tc>
          <w:tcPr>
            <w:tcW w:w="1997" w:type="dxa"/>
          </w:tcPr>
          <w:p w14:paraId="5DA0E9DA" w14:textId="77777777" w:rsidR="00217A61" w:rsidRDefault="001C2695">
            <w:pPr>
              <w:keepNext/>
              <w:widowControl w:val="0"/>
              <w:spacing w:after="0" w:line="240" w:lineRule="auto"/>
              <w:jc w:val="center"/>
              <w:rPr>
                <w:b/>
              </w:rPr>
            </w:pPr>
            <w:r>
              <w:rPr>
                <w:b/>
                <w:bCs/>
              </w:rPr>
              <w:t>Household has no/negative income, but none of the other housing problems</w:t>
            </w:r>
          </w:p>
        </w:tc>
      </w:tr>
      <w:tr w:rsidR="00217A61" w14:paraId="5DEB7875" w14:textId="77777777">
        <w:trPr>
          <w:cantSplit/>
        </w:trPr>
        <w:tc>
          <w:tcPr>
            <w:tcW w:w="3600" w:type="dxa"/>
          </w:tcPr>
          <w:p w14:paraId="64DF13DA" w14:textId="77777777" w:rsidR="00217A61" w:rsidRDefault="001C2695">
            <w:pPr>
              <w:spacing w:beforeAutospacing="1" w:afterAutospacing="1"/>
            </w:pPr>
            <w:r>
              <w:rPr>
                <w:color w:val="000000"/>
              </w:rPr>
              <w:t>Jurisdiction as a whole</w:t>
            </w:r>
          </w:p>
        </w:tc>
        <w:tc>
          <w:tcPr>
            <w:tcW w:w="1996" w:type="dxa"/>
            <w:vAlign w:val="bottom"/>
          </w:tcPr>
          <w:p w14:paraId="5D0971BB" w14:textId="77777777" w:rsidR="00217A61" w:rsidRDefault="001C2695">
            <w:pPr>
              <w:spacing w:beforeAutospacing="1" w:afterAutospacing="1"/>
              <w:jc w:val="right"/>
            </w:pPr>
            <w:r>
              <w:rPr>
                <w:color w:val="000000"/>
              </w:rPr>
              <w:t>24,696</w:t>
            </w:r>
          </w:p>
        </w:tc>
        <w:tc>
          <w:tcPr>
            <w:tcW w:w="1997" w:type="dxa"/>
            <w:vAlign w:val="bottom"/>
          </w:tcPr>
          <w:p w14:paraId="4E5CE893" w14:textId="77777777" w:rsidR="00217A61" w:rsidRDefault="001C2695">
            <w:pPr>
              <w:spacing w:beforeAutospacing="1" w:afterAutospacing="1"/>
              <w:jc w:val="right"/>
            </w:pPr>
            <w:r>
              <w:rPr>
                <w:color w:val="000000"/>
              </w:rPr>
              <w:t>358,453</w:t>
            </w:r>
          </w:p>
        </w:tc>
        <w:tc>
          <w:tcPr>
            <w:tcW w:w="1997" w:type="dxa"/>
            <w:vAlign w:val="bottom"/>
          </w:tcPr>
          <w:p w14:paraId="5D5340D8" w14:textId="77777777" w:rsidR="00217A61" w:rsidRDefault="001C2695">
            <w:pPr>
              <w:spacing w:beforeAutospacing="1" w:afterAutospacing="1"/>
              <w:jc w:val="right"/>
            </w:pPr>
            <w:r>
              <w:rPr>
                <w:color w:val="000000"/>
              </w:rPr>
              <w:t>0</w:t>
            </w:r>
          </w:p>
        </w:tc>
      </w:tr>
      <w:tr w:rsidR="00217A61" w14:paraId="2232DFF5" w14:textId="77777777">
        <w:trPr>
          <w:cantSplit/>
        </w:trPr>
        <w:tc>
          <w:tcPr>
            <w:tcW w:w="3600" w:type="dxa"/>
          </w:tcPr>
          <w:p w14:paraId="2D79001D" w14:textId="77777777" w:rsidR="00217A61" w:rsidRDefault="001C2695">
            <w:pPr>
              <w:spacing w:beforeAutospacing="1" w:afterAutospacing="1"/>
            </w:pPr>
            <w:r>
              <w:rPr>
                <w:color w:val="000000"/>
              </w:rPr>
              <w:t>White</w:t>
            </w:r>
          </w:p>
        </w:tc>
        <w:tc>
          <w:tcPr>
            <w:tcW w:w="1996" w:type="dxa"/>
            <w:vAlign w:val="bottom"/>
          </w:tcPr>
          <w:p w14:paraId="160629AF" w14:textId="77777777" w:rsidR="00217A61" w:rsidRDefault="001C2695">
            <w:pPr>
              <w:spacing w:beforeAutospacing="1" w:afterAutospacing="1"/>
              <w:jc w:val="right"/>
            </w:pPr>
            <w:r>
              <w:rPr>
                <w:color w:val="000000"/>
              </w:rPr>
              <w:t>15,989</w:t>
            </w:r>
          </w:p>
        </w:tc>
        <w:tc>
          <w:tcPr>
            <w:tcW w:w="1997" w:type="dxa"/>
            <w:vAlign w:val="bottom"/>
          </w:tcPr>
          <w:p w14:paraId="0579ED8D" w14:textId="77777777" w:rsidR="00217A61" w:rsidRDefault="001C2695">
            <w:pPr>
              <w:spacing w:beforeAutospacing="1" w:afterAutospacing="1"/>
              <w:jc w:val="right"/>
            </w:pPr>
            <w:r>
              <w:rPr>
                <w:color w:val="000000"/>
              </w:rPr>
              <w:t>249,098</w:t>
            </w:r>
          </w:p>
        </w:tc>
        <w:tc>
          <w:tcPr>
            <w:tcW w:w="1997" w:type="dxa"/>
            <w:vAlign w:val="bottom"/>
          </w:tcPr>
          <w:p w14:paraId="319AFEEF" w14:textId="77777777" w:rsidR="00217A61" w:rsidRDefault="001C2695">
            <w:pPr>
              <w:spacing w:beforeAutospacing="1" w:afterAutospacing="1"/>
              <w:jc w:val="right"/>
            </w:pPr>
            <w:r>
              <w:rPr>
                <w:color w:val="000000"/>
              </w:rPr>
              <w:t>0</w:t>
            </w:r>
          </w:p>
        </w:tc>
      </w:tr>
      <w:tr w:rsidR="00217A61" w14:paraId="1BB95241" w14:textId="77777777">
        <w:trPr>
          <w:cantSplit/>
        </w:trPr>
        <w:tc>
          <w:tcPr>
            <w:tcW w:w="3600" w:type="dxa"/>
          </w:tcPr>
          <w:p w14:paraId="14C67846" w14:textId="77777777" w:rsidR="00217A61" w:rsidRDefault="001C2695">
            <w:pPr>
              <w:spacing w:beforeAutospacing="1" w:afterAutospacing="1"/>
            </w:pPr>
            <w:r>
              <w:rPr>
                <w:color w:val="000000"/>
              </w:rPr>
              <w:t>Black / African American</w:t>
            </w:r>
          </w:p>
        </w:tc>
        <w:tc>
          <w:tcPr>
            <w:tcW w:w="1996" w:type="dxa"/>
            <w:vAlign w:val="bottom"/>
          </w:tcPr>
          <w:p w14:paraId="1D00C6BC" w14:textId="77777777" w:rsidR="00217A61" w:rsidRDefault="001C2695">
            <w:pPr>
              <w:spacing w:beforeAutospacing="1" w:afterAutospacing="1"/>
              <w:jc w:val="right"/>
            </w:pPr>
            <w:r>
              <w:rPr>
                <w:color w:val="000000"/>
              </w:rPr>
              <w:t>4,240</w:t>
            </w:r>
          </w:p>
        </w:tc>
        <w:tc>
          <w:tcPr>
            <w:tcW w:w="1997" w:type="dxa"/>
            <w:vAlign w:val="bottom"/>
          </w:tcPr>
          <w:p w14:paraId="41D4E1B4" w14:textId="77777777" w:rsidR="00217A61" w:rsidRDefault="001C2695">
            <w:pPr>
              <w:spacing w:beforeAutospacing="1" w:afterAutospacing="1"/>
              <w:jc w:val="right"/>
            </w:pPr>
            <w:r>
              <w:rPr>
                <w:color w:val="000000"/>
              </w:rPr>
              <w:t>76,577</w:t>
            </w:r>
          </w:p>
        </w:tc>
        <w:tc>
          <w:tcPr>
            <w:tcW w:w="1997" w:type="dxa"/>
            <w:vAlign w:val="bottom"/>
          </w:tcPr>
          <w:p w14:paraId="1EE39434" w14:textId="77777777" w:rsidR="00217A61" w:rsidRDefault="001C2695">
            <w:pPr>
              <w:spacing w:beforeAutospacing="1" w:afterAutospacing="1"/>
              <w:jc w:val="right"/>
            </w:pPr>
            <w:r>
              <w:rPr>
                <w:color w:val="000000"/>
              </w:rPr>
              <w:t>0</w:t>
            </w:r>
          </w:p>
        </w:tc>
      </w:tr>
      <w:tr w:rsidR="00217A61" w14:paraId="032ED646" w14:textId="77777777">
        <w:trPr>
          <w:cantSplit/>
        </w:trPr>
        <w:tc>
          <w:tcPr>
            <w:tcW w:w="3600" w:type="dxa"/>
          </w:tcPr>
          <w:p w14:paraId="2F954668" w14:textId="77777777" w:rsidR="00217A61" w:rsidRDefault="001C2695">
            <w:pPr>
              <w:spacing w:beforeAutospacing="1" w:afterAutospacing="1"/>
            </w:pPr>
            <w:r>
              <w:rPr>
                <w:color w:val="000000"/>
              </w:rPr>
              <w:t>Asian</w:t>
            </w:r>
          </w:p>
        </w:tc>
        <w:tc>
          <w:tcPr>
            <w:tcW w:w="1996" w:type="dxa"/>
            <w:vAlign w:val="bottom"/>
          </w:tcPr>
          <w:p w14:paraId="0CBABF81" w14:textId="77777777" w:rsidR="00217A61" w:rsidRDefault="001C2695">
            <w:pPr>
              <w:spacing w:beforeAutospacing="1" w:afterAutospacing="1"/>
              <w:jc w:val="right"/>
            </w:pPr>
            <w:r>
              <w:rPr>
                <w:color w:val="000000"/>
              </w:rPr>
              <w:t>568</w:t>
            </w:r>
          </w:p>
        </w:tc>
        <w:tc>
          <w:tcPr>
            <w:tcW w:w="1997" w:type="dxa"/>
            <w:vAlign w:val="bottom"/>
          </w:tcPr>
          <w:p w14:paraId="7351626B" w14:textId="77777777" w:rsidR="00217A61" w:rsidRDefault="001C2695">
            <w:pPr>
              <w:spacing w:beforeAutospacing="1" w:afterAutospacing="1"/>
              <w:jc w:val="right"/>
            </w:pPr>
            <w:r>
              <w:rPr>
                <w:color w:val="000000"/>
              </w:rPr>
              <w:t>5,736</w:t>
            </w:r>
          </w:p>
        </w:tc>
        <w:tc>
          <w:tcPr>
            <w:tcW w:w="1997" w:type="dxa"/>
            <w:vAlign w:val="bottom"/>
          </w:tcPr>
          <w:p w14:paraId="1439A9AC" w14:textId="77777777" w:rsidR="00217A61" w:rsidRDefault="001C2695">
            <w:pPr>
              <w:spacing w:beforeAutospacing="1" w:afterAutospacing="1"/>
              <w:jc w:val="right"/>
            </w:pPr>
            <w:r>
              <w:rPr>
                <w:color w:val="000000"/>
              </w:rPr>
              <w:t>0</w:t>
            </w:r>
          </w:p>
        </w:tc>
      </w:tr>
      <w:tr w:rsidR="00217A61" w14:paraId="2CCBB209" w14:textId="77777777">
        <w:trPr>
          <w:cantSplit/>
        </w:trPr>
        <w:tc>
          <w:tcPr>
            <w:tcW w:w="3600" w:type="dxa"/>
          </w:tcPr>
          <w:p w14:paraId="36DEE40B" w14:textId="77777777" w:rsidR="00217A61" w:rsidRDefault="001C2695">
            <w:pPr>
              <w:spacing w:beforeAutospacing="1" w:afterAutospacing="1"/>
            </w:pPr>
            <w:r>
              <w:rPr>
                <w:color w:val="000000"/>
              </w:rPr>
              <w:t>American Indian, Alaska Native</w:t>
            </w:r>
          </w:p>
        </w:tc>
        <w:tc>
          <w:tcPr>
            <w:tcW w:w="1996" w:type="dxa"/>
            <w:vAlign w:val="bottom"/>
          </w:tcPr>
          <w:p w14:paraId="1FDF3EB6" w14:textId="77777777" w:rsidR="00217A61" w:rsidRDefault="001C2695">
            <w:pPr>
              <w:spacing w:beforeAutospacing="1" w:afterAutospacing="1"/>
              <w:jc w:val="right"/>
            </w:pPr>
            <w:r>
              <w:rPr>
                <w:color w:val="000000"/>
              </w:rPr>
              <w:t>225</w:t>
            </w:r>
          </w:p>
        </w:tc>
        <w:tc>
          <w:tcPr>
            <w:tcW w:w="1997" w:type="dxa"/>
            <w:vAlign w:val="bottom"/>
          </w:tcPr>
          <w:p w14:paraId="527585E3" w14:textId="77777777" w:rsidR="00217A61" w:rsidRDefault="001C2695">
            <w:pPr>
              <w:spacing w:beforeAutospacing="1" w:afterAutospacing="1"/>
              <w:jc w:val="right"/>
            </w:pPr>
            <w:r>
              <w:rPr>
                <w:color w:val="000000"/>
              </w:rPr>
              <w:t>3,161</w:t>
            </w:r>
          </w:p>
        </w:tc>
        <w:tc>
          <w:tcPr>
            <w:tcW w:w="1997" w:type="dxa"/>
            <w:vAlign w:val="bottom"/>
          </w:tcPr>
          <w:p w14:paraId="019E3108" w14:textId="77777777" w:rsidR="00217A61" w:rsidRDefault="001C2695">
            <w:pPr>
              <w:spacing w:beforeAutospacing="1" w:afterAutospacing="1"/>
              <w:jc w:val="right"/>
            </w:pPr>
            <w:r>
              <w:rPr>
                <w:color w:val="000000"/>
              </w:rPr>
              <w:t>0</w:t>
            </w:r>
          </w:p>
        </w:tc>
      </w:tr>
      <w:tr w:rsidR="00217A61" w14:paraId="5F58F19A" w14:textId="77777777">
        <w:trPr>
          <w:cantSplit/>
        </w:trPr>
        <w:tc>
          <w:tcPr>
            <w:tcW w:w="3600" w:type="dxa"/>
          </w:tcPr>
          <w:p w14:paraId="1D79CA9B" w14:textId="77777777" w:rsidR="00217A61" w:rsidRDefault="001C2695">
            <w:pPr>
              <w:spacing w:beforeAutospacing="1" w:afterAutospacing="1"/>
            </w:pPr>
            <w:r>
              <w:rPr>
                <w:color w:val="000000"/>
              </w:rPr>
              <w:t>Pacific Islander</w:t>
            </w:r>
          </w:p>
        </w:tc>
        <w:tc>
          <w:tcPr>
            <w:tcW w:w="1996" w:type="dxa"/>
            <w:vAlign w:val="bottom"/>
          </w:tcPr>
          <w:p w14:paraId="645E5849" w14:textId="77777777" w:rsidR="00217A61" w:rsidRDefault="001C2695">
            <w:pPr>
              <w:spacing w:beforeAutospacing="1" w:afterAutospacing="1"/>
              <w:jc w:val="right"/>
            </w:pPr>
            <w:r>
              <w:rPr>
                <w:color w:val="000000"/>
              </w:rPr>
              <w:t>45</w:t>
            </w:r>
          </w:p>
        </w:tc>
        <w:tc>
          <w:tcPr>
            <w:tcW w:w="1997" w:type="dxa"/>
            <w:vAlign w:val="bottom"/>
          </w:tcPr>
          <w:p w14:paraId="126DE504" w14:textId="77777777" w:rsidR="00217A61" w:rsidRDefault="001C2695">
            <w:pPr>
              <w:spacing w:beforeAutospacing="1" w:afterAutospacing="1"/>
              <w:jc w:val="right"/>
            </w:pPr>
            <w:r>
              <w:rPr>
                <w:color w:val="000000"/>
              </w:rPr>
              <w:t>139</w:t>
            </w:r>
          </w:p>
        </w:tc>
        <w:tc>
          <w:tcPr>
            <w:tcW w:w="1997" w:type="dxa"/>
            <w:vAlign w:val="bottom"/>
          </w:tcPr>
          <w:p w14:paraId="1CF7893F" w14:textId="77777777" w:rsidR="00217A61" w:rsidRDefault="001C2695">
            <w:pPr>
              <w:spacing w:beforeAutospacing="1" w:afterAutospacing="1"/>
              <w:jc w:val="right"/>
            </w:pPr>
            <w:r>
              <w:rPr>
                <w:color w:val="000000"/>
              </w:rPr>
              <w:t>0</w:t>
            </w:r>
          </w:p>
        </w:tc>
      </w:tr>
      <w:tr w:rsidR="00217A61" w14:paraId="327975B4" w14:textId="77777777">
        <w:trPr>
          <w:cantSplit/>
        </w:trPr>
        <w:tc>
          <w:tcPr>
            <w:tcW w:w="3600" w:type="dxa"/>
          </w:tcPr>
          <w:p w14:paraId="7239983A" w14:textId="77777777" w:rsidR="00217A61" w:rsidRDefault="001C2695">
            <w:pPr>
              <w:spacing w:beforeAutospacing="1" w:afterAutospacing="1"/>
            </w:pPr>
            <w:r>
              <w:rPr>
                <w:color w:val="000000"/>
              </w:rPr>
              <w:t>Hispanic</w:t>
            </w:r>
          </w:p>
        </w:tc>
        <w:tc>
          <w:tcPr>
            <w:tcW w:w="1996" w:type="dxa"/>
            <w:vAlign w:val="bottom"/>
          </w:tcPr>
          <w:p w14:paraId="2691EFDE" w14:textId="77777777" w:rsidR="00217A61" w:rsidRDefault="001C2695">
            <w:pPr>
              <w:spacing w:beforeAutospacing="1" w:afterAutospacing="1"/>
              <w:jc w:val="right"/>
            </w:pPr>
            <w:r>
              <w:rPr>
                <w:color w:val="000000"/>
              </w:rPr>
              <w:t>3,385</w:t>
            </w:r>
          </w:p>
        </w:tc>
        <w:tc>
          <w:tcPr>
            <w:tcW w:w="1997" w:type="dxa"/>
            <w:vAlign w:val="bottom"/>
          </w:tcPr>
          <w:p w14:paraId="47ABE8CC" w14:textId="77777777" w:rsidR="00217A61" w:rsidRDefault="001C2695">
            <w:pPr>
              <w:spacing w:beforeAutospacing="1" w:afterAutospacing="1"/>
              <w:jc w:val="right"/>
            </w:pPr>
            <w:r>
              <w:rPr>
                <w:color w:val="000000"/>
              </w:rPr>
              <w:t>19,751</w:t>
            </w:r>
          </w:p>
        </w:tc>
        <w:tc>
          <w:tcPr>
            <w:tcW w:w="1997" w:type="dxa"/>
            <w:vAlign w:val="bottom"/>
          </w:tcPr>
          <w:p w14:paraId="290EA916" w14:textId="77777777" w:rsidR="00217A61" w:rsidRDefault="001C2695">
            <w:pPr>
              <w:spacing w:beforeAutospacing="1" w:afterAutospacing="1"/>
              <w:jc w:val="right"/>
            </w:pPr>
            <w:r>
              <w:rPr>
                <w:color w:val="000000"/>
              </w:rPr>
              <w:t>0</w:t>
            </w:r>
          </w:p>
        </w:tc>
      </w:tr>
    </w:tbl>
    <w:p w14:paraId="78A54384"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Severe Housing Problems 80 - 100%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217A61" w14:paraId="2C5FFB7C" w14:textId="77777777">
        <w:trPr>
          <w:cantSplit/>
        </w:trPr>
        <w:tc>
          <w:tcPr>
            <w:tcW w:w="1080" w:type="dxa"/>
          </w:tcPr>
          <w:p w14:paraId="771C29F1" w14:textId="77777777" w:rsidR="00217A61" w:rsidRDefault="001C2695">
            <w:pPr>
              <w:spacing w:after="0" w:line="240" w:lineRule="auto"/>
              <w:rPr>
                <w:sz w:val="16"/>
                <w:szCs w:val="16"/>
              </w:rPr>
            </w:pPr>
            <w:r>
              <w:rPr>
                <w:b/>
                <w:bCs/>
                <w:sz w:val="16"/>
                <w:szCs w:val="16"/>
              </w:rPr>
              <w:t>Data Source:</w:t>
            </w:r>
          </w:p>
        </w:tc>
        <w:tc>
          <w:tcPr>
            <w:tcW w:w="8510" w:type="dxa"/>
          </w:tcPr>
          <w:p w14:paraId="0E8200A9" w14:textId="77777777" w:rsidR="00217A61" w:rsidRDefault="001C2695">
            <w:pPr>
              <w:spacing w:beforeAutospacing="1" w:afterAutospacing="1"/>
              <w:rPr>
                <w:sz w:val="16"/>
                <w:szCs w:val="16"/>
              </w:rPr>
            </w:pPr>
            <w:r>
              <w:rPr>
                <w:sz w:val="16"/>
                <w:szCs w:val="16"/>
              </w:rPr>
              <w:t>2011-2015 CHAS</w:t>
            </w:r>
          </w:p>
        </w:tc>
      </w:tr>
    </w:tbl>
    <w:p w14:paraId="793F7E57" w14:textId="77777777" w:rsidR="00217A61" w:rsidRDefault="00217A61">
      <w:pPr>
        <w:spacing w:after="0" w:line="240" w:lineRule="auto"/>
        <w:rPr>
          <w:vanish/>
        </w:rPr>
      </w:pPr>
    </w:p>
    <w:p w14:paraId="13DEB596" w14:textId="77777777" w:rsidR="00217A61" w:rsidRDefault="00217A61">
      <w:pPr>
        <w:spacing w:after="0" w:line="240" w:lineRule="auto"/>
        <w:rPr>
          <w:b/>
          <w:bCs/>
          <w:vanish/>
          <w:sz w:val="16"/>
          <w:szCs w:val="16"/>
        </w:rPr>
      </w:pPr>
    </w:p>
    <w:p w14:paraId="61E8F735" w14:textId="77777777" w:rsidR="00217A61" w:rsidRDefault="00217A61">
      <w:pPr>
        <w:rPr>
          <w:rFonts w:cs="Arial"/>
          <w:sz w:val="16"/>
          <w:szCs w:val="16"/>
        </w:rPr>
      </w:pPr>
    </w:p>
    <w:p w14:paraId="4160A38A" w14:textId="77777777" w:rsidR="00217A61" w:rsidRDefault="001C2695">
      <w:pPr>
        <w:spacing w:after="0" w:line="240" w:lineRule="auto"/>
      </w:pPr>
      <w:r>
        <w:t xml:space="preserve">*The four severe housing problems are: </w:t>
      </w:r>
    </w:p>
    <w:p w14:paraId="336EC591" w14:textId="77777777" w:rsidR="00217A61" w:rsidRDefault="001C2695">
      <w:pPr>
        <w:spacing w:after="0" w:line="240" w:lineRule="auto"/>
      </w:pPr>
      <w:r>
        <w:t xml:space="preserve">1. Lacks complete kitchen facilities, 2. Lacks complete plumbing facilities, 3. More than 1.5 persons per room, </w:t>
      </w:r>
      <w:proofErr w:type="gramStart"/>
      <w:r>
        <w:t>4.Cost</w:t>
      </w:r>
      <w:proofErr w:type="gramEnd"/>
      <w:r>
        <w:t xml:space="preserve"> Burden over 50% </w:t>
      </w:r>
    </w:p>
    <w:p w14:paraId="3B9E1CC0" w14:textId="77777777" w:rsidR="00217A61" w:rsidRDefault="00217A61">
      <w:pPr>
        <w:spacing w:after="0" w:line="240" w:lineRule="auto"/>
      </w:pPr>
    </w:p>
    <w:p w14:paraId="3BC1B9C2" w14:textId="77777777" w:rsidR="00217A61" w:rsidRDefault="00217A61">
      <w:pPr>
        <w:spacing w:after="0" w:line="240" w:lineRule="auto"/>
      </w:pPr>
    </w:p>
    <w:p w14:paraId="1200104F" w14:textId="77777777" w:rsidR="00217A61" w:rsidRDefault="001C2695">
      <w:pPr>
        <w:spacing w:line="204" w:lineRule="auto"/>
        <w:rPr>
          <w:b/>
          <w:sz w:val="24"/>
          <w:szCs w:val="24"/>
        </w:rPr>
      </w:pPr>
      <w:r>
        <w:rPr>
          <w:b/>
          <w:sz w:val="24"/>
          <w:szCs w:val="24"/>
        </w:rPr>
        <w:t>Discussion</w:t>
      </w:r>
    </w:p>
    <w:p w14:paraId="277E6F75" w14:textId="77777777" w:rsidR="00217A61" w:rsidRDefault="001C2695">
      <w:pPr>
        <w:spacing w:beforeAutospacing="1" w:afterAutospacing="1"/>
        <w:rPr>
          <w:b/>
          <w:sz w:val="24"/>
          <w:szCs w:val="24"/>
        </w:rPr>
      </w:pPr>
      <w:r>
        <w:rPr>
          <w:rFonts w:cs="Arial"/>
        </w:rPr>
        <w:t>There are approximately 303,000 extremely low-income households (ea</w:t>
      </w:r>
      <w:r>
        <w:rPr>
          <w:rFonts w:cs="Arial"/>
        </w:rPr>
        <w:t>rning 0-30% AMI) in North Carolina experiencing one or more severe housing problems. This represents approximately 63% of the extremely low-income population. Extremely low-income Hispanic households are disproportionately affected, with 73% experiencing o</w:t>
      </w:r>
      <w:r>
        <w:rPr>
          <w:rFonts w:cs="Arial"/>
        </w:rPr>
        <w:t xml:space="preserve">ne or more severe housing problems. </w:t>
      </w:r>
    </w:p>
    <w:p w14:paraId="38869D4B" w14:textId="77777777" w:rsidR="00217A61" w:rsidRDefault="001C2695">
      <w:pPr>
        <w:spacing w:beforeAutospacing="1" w:afterAutospacing="1"/>
        <w:rPr>
          <w:b/>
          <w:sz w:val="24"/>
          <w:szCs w:val="24"/>
        </w:rPr>
      </w:pPr>
      <w:r>
        <w:rPr>
          <w:rFonts w:cs="Arial"/>
        </w:rPr>
        <w:t xml:space="preserve">There are nearly 156,000 very low-income households (earning 30-50% AMI) in North Carolina with one or more severe housing problems, which is 33% of the very low-income population. Pacific Islander and Asian households </w:t>
      </w:r>
      <w:r>
        <w:rPr>
          <w:rFonts w:cs="Arial"/>
        </w:rPr>
        <w:t xml:space="preserve">in this income category are disproportionately affected, with 75% and 43% experiencing one or more severe housing problems, respectively. </w:t>
      </w:r>
    </w:p>
    <w:p w14:paraId="1F4D0C28" w14:textId="77777777" w:rsidR="00217A61" w:rsidRDefault="001C2695">
      <w:pPr>
        <w:spacing w:beforeAutospacing="1" w:afterAutospacing="1"/>
        <w:rPr>
          <w:b/>
          <w:sz w:val="24"/>
          <w:szCs w:val="24"/>
        </w:rPr>
      </w:pPr>
      <w:r>
        <w:rPr>
          <w:rFonts w:cs="Arial"/>
        </w:rPr>
        <w:t>There are 87,000 low-income households (earning 50-80% AMI) in North Carolina with one or more severe housing problem</w:t>
      </w:r>
      <w:r>
        <w:rPr>
          <w:rFonts w:cs="Arial"/>
        </w:rPr>
        <w:t xml:space="preserve">s, comprising 13% of the low-income population. Asian households in this income category are disproportionately affected, with 26% experiencing one or more severe housing problems. </w:t>
      </w:r>
    </w:p>
    <w:p w14:paraId="69D82010" w14:textId="77777777" w:rsidR="00217A61" w:rsidRDefault="001C2695">
      <w:pPr>
        <w:spacing w:beforeAutospacing="1" w:afterAutospacing="1"/>
        <w:rPr>
          <w:b/>
          <w:sz w:val="24"/>
          <w:szCs w:val="24"/>
        </w:rPr>
      </w:pPr>
      <w:r>
        <w:rPr>
          <w:rFonts w:cs="Arial"/>
        </w:rPr>
        <w:t>There are more than 24,500 moderate-income households (earning 80-100% AMI</w:t>
      </w:r>
      <w:r>
        <w:rPr>
          <w:rFonts w:cs="Arial"/>
        </w:rPr>
        <w:t>) in North Carolina with one or more housing problems. This is 6% of the moderate-income population. Pacific Islander households in this income category are disproportionately affected, with 24% experiencing one or more severe housing problems.</w:t>
      </w:r>
    </w:p>
    <w:p w14:paraId="2352F53C" w14:textId="77777777" w:rsidR="00217A61" w:rsidRDefault="001C2695">
      <w:pPr>
        <w:pStyle w:val="Heading2"/>
        <w:pageBreakBefore/>
        <w:rPr>
          <w:rFonts w:ascii="Calibri" w:hAnsi="Calibri"/>
          <w:i w:val="0"/>
        </w:rPr>
      </w:pPr>
      <w:r>
        <w:rPr>
          <w:rFonts w:ascii="Calibri" w:hAnsi="Calibri"/>
          <w:i w:val="0"/>
        </w:rPr>
        <w:lastRenderedPageBreak/>
        <w:t>NA-25 Dispr</w:t>
      </w:r>
      <w:r>
        <w:rPr>
          <w:rFonts w:ascii="Calibri" w:hAnsi="Calibri"/>
          <w:i w:val="0"/>
        </w:rPr>
        <w:t>oportionately Greater Need: Housing Cost Burdens – 91.305 (b)(2)</w:t>
      </w:r>
    </w:p>
    <w:p w14:paraId="4096B618" w14:textId="77777777" w:rsidR="00217A61" w:rsidRDefault="001C2695">
      <w:r>
        <w:t xml:space="preserve">Assess the need of any racial or ethnic group that has disproportionately greater need in comparison to the needs of that category of </w:t>
      </w:r>
      <w:proofErr w:type="gramStart"/>
      <w:r>
        <w:t>need as a whole</w:t>
      </w:r>
      <w:proofErr w:type="gramEnd"/>
      <w:r>
        <w:t>.</w:t>
      </w:r>
    </w:p>
    <w:p w14:paraId="70D49281" w14:textId="77777777" w:rsidR="00217A61" w:rsidRDefault="001C2695">
      <w:pPr>
        <w:spacing w:line="204" w:lineRule="auto"/>
        <w:rPr>
          <w:b/>
          <w:sz w:val="24"/>
          <w:szCs w:val="24"/>
        </w:rPr>
      </w:pPr>
      <w:r>
        <w:rPr>
          <w:b/>
          <w:sz w:val="24"/>
          <w:szCs w:val="24"/>
        </w:rPr>
        <w:t>Introduction</w:t>
      </w:r>
    </w:p>
    <w:p w14:paraId="26054C43" w14:textId="77777777" w:rsidR="00217A61" w:rsidRDefault="001C2695">
      <w:pPr>
        <w:spacing w:beforeAutospacing="1" w:afterAutospacing="1"/>
        <w:rPr>
          <w:b/>
          <w:sz w:val="24"/>
          <w:szCs w:val="24"/>
        </w:rPr>
      </w:pPr>
      <w:r>
        <w:rPr>
          <w:rFonts w:cs="Arial"/>
        </w:rPr>
        <w:t>The likelihood of a househo</w:t>
      </w:r>
      <w:r>
        <w:rPr>
          <w:rFonts w:cs="Arial"/>
        </w:rPr>
        <w:t>ld being cost-burdened varies according to income and race/ethnicity.</w:t>
      </w:r>
    </w:p>
    <w:p w14:paraId="344B614F" w14:textId="77777777" w:rsidR="00217A61" w:rsidRDefault="001C2695">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2"/>
        <w:gridCol w:w="1745"/>
        <w:gridCol w:w="1741"/>
        <w:gridCol w:w="1740"/>
        <w:gridCol w:w="1762"/>
      </w:tblGrid>
      <w:tr w:rsidR="00217A61" w14:paraId="49D8AD40" w14:textId="77777777">
        <w:trPr>
          <w:cantSplit/>
          <w:tblHeader/>
        </w:trPr>
        <w:tc>
          <w:tcPr>
            <w:tcW w:w="2425" w:type="dxa"/>
          </w:tcPr>
          <w:p w14:paraId="4AE0EBAA" w14:textId="77777777" w:rsidR="00217A61" w:rsidRDefault="001C2695">
            <w:pPr>
              <w:keepNext/>
              <w:widowControl w:val="0"/>
              <w:spacing w:after="0" w:line="240" w:lineRule="auto"/>
              <w:jc w:val="center"/>
              <w:rPr>
                <w:b/>
                <w:bCs/>
              </w:rPr>
            </w:pPr>
            <w:r>
              <w:rPr>
                <w:b/>
                <w:bCs/>
              </w:rPr>
              <w:t>Housing Cost Burden</w:t>
            </w:r>
          </w:p>
        </w:tc>
        <w:tc>
          <w:tcPr>
            <w:tcW w:w="1789" w:type="dxa"/>
          </w:tcPr>
          <w:p w14:paraId="31BDBC0A" w14:textId="77777777" w:rsidR="00217A61" w:rsidRDefault="001C2695">
            <w:pPr>
              <w:keepNext/>
              <w:widowControl w:val="0"/>
              <w:spacing w:after="0" w:line="240" w:lineRule="auto"/>
              <w:jc w:val="center"/>
              <w:rPr>
                <w:b/>
                <w:bCs/>
              </w:rPr>
            </w:pPr>
            <w:r>
              <w:rPr>
                <w:b/>
                <w:bCs/>
              </w:rPr>
              <w:t>&lt;=30%</w:t>
            </w:r>
          </w:p>
        </w:tc>
        <w:tc>
          <w:tcPr>
            <w:tcW w:w="1785" w:type="dxa"/>
          </w:tcPr>
          <w:p w14:paraId="56E398F5" w14:textId="77777777" w:rsidR="00217A61" w:rsidRDefault="001C2695">
            <w:pPr>
              <w:keepNext/>
              <w:widowControl w:val="0"/>
              <w:spacing w:after="0" w:line="240" w:lineRule="auto"/>
              <w:jc w:val="center"/>
              <w:rPr>
                <w:b/>
                <w:bCs/>
              </w:rPr>
            </w:pPr>
            <w:r>
              <w:rPr>
                <w:b/>
                <w:bCs/>
              </w:rPr>
              <w:t>30-50%</w:t>
            </w:r>
          </w:p>
        </w:tc>
        <w:tc>
          <w:tcPr>
            <w:tcW w:w="1784" w:type="dxa"/>
          </w:tcPr>
          <w:p w14:paraId="746FDA39" w14:textId="77777777" w:rsidR="00217A61" w:rsidRDefault="001C2695">
            <w:pPr>
              <w:keepNext/>
              <w:widowControl w:val="0"/>
              <w:spacing w:after="0" w:line="240" w:lineRule="auto"/>
              <w:jc w:val="center"/>
              <w:rPr>
                <w:b/>
                <w:bCs/>
              </w:rPr>
            </w:pPr>
            <w:r>
              <w:rPr>
                <w:b/>
                <w:bCs/>
              </w:rPr>
              <w:t>&gt;50%</w:t>
            </w:r>
          </w:p>
        </w:tc>
        <w:tc>
          <w:tcPr>
            <w:tcW w:w="1807" w:type="dxa"/>
          </w:tcPr>
          <w:p w14:paraId="0213BA24" w14:textId="77777777" w:rsidR="00217A61" w:rsidRDefault="001C2695">
            <w:pPr>
              <w:keepNext/>
              <w:widowControl w:val="0"/>
              <w:spacing w:after="0" w:line="240" w:lineRule="auto"/>
              <w:jc w:val="center"/>
              <w:rPr>
                <w:b/>
                <w:bCs/>
              </w:rPr>
            </w:pPr>
            <w:r>
              <w:rPr>
                <w:b/>
                <w:bCs/>
              </w:rPr>
              <w:t>No / negative income (not computed)</w:t>
            </w:r>
          </w:p>
        </w:tc>
      </w:tr>
      <w:tr w:rsidR="00217A61" w14:paraId="72225BF4" w14:textId="77777777">
        <w:trPr>
          <w:cantSplit/>
        </w:trPr>
        <w:tc>
          <w:tcPr>
            <w:tcW w:w="2425" w:type="dxa"/>
          </w:tcPr>
          <w:p w14:paraId="187B569B" w14:textId="77777777" w:rsidR="00217A61" w:rsidRDefault="001C2695">
            <w:pPr>
              <w:spacing w:beforeAutospacing="1" w:afterAutospacing="1"/>
            </w:pPr>
            <w:r>
              <w:rPr>
                <w:color w:val="000000"/>
              </w:rPr>
              <w:t>Jurisdiction as a whole</w:t>
            </w:r>
          </w:p>
        </w:tc>
        <w:tc>
          <w:tcPr>
            <w:tcW w:w="1789" w:type="dxa"/>
            <w:vAlign w:val="bottom"/>
          </w:tcPr>
          <w:p w14:paraId="4EB6476F" w14:textId="77777777" w:rsidR="00217A61" w:rsidRDefault="001C2695">
            <w:pPr>
              <w:spacing w:beforeAutospacing="1" w:afterAutospacing="1"/>
              <w:jc w:val="right"/>
            </w:pPr>
            <w:r>
              <w:rPr>
                <w:color w:val="000000"/>
              </w:rPr>
              <w:t>2,585,980</w:t>
            </w:r>
          </w:p>
        </w:tc>
        <w:tc>
          <w:tcPr>
            <w:tcW w:w="1785" w:type="dxa"/>
            <w:vAlign w:val="bottom"/>
          </w:tcPr>
          <w:p w14:paraId="41DF3FF8" w14:textId="77777777" w:rsidR="00217A61" w:rsidRDefault="001C2695">
            <w:pPr>
              <w:spacing w:beforeAutospacing="1" w:afterAutospacing="1"/>
              <w:jc w:val="right"/>
            </w:pPr>
            <w:r>
              <w:rPr>
                <w:color w:val="000000"/>
              </w:rPr>
              <w:t>619,387</w:t>
            </w:r>
          </w:p>
        </w:tc>
        <w:tc>
          <w:tcPr>
            <w:tcW w:w="1784" w:type="dxa"/>
            <w:vAlign w:val="bottom"/>
          </w:tcPr>
          <w:p w14:paraId="2CA5F459" w14:textId="77777777" w:rsidR="00217A61" w:rsidRDefault="001C2695">
            <w:pPr>
              <w:spacing w:beforeAutospacing="1" w:afterAutospacing="1"/>
              <w:jc w:val="right"/>
            </w:pPr>
            <w:r>
              <w:rPr>
                <w:color w:val="000000"/>
              </w:rPr>
              <w:t>511,923</w:t>
            </w:r>
          </w:p>
        </w:tc>
        <w:tc>
          <w:tcPr>
            <w:tcW w:w="1807" w:type="dxa"/>
            <w:vAlign w:val="bottom"/>
          </w:tcPr>
          <w:p w14:paraId="759BB958" w14:textId="77777777" w:rsidR="00217A61" w:rsidRDefault="001C2695">
            <w:pPr>
              <w:spacing w:beforeAutospacing="1" w:afterAutospacing="1"/>
              <w:jc w:val="right"/>
            </w:pPr>
            <w:r>
              <w:rPr>
                <w:color w:val="000000"/>
              </w:rPr>
              <w:t>57,348</w:t>
            </w:r>
          </w:p>
        </w:tc>
      </w:tr>
      <w:tr w:rsidR="00217A61" w14:paraId="46E72DEA" w14:textId="77777777">
        <w:trPr>
          <w:cantSplit/>
        </w:trPr>
        <w:tc>
          <w:tcPr>
            <w:tcW w:w="2425" w:type="dxa"/>
          </w:tcPr>
          <w:p w14:paraId="2B2E8A91" w14:textId="77777777" w:rsidR="00217A61" w:rsidRDefault="001C2695">
            <w:pPr>
              <w:spacing w:beforeAutospacing="1" w:afterAutospacing="1"/>
            </w:pPr>
            <w:r>
              <w:rPr>
                <w:color w:val="000000"/>
              </w:rPr>
              <w:t>White</w:t>
            </w:r>
          </w:p>
        </w:tc>
        <w:tc>
          <w:tcPr>
            <w:tcW w:w="1789" w:type="dxa"/>
            <w:vAlign w:val="bottom"/>
          </w:tcPr>
          <w:p w14:paraId="338697F2" w14:textId="77777777" w:rsidR="00217A61" w:rsidRDefault="001C2695">
            <w:pPr>
              <w:spacing w:beforeAutospacing="1" w:afterAutospacing="1"/>
              <w:jc w:val="right"/>
            </w:pPr>
            <w:r>
              <w:rPr>
                <w:color w:val="000000"/>
              </w:rPr>
              <w:t>1,922,428</w:t>
            </w:r>
          </w:p>
        </w:tc>
        <w:tc>
          <w:tcPr>
            <w:tcW w:w="1785" w:type="dxa"/>
            <w:vAlign w:val="bottom"/>
          </w:tcPr>
          <w:p w14:paraId="4D7FEC64" w14:textId="77777777" w:rsidR="00217A61" w:rsidRDefault="001C2695">
            <w:pPr>
              <w:spacing w:beforeAutospacing="1" w:afterAutospacing="1"/>
              <w:jc w:val="right"/>
            </w:pPr>
            <w:r>
              <w:rPr>
                <w:color w:val="000000"/>
              </w:rPr>
              <w:t>372,867</w:t>
            </w:r>
          </w:p>
        </w:tc>
        <w:tc>
          <w:tcPr>
            <w:tcW w:w="1784" w:type="dxa"/>
            <w:vAlign w:val="bottom"/>
          </w:tcPr>
          <w:p w14:paraId="3F9C8B20" w14:textId="77777777" w:rsidR="00217A61" w:rsidRDefault="001C2695">
            <w:pPr>
              <w:spacing w:beforeAutospacing="1" w:afterAutospacing="1"/>
              <w:jc w:val="right"/>
            </w:pPr>
            <w:r>
              <w:rPr>
                <w:color w:val="000000"/>
              </w:rPr>
              <w:t>284,845</w:t>
            </w:r>
          </w:p>
        </w:tc>
        <w:tc>
          <w:tcPr>
            <w:tcW w:w="1807" w:type="dxa"/>
            <w:vAlign w:val="bottom"/>
          </w:tcPr>
          <w:p w14:paraId="73921972" w14:textId="77777777" w:rsidR="00217A61" w:rsidRDefault="001C2695">
            <w:pPr>
              <w:spacing w:beforeAutospacing="1" w:afterAutospacing="1"/>
              <w:jc w:val="right"/>
            </w:pPr>
            <w:r>
              <w:rPr>
                <w:color w:val="000000"/>
              </w:rPr>
              <w:t>31,877</w:t>
            </w:r>
          </w:p>
        </w:tc>
      </w:tr>
      <w:tr w:rsidR="00217A61" w14:paraId="6A8653AC" w14:textId="77777777">
        <w:trPr>
          <w:cantSplit/>
        </w:trPr>
        <w:tc>
          <w:tcPr>
            <w:tcW w:w="2425" w:type="dxa"/>
          </w:tcPr>
          <w:p w14:paraId="2DD93B75" w14:textId="77777777" w:rsidR="00217A61" w:rsidRDefault="001C2695">
            <w:pPr>
              <w:spacing w:beforeAutospacing="1" w:afterAutospacing="1"/>
            </w:pPr>
            <w:r>
              <w:rPr>
                <w:color w:val="000000"/>
              </w:rPr>
              <w:t>Black / African American</w:t>
            </w:r>
          </w:p>
        </w:tc>
        <w:tc>
          <w:tcPr>
            <w:tcW w:w="1789" w:type="dxa"/>
            <w:vAlign w:val="bottom"/>
          </w:tcPr>
          <w:p w14:paraId="01CABBFE" w14:textId="77777777" w:rsidR="00217A61" w:rsidRDefault="001C2695">
            <w:pPr>
              <w:spacing w:beforeAutospacing="1" w:afterAutospacing="1"/>
              <w:jc w:val="right"/>
            </w:pPr>
            <w:r>
              <w:rPr>
                <w:color w:val="000000"/>
              </w:rPr>
              <w:t>431,244</w:t>
            </w:r>
          </w:p>
        </w:tc>
        <w:tc>
          <w:tcPr>
            <w:tcW w:w="1785" w:type="dxa"/>
            <w:vAlign w:val="bottom"/>
          </w:tcPr>
          <w:p w14:paraId="599AB37F" w14:textId="77777777" w:rsidR="00217A61" w:rsidRDefault="001C2695">
            <w:pPr>
              <w:spacing w:beforeAutospacing="1" w:afterAutospacing="1"/>
              <w:jc w:val="right"/>
            </w:pPr>
            <w:r>
              <w:rPr>
                <w:color w:val="000000"/>
              </w:rPr>
              <w:t>169,974</w:t>
            </w:r>
          </w:p>
        </w:tc>
        <w:tc>
          <w:tcPr>
            <w:tcW w:w="1784" w:type="dxa"/>
            <w:vAlign w:val="bottom"/>
          </w:tcPr>
          <w:p w14:paraId="1EE50022" w14:textId="77777777" w:rsidR="00217A61" w:rsidRDefault="001C2695">
            <w:pPr>
              <w:spacing w:beforeAutospacing="1" w:afterAutospacing="1"/>
              <w:jc w:val="right"/>
            </w:pPr>
            <w:r>
              <w:rPr>
                <w:color w:val="000000"/>
              </w:rPr>
              <w:t>164,785</w:t>
            </w:r>
          </w:p>
        </w:tc>
        <w:tc>
          <w:tcPr>
            <w:tcW w:w="1807" w:type="dxa"/>
            <w:vAlign w:val="bottom"/>
          </w:tcPr>
          <w:p w14:paraId="5242DF88" w14:textId="77777777" w:rsidR="00217A61" w:rsidRDefault="001C2695">
            <w:pPr>
              <w:spacing w:beforeAutospacing="1" w:afterAutospacing="1"/>
              <w:jc w:val="right"/>
            </w:pPr>
            <w:r>
              <w:rPr>
                <w:color w:val="000000"/>
              </w:rPr>
              <w:t>17,509</w:t>
            </w:r>
          </w:p>
        </w:tc>
      </w:tr>
      <w:tr w:rsidR="00217A61" w14:paraId="0DF8CC5B" w14:textId="77777777">
        <w:trPr>
          <w:cantSplit/>
        </w:trPr>
        <w:tc>
          <w:tcPr>
            <w:tcW w:w="2425" w:type="dxa"/>
          </w:tcPr>
          <w:p w14:paraId="3E44E392" w14:textId="77777777" w:rsidR="00217A61" w:rsidRDefault="001C2695">
            <w:pPr>
              <w:spacing w:beforeAutospacing="1" w:afterAutospacing="1"/>
            </w:pPr>
            <w:r>
              <w:rPr>
                <w:color w:val="000000"/>
              </w:rPr>
              <w:t>Asian</w:t>
            </w:r>
          </w:p>
        </w:tc>
        <w:tc>
          <w:tcPr>
            <w:tcW w:w="1789" w:type="dxa"/>
            <w:vAlign w:val="bottom"/>
          </w:tcPr>
          <w:p w14:paraId="73DB3C11" w14:textId="77777777" w:rsidR="00217A61" w:rsidRDefault="001C2695">
            <w:pPr>
              <w:spacing w:beforeAutospacing="1" w:afterAutospacing="1"/>
              <w:jc w:val="right"/>
            </w:pPr>
            <w:r>
              <w:rPr>
                <w:color w:val="000000"/>
              </w:rPr>
              <w:t>52,713</w:t>
            </w:r>
          </w:p>
        </w:tc>
        <w:tc>
          <w:tcPr>
            <w:tcW w:w="1785" w:type="dxa"/>
            <w:vAlign w:val="bottom"/>
          </w:tcPr>
          <w:p w14:paraId="3C9C44D3" w14:textId="77777777" w:rsidR="00217A61" w:rsidRDefault="001C2695">
            <w:pPr>
              <w:spacing w:beforeAutospacing="1" w:afterAutospacing="1"/>
              <w:jc w:val="right"/>
            </w:pPr>
            <w:r>
              <w:rPr>
                <w:color w:val="000000"/>
              </w:rPr>
              <w:t>10,895</w:t>
            </w:r>
          </w:p>
        </w:tc>
        <w:tc>
          <w:tcPr>
            <w:tcW w:w="1784" w:type="dxa"/>
            <w:vAlign w:val="bottom"/>
          </w:tcPr>
          <w:p w14:paraId="520914D0" w14:textId="77777777" w:rsidR="00217A61" w:rsidRDefault="001C2695">
            <w:pPr>
              <w:spacing w:beforeAutospacing="1" w:afterAutospacing="1"/>
              <w:jc w:val="right"/>
            </w:pPr>
            <w:r>
              <w:rPr>
                <w:color w:val="000000"/>
              </w:rPr>
              <w:t>8,996</w:t>
            </w:r>
          </w:p>
        </w:tc>
        <w:tc>
          <w:tcPr>
            <w:tcW w:w="1807" w:type="dxa"/>
            <w:vAlign w:val="bottom"/>
          </w:tcPr>
          <w:p w14:paraId="41705850" w14:textId="77777777" w:rsidR="00217A61" w:rsidRDefault="001C2695">
            <w:pPr>
              <w:spacing w:beforeAutospacing="1" w:afterAutospacing="1"/>
              <w:jc w:val="right"/>
            </w:pPr>
            <w:r>
              <w:rPr>
                <w:color w:val="000000"/>
              </w:rPr>
              <w:t>1,999</w:t>
            </w:r>
          </w:p>
        </w:tc>
      </w:tr>
      <w:tr w:rsidR="00217A61" w14:paraId="6A7C678D" w14:textId="77777777">
        <w:trPr>
          <w:cantSplit/>
        </w:trPr>
        <w:tc>
          <w:tcPr>
            <w:tcW w:w="2425" w:type="dxa"/>
          </w:tcPr>
          <w:p w14:paraId="1CC489FD" w14:textId="77777777" w:rsidR="00217A61" w:rsidRDefault="001C2695">
            <w:pPr>
              <w:spacing w:beforeAutospacing="1" w:afterAutospacing="1"/>
            </w:pPr>
            <w:r>
              <w:rPr>
                <w:color w:val="000000"/>
              </w:rPr>
              <w:t>American Indian, Alaska Native</w:t>
            </w:r>
          </w:p>
        </w:tc>
        <w:tc>
          <w:tcPr>
            <w:tcW w:w="1789" w:type="dxa"/>
            <w:vAlign w:val="bottom"/>
          </w:tcPr>
          <w:p w14:paraId="3AEE7AF7" w14:textId="77777777" w:rsidR="00217A61" w:rsidRDefault="001C2695">
            <w:pPr>
              <w:spacing w:beforeAutospacing="1" w:afterAutospacing="1"/>
              <w:jc w:val="right"/>
            </w:pPr>
            <w:r>
              <w:rPr>
                <w:color w:val="000000"/>
              </w:rPr>
              <w:t>24,972</w:t>
            </w:r>
          </w:p>
        </w:tc>
        <w:tc>
          <w:tcPr>
            <w:tcW w:w="1785" w:type="dxa"/>
            <w:vAlign w:val="bottom"/>
          </w:tcPr>
          <w:p w14:paraId="69F01737" w14:textId="77777777" w:rsidR="00217A61" w:rsidRDefault="001C2695">
            <w:pPr>
              <w:spacing w:beforeAutospacing="1" w:afterAutospacing="1"/>
              <w:jc w:val="right"/>
            </w:pPr>
            <w:r>
              <w:rPr>
                <w:color w:val="000000"/>
              </w:rPr>
              <w:t>5,701</w:t>
            </w:r>
          </w:p>
        </w:tc>
        <w:tc>
          <w:tcPr>
            <w:tcW w:w="1784" w:type="dxa"/>
            <w:vAlign w:val="bottom"/>
          </w:tcPr>
          <w:p w14:paraId="3AB78FBE" w14:textId="77777777" w:rsidR="00217A61" w:rsidRDefault="001C2695">
            <w:pPr>
              <w:spacing w:beforeAutospacing="1" w:afterAutospacing="1"/>
              <w:jc w:val="right"/>
            </w:pPr>
            <w:r>
              <w:rPr>
                <w:color w:val="000000"/>
              </w:rPr>
              <w:t>6,013</w:t>
            </w:r>
          </w:p>
        </w:tc>
        <w:tc>
          <w:tcPr>
            <w:tcW w:w="1807" w:type="dxa"/>
            <w:vAlign w:val="bottom"/>
          </w:tcPr>
          <w:p w14:paraId="2F12420B" w14:textId="77777777" w:rsidR="00217A61" w:rsidRDefault="001C2695">
            <w:pPr>
              <w:spacing w:beforeAutospacing="1" w:afterAutospacing="1"/>
              <w:jc w:val="right"/>
            </w:pPr>
            <w:r>
              <w:rPr>
                <w:color w:val="000000"/>
              </w:rPr>
              <w:t>1,337</w:t>
            </w:r>
          </w:p>
        </w:tc>
      </w:tr>
      <w:tr w:rsidR="00217A61" w14:paraId="39628854" w14:textId="77777777">
        <w:trPr>
          <w:cantSplit/>
        </w:trPr>
        <w:tc>
          <w:tcPr>
            <w:tcW w:w="2425" w:type="dxa"/>
          </w:tcPr>
          <w:p w14:paraId="419D77F8" w14:textId="77777777" w:rsidR="00217A61" w:rsidRDefault="001C2695">
            <w:pPr>
              <w:spacing w:beforeAutospacing="1" w:afterAutospacing="1"/>
            </w:pPr>
            <w:r>
              <w:rPr>
                <w:color w:val="000000"/>
              </w:rPr>
              <w:t>Pacific Islander</w:t>
            </w:r>
          </w:p>
        </w:tc>
        <w:tc>
          <w:tcPr>
            <w:tcW w:w="1789" w:type="dxa"/>
            <w:vAlign w:val="bottom"/>
          </w:tcPr>
          <w:p w14:paraId="51104693" w14:textId="77777777" w:rsidR="00217A61" w:rsidRDefault="001C2695">
            <w:pPr>
              <w:spacing w:beforeAutospacing="1" w:afterAutospacing="1"/>
              <w:jc w:val="right"/>
            </w:pPr>
            <w:r>
              <w:rPr>
                <w:color w:val="000000"/>
              </w:rPr>
              <w:t>824</w:t>
            </w:r>
          </w:p>
        </w:tc>
        <w:tc>
          <w:tcPr>
            <w:tcW w:w="1785" w:type="dxa"/>
            <w:vAlign w:val="bottom"/>
          </w:tcPr>
          <w:p w14:paraId="78705B4D" w14:textId="77777777" w:rsidR="00217A61" w:rsidRDefault="001C2695">
            <w:pPr>
              <w:spacing w:beforeAutospacing="1" w:afterAutospacing="1"/>
              <w:jc w:val="right"/>
            </w:pPr>
            <w:r>
              <w:rPr>
                <w:color w:val="000000"/>
              </w:rPr>
              <w:t>382</w:t>
            </w:r>
          </w:p>
        </w:tc>
        <w:tc>
          <w:tcPr>
            <w:tcW w:w="1784" w:type="dxa"/>
            <w:vAlign w:val="bottom"/>
          </w:tcPr>
          <w:p w14:paraId="096B9A61" w14:textId="77777777" w:rsidR="00217A61" w:rsidRDefault="001C2695">
            <w:pPr>
              <w:spacing w:beforeAutospacing="1" w:afterAutospacing="1"/>
              <w:jc w:val="right"/>
            </w:pPr>
            <w:r>
              <w:rPr>
                <w:color w:val="000000"/>
              </w:rPr>
              <w:t>229</w:t>
            </w:r>
          </w:p>
        </w:tc>
        <w:tc>
          <w:tcPr>
            <w:tcW w:w="1807" w:type="dxa"/>
            <w:vAlign w:val="bottom"/>
          </w:tcPr>
          <w:p w14:paraId="000E2308" w14:textId="77777777" w:rsidR="00217A61" w:rsidRDefault="001C2695">
            <w:pPr>
              <w:spacing w:beforeAutospacing="1" w:afterAutospacing="1"/>
              <w:jc w:val="right"/>
            </w:pPr>
            <w:r>
              <w:rPr>
                <w:color w:val="000000"/>
              </w:rPr>
              <w:t>59</w:t>
            </w:r>
          </w:p>
        </w:tc>
      </w:tr>
      <w:tr w:rsidR="00217A61" w14:paraId="4D16A276" w14:textId="77777777">
        <w:trPr>
          <w:cantSplit/>
        </w:trPr>
        <w:tc>
          <w:tcPr>
            <w:tcW w:w="2425" w:type="dxa"/>
          </w:tcPr>
          <w:p w14:paraId="1414CE9E" w14:textId="77777777" w:rsidR="00217A61" w:rsidRDefault="001C2695">
            <w:pPr>
              <w:spacing w:beforeAutospacing="1" w:afterAutospacing="1"/>
            </w:pPr>
            <w:r>
              <w:rPr>
                <w:color w:val="000000"/>
              </w:rPr>
              <w:t>Hispanic</w:t>
            </w:r>
          </w:p>
        </w:tc>
        <w:tc>
          <w:tcPr>
            <w:tcW w:w="1789" w:type="dxa"/>
            <w:vAlign w:val="bottom"/>
          </w:tcPr>
          <w:p w14:paraId="7D474B2D" w14:textId="77777777" w:rsidR="00217A61" w:rsidRDefault="001C2695">
            <w:pPr>
              <w:spacing w:beforeAutospacing="1" w:afterAutospacing="1"/>
              <w:jc w:val="right"/>
            </w:pPr>
            <w:r>
              <w:rPr>
                <w:color w:val="000000"/>
              </w:rPr>
              <w:t>127,431</w:t>
            </w:r>
          </w:p>
        </w:tc>
        <w:tc>
          <w:tcPr>
            <w:tcW w:w="1785" w:type="dxa"/>
            <w:vAlign w:val="bottom"/>
          </w:tcPr>
          <w:p w14:paraId="331BFE00" w14:textId="77777777" w:rsidR="00217A61" w:rsidRDefault="001C2695">
            <w:pPr>
              <w:spacing w:beforeAutospacing="1" w:afterAutospacing="1"/>
              <w:jc w:val="right"/>
            </w:pPr>
            <w:r>
              <w:rPr>
                <w:color w:val="000000"/>
              </w:rPr>
              <w:t>50,763</w:t>
            </w:r>
          </w:p>
        </w:tc>
        <w:tc>
          <w:tcPr>
            <w:tcW w:w="1784" w:type="dxa"/>
            <w:vAlign w:val="bottom"/>
          </w:tcPr>
          <w:p w14:paraId="53EC1B31" w14:textId="77777777" w:rsidR="00217A61" w:rsidRDefault="001C2695">
            <w:pPr>
              <w:spacing w:beforeAutospacing="1" w:afterAutospacing="1"/>
              <w:jc w:val="right"/>
            </w:pPr>
            <w:r>
              <w:rPr>
                <w:color w:val="000000"/>
              </w:rPr>
              <w:t>37,307</w:t>
            </w:r>
          </w:p>
        </w:tc>
        <w:tc>
          <w:tcPr>
            <w:tcW w:w="1807" w:type="dxa"/>
            <w:vAlign w:val="bottom"/>
          </w:tcPr>
          <w:p w14:paraId="23DC14CC" w14:textId="77777777" w:rsidR="00217A61" w:rsidRDefault="001C2695">
            <w:pPr>
              <w:spacing w:beforeAutospacing="1" w:afterAutospacing="1"/>
              <w:jc w:val="right"/>
            </w:pPr>
            <w:r>
              <w:rPr>
                <w:color w:val="000000"/>
              </w:rPr>
              <w:t>3,366</w:t>
            </w:r>
          </w:p>
        </w:tc>
      </w:tr>
    </w:tbl>
    <w:p w14:paraId="7863663A"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Greater Need: Housing Cost Burdens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217A61" w14:paraId="47702A89" w14:textId="77777777">
        <w:trPr>
          <w:cantSplit/>
        </w:trPr>
        <w:tc>
          <w:tcPr>
            <w:tcW w:w="1080" w:type="dxa"/>
          </w:tcPr>
          <w:p w14:paraId="1855A55A" w14:textId="77777777" w:rsidR="00217A61" w:rsidRDefault="001C2695">
            <w:pPr>
              <w:spacing w:after="0" w:line="240" w:lineRule="auto"/>
              <w:rPr>
                <w:sz w:val="16"/>
                <w:szCs w:val="16"/>
              </w:rPr>
            </w:pPr>
            <w:r>
              <w:rPr>
                <w:b/>
                <w:bCs/>
                <w:sz w:val="16"/>
                <w:szCs w:val="16"/>
              </w:rPr>
              <w:t>Data Source:</w:t>
            </w:r>
          </w:p>
        </w:tc>
        <w:tc>
          <w:tcPr>
            <w:tcW w:w="8510" w:type="dxa"/>
          </w:tcPr>
          <w:p w14:paraId="28B51EED" w14:textId="77777777" w:rsidR="00217A61" w:rsidRDefault="001C2695">
            <w:pPr>
              <w:spacing w:beforeAutospacing="1" w:afterAutospacing="1"/>
              <w:rPr>
                <w:sz w:val="16"/>
                <w:szCs w:val="16"/>
              </w:rPr>
            </w:pPr>
            <w:r>
              <w:rPr>
                <w:sz w:val="16"/>
                <w:szCs w:val="16"/>
              </w:rPr>
              <w:t>2011-2015 CHAS</w:t>
            </w:r>
          </w:p>
        </w:tc>
      </w:tr>
    </w:tbl>
    <w:p w14:paraId="351CABB4" w14:textId="77777777" w:rsidR="00217A61" w:rsidRDefault="00217A61">
      <w:pPr>
        <w:spacing w:after="0" w:line="240" w:lineRule="auto"/>
        <w:rPr>
          <w:vanish/>
        </w:rPr>
      </w:pPr>
    </w:p>
    <w:p w14:paraId="27F3DB61" w14:textId="77777777" w:rsidR="00217A61" w:rsidRDefault="00217A61">
      <w:pPr>
        <w:spacing w:after="0" w:line="240" w:lineRule="auto"/>
        <w:rPr>
          <w:b/>
          <w:bCs/>
          <w:vanish/>
          <w:sz w:val="16"/>
          <w:szCs w:val="16"/>
        </w:rPr>
      </w:pPr>
    </w:p>
    <w:p w14:paraId="5133DA8D" w14:textId="77777777" w:rsidR="00217A61" w:rsidRDefault="00217A61">
      <w:pPr>
        <w:rPr>
          <w:rFonts w:cs="Arial"/>
          <w:szCs w:val="26"/>
        </w:rPr>
      </w:pPr>
    </w:p>
    <w:p w14:paraId="4D54238C" w14:textId="77777777" w:rsidR="00217A61" w:rsidRDefault="001C2695">
      <w:pPr>
        <w:spacing w:line="204" w:lineRule="auto"/>
        <w:rPr>
          <w:b/>
          <w:sz w:val="24"/>
          <w:szCs w:val="24"/>
        </w:rPr>
      </w:pPr>
      <w:r>
        <w:rPr>
          <w:b/>
          <w:sz w:val="24"/>
          <w:szCs w:val="24"/>
        </w:rPr>
        <w:t>Discussion</w:t>
      </w:r>
    </w:p>
    <w:p w14:paraId="2FE480E9" w14:textId="77777777" w:rsidR="00217A61" w:rsidRDefault="001C2695">
      <w:pPr>
        <w:spacing w:beforeAutospacing="1" w:afterAutospacing="1"/>
        <w:rPr>
          <w:b/>
          <w:sz w:val="24"/>
          <w:szCs w:val="24"/>
        </w:rPr>
      </w:pPr>
      <w:r>
        <w:rPr>
          <w:rFonts w:cs="Arial"/>
        </w:rPr>
        <w:t>In North Carolina, 30% of households are cost-</w:t>
      </w:r>
      <w:proofErr w:type="gramStart"/>
      <w:r>
        <w:rPr>
          <w:rFonts w:cs="Arial"/>
        </w:rPr>
        <w:t>burdened ,</w:t>
      </w:r>
      <w:proofErr w:type="gramEnd"/>
      <w:r>
        <w:rPr>
          <w:rFonts w:cs="Arial"/>
        </w:rPr>
        <w:t xml:space="preserve"> which means they pay more than 30% of their income towards housing. Approximately 14% of households are severely cost-burdened, paying more than 50% of their income for housing.</w:t>
      </w:r>
    </w:p>
    <w:p w14:paraId="6C323652" w14:textId="77777777" w:rsidR="00217A61" w:rsidRDefault="001C2695">
      <w:pPr>
        <w:spacing w:beforeAutospacing="1" w:afterAutospacing="1"/>
        <w:rPr>
          <w:b/>
          <w:sz w:val="24"/>
          <w:szCs w:val="24"/>
        </w:rPr>
      </w:pPr>
      <w:r>
        <w:rPr>
          <w:rFonts w:cs="Arial"/>
        </w:rPr>
        <w:br/>
        <w:t xml:space="preserve">All minority groups </w:t>
      </w:r>
      <w:r>
        <w:rPr>
          <w:rFonts w:cs="Arial"/>
        </w:rPr>
        <w:t xml:space="preserve">except </w:t>
      </w:r>
      <w:proofErr w:type="gramStart"/>
      <w:r>
        <w:rPr>
          <w:rFonts w:cs="Arial"/>
        </w:rPr>
        <w:t>Asians</w:t>
      </w:r>
      <w:proofErr w:type="gramEnd"/>
      <w:r>
        <w:rPr>
          <w:rFonts w:cs="Arial"/>
        </w:rPr>
        <w:t xml:space="preserve"> experience cost burdening at higher rates than the overall state, where 31% of the households are cost burdened or have zero or negative income. Black/African Americans and Pacific Islanders have the greatest disproportionate need, with 45% o</w:t>
      </w:r>
      <w:r>
        <w:rPr>
          <w:rFonts w:cs="Arial"/>
        </w:rPr>
        <w:t>f the population being cost burdened or having zero or negative income. For the “non-Hispanic Native Americans or Alaska Native” population the figure is 34%. Among the Hispanic population and the category of "Other, including multiple races, non-Hispanic”</w:t>
      </w:r>
      <w:r>
        <w:rPr>
          <w:rFonts w:cs="Arial"/>
        </w:rPr>
        <w:t xml:space="preserve">, 42% of the households are cost burdened or have zero or negative income. </w:t>
      </w:r>
      <w:r>
        <w:rPr>
          <w:rFonts w:cs="Arial"/>
        </w:rPr>
        <w:br/>
        <w:t xml:space="preserve">Eastern counties in North Carolina appear to have a greater share of households experiencing severe housing cost burden. For example, 21% of households in Bertie and Pitt counties </w:t>
      </w:r>
      <w:r>
        <w:rPr>
          <w:rFonts w:cs="Arial"/>
        </w:rPr>
        <w:t>are severely cost-</w:t>
      </w:r>
      <w:r>
        <w:rPr>
          <w:rFonts w:cs="Arial"/>
        </w:rPr>
        <w:lastRenderedPageBreak/>
        <w:t>burdened, while New Hanover, Halifax, Washington, Pasquotank, Hertford, and Perquimans counties all have 18% of households experiencing severe cost burden.</w:t>
      </w:r>
    </w:p>
    <w:p w14:paraId="5D5AD329" w14:textId="77777777" w:rsidR="00217A61" w:rsidRDefault="001C2695">
      <w:pPr>
        <w:pStyle w:val="Heading2"/>
        <w:pageBreakBefore/>
        <w:rPr>
          <w:rFonts w:ascii="Calibri" w:hAnsi="Calibri"/>
          <w:i w:val="0"/>
        </w:rPr>
      </w:pPr>
      <w:r>
        <w:rPr>
          <w:rFonts w:ascii="Calibri" w:hAnsi="Calibri"/>
          <w:i w:val="0"/>
        </w:rPr>
        <w:lastRenderedPageBreak/>
        <w:t>NA-30 Disproportionately Greater Need: Discussion – 91.305 (b)(2)</w:t>
      </w:r>
    </w:p>
    <w:p w14:paraId="0063B0FA" w14:textId="77777777" w:rsidR="00217A61" w:rsidRDefault="001C2695">
      <w:pPr>
        <w:rPr>
          <w:b/>
          <w:sz w:val="24"/>
          <w:szCs w:val="24"/>
        </w:rPr>
      </w:pPr>
      <w:r>
        <w:rPr>
          <w:b/>
          <w:sz w:val="24"/>
          <w:szCs w:val="24"/>
        </w:rPr>
        <w:t xml:space="preserve">Are there any </w:t>
      </w:r>
      <w:r>
        <w:rPr>
          <w:b/>
          <w:sz w:val="24"/>
          <w:szCs w:val="24"/>
        </w:rPr>
        <w:t>Income categories in which a racial or ethnic group has disproportionately greater need than the needs of that income category as a whole?</w:t>
      </w:r>
    </w:p>
    <w:p w14:paraId="0B891B93" w14:textId="77777777" w:rsidR="00217A61" w:rsidRDefault="001C2695">
      <w:pPr>
        <w:spacing w:beforeAutospacing="1" w:afterAutospacing="1"/>
        <w:rPr>
          <w:rFonts w:cs="Arial"/>
          <w:szCs w:val="26"/>
        </w:rPr>
      </w:pPr>
      <w:r>
        <w:rPr>
          <w:rFonts w:cs="Arial"/>
        </w:rPr>
        <w:t>In all income categories, non-white populations have housing needs disproportionately to the population overall.</w:t>
      </w:r>
    </w:p>
    <w:p w14:paraId="25F38516" w14:textId="77777777" w:rsidR="00217A61" w:rsidRDefault="001C2695">
      <w:pPr>
        <w:spacing w:beforeAutospacing="1" w:afterAutospacing="1"/>
        <w:rPr>
          <w:rFonts w:cs="Arial"/>
          <w:szCs w:val="26"/>
        </w:rPr>
      </w:pPr>
      <w:r>
        <w:rPr>
          <w:rFonts w:cs="Arial"/>
        </w:rPr>
        <w:t>Acco</w:t>
      </w:r>
      <w:r>
        <w:rPr>
          <w:rFonts w:cs="Arial"/>
        </w:rPr>
        <w:t>rding to the 1-yr 2018 ACS estimates, North Carolina’s population is roughly 21% Black, 3% Asian, 1% American Indian and Alaskan Native, 3% multiple races, 63% White alone (not Hispanic or Latino), 10% Hispanic (of any race), and 3% other races.</w:t>
      </w:r>
    </w:p>
    <w:p w14:paraId="0A456511" w14:textId="77777777" w:rsidR="00217A61" w:rsidRDefault="001C2695">
      <w:pPr>
        <w:spacing w:beforeAutospacing="1" w:afterAutospacing="1"/>
        <w:rPr>
          <w:rFonts w:cs="Arial"/>
          <w:szCs w:val="26"/>
        </w:rPr>
      </w:pPr>
      <w:r>
        <w:rPr>
          <w:rFonts w:cs="Arial"/>
        </w:rPr>
        <w:t>Trends amo</w:t>
      </w:r>
      <w:r>
        <w:rPr>
          <w:rFonts w:cs="Arial"/>
        </w:rPr>
        <w:t>ng income categories are approximately as one would predict: the lower the household’s income, the more likely the household is to face housing problems and severe housing problems. The exceptions to this trend are Asian and Pacific Island populations, whe</w:t>
      </w:r>
      <w:r>
        <w:rPr>
          <w:rFonts w:cs="Arial"/>
        </w:rPr>
        <w:t xml:space="preserve">re households in the lowest income category (0-30% of the area median income) have lower </w:t>
      </w:r>
      <w:proofErr w:type="spellStart"/>
      <w:r>
        <w:rPr>
          <w:rFonts w:cs="Arial"/>
        </w:rPr>
        <w:t>percents</w:t>
      </w:r>
      <w:proofErr w:type="spellEnd"/>
      <w:r>
        <w:rPr>
          <w:rFonts w:cs="Arial"/>
        </w:rPr>
        <w:t xml:space="preserve"> of households with housing problems – 73% and 65%, respectively – than the same populations do in the next-lowest income category (30-50% of the area median i</w:t>
      </w:r>
      <w:r>
        <w:rPr>
          <w:rFonts w:cs="Arial"/>
        </w:rPr>
        <w:t>ncome). In the 30-50%AMI income category the rates for Asians and Pacific Islanders are 82% and 89% respectively. After that anomaly those two populations join the pattern where increased incomes correlate with fewer housing problems.</w:t>
      </w:r>
    </w:p>
    <w:p w14:paraId="2342FDBB" w14:textId="77777777" w:rsidR="00217A61" w:rsidRDefault="001C2695">
      <w:pPr>
        <w:spacing w:beforeAutospacing="1" w:afterAutospacing="1"/>
        <w:rPr>
          <w:rFonts w:cs="Arial"/>
          <w:szCs w:val="26"/>
        </w:rPr>
      </w:pPr>
      <w:r>
        <w:rPr>
          <w:rFonts w:cs="Arial"/>
        </w:rPr>
        <w:t>Pacific Island househ</w:t>
      </w:r>
      <w:r>
        <w:rPr>
          <w:rFonts w:cs="Arial"/>
        </w:rPr>
        <w:t xml:space="preserve">olds’ rates of housing problems, however, remain significantly higher than other minority populations. In the </w:t>
      </w:r>
      <w:proofErr w:type="gramStart"/>
      <w:r>
        <w:rPr>
          <w:rFonts w:cs="Arial"/>
        </w:rPr>
        <w:t>moderate income</w:t>
      </w:r>
      <w:proofErr w:type="gramEnd"/>
      <w:r>
        <w:rPr>
          <w:rFonts w:cs="Arial"/>
        </w:rPr>
        <w:t xml:space="preserve"> category (households earning 80-100% of the median income for their area), 65% of Pacific Islander households experience housing p</w:t>
      </w:r>
      <w:r>
        <w:rPr>
          <w:rFonts w:cs="Arial"/>
        </w:rPr>
        <w:t>roblems (compared to 25% for the state overall, 26% for Black households and 32% for Asian households). It is important to note that the Pacific Islander population in the state is very small (approximately 1,500 households).</w:t>
      </w:r>
    </w:p>
    <w:p w14:paraId="5C0CA1C5" w14:textId="77777777" w:rsidR="00217A61" w:rsidRDefault="001C2695">
      <w:pPr>
        <w:spacing w:beforeAutospacing="1" w:afterAutospacing="1"/>
        <w:rPr>
          <w:rFonts w:cs="Arial"/>
          <w:szCs w:val="26"/>
        </w:rPr>
      </w:pPr>
      <w:r>
        <w:rPr>
          <w:rFonts w:cs="Arial"/>
        </w:rPr>
        <w:t xml:space="preserve">Extremely low-income Hispanic </w:t>
      </w:r>
      <w:r>
        <w:rPr>
          <w:rFonts w:cs="Arial"/>
        </w:rPr>
        <w:t xml:space="preserve">households are disproportionately affected by severe housing problems. Seventy-three percent (73%) of ELI Hispanic households experience severe housing problems, which is a rate nearly 9 percentage points higher than the next-highest populations: “Other - </w:t>
      </w:r>
      <w:r>
        <w:rPr>
          <w:rFonts w:cs="Arial"/>
        </w:rPr>
        <w:t>including multiple races, non-Hispanic” (67%), Asian (66%) and Black/African American (65%). The statewide rate of severe housing problems is 63%.</w:t>
      </w:r>
    </w:p>
    <w:p w14:paraId="6BA6F8EA" w14:textId="77777777" w:rsidR="00217A61" w:rsidRDefault="001C2695">
      <w:pPr>
        <w:spacing w:beforeAutospacing="1" w:afterAutospacing="1"/>
        <w:rPr>
          <w:rFonts w:cs="Arial"/>
          <w:szCs w:val="26"/>
        </w:rPr>
      </w:pPr>
      <w:r>
        <w:rPr>
          <w:rFonts w:cs="Arial"/>
        </w:rPr>
        <w:t>Regarding cost burdening, Hispanic, Non-Hispanic Black, Pacific Islander, and “Other (including multi-racial,</w:t>
      </w:r>
      <w:r>
        <w:rPr>
          <w:rFonts w:cs="Arial"/>
        </w:rPr>
        <w:t xml:space="preserve"> non-Hispanic)” populations are disproportionately affected. Statewide 30% of households pay more than 30% of their income for housing; these subpopulations all have between 42% and 44% of households paying more a larger share.</w:t>
      </w:r>
    </w:p>
    <w:p w14:paraId="7FA81234" w14:textId="77777777" w:rsidR="00217A61" w:rsidRDefault="001C2695">
      <w:pPr>
        <w:rPr>
          <w:b/>
          <w:sz w:val="24"/>
          <w:szCs w:val="24"/>
        </w:rPr>
      </w:pPr>
      <w:r>
        <w:rPr>
          <w:b/>
          <w:sz w:val="24"/>
          <w:szCs w:val="24"/>
        </w:rPr>
        <w:t>If they have needs not ident</w:t>
      </w:r>
      <w:r>
        <w:rPr>
          <w:b/>
          <w:sz w:val="24"/>
          <w:szCs w:val="24"/>
        </w:rPr>
        <w:t>ified above, what are those needs?</w:t>
      </w:r>
    </w:p>
    <w:p w14:paraId="6DCF55FD" w14:textId="77777777" w:rsidR="00217A61" w:rsidRDefault="001C2695">
      <w:pPr>
        <w:spacing w:beforeAutospacing="1" w:afterAutospacing="1"/>
        <w:rPr>
          <w:rFonts w:cs="Arial"/>
        </w:rPr>
      </w:pPr>
      <w:r>
        <w:rPr>
          <w:rFonts w:cs="Arial"/>
        </w:rPr>
        <w:t>Limited data is available for assessing other needs.</w:t>
      </w:r>
    </w:p>
    <w:p w14:paraId="4622C9EA" w14:textId="77777777" w:rsidR="00217A61" w:rsidRDefault="001C2695">
      <w:pPr>
        <w:rPr>
          <w:b/>
          <w:sz w:val="24"/>
          <w:szCs w:val="24"/>
        </w:rPr>
      </w:pPr>
      <w:r>
        <w:rPr>
          <w:b/>
          <w:sz w:val="24"/>
          <w:szCs w:val="24"/>
        </w:rPr>
        <w:lastRenderedPageBreak/>
        <w:t>Are any of those racial or ethnic groups located in specific areas or neighborhoods in your community?</w:t>
      </w:r>
    </w:p>
    <w:p w14:paraId="3FA8EB5A" w14:textId="77777777" w:rsidR="00217A61" w:rsidRDefault="001C2695">
      <w:pPr>
        <w:spacing w:beforeAutospacing="1" w:afterAutospacing="1"/>
        <w:rPr>
          <w:rFonts w:cs="Arial"/>
          <w:szCs w:val="26"/>
        </w:rPr>
      </w:pPr>
      <w:r>
        <w:rPr>
          <w:rFonts w:cs="Arial"/>
        </w:rPr>
        <w:t>Between 2010 and 2018, the U.S. Census Bureau estimates that Nort</w:t>
      </w:r>
      <w:r>
        <w:rPr>
          <w:rFonts w:cs="Arial"/>
        </w:rPr>
        <w:t>h Carolina’s Hispanic population statewide grew by 197,000 new residents, an increase of 24.6%, faster than the growth of this population nationwide (18.6%).</w:t>
      </w:r>
    </w:p>
    <w:p w14:paraId="4E59B143" w14:textId="77777777" w:rsidR="00217A61" w:rsidRDefault="001C2695">
      <w:pPr>
        <w:spacing w:beforeAutospacing="1" w:afterAutospacing="1"/>
        <w:rPr>
          <w:rFonts w:cs="Arial"/>
          <w:szCs w:val="26"/>
        </w:rPr>
      </w:pPr>
      <w:r>
        <w:rPr>
          <w:rFonts w:cs="Arial"/>
        </w:rPr>
        <w:t>More than one in four NC Latino residents live in two counties: Mecklenburg (148,000 people) or Wa</w:t>
      </w:r>
      <w:r>
        <w:rPr>
          <w:rFonts w:cs="Arial"/>
        </w:rPr>
        <w:t>ke (113,000). The counties with the next largest Hispanic populations are Forsyth (49,000), Guilford (43,000), and Durham (43,000) counties. In rural North Carolina counties there are fewer Hispanic households, but they comprise a larger share of the popul</w:t>
      </w:r>
      <w:r>
        <w:rPr>
          <w:rFonts w:cs="Arial"/>
        </w:rPr>
        <w:t>ation (for example, 23% of the population in Duplin and Lee, while statewide they comprise approximately 10% of the population).</w:t>
      </w:r>
    </w:p>
    <w:p w14:paraId="61F241D0" w14:textId="77777777" w:rsidR="00217A61" w:rsidRDefault="001C2695">
      <w:pPr>
        <w:spacing w:beforeAutospacing="1" w:afterAutospacing="1"/>
        <w:rPr>
          <w:rFonts w:cs="Arial"/>
          <w:szCs w:val="26"/>
        </w:rPr>
      </w:pPr>
      <w:r>
        <w:rPr>
          <w:rFonts w:cs="Arial"/>
        </w:rPr>
        <w:t xml:space="preserve">Six counties, all urban areas, have Black populations of more than 100,000 people: Mecklenburg (approximately 345,000 people), </w:t>
      </w:r>
      <w:r>
        <w:rPr>
          <w:rFonts w:cs="Arial"/>
        </w:rPr>
        <w:t xml:space="preserve">Wake (222,000), Guilford (180,000), Cumberland (127,000), Durham (117,000) and Forsyth (102,000). In the eastern coastal plain and in counties along the I-95 corridor, higher shares of the population are black than in the Piedmont and Western parts of the </w:t>
      </w:r>
      <w:r>
        <w:rPr>
          <w:rFonts w:cs="Arial"/>
        </w:rPr>
        <w:t>state, with 12 counties in the state where Black households comprise more than 40% of the population, and 7 where they are the majority.</w:t>
      </w:r>
    </w:p>
    <w:p w14:paraId="25D3A6AD" w14:textId="77777777" w:rsidR="00217A61" w:rsidRDefault="001C2695">
      <w:pPr>
        <w:spacing w:beforeAutospacing="1" w:afterAutospacing="1"/>
        <w:rPr>
          <w:rFonts w:cs="Arial"/>
          <w:szCs w:val="26"/>
        </w:rPr>
      </w:pPr>
      <w:r>
        <w:rPr>
          <w:rFonts w:cs="Arial"/>
        </w:rPr>
        <w:t>North Carolina’s Asian population is the fastest-growing racial/ethnic group in the state, growing from 209,400 residents in 2010 to more than 303,000 in 2017; this is an increase of nearly 44.7%. Over half of North Carolina’s Asian residents live in one o</w:t>
      </w:r>
      <w:r>
        <w:rPr>
          <w:rFonts w:cs="Arial"/>
        </w:rPr>
        <w:t>f three counties: Wake (76,500), Mecklenburg (64,900), or Guilford (26,700). The counties with the next largest Asian populations are Durham (15,600), Orange (11,800), and Forsyth (9,200). The Asian population is heavily concentrated in urban areas; in onl</w:t>
      </w:r>
      <w:r>
        <w:rPr>
          <w:rFonts w:cs="Arial"/>
        </w:rPr>
        <w:t>y 9 counties does the Asian share of the population exceed 3% (the statewide figure).</w:t>
      </w:r>
    </w:p>
    <w:p w14:paraId="43ADF3B8" w14:textId="77777777" w:rsidR="00217A61" w:rsidRDefault="00217A61">
      <w:pPr>
        <w:rPr>
          <w:rFonts w:cs="Arial"/>
        </w:rPr>
      </w:pPr>
    </w:p>
    <w:p w14:paraId="036BAE84" w14:textId="77777777" w:rsidR="00217A61" w:rsidRDefault="00217A61">
      <w:pPr>
        <w:pStyle w:val="Heading2"/>
        <w:pageBreakBefore/>
        <w:rPr>
          <w:rFonts w:ascii="Calibri" w:hAnsi="Calibri"/>
          <w:i w:val="0"/>
        </w:rPr>
        <w:sectPr w:rsidR="00217A61">
          <w:pgSz w:w="12240" w:h="15840"/>
          <w:pgMar w:top="1440" w:right="1440" w:bottom="1440" w:left="1440" w:header="720" w:footer="720" w:gutter="0"/>
          <w:cols w:space="720"/>
          <w:docGrid w:linePitch="360"/>
        </w:sectPr>
      </w:pPr>
      <w:bookmarkStart w:id="6" w:name="_Toc309810478"/>
    </w:p>
    <w:bookmarkEnd w:id="6"/>
    <w:p w14:paraId="5512BB2B" w14:textId="77777777" w:rsidR="00217A61" w:rsidRDefault="001C2695">
      <w:pPr>
        <w:pStyle w:val="Heading2"/>
        <w:pageBreakBefore/>
        <w:rPr>
          <w:rFonts w:ascii="Calibri" w:hAnsi="Calibri"/>
          <w:i w:val="0"/>
        </w:rPr>
      </w:pPr>
      <w:r>
        <w:rPr>
          <w:rFonts w:ascii="Calibri" w:hAnsi="Calibri"/>
          <w:i w:val="0"/>
        </w:rPr>
        <w:lastRenderedPageBreak/>
        <w:t>NA-35 Public Housing – (Optional)</w:t>
      </w:r>
    </w:p>
    <w:p w14:paraId="4AA349D2" w14:textId="77777777" w:rsidR="00217A61" w:rsidRDefault="001C2695">
      <w:pPr>
        <w:spacing w:line="204" w:lineRule="auto"/>
        <w:rPr>
          <w:b/>
          <w:sz w:val="24"/>
          <w:szCs w:val="24"/>
        </w:rPr>
      </w:pPr>
      <w:r>
        <w:rPr>
          <w:b/>
          <w:sz w:val="24"/>
          <w:szCs w:val="24"/>
        </w:rPr>
        <w:t>Introduction</w:t>
      </w:r>
    </w:p>
    <w:p w14:paraId="7553D806" w14:textId="77777777" w:rsidR="00217A61" w:rsidRDefault="00217A61">
      <w:pPr>
        <w:spacing w:line="204" w:lineRule="auto"/>
        <w:rPr>
          <w:b/>
          <w:sz w:val="24"/>
          <w:szCs w:val="24"/>
        </w:rPr>
      </w:pPr>
    </w:p>
    <w:p w14:paraId="2C935D1C" w14:textId="77777777" w:rsidR="00217A61" w:rsidRDefault="001C2695">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85"/>
        <w:gridCol w:w="1091"/>
        <w:gridCol w:w="1058"/>
        <w:gridCol w:w="1068"/>
        <w:gridCol w:w="1232"/>
        <w:gridCol w:w="1230"/>
        <w:gridCol w:w="1232"/>
        <w:gridCol w:w="1155"/>
        <w:gridCol w:w="1156"/>
        <w:gridCol w:w="1143"/>
      </w:tblGrid>
      <w:tr w:rsidR="00217A61" w14:paraId="24AEB96C" w14:textId="77777777">
        <w:trPr>
          <w:cantSplit/>
          <w:tblHeader/>
        </w:trPr>
        <w:tc>
          <w:tcPr>
            <w:tcW w:w="13190" w:type="dxa"/>
            <w:gridSpan w:val="10"/>
          </w:tcPr>
          <w:p w14:paraId="2C67C9A0" w14:textId="77777777" w:rsidR="00217A61" w:rsidRDefault="001C2695">
            <w:pPr>
              <w:keepNext/>
              <w:widowControl w:val="0"/>
              <w:spacing w:after="0" w:line="240" w:lineRule="auto"/>
              <w:jc w:val="center"/>
              <w:rPr>
                <w:b/>
                <w:sz w:val="20"/>
                <w:szCs w:val="20"/>
              </w:rPr>
            </w:pPr>
            <w:r>
              <w:rPr>
                <w:rFonts w:cs="Arial"/>
                <w:b/>
                <w:sz w:val="20"/>
                <w:szCs w:val="20"/>
              </w:rPr>
              <w:t>Program Type</w:t>
            </w:r>
          </w:p>
        </w:tc>
      </w:tr>
      <w:tr w:rsidR="00217A61" w14:paraId="7461E756" w14:textId="77777777">
        <w:trPr>
          <w:cantSplit/>
          <w:tblHeader/>
        </w:trPr>
        <w:tc>
          <w:tcPr>
            <w:tcW w:w="2693" w:type="dxa"/>
            <w:vMerge w:val="restart"/>
          </w:tcPr>
          <w:p w14:paraId="5E0C23D9" w14:textId="77777777" w:rsidR="00217A61" w:rsidRDefault="00217A61">
            <w:pPr>
              <w:keepNext/>
              <w:widowControl w:val="0"/>
              <w:spacing w:after="0" w:line="240" w:lineRule="auto"/>
              <w:jc w:val="center"/>
              <w:rPr>
                <w:b/>
                <w:sz w:val="20"/>
                <w:szCs w:val="20"/>
              </w:rPr>
            </w:pPr>
          </w:p>
        </w:tc>
        <w:tc>
          <w:tcPr>
            <w:tcW w:w="1091" w:type="dxa"/>
            <w:vMerge w:val="restart"/>
          </w:tcPr>
          <w:p w14:paraId="12C81DD7" w14:textId="77777777" w:rsidR="00217A61" w:rsidRDefault="001C2695">
            <w:pPr>
              <w:keepNext/>
              <w:widowControl w:val="0"/>
              <w:spacing w:after="0" w:line="240" w:lineRule="auto"/>
              <w:jc w:val="center"/>
              <w:rPr>
                <w:b/>
                <w:sz w:val="20"/>
                <w:szCs w:val="20"/>
              </w:rPr>
            </w:pPr>
            <w:r>
              <w:rPr>
                <w:rFonts w:cs="Arial"/>
                <w:b/>
                <w:sz w:val="20"/>
                <w:szCs w:val="20"/>
              </w:rPr>
              <w:t>Certificate</w:t>
            </w:r>
          </w:p>
        </w:tc>
        <w:tc>
          <w:tcPr>
            <w:tcW w:w="1079" w:type="dxa"/>
            <w:vMerge w:val="restart"/>
          </w:tcPr>
          <w:p w14:paraId="222D8B10" w14:textId="77777777" w:rsidR="00217A61" w:rsidRDefault="001C2695">
            <w:pPr>
              <w:keepNext/>
              <w:widowControl w:val="0"/>
              <w:spacing w:after="0" w:line="240" w:lineRule="auto"/>
              <w:jc w:val="center"/>
              <w:rPr>
                <w:b/>
                <w:sz w:val="20"/>
                <w:szCs w:val="20"/>
              </w:rPr>
            </w:pPr>
            <w:r>
              <w:rPr>
                <w:rFonts w:cs="Arial"/>
                <w:b/>
                <w:sz w:val="20"/>
                <w:szCs w:val="20"/>
              </w:rPr>
              <w:t>Mod-Rehab</w:t>
            </w:r>
          </w:p>
        </w:tc>
        <w:tc>
          <w:tcPr>
            <w:tcW w:w="1080" w:type="dxa"/>
            <w:vMerge w:val="restart"/>
          </w:tcPr>
          <w:p w14:paraId="483CA301" w14:textId="77777777" w:rsidR="00217A61" w:rsidRDefault="001C2695">
            <w:pPr>
              <w:keepNext/>
              <w:widowControl w:val="0"/>
              <w:spacing w:after="0" w:line="240" w:lineRule="auto"/>
              <w:jc w:val="center"/>
              <w:rPr>
                <w:b/>
                <w:sz w:val="20"/>
                <w:szCs w:val="20"/>
              </w:rPr>
            </w:pPr>
            <w:r>
              <w:rPr>
                <w:rFonts w:cs="Arial"/>
                <w:b/>
                <w:sz w:val="20"/>
                <w:szCs w:val="20"/>
              </w:rPr>
              <w:t>Public Housing</w:t>
            </w:r>
          </w:p>
        </w:tc>
        <w:tc>
          <w:tcPr>
            <w:tcW w:w="7247" w:type="dxa"/>
            <w:gridSpan w:val="6"/>
          </w:tcPr>
          <w:p w14:paraId="59462E0F" w14:textId="77777777" w:rsidR="00217A61" w:rsidRDefault="001C2695">
            <w:pPr>
              <w:keepNext/>
              <w:widowControl w:val="0"/>
              <w:spacing w:after="0" w:line="240" w:lineRule="auto"/>
              <w:rPr>
                <w:b/>
                <w:sz w:val="20"/>
                <w:szCs w:val="20"/>
              </w:rPr>
            </w:pPr>
            <w:r>
              <w:rPr>
                <w:b/>
                <w:sz w:val="20"/>
                <w:szCs w:val="20"/>
              </w:rPr>
              <w:t>Vouchers</w:t>
            </w:r>
          </w:p>
        </w:tc>
      </w:tr>
      <w:tr w:rsidR="00217A61" w14:paraId="38A3FC3B" w14:textId="77777777">
        <w:trPr>
          <w:cantSplit/>
          <w:tblHeader/>
        </w:trPr>
        <w:tc>
          <w:tcPr>
            <w:tcW w:w="2693" w:type="dxa"/>
            <w:vMerge/>
          </w:tcPr>
          <w:p w14:paraId="6AF4D20A" w14:textId="77777777" w:rsidR="00217A61" w:rsidRDefault="00217A61">
            <w:pPr>
              <w:keepNext/>
              <w:widowControl w:val="0"/>
              <w:spacing w:after="0" w:line="240" w:lineRule="auto"/>
              <w:jc w:val="center"/>
              <w:rPr>
                <w:b/>
                <w:sz w:val="20"/>
                <w:szCs w:val="20"/>
              </w:rPr>
            </w:pPr>
          </w:p>
        </w:tc>
        <w:tc>
          <w:tcPr>
            <w:tcW w:w="1091" w:type="dxa"/>
            <w:vMerge/>
          </w:tcPr>
          <w:p w14:paraId="4D2AB6F4" w14:textId="77777777" w:rsidR="00217A61" w:rsidRDefault="00217A61">
            <w:pPr>
              <w:keepNext/>
              <w:widowControl w:val="0"/>
              <w:spacing w:after="0" w:line="240" w:lineRule="auto"/>
              <w:jc w:val="center"/>
              <w:rPr>
                <w:b/>
                <w:sz w:val="20"/>
                <w:szCs w:val="20"/>
              </w:rPr>
            </w:pPr>
          </w:p>
        </w:tc>
        <w:tc>
          <w:tcPr>
            <w:tcW w:w="1079" w:type="dxa"/>
            <w:vMerge/>
          </w:tcPr>
          <w:p w14:paraId="7AB98913" w14:textId="77777777" w:rsidR="00217A61" w:rsidRDefault="00217A61">
            <w:pPr>
              <w:keepNext/>
              <w:widowControl w:val="0"/>
              <w:spacing w:after="0" w:line="240" w:lineRule="auto"/>
              <w:jc w:val="center"/>
              <w:rPr>
                <w:b/>
                <w:sz w:val="20"/>
                <w:szCs w:val="20"/>
              </w:rPr>
            </w:pPr>
          </w:p>
        </w:tc>
        <w:tc>
          <w:tcPr>
            <w:tcW w:w="1080" w:type="dxa"/>
            <w:vMerge/>
          </w:tcPr>
          <w:p w14:paraId="3ACCA752" w14:textId="77777777" w:rsidR="00217A61" w:rsidRDefault="00217A61">
            <w:pPr>
              <w:keepNext/>
              <w:widowControl w:val="0"/>
              <w:spacing w:after="0" w:line="240" w:lineRule="auto"/>
              <w:jc w:val="center"/>
              <w:rPr>
                <w:b/>
                <w:sz w:val="20"/>
                <w:szCs w:val="20"/>
              </w:rPr>
            </w:pPr>
          </w:p>
        </w:tc>
        <w:tc>
          <w:tcPr>
            <w:tcW w:w="1259" w:type="dxa"/>
            <w:vMerge w:val="restart"/>
          </w:tcPr>
          <w:p w14:paraId="583BD3B9" w14:textId="77777777" w:rsidR="00217A61" w:rsidRDefault="001C2695">
            <w:pPr>
              <w:keepNext/>
              <w:widowControl w:val="0"/>
              <w:spacing w:after="0" w:line="240" w:lineRule="auto"/>
              <w:jc w:val="center"/>
              <w:rPr>
                <w:b/>
                <w:sz w:val="20"/>
                <w:szCs w:val="20"/>
              </w:rPr>
            </w:pPr>
            <w:r>
              <w:rPr>
                <w:rFonts w:cs="Arial"/>
                <w:b/>
                <w:sz w:val="20"/>
                <w:szCs w:val="20"/>
              </w:rPr>
              <w:t>Total</w:t>
            </w:r>
          </w:p>
        </w:tc>
        <w:tc>
          <w:tcPr>
            <w:tcW w:w="1259" w:type="dxa"/>
            <w:vMerge w:val="restart"/>
          </w:tcPr>
          <w:p w14:paraId="0A363F5F" w14:textId="77777777" w:rsidR="00217A61" w:rsidRDefault="001C2695">
            <w:pPr>
              <w:keepNext/>
              <w:widowControl w:val="0"/>
              <w:spacing w:after="0" w:line="240" w:lineRule="auto"/>
              <w:jc w:val="center"/>
              <w:rPr>
                <w:b/>
                <w:sz w:val="20"/>
                <w:szCs w:val="20"/>
              </w:rPr>
            </w:pPr>
            <w:r>
              <w:rPr>
                <w:rFonts w:cs="Arial"/>
                <w:b/>
                <w:sz w:val="20"/>
                <w:szCs w:val="20"/>
              </w:rPr>
              <w:t>Project -based</w:t>
            </w:r>
          </w:p>
        </w:tc>
        <w:tc>
          <w:tcPr>
            <w:tcW w:w="1259" w:type="dxa"/>
            <w:vMerge w:val="restart"/>
          </w:tcPr>
          <w:p w14:paraId="5E29C6D9" w14:textId="77777777" w:rsidR="00217A61" w:rsidRDefault="001C2695">
            <w:pPr>
              <w:keepNext/>
              <w:widowControl w:val="0"/>
              <w:spacing w:after="0" w:line="240" w:lineRule="auto"/>
              <w:jc w:val="center"/>
              <w:rPr>
                <w:b/>
                <w:sz w:val="20"/>
                <w:szCs w:val="20"/>
              </w:rPr>
            </w:pPr>
            <w:r>
              <w:rPr>
                <w:rFonts w:cs="Arial"/>
                <w:b/>
                <w:sz w:val="20"/>
                <w:szCs w:val="20"/>
              </w:rPr>
              <w:t xml:space="preserve">Tenant </w:t>
            </w:r>
            <w:r>
              <w:rPr>
                <w:rFonts w:cs="Arial"/>
                <w:b/>
                <w:sz w:val="20"/>
                <w:szCs w:val="20"/>
              </w:rPr>
              <w:t>-based</w:t>
            </w:r>
          </w:p>
        </w:tc>
        <w:tc>
          <w:tcPr>
            <w:tcW w:w="3470" w:type="dxa"/>
            <w:gridSpan w:val="3"/>
          </w:tcPr>
          <w:p w14:paraId="03BE5A89" w14:textId="77777777" w:rsidR="00217A61" w:rsidRDefault="001C2695">
            <w:pPr>
              <w:keepNext/>
              <w:widowControl w:val="0"/>
              <w:spacing w:after="0" w:line="240" w:lineRule="auto"/>
              <w:jc w:val="center"/>
              <w:rPr>
                <w:b/>
                <w:sz w:val="20"/>
                <w:szCs w:val="20"/>
              </w:rPr>
            </w:pPr>
            <w:r>
              <w:rPr>
                <w:rFonts w:cs="Arial"/>
                <w:b/>
                <w:sz w:val="20"/>
                <w:szCs w:val="20"/>
              </w:rPr>
              <w:t>Special Purpose Voucher</w:t>
            </w:r>
          </w:p>
        </w:tc>
      </w:tr>
      <w:tr w:rsidR="00217A61" w14:paraId="39F137D8" w14:textId="77777777">
        <w:trPr>
          <w:cantSplit/>
          <w:tblHeader/>
        </w:trPr>
        <w:tc>
          <w:tcPr>
            <w:tcW w:w="2693" w:type="dxa"/>
            <w:vMerge/>
          </w:tcPr>
          <w:p w14:paraId="061041B2" w14:textId="77777777" w:rsidR="00217A61" w:rsidRDefault="00217A61">
            <w:pPr>
              <w:keepNext/>
              <w:widowControl w:val="0"/>
              <w:spacing w:after="0" w:line="240" w:lineRule="auto"/>
              <w:jc w:val="center"/>
              <w:rPr>
                <w:b/>
                <w:sz w:val="20"/>
                <w:szCs w:val="20"/>
              </w:rPr>
            </w:pPr>
          </w:p>
        </w:tc>
        <w:tc>
          <w:tcPr>
            <w:tcW w:w="1091" w:type="dxa"/>
            <w:vMerge/>
          </w:tcPr>
          <w:p w14:paraId="38B51079" w14:textId="77777777" w:rsidR="00217A61" w:rsidRDefault="00217A61">
            <w:pPr>
              <w:keepNext/>
              <w:widowControl w:val="0"/>
              <w:spacing w:after="0" w:line="240" w:lineRule="auto"/>
              <w:jc w:val="center"/>
              <w:rPr>
                <w:b/>
                <w:sz w:val="20"/>
                <w:szCs w:val="20"/>
              </w:rPr>
            </w:pPr>
          </w:p>
        </w:tc>
        <w:tc>
          <w:tcPr>
            <w:tcW w:w="1079" w:type="dxa"/>
            <w:vMerge/>
          </w:tcPr>
          <w:p w14:paraId="1545BE63" w14:textId="77777777" w:rsidR="00217A61" w:rsidRDefault="00217A61">
            <w:pPr>
              <w:keepNext/>
              <w:widowControl w:val="0"/>
              <w:spacing w:after="0" w:line="240" w:lineRule="auto"/>
              <w:jc w:val="center"/>
              <w:rPr>
                <w:b/>
                <w:sz w:val="20"/>
                <w:szCs w:val="20"/>
              </w:rPr>
            </w:pPr>
          </w:p>
        </w:tc>
        <w:tc>
          <w:tcPr>
            <w:tcW w:w="1080" w:type="dxa"/>
            <w:vMerge/>
          </w:tcPr>
          <w:p w14:paraId="2FA599EF" w14:textId="77777777" w:rsidR="00217A61" w:rsidRDefault="00217A61">
            <w:pPr>
              <w:keepNext/>
              <w:widowControl w:val="0"/>
              <w:spacing w:after="0" w:line="240" w:lineRule="auto"/>
              <w:jc w:val="center"/>
              <w:rPr>
                <w:b/>
                <w:sz w:val="20"/>
                <w:szCs w:val="20"/>
              </w:rPr>
            </w:pPr>
          </w:p>
        </w:tc>
        <w:tc>
          <w:tcPr>
            <w:tcW w:w="1259" w:type="dxa"/>
            <w:vMerge/>
          </w:tcPr>
          <w:p w14:paraId="7F0F219D" w14:textId="77777777" w:rsidR="00217A61" w:rsidRDefault="00217A61">
            <w:pPr>
              <w:keepNext/>
              <w:widowControl w:val="0"/>
              <w:spacing w:after="0" w:line="240" w:lineRule="auto"/>
              <w:jc w:val="center"/>
              <w:rPr>
                <w:b/>
                <w:sz w:val="20"/>
                <w:szCs w:val="20"/>
              </w:rPr>
            </w:pPr>
          </w:p>
        </w:tc>
        <w:tc>
          <w:tcPr>
            <w:tcW w:w="1259" w:type="dxa"/>
            <w:vMerge/>
          </w:tcPr>
          <w:p w14:paraId="0289824B" w14:textId="77777777" w:rsidR="00217A61" w:rsidRDefault="00217A61">
            <w:pPr>
              <w:keepNext/>
              <w:widowControl w:val="0"/>
              <w:spacing w:after="0" w:line="240" w:lineRule="auto"/>
              <w:jc w:val="center"/>
              <w:rPr>
                <w:b/>
                <w:sz w:val="20"/>
                <w:szCs w:val="20"/>
              </w:rPr>
            </w:pPr>
          </w:p>
        </w:tc>
        <w:tc>
          <w:tcPr>
            <w:tcW w:w="1259" w:type="dxa"/>
            <w:vMerge/>
          </w:tcPr>
          <w:p w14:paraId="70582D44" w14:textId="77777777" w:rsidR="00217A61" w:rsidRDefault="00217A61">
            <w:pPr>
              <w:keepNext/>
              <w:widowControl w:val="0"/>
              <w:spacing w:after="0" w:line="240" w:lineRule="auto"/>
              <w:jc w:val="center"/>
              <w:rPr>
                <w:b/>
                <w:sz w:val="20"/>
                <w:szCs w:val="20"/>
              </w:rPr>
            </w:pPr>
          </w:p>
        </w:tc>
        <w:tc>
          <w:tcPr>
            <w:tcW w:w="1156" w:type="dxa"/>
          </w:tcPr>
          <w:p w14:paraId="01CD887D" w14:textId="77777777" w:rsidR="00217A61" w:rsidRDefault="001C2695">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14:paraId="44F9D47D" w14:textId="77777777" w:rsidR="00217A61" w:rsidRDefault="001C2695">
            <w:pPr>
              <w:keepNext/>
              <w:widowControl w:val="0"/>
              <w:spacing w:after="0" w:line="240" w:lineRule="auto"/>
              <w:jc w:val="center"/>
              <w:rPr>
                <w:b/>
                <w:sz w:val="20"/>
                <w:szCs w:val="20"/>
              </w:rPr>
            </w:pPr>
            <w:r>
              <w:rPr>
                <w:rFonts w:cs="Arial"/>
                <w:b/>
                <w:sz w:val="20"/>
                <w:szCs w:val="20"/>
              </w:rPr>
              <w:t>Family Unification Program</w:t>
            </w:r>
          </w:p>
        </w:tc>
        <w:tc>
          <w:tcPr>
            <w:tcW w:w="1157" w:type="dxa"/>
          </w:tcPr>
          <w:p w14:paraId="3F599847" w14:textId="77777777" w:rsidR="00217A61" w:rsidRDefault="001C2695">
            <w:pPr>
              <w:keepNext/>
              <w:widowControl w:val="0"/>
              <w:spacing w:after="0" w:line="240" w:lineRule="auto"/>
              <w:jc w:val="center"/>
              <w:rPr>
                <w:rFonts w:cs="Arial"/>
                <w:b/>
                <w:sz w:val="20"/>
                <w:szCs w:val="20"/>
              </w:rPr>
            </w:pPr>
            <w:r>
              <w:rPr>
                <w:rFonts w:cs="Arial"/>
                <w:b/>
                <w:sz w:val="20"/>
                <w:szCs w:val="20"/>
              </w:rPr>
              <w:t>Disabled</w:t>
            </w:r>
          </w:p>
          <w:p w14:paraId="6B33B69B" w14:textId="77777777" w:rsidR="00217A61" w:rsidRDefault="001C2695">
            <w:pPr>
              <w:keepNext/>
              <w:widowControl w:val="0"/>
              <w:spacing w:after="0" w:line="240" w:lineRule="auto"/>
              <w:jc w:val="center"/>
              <w:rPr>
                <w:b/>
                <w:sz w:val="20"/>
                <w:szCs w:val="20"/>
              </w:rPr>
            </w:pPr>
            <w:r>
              <w:rPr>
                <w:b/>
                <w:sz w:val="20"/>
                <w:szCs w:val="20"/>
              </w:rPr>
              <w:t>*</w:t>
            </w:r>
          </w:p>
        </w:tc>
      </w:tr>
      <w:tr w:rsidR="00217A61" w14:paraId="18839E12" w14:textId="77777777">
        <w:trPr>
          <w:cantSplit/>
        </w:trPr>
        <w:tc>
          <w:tcPr>
            <w:tcW w:w="0" w:type="auto"/>
          </w:tcPr>
          <w:p w14:paraId="75F823B8" w14:textId="77777777" w:rsidR="00217A61" w:rsidRDefault="001C2695">
            <w:pPr>
              <w:spacing w:beforeAutospacing="1" w:afterAutospacing="1"/>
            </w:pPr>
            <w:r>
              <w:rPr>
                <w:color w:val="000000"/>
              </w:rPr>
              <w:t xml:space="preserve"># of </w:t>
            </w:r>
            <w:proofErr w:type="gramStart"/>
            <w:r>
              <w:rPr>
                <w:color w:val="000000"/>
              </w:rPr>
              <w:t>units</w:t>
            </w:r>
            <w:proofErr w:type="gramEnd"/>
            <w:r>
              <w:rPr>
                <w:color w:val="000000"/>
              </w:rPr>
              <w:t xml:space="preserve"> vouchers in use</w:t>
            </w:r>
          </w:p>
        </w:tc>
        <w:tc>
          <w:tcPr>
            <w:tcW w:w="0" w:type="auto"/>
            <w:vAlign w:val="bottom"/>
          </w:tcPr>
          <w:p w14:paraId="4B7F4A45" w14:textId="77777777" w:rsidR="00217A61" w:rsidRDefault="001C2695">
            <w:pPr>
              <w:spacing w:beforeAutospacing="1" w:afterAutospacing="1"/>
              <w:jc w:val="right"/>
            </w:pPr>
            <w:r>
              <w:rPr>
                <w:color w:val="000000"/>
              </w:rPr>
              <w:t>19</w:t>
            </w:r>
          </w:p>
        </w:tc>
        <w:tc>
          <w:tcPr>
            <w:tcW w:w="0" w:type="auto"/>
            <w:vAlign w:val="bottom"/>
          </w:tcPr>
          <w:p w14:paraId="6D511FCA" w14:textId="77777777" w:rsidR="00217A61" w:rsidRDefault="001C2695">
            <w:pPr>
              <w:spacing w:beforeAutospacing="1" w:afterAutospacing="1"/>
              <w:jc w:val="right"/>
            </w:pPr>
            <w:r>
              <w:rPr>
                <w:color w:val="000000"/>
              </w:rPr>
              <w:t>171</w:t>
            </w:r>
          </w:p>
        </w:tc>
        <w:tc>
          <w:tcPr>
            <w:tcW w:w="0" w:type="auto"/>
            <w:vAlign w:val="bottom"/>
          </w:tcPr>
          <w:p w14:paraId="5C3D89B5" w14:textId="77777777" w:rsidR="00217A61" w:rsidRDefault="001C2695">
            <w:pPr>
              <w:spacing w:beforeAutospacing="1" w:afterAutospacing="1"/>
              <w:jc w:val="right"/>
            </w:pPr>
            <w:r>
              <w:rPr>
                <w:color w:val="000000"/>
              </w:rPr>
              <w:t>33,774</w:t>
            </w:r>
          </w:p>
        </w:tc>
        <w:tc>
          <w:tcPr>
            <w:tcW w:w="0" w:type="auto"/>
            <w:vAlign w:val="bottom"/>
          </w:tcPr>
          <w:p w14:paraId="3FD8D260" w14:textId="77777777" w:rsidR="00217A61" w:rsidRDefault="001C2695">
            <w:pPr>
              <w:spacing w:beforeAutospacing="1" w:afterAutospacing="1"/>
              <w:jc w:val="right"/>
            </w:pPr>
            <w:r>
              <w:rPr>
                <w:color w:val="000000"/>
              </w:rPr>
              <w:t>53,942</w:t>
            </w:r>
          </w:p>
        </w:tc>
        <w:tc>
          <w:tcPr>
            <w:tcW w:w="0" w:type="auto"/>
            <w:vAlign w:val="bottom"/>
          </w:tcPr>
          <w:p w14:paraId="7C0B7CBF" w14:textId="77777777" w:rsidR="00217A61" w:rsidRDefault="001C2695">
            <w:pPr>
              <w:spacing w:beforeAutospacing="1" w:afterAutospacing="1"/>
              <w:jc w:val="right"/>
            </w:pPr>
            <w:r>
              <w:rPr>
                <w:color w:val="000000"/>
              </w:rPr>
              <w:t>1,436</w:t>
            </w:r>
          </w:p>
        </w:tc>
        <w:tc>
          <w:tcPr>
            <w:tcW w:w="0" w:type="auto"/>
            <w:vAlign w:val="bottom"/>
          </w:tcPr>
          <w:p w14:paraId="5FBD9D5A" w14:textId="77777777" w:rsidR="00217A61" w:rsidRDefault="001C2695">
            <w:pPr>
              <w:spacing w:beforeAutospacing="1" w:afterAutospacing="1"/>
              <w:jc w:val="right"/>
            </w:pPr>
            <w:r>
              <w:rPr>
                <w:color w:val="000000"/>
              </w:rPr>
              <w:t>50,714</w:t>
            </w:r>
          </w:p>
        </w:tc>
        <w:tc>
          <w:tcPr>
            <w:tcW w:w="0" w:type="auto"/>
            <w:vAlign w:val="bottom"/>
          </w:tcPr>
          <w:p w14:paraId="084A6A2E" w14:textId="77777777" w:rsidR="00217A61" w:rsidRDefault="001C2695">
            <w:pPr>
              <w:spacing w:beforeAutospacing="1" w:afterAutospacing="1"/>
              <w:jc w:val="right"/>
            </w:pPr>
            <w:r>
              <w:rPr>
                <w:color w:val="000000"/>
              </w:rPr>
              <w:t>484</w:t>
            </w:r>
          </w:p>
        </w:tc>
        <w:tc>
          <w:tcPr>
            <w:tcW w:w="0" w:type="auto"/>
            <w:vAlign w:val="bottom"/>
          </w:tcPr>
          <w:p w14:paraId="29D80A14" w14:textId="77777777" w:rsidR="00217A61" w:rsidRDefault="001C2695">
            <w:pPr>
              <w:spacing w:beforeAutospacing="1" w:afterAutospacing="1"/>
              <w:jc w:val="right"/>
            </w:pPr>
            <w:r>
              <w:rPr>
                <w:color w:val="000000"/>
              </w:rPr>
              <w:t>229</w:t>
            </w:r>
          </w:p>
        </w:tc>
        <w:tc>
          <w:tcPr>
            <w:tcW w:w="0" w:type="auto"/>
            <w:vAlign w:val="bottom"/>
          </w:tcPr>
          <w:p w14:paraId="600770EA" w14:textId="77777777" w:rsidR="00217A61" w:rsidRDefault="001C2695">
            <w:pPr>
              <w:spacing w:beforeAutospacing="1" w:afterAutospacing="1"/>
              <w:jc w:val="right"/>
            </w:pPr>
            <w:r>
              <w:rPr>
                <w:color w:val="000000"/>
              </w:rPr>
              <w:t>708</w:t>
            </w:r>
          </w:p>
        </w:tc>
      </w:tr>
    </w:tbl>
    <w:p w14:paraId="0C53E2F2" w14:textId="77777777" w:rsidR="00217A61" w:rsidRDefault="00217A61">
      <w:pPr>
        <w:keepNext/>
        <w:widowControl w:val="0"/>
        <w:spacing w:after="0" w:line="240" w:lineRule="auto"/>
        <w:jc w:val="center"/>
        <w:rPr>
          <w:rFonts w:asciiTheme="minorHAnsi" w:hAnsiTheme="minorHAnsi"/>
          <w:b/>
          <w:vanish/>
          <w:sz w:val="10"/>
          <w:szCs w:val="10"/>
        </w:rPr>
      </w:pPr>
    </w:p>
    <w:p w14:paraId="09361F8E"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Public Housing by Program Type</w:t>
      </w:r>
    </w:p>
    <w:p w14:paraId="7C65428E" w14:textId="77777777" w:rsidR="00217A61" w:rsidRDefault="001C2695">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p>
    <w:p w14:paraId="53B735B9" w14:textId="77777777" w:rsidR="00217A61" w:rsidRDefault="00217A61">
      <w:pPr>
        <w:keepNext/>
        <w:widowControl w:val="0"/>
        <w:spacing w:after="0" w:line="240" w:lineRule="auto"/>
        <w:jc w:val="center"/>
        <w:rPr>
          <w:b/>
          <w:bCs/>
          <w:sz w:val="20"/>
          <w:szCs w:val="20"/>
        </w:rPr>
      </w:pPr>
    </w:p>
    <w:tbl>
      <w:tblPr>
        <w:tblW w:w="5000" w:type="pct"/>
        <w:tblInd w:w="115" w:type="dxa"/>
        <w:tblCellMar>
          <w:left w:w="115" w:type="dxa"/>
          <w:right w:w="115" w:type="dxa"/>
        </w:tblCellMar>
        <w:tblLook w:val="01E0" w:firstRow="1" w:lastRow="1" w:firstColumn="1" w:lastColumn="1" w:noHBand="0" w:noVBand="0"/>
      </w:tblPr>
      <w:tblGrid>
        <w:gridCol w:w="1460"/>
        <w:gridCol w:w="11500"/>
      </w:tblGrid>
      <w:tr w:rsidR="00217A61" w14:paraId="1F33B7AF" w14:textId="77777777">
        <w:trPr>
          <w:cantSplit/>
        </w:trPr>
        <w:tc>
          <w:tcPr>
            <w:tcW w:w="1080" w:type="dxa"/>
          </w:tcPr>
          <w:p w14:paraId="3694E907" w14:textId="77777777" w:rsidR="00217A61" w:rsidRDefault="001C2695">
            <w:pPr>
              <w:spacing w:after="0" w:line="240" w:lineRule="auto"/>
              <w:rPr>
                <w:sz w:val="16"/>
                <w:szCs w:val="16"/>
              </w:rPr>
            </w:pPr>
            <w:r>
              <w:rPr>
                <w:b/>
                <w:bCs/>
                <w:sz w:val="16"/>
                <w:szCs w:val="16"/>
              </w:rPr>
              <w:t>Data Source:</w:t>
            </w:r>
          </w:p>
        </w:tc>
        <w:tc>
          <w:tcPr>
            <w:tcW w:w="8510" w:type="dxa"/>
          </w:tcPr>
          <w:p w14:paraId="09BC7DD3" w14:textId="77777777" w:rsidR="00217A61" w:rsidRDefault="001C2695">
            <w:pPr>
              <w:spacing w:beforeAutospacing="1" w:afterAutospacing="1"/>
              <w:rPr>
                <w:sz w:val="16"/>
                <w:szCs w:val="16"/>
              </w:rPr>
            </w:pPr>
            <w:r>
              <w:rPr>
                <w:sz w:val="16"/>
                <w:szCs w:val="16"/>
              </w:rPr>
              <w:t>PIC (PIH Information Center)</w:t>
            </w:r>
          </w:p>
        </w:tc>
      </w:tr>
    </w:tbl>
    <w:p w14:paraId="1E1A789D" w14:textId="77777777" w:rsidR="00217A61" w:rsidRDefault="00217A61">
      <w:pPr>
        <w:keepNext/>
        <w:widowControl w:val="0"/>
        <w:spacing w:after="0" w:line="240" w:lineRule="auto"/>
        <w:jc w:val="center"/>
        <w:rPr>
          <w:b/>
          <w:bCs/>
          <w:vanish/>
          <w:sz w:val="20"/>
          <w:szCs w:val="20"/>
        </w:rPr>
      </w:pPr>
    </w:p>
    <w:p w14:paraId="7891CFCF" w14:textId="77777777" w:rsidR="00217A61" w:rsidRDefault="00217A61">
      <w:pPr>
        <w:spacing w:after="0" w:line="240" w:lineRule="auto"/>
        <w:rPr>
          <w:b/>
          <w:bCs/>
          <w:vanish/>
          <w:sz w:val="16"/>
          <w:szCs w:val="16"/>
        </w:rPr>
      </w:pPr>
    </w:p>
    <w:p w14:paraId="0CDE41EC" w14:textId="77777777" w:rsidR="00217A61" w:rsidRDefault="00217A61"/>
    <w:p w14:paraId="4593A8D1" w14:textId="77777777" w:rsidR="00217A61" w:rsidRDefault="001C2695">
      <w:pPr>
        <w:keepNext/>
        <w:widowControl w:val="0"/>
        <w:tabs>
          <w:tab w:val="left" w:pos="3633"/>
        </w:tabs>
        <w:rPr>
          <w:b/>
          <w:sz w:val="24"/>
          <w:szCs w:val="24"/>
        </w:rPr>
      </w:pPr>
      <w:r>
        <w:rPr>
          <w:b/>
          <w:sz w:val="24"/>
          <w:szCs w:val="24"/>
        </w:rPr>
        <w:t xml:space="preserve"> Characteristics of Residents</w:t>
      </w:r>
      <w:r>
        <w:rPr>
          <w:b/>
          <w:sz w:val="24"/>
          <w:szCs w:val="24"/>
        </w:rPr>
        <w:tab/>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56"/>
        <w:gridCol w:w="1091"/>
        <w:gridCol w:w="981"/>
        <w:gridCol w:w="1026"/>
        <w:gridCol w:w="1132"/>
        <w:gridCol w:w="1125"/>
        <w:gridCol w:w="1132"/>
        <w:gridCol w:w="1535"/>
        <w:gridCol w:w="1572"/>
      </w:tblGrid>
      <w:tr w:rsidR="00217A61" w14:paraId="02E26B26" w14:textId="77777777">
        <w:trPr>
          <w:cantSplit/>
          <w:tblHeader/>
        </w:trPr>
        <w:tc>
          <w:tcPr>
            <w:tcW w:w="13190" w:type="dxa"/>
            <w:gridSpan w:val="9"/>
          </w:tcPr>
          <w:p w14:paraId="4CC0289A" w14:textId="77777777" w:rsidR="00217A61" w:rsidRDefault="001C2695">
            <w:pPr>
              <w:keepNext/>
              <w:widowControl w:val="0"/>
              <w:spacing w:after="0" w:line="240" w:lineRule="auto"/>
              <w:jc w:val="center"/>
              <w:rPr>
                <w:b/>
                <w:sz w:val="20"/>
                <w:szCs w:val="20"/>
              </w:rPr>
            </w:pPr>
            <w:r>
              <w:rPr>
                <w:rFonts w:cs="Arial"/>
                <w:b/>
                <w:sz w:val="20"/>
                <w:szCs w:val="20"/>
              </w:rPr>
              <w:t>Program Type</w:t>
            </w:r>
          </w:p>
        </w:tc>
      </w:tr>
      <w:tr w:rsidR="00217A61" w14:paraId="6E5BBAF3" w14:textId="77777777">
        <w:trPr>
          <w:cantSplit/>
          <w:tblHeader/>
        </w:trPr>
        <w:tc>
          <w:tcPr>
            <w:tcW w:w="2693" w:type="dxa"/>
            <w:vMerge w:val="restart"/>
          </w:tcPr>
          <w:p w14:paraId="4335440E" w14:textId="77777777" w:rsidR="00217A61" w:rsidRDefault="00217A61">
            <w:pPr>
              <w:keepNext/>
              <w:widowControl w:val="0"/>
              <w:spacing w:after="0" w:line="240" w:lineRule="auto"/>
              <w:jc w:val="center"/>
              <w:rPr>
                <w:b/>
                <w:sz w:val="20"/>
                <w:szCs w:val="20"/>
              </w:rPr>
            </w:pPr>
          </w:p>
        </w:tc>
        <w:tc>
          <w:tcPr>
            <w:tcW w:w="1091" w:type="dxa"/>
            <w:vMerge w:val="restart"/>
          </w:tcPr>
          <w:p w14:paraId="6D80B037" w14:textId="77777777" w:rsidR="00217A61" w:rsidRDefault="001C2695">
            <w:pPr>
              <w:keepNext/>
              <w:widowControl w:val="0"/>
              <w:spacing w:after="0" w:line="240" w:lineRule="auto"/>
              <w:jc w:val="center"/>
              <w:rPr>
                <w:b/>
                <w:sz w:val="20"/>
                <w:szCs w:val="20"/>
              </w:rPr>
            </w:pPr>
            <w:r>
              <w:rPr>
                <w:rFonts w:cs="Arial"/>
                <w:b/>
                <w:sz w:val="20"/>
                <w:szCs w:val="20"/>
              </w:rPr>
              <w:t>Certificate</w:t>
            </w:r>
          </w:p>
        </w:tc>
        <w:tc>
          <w:tcPr>
            <w:tcW w:w="1079" w:type="dxa"/>
            <w:vMerge w:val="restart"/>
          </w:tcPr>
          <w:p w14:paraId="7CF52ABC" w14:textId="77777777" w:rsidR="00217A61" w:rsidRDefault="001C2695">
            <w:pPr>
              <w:keepNext/>
              <w:widowControl w:val="0"/>
              <w:spacing w:after="0" w:line="240" w:lineRule="auto"/>
              <w:jc w:val="center"/>
              <w:rPr>
                <w:b/>
                <w:sz w:val="20"/>
                <w:szCs w:val="20"/>
              </w:rPr>
            </w:pPr>
            <w:r>
              <w:rPr>
                <w:rFonts w:cs="Arial"/>
                <w:b/>
                <w:sz w:val="20"/>
                <w:szCs w:val="20"/>
              </w:rPr>
              <w:t>Mod-Rehab</w:t>
            </w:r>
          </w:p>
        </w:tc>
        <w:tc>
          <w:tcPr>
            <w:tcW w:w="1080" w:type="dxa"/>
            <w:vMerge w:val="restart"/>
          </w:tcPr>
          <w:p w14:paraId="647558C5" w14:textId="77777777" w:rsidR="00217A61" w:rsidRDefault="001C2695">
            <w:pPr>
              <w:keepNext/>
              <w:widowControl w:val="0"/>
              <w:spacing w:after="0" w:line="240" w:lineRule="auto"/>
              <w:jc w:val="center"/>
              <w:rPr>
                <w:b/>
                <w:sz w:val="20"/>
                <w:szCs w:val="20"/>
              </w:rPr>
            </w:pPr>
            <w:r>
              <w:rPr>
                <w:rFonts w:cs="Arial"/>
                <w:b/>
                <w:sz w:val="20"/>
                <w:szCs w:val="20"/>
              </w:rPr>
              <w:t>Public Housing</w:t>
            </w:r>
          </w:p>
        </w:tc>
        <w:tc>
          <w:tcPr>
            <w:tcW w:w="7247" w:type="dxa"/>
            <w:gridSpan w:val="5"/>
          </w:tcPr>
          <w:p w14:paraId="04DB5BC1" w14:textId="77777777" w:rsidR="00217A61" w:rsidRDefault="001C2695">
            <w:pPr>
              <w:keepNext/>
              <w:widowControl w:val="0"/>
              <w:spacing w:after="0" w:line="240" w:lineRule="auto"/>
              <w:rPr>
                <w:b/>
                <w:sz w:val="20"/>
                <w:szCs w:val="20"/>
              </w:rPr>
            </w:pPr>
            <w:r>
              <w:rPr>
                <w:b/>
                <w:sz w:val="20"/>
                <w:szCs w:val="20"/>
              </w:rPr>
              <w:t>Vouchers</w:t>
            </w:r>
          </w:p>
        </w:tc>
      </w:tr>
      <w:tr w:rsidR="00217A61" w14:paraId="09D03997" w14:textId="77777777">
        <w:trPr>
          <w:cantSplit/>
          <w:tblHeader/>
        </w:trPr>
        <w:tc>
          <w:tcPr>
            <w:tcW w:w="2693" w:type="dxa"/>
            <w:vMerge/>
          </w:tcPr>
          <w:p w14:paraId="501FF330" w14:textId="77777777" w:rsidR="00217A61" w:rsidRDefault="00217A61">
            <w:pPr>
              <w:keepNext/>
              <w:widowControl w:val="0"/>
              <w:spacing w:after="0" w:line="240" w:lineRule="auto"/>
              <w:jc w:val="center"/>
              <w:rPr>
                <w:b/>
                <w:sz w:val="20"/>
                <w:szCs w:val="20"/>
              </w:rPr>
            </w:pPr>
          </w:p>
        </w:tc>
        <w:tc>
          <w:tcPr>
            <w:tcW w:w="1091" w:type="dxa"/>
            <w:vMerge/>
          </w:tcPr>
          <w:p w14:paraId="74C15C77" w14:textId="77777777" w:rsidR="00217A61" w:rsidRDefault="00217A61">
            <w:pPr>
              <w:keepNext/>
              <w:widowControl w:val="0"/>
              <w:spacing w:after="0" w:line="240" w:lineRule="auto"/>
              <w:jc w:val="center"/>
              <w:rPr>
                <w:b/>
                <w:sz w:val="20"/>
                <w:szCs w:val="20"/>
              </w:rPr>
            </w:pPr>
          </w:p>
        </w:tc>
        <w:tc>
          <w:tcPr>
            <w:tcW w:w="1079" w:type="dxa"/>
            <w:vMerge/>
          </w:tcPr>
          <w:p w14:paraId="39052DE1" w14:textId="77777777" w:rsidR="00217A61" w:rsidRDefault="00217A61">
            <w:pPr>
              <w:keepNext/>
              <w:widowControl w:val="0"/>
              <w:spacing w:after="0" w:line="240" w:lineRule="auto"/>
              <w:jc w:val="center"/>
              <w:rPr>
                <w:b/>
                <w:sz w:val="20"/>
                <w:szCs w:val="20"/>
              </w:rPr>
            </w:pPr>
          </w:p>
        </w:tc>
        <w:tc>
          <w:tcPr>
            <w:tcW w:w="1080" w:type="dxa"/>
            <w:vMerge/>
          </w:tcPr>
          <w:p w14:paraId="16BDD2E7" w14:textId="77777777" w:rsidR="00217A61" w:rsidRDefault="00217A61">
            <w:pPr>
              <w:keepNext/>
              <w:widowControl w:val="0"/>
              <w:spacing w:after="0" w:line="240" w:lineRule="auto"/>
              <w:jc w:val="center"/>
              <w:rPr>
                <w:b/>
                <w:sz w:val="20"/>
                <w:szCs w:val="20"/>
              </w:rPr>
            </w:pPr>
          </w:p>
        </w:tc>
        <w:tc>
          <w:tcPr>
            <w:tcW w:w="1259" w:type="dxa"/>
            <w:vMerge w:val="restart"/>
          </w:tcPr>
          <w:p w14:paraId="0B50AA4F" w14:textId="77777777" w:rsidR="00217A61" w:rsidRDefault="001C2695">
            <w:pPr>
              <w:keepNext/>
              <w:widowControl w:val="0"/>
              <w:spacing w:after="0" w:line="240" w:lineRule="auto"/>
              <w:jc w:val="center"/>
              <w:rPr>
                <w:b/>
                <w:sz w:val="20"/>
                <w:szCs w:val="20"/>
              </w:rPr>
            </w:pPr>
            <w:r>
              <w:rPr>
                <w:rFonts w:cs="Arial"/>
                <w:b/>
                <w:sz w:val="20"/>
                <w:szCs w:val="20"/>
              </w:rPr>
              <w:t>Total</w:t>
            </w:r>
          </w:p>
        </w:tc>
        <w:tc>
          <w:tcPr>
            <w:tcW w:w="1259" w:type="dxa"/>
            <w:vMerge w:val="restart"/>
          </w:tcPr>
          <w:p w14:paraId="30A249A1" w14:textId="77777777" w:rsidR="00217A61" w:rsidRDefault="001C2695">
            <w:pPr>
              <w:keepNext/>
              <w:widowControl w:val="0"/>
              <w:spacing w:after="0" w:line="240" w:lineRule="auto"/>
              <w:jc w:val="center"/>
              <w:rPr>
                <w:b/>
                <w:sz w:val="20"/>
                <w:szCs w:val="20"/>
              </w:rPr>
            </w:pPr>
            <w:r>
              <w:rPr>
                <w:rFonts w:cs="Arial"/>
                <w:b/>
                <w:sz w:val="20"/>
                <w:szCs w:val="20"/>
              </w:rPr>
              <w:t>Project -based</w:t>
            </w:r>
          </w:p>
        </w:tc>
        <w:tc>
          <w:tcPr>
            <w:tcW w:w="1259" w:type="dxa"/>
            <w:vMerge w:val="restart"/>
          </w:tcPr>
          <w:p w14:paraId="5CEF706A" w14:textId="77777777" w:rsidR="00217A61" w:rsidRDefault="001C2695">
            <w:pPr>
              <w:keepNext/>
              <w:widowControl w:val="0"/>
              <w:spacing w:after="0" w:line="240" w:lineRule="auto"/>
              <w:jc w:val="center"/>
              <w:rPr>
                <w:b/>
                <w:sz w:val="20"/>
                <w:szCs w:val="20"/>
              </w:rPr>
            </w:pPr>
            <w:r>
              <w:rPr>
                <w:rFonts w:cs="Arial"/>
                <w:b/>
                <w:sz w:val="20"/>
                <w:szCs w:val="20"/>
              </w:rPr>
              <w:t>Tenant -based</w:t>
            </w:r>
          </w:p>
        </w:tc>
        <w:tc>
          <w:tcPr>
            <w:tcW w:w="3470" w:type="dxa"/>
            <w:gridSpan w:val="2"/>
          </w:tcPr>
          <w:p w14:paraId="68B884EC" w14:textId="77777777" w:rsidR="00217A61" w:rsidRDefault="001C2695">
            <w:pPr>
              <w:keepNext/>
              <w:widowControl w:val="0"/>
              <w:spacing w:after="0" w:line="240" w:lineRule="auto"/>
              <w:jc w:val="center"/>
              <w:rPr>
                <w:b/>
                <w:sz w:val="20"/>
                <w:szCs w:val="20"/>
              </w:rPr>
            </w:pPr>
            <w:r>
              <w:rPr>
                <w:rFonts w:cs="Arial"/>
                <w:b/>
                <w:sz w:val="20"/>
                <w:szCs w:val="20"/>
              </w:rPr>
              <w:t>Special Purpose Voucher</w:t>
            </w:r>
          </w:p>
        </w:tc>
      </w:tr>
      <w:tr w:rsidR="00217A61" w14:paraId="01722153" w14:textId="77777777">
        <w:trPr>
          <w:cantSplit/>
          <w:tblHeader/>
        </w:trPr>
        <w:tc>
          <w:tcPr>
            <w:tcW w:w="2693" w:type="dxa"/>
            <w:vMerge/>
          </w:tcPr>
          <w:p w14:paraId="143DFFE5" w14:textId="77777777" w:rsidR="00217A61" w:rsidRDefault="00217A61">
            <w:pPr>
              <w:keepNext/>
              <w:widowControl w:val="0"/>
              <w:spacing w:after="0" w:line="240" w:lineRule="auto"/>
              <w:jc w:val="center"/>
              <w:rPr>
                <w:b/>
                <w:sz w:val="20"/>
                <w:szCs w:val="20"/>
              </w:rPr>
            </w:pPr>
          </w:p>
        </w:tc>
        <w:tc>
          <w:tcPr>
            <w:tcW w:w="1091" w:type="dxa"/>
            <w:vMerge/>
          </w:tcPr>
          <w:p w14:paraId="298EA3D9" w14:textId="77777777" w:rsidR="00217A61" w:rsidRDefault="00217A61">
            <w:pPr>
              <w:keepNext/>
              <w:widowControl w:val="0"/>
              <w:spacing w:after="0" w:line="240" w:lineRule="auto"/>
              <w:jc w:val="center"/>
              <w:rPr>
                <w:b/>
                <w:sz w:val="20"/>
                <w:szCs w:val="20"/>
              </w:rPr>
            </w:pPr>
          </w:p>
        </w:tc>
        <w:tc>
          <w:tcPr>
            <w:tcW w:w="1079" w:type="dxa"/>
            <w:vMerge/>
          </w:tcPr>
          <w:p w14:paraId="60308363" w14:textId="77777777" w:rsidR="00217A61" w:rsidRDefault="00217A61">
            <w:pPr>
              <w:keepNext/>
              <w:widowControl w:val="0"/>
              <w:spacing w:after="0" w:line="240" w:lineRule="auto"/>
              <w:jc w:val="center"/>
              <w:rPr>
                <w:b/>
                <w:sz w:val="20"/>
                <w:szCs w:val="20"/>
              </w:rPr>
            </w:pPr>
          </w:p>
        </w:tc>
        <w:tc>
          <w:tcPr>
            <w:tcW w:w="1080" w:type="dxa"/>
            <w:vMerge/>
          </w:tcPr>
          <w:p w14:paraId="402D58B6" w14:textId="77777777" w:rsidR="00217A61" w:rsidRDefault="00217A61">
            <w:pPr>
              <w:keepNext/>
              <w:widowControl w:val="0"/>
              <w:spacing w:after="0" w:line="240" w:lineRule="auto"/>
              <w:jc w:val="center"/>
              <w:rPr>
                <w:b/>
                <w:sz w:val="20"/>
                <w:szCs w:val="20"/>
              </w:rPr>
            </w:pPr>
          </w:p>
        </w:tc>
        <w:tc>
          <w:tcPr>
            <w:tcW w:w="1259" w:type="dxa"/>
            <w:vMerge/>
          </w:tcPr>
          <w:p w14:paraId="26B11F9A" w14:textId="77777777" w:rsidR="00217A61" w:rsidRDefault="00217A61">
            <w:pPr>
              <w:keepNext/>
              <w:widowControl w:val="0"/>
              <w:spacing w:after="0" w:line="240" w:lineRule="auto"/>
              <w:jc w:val="center"/>
              <w:rPr>
                <w:b/>
                <w:sz w:val="20"/>
                <w:szCs w:val="20"/>
              </w:rPr>
            </w:pPr>
          </w:p>
        </w:tc>
        <w:tc>
          <w:tcPr>
            <w:tcW w:w="1259" w:type="dxa"/>
            <w:vMerge/>
          </w:tcPr>
          <w:p w14:paraId="7416167B" w14:textId="77777777" w:rsidR="00217A61" w:rsidRDefault="00217A61">
            <w:pPr>
              <w:keepNext/>
              <w:widowControl w:val="0"/>
              <w:spacing w:after="0" w:line="240" w:lineRule="auto"/>
              <w:jc w:val="center"/>
              <w:rPr>
                <w:b/>
                <w:sz w:val="20"/>
                <w:szCs w:val="20"/>
              </w:rPr>
            </w:pPr>
          </w:p>
        </w:tc>
        <w:tc>
          <w:tcPr>
            <w:tcW w:w="1259" w:type="dxa"/>
            <w:vMerge/>
          </w:tcPr>
          <w:p w14:paraId="0E696E17" w14:textId="77777777" w:rsidR="00217A61" w:rsidRDefault="00217A61">
            <w:pPr>
              <w:keepNext/>
              <w:widowControl w:val="0"/>
              <w:spacing w:after="0" w:line="240" w:lineRule="auto"/>
              <w:jc w:val="center"/>
              <w:rPr>
                <w:b/>
                <w:sz w:val="20"/>
                <w:szCs w:val="20"/>
              </w:rPr>
            </w:pPr>
          </w:p>
        </w:tc>
        <w:tc>
          <w:tcPr>
            <w:tcW w:w="1710" w:type="dxa"/>
          </w:tcPr>
          <w:p w14:paraId="7DB11024" w14:textId="77777777" w:rsidR="00217A61" w:rsidRDefault="001C2695">
            <w:pPr>
              <w:keepNext/>
              <w:widowControl w:val="0"/>
              <w:spacing w:after="0" w:line="240" w:lineRule="auto"/>
              <w:jc w:val="center"/>
              <w:rPr>
                <w:b/>
                <w:sz w:val="20"/>
                <w:szCs w:val="20"/>
              </w:rPr>
            </w:pPr>
            <w:r>
              <w:rPr>
                <w:rFonts w:cs="Arial"/>
                <w:b/>
                <w:sz w:val="20"/>
                <w:szCs w:val="20"/>
              </w:rPr>
              <w:t>Veterans Affairs Supportive Housing</w:t>
            </w:r>
          </w:p>
        </w:tc>
        <w:tc>
          <w:tcPr>
            <w:tcW w:w="1760" w:type="dxa"/>
          </w:tcPr>
          <w:p w14:paraId="0CC5203B" w14:textId="77777777" w:rsidR="00217A61" w:rsidRDefault="001C2695">
            <w:pPr>
              <w:keepNext/>
              <w:widowControl w:val="0"/>
              <w:spacing w:after="0" w:line="240" w:lineRule="auto"/>
              <w:jc w:val="center"/>
              <w:rPr>
                <w:b/>
                <w:sz w:val="20"/>
                <w:szCs w:val="20"/>
              </w:rPr>
            </w:pPr>
            <w:r>
              <w:rPr>
                <w:rFonts w:cs="Arial"/>
                <w:b/>
                <w:sz w:val="20"/>
                <w:szCs w:val="20"/>
              </w:rPr>
              <w:t>Family Unification Program</w:t>
            </w:r>
          </w:p>
        </w:tc>
      </w:tr>
      <w:tr w:rsidR="00217A61" w14:paraId="4669E66A" w14:textId="77777777">
        <w:trPr>
          <w:cantSplit/>
        </w:trPr>
        <w:tc>
          <w:tcPr>
            <w:tcW w:w="0" w:type="auto"/>
          </w:tcPr>
          <w:p w14:paraId="12750EE0" w14:textId="77777777" w:rsidR="00217A61" w:rsidRDefault="001C2695">
            <w:pPr>
              <w:spacing w:beforeAutospacing="1" w:afterAutospacing="1"/>
            </w:pPr>
            <w:r>
              <w:rPr>
                <w:color w:val="000000"/>
              </w:rPr>
              <w:t># Homeless at admission</w:t>
            </w:r>
          </w:p>
        </w:tc>
        <w:tc>
          <w:tcPr>
            <w:tcW w:w="0" w:type="auto"/>
            <w:vAlign w:val="bottom"/>
          </w:tcPr>
          <w:p w14:paraId="2FC850D0" w14:textId="77777777" w:rsidR="00217A61" w:rsidRDefault="001C2695">
            <w:pPr>
              <w:spacing w:beforeAutospacing="1" w:afterAutospacing="1"/>
              <w:jc w:val="right"/>
            </w:pPr>
            <w:r>
              <w:rPr>
                <w:color w:val="000000"/>
              </w:rPr>
              <w:t>7</w:t>
            </w:r>
          </w:p>
        </w:tc>
        <w:tc>
          <w:tcPr>
            <w:tcW w:w="0" w:type="auto"/>
            <w:vAlign w:val="bottom"/>
          </w:tcPr>
          <w:p w14:paraId="32D10BB3" w14:textId="77777777" w:rsidR="00217A61" w:rsidRDefault="001C2695">
            <w:pPr>
              <w:spacing w:beforeAutospacing="1" w:afterAutospacing="1"/>
              <w:jc w:val="right"/>
            </w:pPr>
            <w:r>
              <w:rPr>
                <w:color w:val="000000"/>
              </w:rPr>
              <w:t>0</w:t>
            </w:r>
          </w:p>
        </w:tc>
        <w:tc>
          <w:tcPr>
            <w:tcW w:w="0" w:type="auto"/>
            <w:vAlign w:val="bottom"/>
          </w:tcPr>
          <w:p w14:paraId="18BAA2D7" w14:textId="77777777" w:rsidR="00217A61" w:rsidRDefault="001C2695">
            <w:pPr>
              <w:spacing w:beforeAutospacing="1" w:afterAutospacing="1"/>
              <w:jc w:val="right"/>
            </w:pPr>
            <w:r>
              <w:rPr>
                <w:color w:val="000000"/>
              </w:rPr>
              <w:t>104</w:t>
            </w:r>
          </w:p>
        </w:tc>
        <w:tc>
          <w:tcPr>
            <w:tcW w:w="0" w:type="auto"/>
            <w:vAlign w:val="bottom"/>
          </w:tcPr>
          <w:p w14:paraId="4B05D4E7" w14:textId="77777777" w:rsidR="00217A61" w:rsidRDefault="001C2695">
            <w:pPr>
              <w:spacing w:beforeAutospacing="1" w:afterAutospacing="1"/>
              <w:jc w:val="right"/>
            </w:pPr>
            <w:r>
              <w:rPr>
                <w:color w:val="000000"/>
              </w:rPr>
              <w:t>107</w:t>
            </w:r>
          </w:p>
        </w:tc>
        <w:tc>
          <w:tcPr>
            <w:tcW w:w="0" w:type="auto"/>
            <w:vAlign w:val="bottom"/>
          </w:tcPr>
          <w:p w14:paraId="39C58C5B" w14:textId="77777777" w:rsidR="00217A61" w:rsidRDefault="001C2695">
            <w:pPr>
              <w:spacing w:beforeAutospacing="1" w:afterAutospacing="1"/>
              <w:jc w:val="right"/>
            </w:pPr>
            <w:r>
              <w:rPr>
                <w:color w:val="000000"/>
              </w:rPr>
              <w:t>1</w:t>
            </w:r>
          </w:p>
        </w:tc>
        <w:tc>
          <w:tcPr>
            <w:tcW w:w="0" w:type="auto"/>
            <w:vAlign w:val="bottom"/>
          </w:tcPr>
          <w:p w14:paraId="6AA6468A" w14:textId="77777777" w:rsidR="00217A61" w:rsidRDefault="001C2695">
            <w:pPr>
              <w:spacing w:beforeAutospacing="1" w:afterAutospacing="1"/>
              <w:jc w:val="right"/>
            </w:pPr>
            <w:r>
              <w:rPr>
                <w:color w:val="000000"/>
              </w:rPr>
              <w:t>60</w:t>
            </w:r>
          </w:p>
        </w:tc>
        <w:tc>
          <w:tcPr>
            <w:tcW w:w="0" w:type="auto"/>
            <w:vAlign w:val="bottom"/>
          </w:tcPr>
          <w:p w14:paraId="07ED00EA" w14:textId="77777777" w:rsidR="00217A61" w:rsidRDefault="001C2695">
            <w:pPr>
              <w:spacing w:beforeAutospacing="1" w:afterAutospacing="1"/>
              <w:jc w:val="right"/>
            </w:pPr>
            <w:r>
              <w:rPr>
                <w:color w:val="000000"/>
              </w:rPr>
              <w:t>45</w:t>
            </w:r>
          </w:p>
        </w:tc>
        <w:tc>
          <w:tcPr>
            <w:tcW w:w="0" w:type="auto"/>
            <w:vAlign w:val="bottom"/>
          </w:tcPr>
          <w:p w14:paraId="2A48D040" w14:textId="77777777" w:rsidR="00217A61" w:rsidRDefault="001C2695">
            <w:pPr>
              <w:spacing w:beforeAutospacing="1" w:afterAutospacing="1"/>
              <w:jc w:val="right"/>
            </w:pPr>
            <w:r>
              <w:rPr>
                <w:color w:val="000000"/>
              </w:rPr>
              <w:t>1</w:t>
            </w:r>
          </w:p>
        </w:tc>
      </w:tr>
      <w:tr w:rsidR="00217A61" w14:paraId="38CD0F11" w14:textId="77777777">
        <w:trPr>
          <w:cantSplit/>
        </w:trPr>
        <w:tc>
          <w:tcPr>
            <w:tcW w:w="0" w:type="auto"/>
          </w:tcPr>
          <w:p w14:paraId="67B94F11" w14:textId="77777777" w:rsidR="00217A61" w:rsidRDefault="001C2695">
            <w:pPr>
              <w:spacing w:beforeAutospacing="1" w:afterAutospacing="1"/>
            </w:pPr>
            <w:r>
              <w:rPr>
                <w:color w:val="000000"/>
              </w:rPr>
              <w:t># of Elderly Program Participants (&gt;62)</w:t>
            </w:r>
          </w:p>
        </w:tc>
        <w:tc>
          <w:tcPr>
            <w:tcW w:w="0" w:type="auto"/>
            <w:vAlign w:val="bottom"/>
          </w:tcPr>
          <w:p w14:paraId="4B1B21DB" w14:textId="77777777" w:rsidR="00217A61" w:rsidRDefault="001C2695">
            <w:pPr>
              <w:spacing w:beforeAutospacing="1" w:afterAutospacing="1"/>
              <w:jc w:val="right"/>
            </w:pPr>
            <w:r>
              <w:rPr>
                <w:color w:val="000000"/>
              </w:rPr>
              <w:t>0</w:t>
            </w:r>
          </w:p>
        </w:tc>
        <w:tc>
          <w:tcPr>
            <w:tcW w:w="0" w:type="auto"/>
            <w:vAlign w:val="bottom"/>
          </w:tcPr>
          <w:p w14:paraId="6AEEB0DD" w14:textId="77777777" w:rsidR="00217A61" w:rsidRDefault="001C2695">
            <w:pPr>
              <w:spacing w:beforeAutospacing="1" w:afterAutospacing="1"/>
              <w:jc w:val="right"/>
            </w:pPr>
            <w:r>
              <w:rPr>
                <w:color w:val="000000"/>
              </w:rPr>
              <w:t>37</w:t>
            </w:r>
          </w:p>
        </w:tc>
        <w:tc>
          <w:tcPr>
            <w:tcW w:w="0" w:type="auto"/>
            <w:vAlign w:val="bottom"/>
          </w:tcPr>
          <w:p w14:paraId="6203F41C" w14:textId="77777777" w:rsidR="00217A61" w:rsidRDefault="001C2695">
            <w:pPr>
              <w:spacing w:beforeAutospacing="1" w:afterAutospacing="1"/>
              <w:jc w:val="right"/>
            </w:pPr>
            <w:r>
              <w:rPr>
                <w:color w:val="000000"/>
              </w:rPr>
              <w:t>6,722</w:t>
            </w:r>
          </w:p>
        </w:tc>
        <w:tc>
          <w:tcPr>
            <w:tcW w:w="0" w:type="auto"/>
            <w:vAlign w:val="bottom"/>
          </w:tcPr>
          <w:p w14:paraId="4CB8D0AE" w14:textId="77777777" w:rsidR="00217A61" w:rsidRDefault="001C2695">
            <w:pPr>
              <w:spacing w:beforeAutospacing="1" w:afterAutospacing="1"/>
              <w:jc w:val="right"/>
            </w:pPr>
            <w:r>
              <w:rPr>
                <w:color w:val="000000"/>
              </w:rPr>
              <w:t>9,353</w:t>
            </w:r>
          </w:p>
        </w:tc>
        <w:tc>
          <w:tcPr>
            <w:tcW w:w="0" w:type="auto"/>
            <w:vAlign w:val="bottom"/>
          </w:tcPr>
          <w:p w14:paraId="692A7C60" w14:textId="77777777" w:rsidR="00217A61" w:rsidRDefault="001C2695">
            <w:pPr>
              <w:spacing w:beforeAutospacing="1" w:afterAutospacing="1"/>
              <w:jc w:val="right"/>
            </w:pPr>
            <w:r>
              <w:rPr>
                <w:color w:val="000000"/>
              </w:rPr>
              <w:t>563</w:t>
            </w:r>
          </w:p>
        </w:tc>
        <w:tc>
          <w:tcPr>
            <w:tcW w:w="0" w:type="auto"/>
            <w:vAlign w:val="bottom"/>
          </w:tcPr>
          <w:p w14:paraId="1DF24E90" w14:textId="77777777" w:rsidR="00217A61" w:rsidRDefault="001C2695">
            <w:pPr>
              <w:spacing w:beforeAutospacing="1" w:afterAutospacing="1"/>
              <w:jc w:val="right"/>
            </w:pPr>
            <w:r>
              <w:rPr>
                <w:color w:val="000000"/>
              </w:rPr>
              <w:t>8,603</w:t>
            </w:r>
          </w:p>
        </w:tc>
        <w:tc>
          <w:tcPr>
            <w:tcW w:w="0" w:type="auto"/>
            <w:vAlign w:val="bottom"/>
          </w:tcPr>
          <w:p w14:paraId="73BC9C10" w14:textId="77777777" w:rsidR="00217A61" w:rsidRDefault="001C2695">
            <w:pPr>
              <w:spacing w:beforeAutospacing="1" w:afterAutospacing="1"/>
              <w:jc w:val="right"/>
            </w:pPr>
            <w:r>
              <w:rPr>
                <w:color w:val="000000"/>
              </w:rPr>
              <w:t>37</w:t>
            </w:r>
          </w:p>
        </w:tc>
        <w:tc>
          <w:tcPr>
            <w:tcW w:w="0" w:type="auto"/>
            <w:vAlign w:val="bottom"/>
          </w:tcPr>
          <w:p w14:paraId="25BC0308" w14:textId="77777777" w:rsidR="00217A61" w:rsidRDefault="001C2695">
            <w:pPr>
              <w:spacing w:beforeAutospacing="1" w:afterAutospacing="1"/>
              <w:jc w:val="right"/>
            </w:pPr>
            <w:r>
              <w:rPr>
                <w:color w:val="000000"/>
              </w:rPr>
              <w:t>8</w:t>
            </w:r>
          </w:p>
        </w:tc>
      </w:tr>
      <w:tr w:rsidR="00217A61" w14:paraId="60C14B7B" w14:textId="77777777">
        <w:trPr>
          <w:cantSplit/>
        </w:trPr>
        <w:tc>
          <w:tcPr>
            <w:tcW w:w="0" w:type="auto"/>
          </w:tcPr>
          <w:p w14:paraId="2DC7CBC1" w14:textId="77777777" w:rsidR="00217A61" w:rsidRDefault="001C2695">
            <w:pPr>
              <w:spacing w:beforeAutospacing="1" w:afterAutospacing="1"/>
            </w:pPr>
            <w:r>
              <w:rPr>
                <w:color w:val="000000"/>
              </w:rPr>
              <w:t># of Disabled Families</w:t>
            </w:r>
          </w:p>
        </w:tc>
        <w:tc>
          <w:tcPr>
            <w:tcW w:w="0" w:type="auto"/>
            <w:vAlign w:val="bottom"/>
          </w:tcPr>
          <w:p w14:paraId="64E07704" w14:textId="77777777" w:rsidR="00217A61" w:rsidRDefault="001C2695">
            <w:pPr>
              <w:spacing w:beforeAutospacing="1" w:afterAutospacing="1"/>
              <w:jc w:val="right"/>
            </w:pPr>
            <w:r>
              <w:rPr>
                <w:color w:val="000000"/>
              </w:rPr>
              <w:t>0</w:t>
            </w:r>
          </w:p>
        </w:tc>
        <w:tc>
          <w:tcPr>
            <w:tcW w:w="0" w:type="auto"/>
            <w:vAlign w:val="bottom"/>
          </w:tcPr>
          <w:p w14:paraId="1242AE5F" w14:textId="77777777" w:rsidR="00217A61" w:rsidRDefault="001C2695">
            <w:pPr>
              <w:spacing w:beforeAutospacing="1" w:afterAutospacing="1"/>
              <w:jc w:val="right"/>
            </w:pPr>
            <w:r>
              <w:rPr>
                <w:color w:val="000000"/>
              </w:rPr>
              <w:t>20</w:t>
            </w:r>
          </w:p>
        </w:tc>
        <w:tc>
          <w:tcPr>
            <w:tcW w:w="0" w:type="auto"/>
            <w:vAlign w:val="bottom"/>
          </w:tcPr>
          <w:p w14:paraId="232824CA" w14:textId="77777777" w:rsidR="00217A61" w:rsidRDefault="001C2695">
            <w:pPr>
              <w:spacing w:beforeAutospacing="1" w:afterAutospacing="1"/>
              <w:jc w:val="right"/>
            </w:pPr>
            <w:r>
              <w:rPr>
                <w:color w:val="000000"/>
              </w:rPr>
              <w:t>7,065</w:t>
            </w:r>
          </w:p>
        </w:tc>
        <w:tc>
          <w:tcPr>
            <w:tcW w:w="0" w:type="auto"/>
            <w:vAlign w:val="bottom"/>
          </w:tcPr>
          <w:p w14:paraId="56182EA6" w14:textId="77777777" w:rsidR="00217A61" w:rsidRDefault="001C2695">
            <w:pPr>
              <w:spacing w:beforeAutospacing="1" w:afterAutospacing="1"/>
              <w:jc w:val="right"/>
            </w:pPr>
            <w:r>
              <w:rPr>
                <w:color w:val="000000"/>
              </w:rPr>
              <w:t>15,002</w:t>
            </w:r>
          </w:p>
        </w:tc>
        <w:tc>
          <w:tcPr>
            <w:tcW w:w="0" w:type="auto"/>
            <w:vAlign w:val="bottom"/>
          </w:tcPr>
          <w:p w14:paraId="78C28B44" w14:textId="77777777" w:rsidR="00217A61" w:rsidRDefault="001C2695">
            <w:pPr>
              <w:spacing w:beforeAutospacing="1" w:afterAutospacing="1"/>
              <w:jc w:val="right"/>
            </w:pPr>
            <w:r>
              <w:rPr>
                <w:color w:val="000000"/>
              </w:rPr>
              <w:t>268</w:t>
            </w:r>
          </w:p>
        </w:tc>
        <w:tc>
          <w:tcPr>
            <w:tcW w:w="0" w:type="auto"/>
            <w:vAlign w:val="bottom"/>
          </w:tcPr>
          <w:p w14:paraId="5A659E4C" w14:textId="77777777" w:rsidR="00217A61" w:rsidRDefault="001C2695">
            <w:pPr>
              <w:spacing w:beforeAutospacing="1" w:afterAutospacing="1"/>
              <w:jc w:val="right"/>
            </w:pPr>
            <w:r>
              <w:rPr>
                <w:color w:val="000000"/>
              </w:rPr>
              <w:t>13,785</w:t>
            </w:r>
          </w:p>
        </w:tc>
        <w:tc>
          <w:tcPr>
            <w:tcW w:w="0" w:type="auto"/>
            <w:vAlign w:val="bottom"/>
          </w:tcPr>
          <w:p w14:paraId="0776A759" w14:textId="77777777" w:rsidR="00217A61" w:rsidRDefault="001C2695">
            <w:pPr>
              <w:spacing w:beforeAutospacing="1" w:afterAutospacing="1"/>
              <w:jc w:val="right"/>
            </w:pPr>
            <w:r>
              <w:rPr>
                <w:color w:val="000000"/>
              </w:rPr>
              <w:t>216</w:t>
            </w:r>
          </w:p>
        </w:tc>
        <w:tc>
          <w:tcPr>
            <w:tcW w:w="0" w:type="auto"/>
            <w:vAlign w:val="bottom"/>
          </w:tcPr>
          <w:p w14:paraId="6DFEBDB9" w14:textId="77777777" w:rsidR="00217A61" w:rsidRDefault="001C2695">
            <w:pPr>
              <w:spacing w:beforeAutospacing="1" w:afterAutospacing="1"/>
              <w:jc w:val="right"/>
            </w:pPr>
            <w:r>
              <w:rPr>
                <w:color w:val="000000"/>
              </w:rPr>
              <w:t>29</w:t>
            </w:r>
          </w:p>
        </w:tc>
      </w:tr>
      <w:tr w:rsidR="00217A61" w14:paraId="6231BB7F" w14:textId="77777777">
        <w:trPr>
          <w:cantSplit/>
        </w:trPr>
        <w:tc>
          <w:tcPr>
            <w:tcW w:w="0" w:type="auto"/>
          </w:tcPr>
          <w:p w14:paraId="72798F76" w14:textId="77777777" w:rsidR="00217A61" w:rsidRDefault="001C2695">
            <w:pPr>
              <w:spacing w:beforeAutospacing="1" w:afterAutospacing="1"/>
            </w:pPr>
            <w:r>
              <w:rPr>
                <w:color w:val="000000"/>
              </w:rPr>
              <w:lastRenderedPageBreak/>
              <w:t># of Families requesting accessibility features</w:t>
            </w:r>
          </w:p>
        </w:tc>
        <w:tc>
          <w:tcPr>
            <w:tcW w:w="0" w:type="auto"/>
            <w:vAlign w:val="bottom"/>
          </w:tcPr>
          <w:p w14:paraId="3C81A3A5" w14:textId="77777777" w:rsidR="00217A61" w:rsidRDefault="001C2695">
            <w:pPr>
              <w:spacing w:beforeAutospacing="1" w:afterAutospacing="1"/>
              <w:jc w:val="right"/>
            </w:pPr>
            <w:r>
              <w:rPr>
                <w:color w:val="000000"/>
              </w:rPr>
              <w:t>19</w:t>
            </w:r>
          </w:p>
        </w:tc>
        <w:tc>
          <w:tcPr>
            <w:tcW w:w="0" w:type="auto"/>
            <w:vAlign w:val="bottom"/>
          </w:tcPr>
          <w:p w14:paraId="546FBB7E" w14:textId="77777777" w:rsidR="00217A61" w:rsidRDefault="001C2695">
            <w:pPr>
              <w:spacing w:beforeAutospacing="1" w:afterAutospacing="1"/>
              <w:jc w:val="right"/>
            </w:pPr>
            <w:r>
              <w:rPr>
                <w:color w:val="000000"/>
              </w:rPr>
              <w:t>171</w:t>
            </w:r>
          </w:p>
        </w:tc>
        <w:tc>
          <w:tcPr>
            <w:tcW w:w="0" w:type="auto"/>
            <w:vAlign w:val="bottom"/>
          </w:tcPr>
          <w:p w14:paraId="5D78C6B6" w14:textId="77777777" w:rsidR="00217A61" w:rsidRDefault="001C2695">
            <w:pPr>
              <w:spacing w:beforeAutospacing="1" w:afterAutospacing="1"/>
              <w:jc w:val="right"/>
            </w:pPr>
            <w:r>
              <w:rPr>
                <w:color w:val="000000"/>
              </w:rPr>
              <w:t>33,774</w:t>
            </w:r>
          </w:p>
        </w:tc>
        <w:tc>
          <w:tcPr>
            <w:tcW w:w="0" w:type="auto"/>
            <w:vAlign w:val="bottom"/>
          </w:tcPr>
          <w:p w14:paraId="7D6C0A35" w14:textId="77777777" w:rsidR="00217A61" w:rsidRDefault="001C2695">
            <w:pPr>
              <w:spacing w:beforeAutospacing="1" w:afterAutospacing="1"/>
              <w:jc w:val="right"/>
            </w:pPr>
            <w:r>
              <w:rPr>
                <w:color w:val="000000"/>
              </w:rPr>
              <w:t>53,942</w:t>
            </w:r>
          </w:p>
        </w:tc>
        <w:tc>
          <w:tcPr>
            <w:tcW w:w="0" w:type="auto"/>
            <w:vAlign w:val="bottom"/>
          </w:tcPr>
          <w:p w14:paraId="34D08825" w14:textId="77777777" w:rsidR="00217A61" w:rsidRDefault="001C2695">
            <w:pPr>
              <w:spacing w:beforeAutospacing="1" w:afterAutospacing="1"/>
              <w:jc w:val="right"/>
            </w:pPr>
            <w:r>
              <w:rPr>
                <w:color w:val="000000"/>
              </w:rPr>
              <w:t>1,436</w:t>
            </w:r>
          </w:p>
        </w:tc>
        <w:tc>
          <w:tcPr>
            <w:tcW w:w="0" w:type="auto"/>
            <w:vAlign w:val="bottom"/>
          </w:tcPr>
          <w:p w14:paraId="3F03B4B4" w14:textId="77777777" w:rsidR="00217A61" w:rsidRDefault="001C2695">
            <w:pPr>
              <w:spacing w:beforeAutospacing="1" w:afterAutospacing="1"/>
              <w:jc w:val="right"/>
            </w:pPr>
            <w:r>
              <w:rPr>
                <w:color w:val="000000"/>
              </w:rPr>
              <w:t>50,714</w:t>
            </w:r>
          </w:p>
        </w:tc>
        <w:tc>
          <w:tcPr>
            <w:tcW w:w="0" w:type="auto"/>
            <w:vAlign w:val="bottom"/>
          </w:tcPr>
          <w:p w14:paraId="0C383F40" w14:textId="77777777" w:rsidR="00217A61" w:rsidRDefault="001C2695">
            <w:pPr>
              <w:spacing w:beforeAutospacing="1" w:afterAutospacing="1"/>
              <w:jc w:val="right"/>
            </w:pPr>
            <w:r>
              <w:rPr>
                <w:color w:val="000000"/>
              </w:rPr>
              <w:t>484</w:t>
            </w:r>
          </w:p>
        </w:tc>
        <w:tc>
          <w:tcPr>
            <w:tcW w:w="0" w:type="auto"/>
            <w:vAlign w:val="bottom"/>
          </w:tcPr>
          <w:p w14:paraId="64DF3644" w14:textId="77777777" w:rsidR="00217A61" w:rsidRDefault="001C2695">
            <w:pPr>
              <w:spacing w:beforeAutospacing="1" w:afterAutospacing="1"/>
              <w:jc w:val="right"/>
            </w:pPr>
            <w:r>
              <w:rPr>
                <w:color w:val="000000"/>
              </w:rPr>
              <w:t>229</w:t>
            </w:r>
          </w:p>
        </w:tc>
      </w:tr>
      <w:tr w:rsidR="00217A61" w14:paraId="73445366" w14:textId="77777777">
        <w:trPr>
          <w:cantSplit/>
        </w:trPr>
        <w:tc>
          <w:tcPr>
            <w:tcW w:w="0" w:type="auto"/>
          </w:tcPr>
          <w:p w14:paraId="28F2ED73" w14:textId="77777777" w:rsidR="00217A61" w:rsidRDefault="001C2695">
            <w:pPr>
              <w:spacing w:beforeAutospacing="1" w:afterAutospacing="1"/>
            </w:pPr>
            <w:r>
              <w:rPr>
                <w:color w:val="000000"/>
              </w:rPr>
              <w:t># of HIV/AIDS program participants</w:t>
            </w:r>
          </w:p>
        </w:tc>
        <w:tc>
          <w:tcPr>
            <w:tcW w:w="0" w:type="auto"/>
            <w:vAlign w:val="bottom"/>
          </w:tcPr>
          <w:p w14:paraId="0A8C275A" w14:textId="77777777" w:rsidR="00217A61" w:rsidRDefault="001C2695">
            <w:pPr>
              <w:spacing w:beforeAutospacing="1" w:afterAutospacing="1"/>
              <w:jc w:val="right"/>
            </w:pPr>
            <w:r>
              <w:rPr>
                <w:color w:val="000000"/>
              </w:rPr>
              <w:t>0</w:t>
            </w:r>
          </w:p>
        </w:tc>
        <w:tc>
          <w:tcPr>
            <w:tcW w:w="0" w:type="auto"/>
            <w:vAlign w:val="bottom"/>
          </w:tcPr>
          <w:p w14:paraId="3DCE619E" w14:textId="77777777" w:rsidR="00217A61" w:rsidRDefault="001C2695">
            <w:pPr>
              <w:spacing w:beforeAutospacing="1" w:afterAutospacing="1"/>
              <w:jc w:val="right"/>
            </w:pPr>
            <w:r>
              <w:rPr>
                <w:color w:val="000000"/>
              </w:rPr>
              <w:t>0</w:t>
            </w:r>
          </w:p>
        </w:tc>
        <w:tc>
          <w:tcPr>
            <w:tcW w:w="0" w:type="auto"/>
            <w:vAlign w:val="bottom"/>
          </w:tcPr>
          <w:p w14:paraId="3183AD89" w14:textId="77777777" w:rsidR="00217A61" w:rsidRDefault="001C2695">
            <w:pPr>
              <w:spacing w:beforeAutospacing="1" w:afterAutospacing="1"/>
              <w:jc w:val="right"/>
            </w:pPr>
            <w:r>
              <w:rPr>
                <w:color w:val="000000"/>
              </w:rPr>
              <w:t>0</w:t>
            </w:r>
          </w:p>
        </w:tc>
        <w:tc>
          <w:tcPr>
            <w:tcW w:w="0" w:type="auto"/>
            <w:vAlign w:val="bottom"/>
          </w:tcPr>
          <w:p w14:paraId="23A53105" w14:textId="77777777" w:rsidR="00217A61" w:rsidRDefault="001C2695">
            <w:pPr>
              <w:spacing w:beforeAutospacing="1" w:afterAutospacing="1"/>
              <w:jc w:val="right"/>
            </w:pPr>
            <w:r>
              <w:rPr>
                <w:color w:val="000000"/>
              </w:rPr>
              <w:t>0</w:t>
            </w:r>
          </w:p>
        </w:tc>
        <w:tc>
          <w:tcPr>
            <w:tcW w:w="0" w:type="auto"/>
            <w:vAlign w:val="bottom"/>
          </w:tcPr>
          <w:p w14:paraId="135654E7" w14:textId="77777777" w:rsidR="00217A61" w:rsidRDefault="001C2695">
            <w:pPr>
              <w:spacing w:beforeAutospacing="1" w:afterAutospacing="1"/>
              <w:jc w:val="right"/>
            </w:pPr>
            <w:r>
              <w:rPr>
                <w:color w:val="000000"/>
              </w:rPr>
              <w:t>0</w:t>
            </w:r>
          </w:p>
        </w:tc>
        <w:tc>
          <w:tcPr>
            <w:tcW w:w="0" w:type="auto"/>
            <w:vAlign w:val="bottom"/>
          </w:tcPr>
          <w:p w14:paraId="7203CB5A" w14:textId="77777777" w:rsidR="00217A61" w:rsidRDefault="001C2695">
            <w:pPr>
              <w:spacing w:beforeAutospacing="1" w:afterAutospacing="1"/>
              <w:jc w:val="right"/>
            </w:pPr>
            <w:r>
              <w:rPr>
                <w:color w:val="000000"/>
              </w:rPr>
              <w:t>0</w:t>
            </w:r>
          </w:p>
        </w:tc>
        <w:tc>
          <w:tcPr>
            <w:tcW w:w="0" w:type="auto"/>
            <w:vAlign w:val="bottom"/>
          </w:tcPr>
          <w:p w14:paraId="169D26B2" w14:textId="77777777" w:rsidR="00217A61" w:rsidRDefault="001C2695">
            <w:pPr>
              <w:spacing w:beforeAutospacing="1" w:afterAutospacing="1"/>
              <w:jc w:val="right"/>
            </w:pPr>
            <w:r>
              <w:rPr>
                <w:color w:val="000000"/>
              </w:rPr>
              <w:t>0</w:t>
            </w:r>
          </w:p>
        </w:tc>
        <w:tc>
          <w:tcPr>
            <w:tcW w:w="0" w:type="auto"/>
            <w:vAlign w:val="bottom"/>
          </w:tcPr>
          <w:p w14:paraId="25E23CD4" w14:textId="77777777" w:rsidR="00217A61" w:rsidRDefault="001C2695">
            <w:pPr>
              <w:spacing w:beforeAutospacing="1" w:afterAutospacing="1"/>
              <w:jc w:val="right"/>
            </w:pPr>
            <w:r>
              <w:rPr>
                <w:color w:val="000000"/>
              </w:rPr>
              <w:t>0</w:t>
            </w:r>
          </w:p>
        </w:tc>
      </w:tr>
      <w:tr w:rsidR="00217A61" w14:paraId="3EC0F269" w14:textId="77777777">
        <w:trPr>
          <w:cantSplit/>
        </w:trPr>
        <w:tc>
          <w:tcPr>
            <w:tcW w:w="0" w:type="auto"/>
          </w:tcPr>
          <w:p w14:paraId="1F406DB6" w14:textId="77777777" w:rsidR="00217A61" w:rsidRDefault="001C2695">
            <w:pPr>
              <w:spacing w:beforeAutospacing="1" w:afterAutospacing="1"/>
            </w:pPr>
            <w:r>
              <w:rPr>
                <w:color w:val="000000"/>
              </w:rPr>
              <w:t># of DV victims</w:t>
            </w:r>
          </w:p>
        </w:tc>
        <w:tc>
          <w:tcPr>
            <w:tcW w:w="0" w:type="auto"/>
            <w:vAlign w:val="bottom"/>
          </w:tcPr>
          <w:p w14:paraId="05BDAA20" w14:textId="77777777" w:rsidR="00217A61" w:rsidRDefault="001C2695">
            <w:pPr>
              <w:spacing w:beforeAutospacing="1" w:afterAutospacing="1"/>
              <w:jc w:val="right"/>
            </w:pPr>
            <w:r>
              <w:rPr>
                <w:color w:val="000000"/>
              </w:rPr>
              <w:t>0</w:t>
            </w:r>
          </w:p>
        </w:tc>
        <w:tc>
          <w:tcPr>
            <w:tcW w:w="0" w:type="auto"/>
            <w:vAlign w:val="bottom"/>
          </w:tcPr>
          <w:p w14:paraId="58343A48" w14:textId="77777777" w:rsidR="00217A61" w:rsidRDefault="001C2695">
            <w:pPr>
              <w:spacing w:beforeAutospacing="1" w:afterAutospacing="1"/>
              <w:jc w:val="right"/>
            </w:pPr>
            <w:r>
              <w:rPr>
                <w:color w:val="000000"/>
              </w:rPr>
              <w:t>0</w:t>
            </w:r>
          </w:p>
        </w:tc>
        <w:tc>
          <w:tcPr>
            <w:tcW w:w="0" w:type="auto"/>
            <w:vAlign w:val="bottom"/>
          </w:tcPr>
          <w:p w14:paraId="66ACBFE2" w14:textId="77777777" w:rsidR="00217A61" w:rsidRDefault="001C2695">
            <w:pPr>
              <w:spacing w:beforeAutospacing="1" w:afterAutospacing="1"/>
              <w:jc w:val="right"/>
            </w:pPr>
            <w:r>
              <w:rPr>
                <w:color w:val="000000"/>
              </w:rPr>
              <w:t>0</w:t>
            </w:r>
          </w:p>
        </w:tc>
        <w:tc>
          <w:tcPr>
            <w:tcW w:w="0" w:type="auto"/>
            <w:vAlign w:val="bottom"/>
          </w:tcPr>
          <w:p w14:paraId="0C4A383E" w14:textId="77777777" w:rsidR="00217A61" w:rsidRDefault="001C2695">
            <w:pPr>
              <w:spacing w:beforeAutospacing="1" w:afterAutospacing="1"/>
              <w:jc w:val="right"/>
            </w:pPr>
            <w:r>
              <w:rPr>
                <w:color w:val="000000"/>
              </w:rPr>
              <w:t>0</w:t>
            </w:r>
          </w:p>
        </w:tc>
        <w:tc>
          <w:tcPr>
            <w:tcW w:w="0" w:type="auto"/>
            <w:vAlign w:val="bottom"/>
          </w:tcPr>
          <w:p w14:paraId="165C4EA9" w14:textId="77777777" w:rsidR="00217A61" w:rsidRDefault="001C2695">
            <w:pPr>
              <w:spacing w:beforeAutospacing="1" w:afterAutospacing="1"/>
              <w:jc w:val="right"/>
            </w:pPr>
            <w:r>
              <w:rPr>
                <w:color w:val="000000"/>
              </w:rPr>
              <w:t>0</w:t>
            </w:r>
          </w:p>
        </w:tc>
        <w:tc>
          <w:tcPr>
            <w:tcW w:w="0" w:type="auto"/>
            <w:vAlign w:val="bottom"/>
          </w:tcPr>
          <w:p w14:paraId="6E425C58" w14:textId="77777777" w:rsidR="00217A61" w:rsidRDefault="001C2695">
            <w:pPr>
              <w:spacing w:beforeAutospacing="1" w:afterAutospacing="1"/>
              <w:jc w:val="right"/>
            </w:pPr>
            <w:r>
              <w:rPr>
                <w:color w:val="000000"/>
              </w:rPr>
              <w:t>0</w:t>
            </w:r>
          </w:p>
        </w:tc>
        <w:tc>
          <w:tcPr>
            <w:tcW w:w="0" w:type="auto"/>
            <w:vAlign w:val="bottom"/>
          </w:tcPr>
          <w:p w14:paraId="02DD8998" w14:textId="77777777" w:rsidR="00217A61" w:rsidRDefault="001C2695">
            <w:pPr>
              <w:spacing w:beforeAutospacing="1" w:afterAutospacing="1"/>
              <w:jc w:val="right"/>
            </w:pPr>
            <w:r>
              <w:rPr>
                <w:color w:val="000000"/>
              </w:rPr>
              <w:t>0</w:t>
            </w:r>
          </w:p>
        </w:tc>
        <w:tc>
          <w:tcPr>
            <w:tcW w:w="0" w:type="auto"/>
            <w:vAlign w:val="bottom"/>
          </w:tcPr>
          <w:p w14:paraId="07F435CF" w14:textId="77777777" w:rsidR="00217A61" w:rsidRDefault="001C2695">
            <w:pPr>
              <w:spacing w:beforeAutospacing="1" w:afterAutospacing="1"/>
              <w:jc w:val="right"/>
            </w:pPr>
            <w:r>
              <w:rPr>
                <w:color w:val="000000"/>
              </w:rPr>
              <w:t>0</w:t>
            </w:r>
          </w:p>
        </w:tc>
      </w:tr>
    </w:tbl>
    <w:p w14:paraId="0B207710" w14:textId="77777777" w:rsidR="00217A61" w:rsidRDefault="00217A61">
      <w:pPr>
        <w:keepNext/>
        <w:widowControl w:val="0"/>
        <w:spacing w:after="0" w:line="240" w:lineRule="auto"/>
        <w:rPr>
          <w:rFonts w:asciiTheme="minorHAnsi" w:hAnsiTheme="minorHAnsi"/>
          <w:b/>
          <w:vanish/>
          <w:sz w:val="10"/>
          <w:szCs w:val="10"/>
        </w:rPr>
      </w:pPr>
    </w:p>
    <w:p w14:paraId="77844B98"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23</w:t>
      </w:r>
      <w:r>
        <w:rPr>
          <w:rFonts w:asciiTheme="minorHAnsi" w:hAnsiTheme="minorHAnsi"/>
        </w:rPr>
        <w:fldChar w:fldCharType="end"/>
      </w:r>
      <w:r>
        <w:rPr>
          <w:rFonts w:asciiTheme="minorHAnsi" w:hAnsiTheme="minorHAnsi"/>
        </w:rPr>
        <w:t xml:space="preserve"> – Characteristics of Public Housing Residents by Program Type</w:t>
      </w:r>
    </w:p>
    <w:p w14:paraId="2954FB8F" w14:textId="77777777" w:rsidR="00217A61" w:rsidRDefault="00217A61">
      <w:pPr>
        <w:keepNext/>
        <w:widowControl w:val="0"/>
        <w:spacing w:after="0" w:line="240" w:lineRule="auto"/>
        <w:rPr>
          <w:b/>
          <w:vanish/>
          <w:sz w:val="10"/>
          <w:szCs w:val="10"/>
        </w:rPr>
      </w:pPr>
    </w:p>
    <w:tbl>
      <w:tblPr>
        <w:tblW w:w="5000" w:type="pct"/>
        <w:tblInd w:w="115" w:type="dxa"/>
        <w:tblCellMar>
          <w:left w:w="115" w:type="dxa"/>
          <w:right w:w="115" w:type="dxa"/>
        </w:tblCellMar>
        <w:tblLook w:val="01E0" w:firstRow="1" w:lastRow="1" w:firstColumn="1" w:lastColumn="1" w:noHBand="0" w:noVBand="0"/>
      </w:tblPr>
      <w:tblGrid>
        <w:gridCol w:w="1470"/>
        <w:gridCol w:w="11490"/>
      </w:tblGrid>
      <w:tr w:rsidR="00217A61" w14:paraId="6B322216" w14:textId="77777777">
        <w:trPr>
          <w:cantSplit/>
        </w:trPr>
        <w:tc>
          <w:tcPr>
            <w:tcW w:w="1485" w:type="dxa"/>
          </w:tcPr>
          <w:p w14:paraId="3C4361CF" w14:textId="77777777" w:rsidR="00217A61" w:rsidRDefault="001C2695">
            <w:pPr>
              <w:spacing w:after="0" w:line="240" w:lineRule="auto"/>
              <w:rPr>
                <w:sz w:val="16"/>
                <w:szCs w:val="16"/>
              </w:rPr>
            </w:pPr>
            <w:r>
              <w:rPr>
                <w:b/>
                <w:bCs/>
                <w:sz w:val="16"/>
                <w:szCs w:val="16"/>
              </w:rPr>
              <w:t>Data Source:</w:t>
            </w:r>
          </w:p>
        </w:tc>
        <w:tc>
          <w:tcPr>
            <w:tcW w:w="11705" w:type="dxa"/>
          </w:tcPr>
          <w:p w14:paraId="000C1945" w14:textId="77777777" w:rsidR="00217A61" w:rsidRDefault="001C2695">
            <w:pPr>
              <w:spacing w:beforeAutospacing="1" w:afterAutospacing="1"/>
              <w:rPr>
                <w:sz w:val="16"/>
                <w:szCs w:val="16"/>
              </w:rPr>
            </w:pPr>
            <w:r>
              <w:rPr>
                <w:sz w:val="16"/>
                <w:szCs w:val="16"/>
              </w:rPr>
              <w:t>PIC (PIH Information Center)</w:t>
            </w:r>
          </w:p>
        </w:tc>
      </w:tr>
    </w:tbl>
    <w:p w14:paraId="7D52A4C5" w14:textId="77777777" w:rsidR="00217A61" w:rsidRDefault="00217A61">
      <w:pPr>
        <w:keepNext/>
        <w:widowControl w:val="0"/>
        <w:spacing w:after="0" w:line="240" w:lineRule="auto"/>
        <w:jc w:val="center"/>
        <w:rPr>
          <w:b/>
          <w:bCs/>
          <w:vanish/>
          <w:sz w:val="20"/>
          <w:szCs w:val="20"/>
        </w:rPr>
      </w:pPr>
    </w:p>
    <w:p w14:paraId="66880E14" w14:textId="77777777" w:rsidR="00217A61" w:rsidRDefault="00217A61">
      <w:pPr>
        <w:spacing w:after="0" w:line="240" w:lineRule="auto"/>
        <w:rPr>
          <w:b/>
          <w:bCs/>
          <w:vanish/>
          <w:sz w:val="16"/>
          <w:szCs w:val="16"/>
        </w:rPr>
      </w:pPr>
    </w:p>
    <w:p w14:paraId="0C91007E" w14:textId="77777777" w:rsidR="00217A61" w:rsidRDefault="00217A61">
      <w:pPr>
        <w:rPr>
          <w:rFonts w:cs="Arial"/>
          <w:sz w:val="16"/>
          <w:szCs w:val="16"/>
        </w:rPr>
      </w:pPr>
    </w:p>
    <w:p w14:paraId="31CC927A" w14:textId="77777777" w:rsidR="00217A61" w:rsidRDefault="001C2695">
      <w:pPr>
        <w:keepNext/>
        <w:widowControl w:val="0"/>
        <w:rPr>
          <w:b/>
          <w:sz w:val="24"/>
          <w:szCs w:val="24"/>
        </w:rPr>
      </w:pPr>
      <w:r>
        <w:rPr>
          <w:b/>
          <w:sz w:val="24"/>
          <w:szCs w:val="24"/>
        </w:rPr>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53"/>
        <w:gridCol w:w="1091"/>
        <w:gridCol w:w="1031"/>
        <w:gridCol w:w="1054"/>
        <w:gridCol w:w="1197"/>
        <w:gridCol w:w="1193"/>
        <w:gridCol w:w="1197"/>
        <w:gridCol w:w="1153"/>
        <w:gridCol w:w="1155"/>
        <w:gridCol w:w="1126"/>
      </w:tblGrid>
      <w:tr w:rsidR="00217A61" w14:paraId="2438AE2C" w14:textId="77777777">
        <w:trPr>
          <w:cantSplit/>
          <w:tblHeader/>
        </w:trPr>
        <w:tc>
          <w:tcPr>
            <w:tcW w:w="13190" w:type="dxa"/>
            <w:gridSpan w:val="10"/>
          </w:tcPr>
          <w:p w14:paraId="101C2EB6" w14:textId="77777777" w:rsidR="00217A61" w:rsidRDefault="001C2695">
            <w:pPr>
              <w:keepNext/>
              <w:widowControl w:val="0"/>
              <w:spacing w:after="0" w:line="240" w:lineRule="auto"/>
              <w:jc w:val="center"/>
              <w:rPr>
                <w:b/>
                <w:sz w:val="20"/>
                <w:szCs w:val="20"/>
              </w:rPr>
            </w:pPr>
            <w:r>
              <w:rPr>
                <w:rFonts w:cs="Arial"/>
                <w:b/>
                <w:sz w:val="20"/>
                <w:szCs w:val="20"/>
              </w:rPr>
              <w:t>Program Type</w:t>
            </w:r>
          </w:p>
        </w:tc>
      </w:tr>
      <w:tr w:rsidR="00217A61" w14:paraId="69BEB4EB" w14:textId="77777777">
        <w:trPr>
          <w:cantSplit/>
          <w:tblHeader/>
        </w:trPr>
        <w:tc>
          <w:tcPr>
            <w:tcW w:w="2693" w:type="dxa"/>
            <w:vMerge w:val="restart"/>
          </w:tcPr>
          <w:p w14:paraId="2D7E8E59" w14:textId="77777777" w:rsidR="00217A61" w:rsidRDefault="001C2695">
            <w:pPr>
              <w:keepNext/>
              <w:widowControl w:val="0"/>
              <w:spacing w:after="0" w:line="240" w:lineRule="auto"/>
              <w:jc w:val="center"/>
              <w:rPr>
                <w:b/>
                <w:sz w:val="20"/>
                <w:szCs w:val="20"/>
              </w:rPr>
            </w:pPr>
            <w:r>
              <w:rPr>
                <w:b/>
                <w:sz w:val="20"/>
                <w:szCs w:val="20"/>
              </w:rPr>
              <w:t>Race</w:t>
            </w:r>
          </w:p>
        </w:tc>
        <w:tc>
          <w:tcPr>
            <w:tcW w:w="1091" w:type="dxa"/>
            <w:vMerge w:val="restart"/>
          </w:tcPr>
          <w:p w14:paraId="6B27C74B" w14:textId="77777777" w:rsidR="00217A61" w:rsidRDefault="001C2695">
            <w:pPr>
              <w:keepNext/>
              <w:widowControl w:val="0"/>
              <w:spacing w:after="0" w:line="240" w:lineRule="auto"/>
              <w:jc w:val="center"/>
              <w:rPr>
                <w:b/>
                <w:sz w:val="20"/>
                <w:szCs w:val="20"/>
              </w:rPr>
            </w:pPr>
            <w:r>
              <w:rPr>
                <w:rFonts w:cs="Arial"/>
                <w:b/>
                <w:sz w:val="20"/>
                <w:szCs w:val="20"/>
              </w:rPr>
              <w:t>Certificate</w:t>
            </w:r>
          </w:p>
        </w:tc>
        <w:tc>
          <w:tcPr>
            <w:tcW w:w="1079" w:type="dxa"/>
            <w:vMerge w:val="restart"/>
          </w:tcPr>
          <w:p w14:paraId="701575B7" w14:textId="77777777" w:rsidR="00217A61" w:rsidRDefault="001C2695">
            <w:pPr>
              <w:keepNext/>
              <w:widowControl w:val="0"/>
              <w:spacing w:after="0" w:line="240" w:lineRule="auto"/>
              <w:jc w:val="center"/>
              <w:rPr>
                <w:b/>
                <w:sz w:val="20"/>
                <w:szCs w:val="20"/>
              </w:rPr>
            </w:pPr>
            <w:r>
              <w:rPr>
                <w:rFonts w:cs="Arial"/>
                <w:b/>
                <w:sz w:val="20"/>
                <w:szCs w:val="20"/>
              </w:rPr>
              <w:t>Mod-Rehab</w:t>
            </w:r>
          </w:p>
        </w:tc>
        <w:tc>
          <w:tcPr>
            <w:tcW w:w="1080" w:type="dxa"/>
            <w:vMerge w:val="restart"/>
          </w:tcPr>
          <w:p w14:paraId="0251D5DC" w14:textId="77777777" w:rsidR="00217A61" w:rsidRDefault="001C2695">
            <w:pPr>
              <w:keepNext/>
              <w:widowControl w:val="0"/>
              <w:spacing w:after="0" w:line="240" w:lineRule="auto"/>
              <w:jc w:val="center"/>
              <w:rPr>
                <w:b/>
                <w:sz w:val="20"/>
                <w:szCs w:val="20"/>
              </w:rPr>
            </w:pPr>
            <w:r>
              <w:rPr>
                <w:rFonts w:cs="Arial"/>
                <w:b/>
                <w:sz w:val="20"/>
                <w:szCs w:val="20"/>
              </w:rPr>
              <w:t>Public Housing</w:t>
            </w:r>
          </w:p>
        </w:tc>
        <w:tc>
          <w:tcPr>
            <w:tcW w:w="7247" w:type="dxa"/>
            <w:gridSpan w:val="6"/>
          </w:tcPr>
          <w:p w14:paraId="18860D73" w14:textId="77777777" w:rsidR="00217A61" w:rsidRDefault="001C2695">
            <w:pPr>
              <w:keepNext/>
              <w:widowControl w:val="0"/>
              <w:spacing w:after="0" w:line="240" w:lineRule="auto"/>
              <w:rPr>
                <w:b/>
                <w:sz w:val="20"/>
                <w:szCs w:val="20"/>
              </w:rPr>
            </w:pPr>
            <w:r>
              <w:rPr>
                <w:b/>
                <w:sz w:val="20"/>
                <w:szCs w:val="20"/>
              </w:rPr>
              <w:t>Vouchers</w:t>
            </w:r>
          </w:p>
        </w:tc>
      </w:tr>
      <w:tr w:rsidR="00217A61" w14:paraId="52CA7C0F" w14:textId="77777777">
        <w:trPr>
          <w:cantSplit/>
          <w:tblHeader/>
        </w:trPr>
        <w:tc>
          <w:tcPr>
            <w:tcW w:w="2693" w:type="dxa"/>
            <w:vMerge/>
          </w:tcPr>
          <w:p w14:paraId="542F786E" w14:textId="77777777" w:rsidR="00217A61" w:rsidRDefault="00217A61">
            <w:pPr>
              <w:keepNext/>
              <w:widowControl w:val="0"/>
              <w:spacing w:after="0" w:line="240" w:lineRule="auto"/>
              <w:jc w:val="center"/>
              <w:rPr>
                <w:b/>
                <w:sz w:val="20"/>
                <w:szCs w:val="20"/>
              </w:rPr>
            </w:pPr>
          </w:p>
        </w:tc>
        <w:tc>
          <w:tcPr>
            <w:tcW w:w="1091" w:type="dxa"/>
            <w:vMerge/>
          </w:tcPr>
          <w:p w14:paraId="3C2C04BB" w14:textId="77777777" w:rsidR="00217A61" w:rsidRDefault="00217A61">
            <w:pPr>
              <w:keepNext/>
              <w:widowControl w:val="0"/>
              <w:spacing w:after="0" w:line="240" w:lineRule="auto"/>
              <w:jc w:val="center"/>
              <w:rPr>
                <w:b/>
                <w:sz w:val="20"/>
                <w:szCs w:val="20"/>
              </w:rPr>
            </w:pPr>
          </w:p>
        </w:tc>
        <w:tc>
          <w:tcPr>
            <w:tcW w:w="1079" w:type="dxa"/>
            <w:vMerge/>
          </w:tcPr>
          <w:p w14:paraId="7FBE3B91" w14:textId="77777777" w:rsidR="00217A61" w:rsidRDefault="00217A61">
            <w:pPr>
              <w:keepNext/>
              <w:widowControl w:val="0"/>
              <w:spacing w:after="0" w:line="240" w:lineRule="auto"/>
              <w:jc w:val="center"/>
              <w:rPr>
                <w:b/>
                <w:sz w:val="20"/>
                <w:szCs w:val="20"/>
              </w:rPr>
            </w:pPr>
          </w:p>
        </w:tc>
        <w:tc>
          <w:tcPr>
            <w:tcW w:w="1080" w:type="dxa"/>
            <w:vMerge/>
          </w:tcPr>
          <w:p w14:paraId="40002E60" w14:textId="77777777" w:rsidR="00217A61" w:rsidRDefault="00217A61">
            <w:pPr>
              <w:keepNext/>
              <w:widowControl w:val="0"/>
              <w:spacing w:after="0" w:line="240" w:lineRule="auto"/>
              <w:jc w:val="center"/>
              <w:rPr>
                <w:b/>
                <w:sz w:val="20"/>
                <w:szCs w:val="20"/>
              </w:rPr>
            </w:pPr>
          </w:p>
        </w:tc>
        <w:tc>
          <w:tcPr>
            <w:tcW w:w="1259" w:type="dxa"/>
            <w:vMerge w:val="restart"/>
          </w:tcPr>
          <w:p w14:paraId="61FFE6B9" w14:textId="77777777" w:rsidR="00217A61" w:rsidRDefault="001C2695">
            <w:pPr>
              <w:keepNext/>
              <w:widowControl w:val="0"/>
              <w:spacing w:after="0" w:line="240" w:lineRule="auto"/>
              <w:jc w:val="center"/>
              <w:rPr>
                <w:b/>
                <w:sz w:val="20"/>
                <w:szCs w:val="20"/>
              </w:rPr>
            </w:pPr>
            <w:r>
              <w:rPr>
                <w:rFonts w:cs="Arial"/>
                <w:b/>
                <w:sz w:val="20"/>
                <w:szCs w:val="20"/>
              </w:rPr>
              <w:t>Total</w:t>
            </w:r>
          </w:p>
        </w:tc>
        <w:tc>
          <w:tcPr>
            <w:tcW w:w="1259" w:type="dxa"/>
            <w:vMerge w:val="restart"/>
          </w:tcPr>
          <w:p w14:paraId="31433CD8" w14:textId="77777777" w:rsidR="00217A61" w:rsidRDefault="001C2695">
            <w:pPr>
              <w:keepNext/>
              <w:widowControl w:val="0"/>
              <w:spacing w:after="0" w:line="240" w:lineRule="auto"/>
              <w:jc w:val="center"/>
              <w:rPr>
                <w:b/>
                <w:sz w:val="20"/>
                <w:szCs w:val="20"/>
              </w:rPr>
            </w:pPr>
            <w:r>
              <w:rPr>
                <w:rFonts w:cs="Arial"/>
                <w:b/>
                <w:sz w:val="20"/>
                <w:szCs w:val="20"/>
              </w:rPr>
              <w:t>Project -based</w:t>
            </w:r>
          </w:p>
        </w:tc>
        <w:tc>
          <w:tcPr>
            <w:tcW w:w="1259" w:type="dxa"/>
            <w:vMerge w:val="restart"/>
          </w:tcPr>
          <w:p w14:paraId="7B820B0C" w14:textId="77777777" w:rsidR="00217A61" w:rsidRDefault="001C2695">
            <w:pPr>
              <w:keepNext/>
              <w:widowControl w:val="0"/>
              <w:spacing w:after="0" w:line="240" w:lineRule="auto"/>
              <w:jc w:val="center"/>
              <w:rPr>
                <w:b/>
                <w:sz w:val="20"/>
                <w:szCs w:val="20"/>
              </w:rPr>
            </w:pPr>
            <w:r>
              <w:rPr>
                <w:rFonts w:cs="Arial"/>
                <w:b/>
                <w:sz w:val="20"/>
                <w:szCs w:val="20"/>
              </w:rPr>
              <w:t>Tenant -based</w:t>
            </w:r>
          </w:p>
        </w:tc>
        <w:tc>
          <w:tcPr>
            <w:tcW w:w="3470" w:type="dxa"/>
            <w:gridSpan w:val="3"/>
          </w:tcPr>
          <w:p w14:paraId="46EED0BB" w14:textId="77777777" w:rsidR="00217A61" w:rsidRDefault="001C2695">
            <w:pPr>
              <w:keepNext/>
              <w:widowControl w:val="0"/>
              <w:spacing w:after="0" w:line="240" w:lineRule="auto"/>
              <w:jc w:val="center"/>
              <w:rPr>
                <w:b/>
                <w:sz w:val="20"/>
                <w:szCs w:val="20"/>
              </w:rPr>
            </w:pPr>
            <w:r>
              <w:rPr>
                <w:rFonts w:cs="Arial"/>
                <w:b/>
                <w:sz w:val="20"/>
                <w:szCs w:val="20"/>
              </w:rPr>
              <w:t>Special Purpose Voucher</w:t>
            </w:r>
          </w:p>
        </w:tc>
      </w:tr>
      <w:tr w:rsidR="00217A61" w14:paraId="50976996" w14:textId="77777777">
        <w:trPr>
          <w:cantSplit/>
          <w:tblHeader/>
        </w:trPr>
        <w:tc>
          <w:tcPr>
            <w:tcW w:w="2693" w:type="dxa"/>
            <w:vMerge/>
          </w:tcPr>
          <w:p w14:paraId="3D063B65" w14:textId="77777777" w:rsidR="00217A61" w:rsidRDefault="00217A61">
            <w:pPr>
              <w:keepNext/>
              <w:widowControl w:val="0"/>
              <w:spacing w:after="0" w:line="240" w:lineRule="auto"/>
              <w:jc w:val="center"/>
              <w:rPr>
                <w:b/>
                <w:sz w:val="20"/>
                <w:szCs w:val="20"/>
              </w:rPr>
            </w:pPr>
          </w:p>
        </w:tc>
        <w:tc>
          <w:tcPr>
            <w:tcW w:w="1091" w:type="dxa"/>
            <w:vMerge/>
          </w:tcPr>
          <w:p w14:paraId="33215368" w14:textId="77777777" w:rsidR="00217A61" w:rsidRDefault="00217A61">
            <w:pPr>
              <w:keepNext/>
              <w:widowControl w:val="0"/>
              <w:spacing w:after="0" w:line="240" w:lineRule="auto"/>
              <w:jc w:val="center"/>
              <w:rPr>
                <w:b/>
                <w:sz w:val="20"/>
                <w:szCs w:val="20"/>
              </w:rPr>
            </w:pPr>
          </w:p>
        </w:tc>
        <w:tc>
          <w:tcPr>
            <w:tcW w:w="1079" w:type="dxa"/>
            <w:vMerge/>
          </w:tcPr>
          <w:p w14:paraId="20897BB9" w14:textId="77777777" w:rsidR="00217A61" w:rsidRDefault="00217A61">
            <w:pPr>
              <w:keepNext/>
              <w:widowControl w:val="0"/>
              <w:spacing w:after="0" w:line="240" w:lineRule="auto"/>
              <w:jc w:val="center"/>
              <w:rPr>
                <w:b/>
                <w:sz w:val="20"/>
                <w:szCs w:val="20"/>
              </w:rPr>
            </w:pPr>
          </w:p>
        </w:tc>
        <w:tc>
          <w:tcPr>
            <w:tcW w:w="1080" w:type="dxa"/>
            <w:vMerge/>
          </w:tcPr>
          <w:p w14:paraId="555C31DC" w14:textId="77777777" w:rsidR="00217A61" w:rsidRDefault="00217A61">
            <w:pPr>
              <w:keepNext/>
              <w:widowControl w:val="0"/>
              <w:spacing w:after="0" w:line="240" w:lineRule="auto"/>
              <w:jc w:val="center"/>
              <w:rPr>
                <w:b/>
                <w:sz w:val="20"/>
                <w:szCs w:val="20"/>
              </w:rPr>
            </w:pPr>
          </w:p>
        </w:tc>
        <w:tc>
          <w:tcPr>
            <w:tcW w:w="1259" w:type="dxa"/>
            <w:vMerge/>
          </w:tcPr>
          <w:p w14:paraId="4CF1B3F7" w14:textId="77777777" w:rsidR="00217A61" w:rsidRDefault="00217A61">
            <w:pPr>
              <w:keepNext/>
              <w:widowControl w:val="0"/>
              <w:spacing w:after="0" w:line="240" w:lineRule="auto"/>
              <w:jc w:val="center"/>
              <w:rPr>
                <w:b/>
                <w:sz w:val="20"/>
                <w:szCs w:val="20"/>
              </w:rPr>
            </w:pPr>
          </w:p>
        </w:tc>
        <w:tc>
          <w:tcPr>
            <w:tcW w:w="1259" w:type="dxa"/>
            <w:vMerge/>
          </w:tcPr>
          <w:p w14:paraId="6F91EBE9" w14:textId="77777777" w:rsidR="00217A61" w:rsidRDefault="00217A61">
            <w:pPr>
              <w:keepNext/>
              <w:widowControl w:val="0"/>
              <w:spacing w:after="0" w:line="240" w:lineRule="auto"/>
              <w:jc w:val="center"/>
              <w:rPr>
                <w:b/>
                <w:sz w:val="20"/>
                <w:szCs w:val="20"/>
              </w:rPr>
            </w:pPr>
          </w:p>
        </w:tc>
        <w:tc>
          <w:tcPr>
            <w:tcW w:w="1259" w:type="dxa"/>
            <w:vMerge/>
          </w:tcPr>
          <w:p w14:paraId="4C143A09" w14:textId="77777777" w:rsidR="00217A61" w:rsidRDefault="00217A61">
            <w:pPr>
              <w:keepNext/>
              <w:widowControl w:val="0"/>
              <w:spacing w:after="0" w:line="240" w:lineRule="auto"/>
              <w:jc w:val="center"/>
              <w:rPr>
                <w:b/>
                <w:sz w:val="20"/>
                <w:szCs w:val="20"/>
              </w:rPr>
            </w:pPr>
          </w:p>
        </w:tc>
        <w:tc>
          <w:tcPr>
            <w:tcW w:w="1156" w:type="dxa"/>
          </w:tcPr>
          <w:p w14:paraId="3F0356CB" w14:textId="77777777" w:rsidR="00217A61" w:rsidRDefault="001C2695">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14:paraId="7E257652" w14:textId="77777777" w:rsidR="00217A61" w:rsidRDefault="001C2695">
            <w:pPr>
              <w:keepNext/>
              <w:widowControl w:val="0"/>
              <w:spacing w:after="0" w:line="240" w:lineRule="auto"/>
              <w:jc w:val="center"/>
              <w:rPr>
                <w:b/>
                <w:sz w:val="20"/>
                <w:szCs w:val="20"/>
              </w:rPr>
            </w:pPr>
            <w:r>
              <w:rPr>
                <w:rFonts w:cs="Arial"/>
                <w:b/>
                <w:sz w:val="20"/>
                <w:szCs w:val="20"/>
              </w:rPr>
              <w:t>Family Unification Program</w:t>
            </w:r>
          </w:p>
        </w:tc>
        <w:tc>
          <w:tcPr>
            <w:tcW w:w="1157" w:type="dxa"/>
          </w:tcPr>
          <w:p w14:paraId="7E391A0D" w14:textId="77777777" w:rsidR="00217A61" w:rsidRDefault="001C2695">
            <w:pPr>
              <w:keepNext/>
              <w:widowControl w:val="0"/>
              <w:spacing w:after="0" w:line="240" w:lineRule="auto"/>
              <w:jc w:val="center"/>
              <w:rPr>
                <w:rFonts w:cs="Arial"/>
                <w:b/>
                <w:sz w:val="20"/>
                <w:szCs w:val="20"/>
              </w:rPr>
            </w:pPr>
            <w:r>
              <w:rPr>
                <w:rFonts w:cs="Arial"/>
                <w:b/>
                <w:sz w:val="20"/>
                <w:szCs w:val="20"/>
              </w:rPr>
              <w:t>Disabled</w:t>
            </w:r>
          </w:p>
          <w:p w14:paraId="6FA96512" w14:textId="77777777" w:rsidR="00217A61" w:rsidRDefault="001C2695">
            <w:pPr>
              <w:keepNext/>
              <w:widowControl w:val="0"/>
              <w:spacing w:after="0" w:line="240" w:lineRule="auto"/>
              <w:jc w:val="center"/>
              <w:rPr>
                <w:b/>
                <w:sz w:val="20"/>
                <w:szCs w:val="20"/>
              </w:rPr>
            </w:pPr>
            <w:r>
              <w:rPr>
                <w:b/>
                <w:sz w:val="20"/>
                <w:szCs w:val="20"/>
              </w:rPr>
              <w:t>*</w:t>
            </w:r>
          </w:p>
        </w:tc>
      </w:tr>
      <w:tr w:rsidR="00217A61" w14:paraId="6C591790" w14:textId="77777777">
        <w:trPr>
          <w:cantSplit/>
        </w:trPr>
        <w:tc>
          <w:tcPr>
            <w:tcW w:w="0" w:type="auto"/>
          </w:tcPr>
          <w:p w14:paraId="5BBA77AE" w14:textId="77777777" w:rsidR="00217A61" w:rsidRDefault="001C2695">
            <w:pPr>
              <w:spacing w:beforeAutospacing="1" w:afterAutospacing="1"/>
            </w:pPr>
            <w:r>
              <w:rPr>
                <w:color w:val="000000"/>
              </w:rPr>
              <w:t>White</w:t>
            </w:r>
          </w:p>
        </w:tc>
        <w:tc>
          <w:tcPr>
            <w:tcW w:w="0" w:type="auto"/>
            <w:vAlign w:val="bottom"/>
          </w:tcPr>
          <w:p w14:paraId="1B8E4666" w14:textId="77777777" w:rsidR="00217A61" w:rsidRDefault="001C2695">
            <w:pPr>
              <w:spacing w:beforeAutospacing="1" w:afterAutospacing="1"/>
              <w:jc w:val="right"/>
            </w:pPr>
            <w:r>
              <w:rPr>
                <w:color w:val="000000"/>
              </w:rPr>
              <w:t>9</w:t>
            </w:r>
          </w:p>
        </w:tc>
        <w:tc>
          <w:tcPr>
            <w:tcW w:w="0" w:type="auto"/>
            <w:vAlign w:val="bottom"/>
          </w:tcPr>
          <w:p w14:paraId="3C2F7805" w14:textId="77777777" w:rsidR="00217A61" w:rsidRDefault="001C2695">
            <w:pPr>
              <w:spacing w:beforeAutospacing="1" w:afterAutospacing="1"/>
              <w:jc w:val="right"/>
            </w:pPr>
            <w:r>
              <w:rPr>
                <w:color w:val="000000"/>
              </w:rPr>
              <w:t>62</w:t>
            </w:r>
          </w:p>
        </w:tc>
        <w:tc>
          <w:tcPr>
            <w:tcW w:w="0" w:type="auto"/>
            <w:vAlign w:val="bottom"/>
          </w:tcPr>
          <w:p w14:paraId="041C1DCE" w14:textId="77777777" w:rsidR="00217A61" w:rsidRDefault="001C2695">
            <w:pPr>
              <w:spacing w:beforeAutospacing="1" w:afterAutospacing="1"/>
              <w:jc w:val="right"/>
            </w:pPr>
            <w:r>
              <w:rPr>
                <w:color w:val="000000"/>
              </w:rPr>
              <w:t>5,864</w:t>
            </w:r>
          </w:p>
        </w:tc>
        <w:tc>
          <w:tcPr>
            <w:tcW w:w="0" w:type="auto"/>
            <w:vAlign w:val="bottom"/>
          </w:tcPr>
          <w:p w14:paraId="45B00DF9" w14:textId="77777777" w:rsidR="00217A61" w:rsidRDefault="001C2695">
            <w:pPr>
              <w:spacing w:beforeAutospacing="1" w:afterAutospacing="1"/>
              <w:jc w:val="right"/>
            </w:pPr>
            <w:r>
              <w:rPr>
                <w:color w:val="000000"/>
              </w:rPr>
              <w:t>14,198</w:t>
            </w:r>
          </w:p>
        </w:tc>
        <w:tc>
          <w:tcPr>
            <w:tcW w:w="0" w:type="auto"/>
            <w:vAlign w:val="bottom"/>
          </w:tcPr>
          <w:p w14:paraId="0E14F4C2" w14:textId="77777777" w:rsidR="00217A61" w:rsidRDefault="001C2695">
            <w:pPr>
              <w:spacing w:beforeAutospacing="1" w:afterAutospacing="1"/>
              <w:jc w:val="right"/>
            </w:pPr>
            <w:r>
              <w:rPr>
                <w:color w:val="000000"/>
              </w:rPr>
              <w:t>500</w:t>
            </w:r>
          </w:p>
        </w:tc>
        <w:tc>
          <w:tcPr>
            <w:tcW w:w="0" w:type="auto"/>
            <w:vAlign w:val="bottom"/>
          </w:tcPr>
          <w:p w14:paraId="54FE6E26" w14:textId="77777777" w:rsidR="00217A61" w:rsidRDefault="001C2695">
            <w:pPr>
              <w:spacing w:beforeAutospacing="1" w:afterAutospacing="1"/>
              <w:jc w:val="right"/>
            </w:pPr>
            <w:r>
              <w:rPr>
                <w:color w:val="000000"/>
              </w:rPr>
              <w:t>13,235</w:t>
            </w:r>
          </w:p>
        </w:tc>
        <w:tc>
          <w:tcPr>
            <w:tcW w:w="0" w:type="auto"/>
            <w:vAlign w:val="bottom"/>
          </w:tcPr>
          <w:p w14:paraId="3FD48012" w14:textId="77777777" w:rsidR="00217A61" w:rsidRDefault="001C2695">
            <w:pPr>
              <w:spacing w:beforeAutospacing="1" w:afterAutospacing="1"/>
              <w:jc w:val="right"/>
            </w:pPr>
            <w:r>
              <w:rPr>
                <w:color w:val="000000"/>
              </w:rPr>
              <w:t>137</w:t>
            </w:r>
          </w:p>
        </w:tc>
        <w:tc>
          <w:tcPr>
            <w:tcW w:w="0" w:type="auto"/>
            <w:vAlign w:val="bottom"/>
          </w:tcPr>
          <w:p w14:paraId="56420B54" w14:textId="77777777" w:rsidR="00217A61" w:rsidRDefault="001C2695">
            <w:pPr>
              <w:spacing w:beforeAutospacing="1" w:afterAutospacing="1"/>
              <w:jc w:val="right"/>
            </w:pPr>
            <w:r>
              <w:rPr>
                <w:color w:val="000000"/>
              </w:rPr>
              <w:t>76</w:t>
            </w:r>
          </w:p>
        </w:tc>
        <w:tc>
          <w:tcPr>
            <w:tcW w:w="0" w:type="auto"/>
            <w:vAlign w:val="bottom"/>
          </w:tcPr>
          <w:p w14:paraId="3EB978B9" w14:textId="77777777" w:rsidR="00217A61" w:rsidRDefault="001C2695">
            <w:pPr>
              <w:spacing w:beforeAutospacing="1" w:afterAutospacing="1"/>
              <w:jc w:val="right"/>
            </w:pPr>
            <w:r>
              <w:rPr>
                <w:color w:val="000000"/>
              </w:rPr>
              <w:t>158</w:t>
            </w:r>
          </w:p>
        </w:tc>
      </w:tr>
      <w:tr w:rsidR="00217A61" w14:paraId="678AE9DC" w14:textId="77777777">
        <w:trPr>
          <w:cantSplit/>
        </w:trPr>
        <w:tc>
          <w:tcPr>
            <w:tcW w:w="0" w:type="auto"/>
          </w:tcPr>
          <w:p w14:paraId="30E9DEA8" w14:textId="77777777" w:rsidR="00217A61" w:rsidRDefault="001C2695">
            <w:pPr>
              <w:spacing w:beforeAutospacing="1" w:afterAutospacing="1"/>
            </w:pPr>
            <w:r>
              <w:rPr>
                <w:color w:val="000000"/>
              </w:rPr>
              <w:t>Black/African American</w:t>
            </w:r>
          </w:p>
        </w:tc>
        <w:tc>
          <w:tcPr>
            <w:tcW w:w="0" w:type="auto"/>
            <w:vAlign w:val="bottom"/>
          </w:tcPr>
          <w:p w14:paraId="170FA9E0" w14:textId="77777777" w:rsidR="00217A61" w:rsidRDefault="001C2695">
            <w:pPr>
              <w:spacing w:beforeAutospacing="1" w:afterAutospacing="1"/>
              <w:jc w:val="right"/>
            </w:pPr>
            <w:r>
              <w:rPr>
                <w:color w:val="000000"/>
              </w:rPr>
              <w:t>5</w:t>
            </w:r>
          </w:p>
        </w:tc>
        <w:tc>
          <w:tcPr>
            <w:tcW w:w="0" w:type="auto"/>
            <w:vAlign w:val="bottom"/>
          </w:tcPr>
          <w:p w14:paraId="4EF4BDDB" w14:textId="77777777" w:rsidR="00217A61" w:rsidRDefault="001C2695">
            <w:pPr>
              <w:spacing w:beforeAutospacing="1" w:afterAutospacing="1"/>
              <w:jc w:val="right"/>
            </w:pPr>
            <w:r>
              <w:rPr>
                <w:color w:val="000000"/>
              </w:rPr>
              <w:t>108</w:t>
            </w:r>
          </w:p>
        </w:tc>
        <w:tc>
          <w:tcPr>
            <w:tcW w:w="0" w:type="auto"/>
            <w:vAlign w:val="bottom"/>
          </w:tcPr>
          <w:p w14:paraId="1E245F57" w14:textId="77777777" w:rsidR="00217A61" w:rsidRDefault="001C2695">
            <w:pPr>
              <w:spacing w:beforeAutospacing="1" w:afterAutospacing="1"/>
              <w:jc w:val="right"/>
            </w:pPr>
            <w:r>
              <w:rPr>
                <w:color w:val="000000"/>
              </w:rPr>
              <w:t>27,051</w:t>
            </w:r>
          </w:p>
        </w:tc>
        <w:tc>
          <w:tcPr>
            <w:tcW w:w="0" w:type="auto"/>
            <w:vAlign w:val="bottom"/>
          </w:tcPr>
          <w:p w14:paraId="746A4BD8" w14:textId="77777777" w:rsidR="00217A61" w:rsidRDefault="001C2695">
            <w:pPr>
              <w:spacing w:beforeAutospacing="1" w:afterAutospacing="1"/>
              <w:jc w:val="right"/>
            </w:pPr>
            <w:r>
              <w:rPr>
                <w:color w:val="000000"/>
              </w:rPr>
              <w:t>39,022</w:t>
            </w:r>
          </w:p>
        </w:tc>
        <w:tc>
          <w:tcPr>
            <w:tcW w:w="0" w:type="auto"/>
            <w:vAlign w:val="bottom"/>
          </w:tcPr>
          <w:p w14:paraId="2CEC8300" w14:textId="77777777" w:rsidR="00217A61" w:rsidRDefault="001C2695">
            <w:pPr>
              <w:spacing w:beforeAutospacing="1" w:afterAutospacing="1"/>
              <w:jc w:val="right"/>
            </w:pPr>
            <w:r>
              <w:rPr>
                <w:color w:val="000000"/>
              </w:rPr>
              <w:t>927</w:t>
            </w:r>
          </w:p>
        </w:tc>
        <w:tc>
          <w:tcPr>
            <w:tcW w:w="0" w:type="auto"/>
            <w:vAlign w:val="bottom"/>
          </w:tcPr>
          <w:p w14:paraId="086A4F46" w14:textId="77777777" w:rsidR="00217A61" w:rsidRDefault="001C2695">
            <w:pPr>
              <w:spacing w:beforeAutospacing="1" w:afterAutospacing="1"/>
              <w:jc w:val="right"/>
            </w:pPr>
            <w:r>
              <w:rPr>
                <w:color w:val="000000"/>
              </w:rPr>
              <w:t>36,781</w:t>
            </w:r>
          </w:p>
        </w:tc>
        <w:tc>
          <w:tcPr>
            <w:tcW w:w="0" w:type="auto"/>
            <w:vAlign w:val="bottom"/>
          </w:tcPr>
          <w:p w14:paraId="716FF3B6" w14:textId="77777777" w:rsidR="00217A61" w:rsidRDefault="001C2695">
            <w:pPr>
              <w:spacing w:beforeAutospacing="1" w:afterAutospacing="1"/>
              <w:jc w:val="right"/>
            </w:pPr>
            <w:r>
              <w:rPr>
                <w:color w:val="000000"/>
              </w:rPr>
              <w:t>342</w:t>
            </w:r>
          </w:p>
        </w:tc>
        <w:tc>
          <w:tcPr>
            <w:tcW w:w="0" w:type="auto"/>
            <w:vAlign w:val="bottom"/>
          </w:tcPr>
          <w:p w14:paraId="6EE591AA" w14:textId="77777777" w:rsidR="00217A61" w:rsidRDefault="001C2695">
            <w:pPr>
              <w:spacing w:beforeAutospacing="1" w:afterAutospacing="1"/>
              <w:jc w:val="right"/>
            </w:pPr>
            <w:r>
              <w:rPr>
                <w:color w:val="000000"/>
              </w:rPr>
              <w:t>151</w:t>
            </w:r>
          </w:p>
        </w:tc>
        <w:tc>
          <w:tcPr>
            <w:tcW w:w="0" w:type="auto"/>
            <w:vAlign w:val="bottom"/>
          </w:tcPr>
          <w:p w14:paraId="78120D08" w14:textId="77777777" w:rsidR="00217A61" w:rsidRDefault="001C2695">
            <w:pPr>
              <w:spacing w:beforeAutospacing="1" w:afterAutospacing="1"/>
              <w:jc w:val="right"/>
            </w:pPr>
            <w:r>
              <w:rPr>
                <w:color w:val="000000"/>
              </w:rPr>
              <w:t>544</w:t>
            </w:r>
          </w:p>
        </w:tc>
      </w:tr>
      <w:tr w:rsidR="00217A61" w14:paraId="00C2D5EC" w14:textId="77777777">
        <w:trPr>
          <w:cantSplit/>
        </w:trPr>
        <w:tc>
          <w:tcPr>
            <w:tcW w:w="0" w:type="auto"/>
          </w:tcPr>
          <w:p w14:paraId="573A83CC" w14:textId="77777777" w:rsidR="00217A61" w:rsidRDefault="001C2695">
            <w:pPr>
              <w:spacing w:beforeAutospacing="1" w:afterAutospacing="1"/>
            </w:pPr>
            <w:r>
              <w:rPr>
                <w:color w:val="000000"/>
              </w:rPr>
              <w:t>Asian</w:t>
            </w:r>
          </w:p>
        </w:tc>
        <w:tc>
          <w:tcPr>
            <w:tcW w:w="0" w:type="auto"/>
            <w:vAlign w:val="bottom"/>
          </w:tcPr>
          <w:p w14:paraId="7ADF1201" w14:textId="77777777" w:rsidR="00217A61" w:rsidRDefault="001C2695">
            <w:pPr>
              <w:spacing w:beforeAutospacing="1" w:afterAutospacing="1"/>
              <w:jc w:val="right"/>
            </w:pPr>
            <w:r>
              <w:rPr>
                <w:color w:val="000000"/>
              </w:rPr>
              <w:t>0</w:t>
            </w:r>
          </w:p>
        </w:tc>
        <w:tc>
          <w:tcPr>
            <w:tcW w:w="0" w:type="auto"/>
            <w:vAlign w:val="bottom"/>
          </w:tcPr>
          <w:p w14:paraId="5AC2BBF4" w14:textId="77777777" w:rsidR="00217A61" w:rsidRDefault="001C2695">
            <w:pPr>
              <w:spacing w:beforeAutospacing="1" w:afterAutospacing="1"/>
              <w:jc w:val="right"/>
            </w:pPr>
            <w:r>
              <w:rPr>
                <w:color w:val="000000"/>
              </w:rPr>
              <w:t>0</w:t>
            </w:r>
          </w:p>
        </w:tc>
        <w:tc>
          <w:tcPr>
            <w:tcW w:w="0" w:type="auto"/>
            <w:vAlign w:val="bottom"/>
          </w:tcPr>
          <w:p w14:paraId="7BB168C3" w14:textId="77777777" w:rsidR="00217A61" w:rsidRDefault="001C2695">
            <w:pPr>
              <w:spacing w:beforeAutospacing="1" w:afterAutospacing="1"/>
              <w:jc w:val="right"/>
            </w:pPr>
            <w:r>
              <w:rPr>
                <w:color w:val="000000"/>
              </w:rPr>
              <w:t>254</w:t>
            </w:r>
          </w:p>
        </w:tc>
        <w:tc>
          <w:tcPr>
            <w:tcW w:w="0" w:type="auto"/>
            <w:vAlign w:val="bottom"/>
          </w:tcPr>
          <w:p w14:paraId="600CFAF9" w14:textId="77777777" w:rsidR="00217A61" w:rsidRDefault="001C2695">
            <w:pPr>
              <w:spacing w:beforeAutospacing="1" w:afterAutospacing="1"/>
              <w:jc w:val="right"/>
            </w:pPr>
            <w:r>
              <w:rPr>
                <w:color w:val="000000"/>
              </w:rPr>
              <w:t>99</w:t>
            </w:r>
          </w:p>
        </w:tc>
        <w:tc>
          <w:tcPr>
            <w:tcW w:w="0" w:type="auto"/>
            <w:vAlign w:val="bottom"/>
          </w:tcPr>
          <w:p w14:paraId="6D04FF4A" w14:textId="77777777" w:rsidR="00217A61" w:rsidRDefault="001C2695">
            <w:pPr>
              <w:spacing w:beforeAutospacing="1" w:afterAutospacing="1"/>
              <w:jc w:val="right"/>
            </w:pPr>
            <w:r>
              <w:rPr>
                <w:color w:val="000000"/>
              </w:rPr>
              <w:t>0</w:t>
            </w:r>
          </w:p>
        </w:tc>
        <w:tc>
          <w:tcPr>
            <w:tcW w:w="0" w:type="auto"/>
            <w:vAlign w:val="bottom"/>
          </w:tcPr>
          <w:p w14:paraId="73C2BC1B" w14:textId="77777777" w:rsidR="00217A61" w:rsidRDefault="001C2695">
            <w:pPr>
              <w:spacing w:beforeAutospacing="1" w:afterAutospacing="1"/>
              <w:jc w:val="right"/>
            </w:pPr>
            <w:r>
              <w:rPr>
                <w:color w:val="000000"/>
              </w:rPr>
              <w:t>93</w:t>
            </w:r>
          </w:p>
        </w:tc>
        <w:tc>
          <w:tcPr>
            <w:tcW w:w="0" w:type="auto"/>
            <w:vAlign w:val="bottom"/>
          </w:tcPr>
          <w:p w14:paraId="10B74C53" w14:textId="77777777" w:rsidR="00217A61" w:rsidRDefault="001C2695">
            <w:pPr>
              <w:spacing w:beforeAutospacing="1" w:afterAutospacing="1"/>
              <w:jc w:val="right"/>
            </w:pPr>
            <w:r>
              <w:rPr>
                <w:color w:val="000000"/>
              </w:rPr>
              <w:t>1</w:t>
            </w:r>
          </w:p>
        </w:tc>
        <w:tc>
          <w:tcPr>
            <w:tcW w:w="0" w:type="auto"/>
            <w:vAlign w:val="bottom"/>
          </w:tcPr>
          <w:p w14:paraId="62F7D102" w14:textId="77777777" w:rsidR="00217A61" w:rsidRDefault="001C2695">
            <w:pPr>
              <w:spacing w:beforeAutospacing="1" w:afterAutospacing="1"/>
              <w:jc w:val="right"/>
            </w:pPr>
            <w:r>
              <w:rPr>
                <w:color w:val="000000"/>
              </w:rPr>
              <w:t>1</w:t>
            </w:r>
          </w:p>
        </w:tc>
        <w:tc>
          <w:tcPr>
            <w:tcW w:w="0" w:type="auto"/>
            <w:vAlign w:val="bottom"/>
          </w:tcPr>
          <w:p w14:paraId="581A3728" w14:textId="77777777" w:rsidR="00217A61" w:rsidRDefault="001C2695">
            <w:pPr>
              <w:spacing w:beforeAutospacing="1" w:afterAutospacing="1"/>
              <w:jc w:val="right"/>
            </w:pPr>
            <w:r>
              <w:rPr>
                <w:color w:val="000000"/>
              </w:rPr>
              <w:t>3</w:t>
            </w:r>
          </w:p>
        </w:tc>
      </w:tr>
      <w:tr w:rsidR="00217A61" w14:paraId="6CCEA53A" w14:textId="77777777">
        <w:trPr>
          <w:cantSplit/>
        </w:trPr>
        <w:tc>
          <w:tcPr>
            <w:tcW w:w="0" w:type="auto"/>
          </w:tcPr>
          <w:p w14:paraId="4D9570C9" w14:textId="77777777" w:rsidR="00217A61" w:rsidRDefault="001C2695">
            <w:pPr>
              <w:spacing w:beforeAutospacing="1" w:afterAutospacing="1"/>
            </w:pPr>
            <w:r>
              <w:rPr>
                <w:color w:val="000000"/>
              </w:rPr>
              <w:t>American Indian/Alaska Native</w:t>
            </w:r>
          </w:p>
        </w:tc>
        <w:tc>
          <w:tcPr>
            <w:tcW w:w="0" w:type="auto"/>
            <w:vAlign w:val="bottom"/>
          </w:tcPr>
          <w:p w14:paraId="7914B5BF" w14:textId="77777777" w:rsidR="00217A61" w:rsidRDefault="001C2695">
            <w:pPr>
              <w:spacing w:beforeAutospacing="1" w:afterAutospacing="1"/>
              <w:jc w:val="right"/>
            </w:pPr>
            <w:r>
              <w:rPr>
                <w:color w:val="000000"/>
              </w:rPr>
              <w:t>5</w:t>
            </w:r>
          </w:p>
        </w:tc>
        <w:tc>
          <w:tcPr>
            <w:tcW w:w="0" w:type="auto"/>
            <w:vAlign w:val="bottom"/>
          </w:tcPr>
          <w:p w14:paraId="2A8D46D1" w14:textId="77777777" w:rsidR="00217A61" w:rsidRDefault="001C2695">
            <w:pPr>
              <w:spacing w:beforeAutospacing="1" w:afterAutospacing="1"/>
              <w:jc w:val="right"/>
            </w:pPr>
            <w:r>
              <w:rPr>
                <w:color w:val="000000"/>
              </w:rPr>
              <w:t>1</w:t>
            </w:r>
          </w:p>
        </w:tc>
        <w:tc>
          <w:tcPr>
            <w:tcW w:w="0" w:type="auto"/>
            <w:vAlign w:val="bottom"/>
          </w:tcPr>
          <w:p w14:paraId="08E27F18" w14:textId="77777777" w:rsidR="00217A61" w:rsidRDefault="001C2695">
            <w:pPr>
              <w:spacing w:beforeAutospacing="1" w:afterAutospacing="1"/>
              <w:jc w:val="right"/>
            </w:pPr>
            <w:r>
              <w:rPr>
                <w:color w:val="000000"/>
              </w:rPr>
              <w:t>548</w:t>
            </w:r>
          </w:p>
        </w:tc>
        <w:tc>
          <w:tcPr>
            <w:tcW w:w="0" w:type="auto"/>
            <w:vAlign w:val="bottom"/>
          </w:tcPr>
          <w:p w14:paraId="743273EA" w14:textId="77777777" w:rsidR="00217A61" w:rsidRDefault="001C2695">
            <w:pPr>
              <w:spacing w:beforeAutospacing="1" w:afterAutospacing="1"/>
              <w:jc w:val="right"/>
            </w:pPr>
            <w:r>
              <w:rPr>
                <w:color w:val="000000"/>
              </w:rPr>
              <w:t>562</w:t>
            </w:r>
          </w:p>
        </w:tc>
        <w:tc>
          <w:tcPr>
            <w:tcW w:w="0" w:type="auto"/>
            <w:vAlign w:val="bottom"/>
          </w:tcPr>
          <w:p w14:paraId="4E95BAB0" w14:textId="77777777" w:rsidR="00217A61" w:rsidRDefault="001C2695">
            <w:pPr>
              <w:spacing w:beforeAutospacing="1" w:afterAutospacing="1"/>
              <w:jc w:val="right"/>
            </w:pPr>
            <w:r>
              <w:rPr>
                <w:color w:val="000000"/>
              </w:rPr>
              <w:t>8</w:t>
            </w:r>
          </w:p>
        </w:tc>
        <w:tc>
          <w:tcPr>
            <w:tcW w:w="0" w:type="auto"/>
            <w:vAlign w:val="bottom"/>
          </w:tcPr>
          <w:p w14:paraId="6127D451" w14:textId="77777777" w:rsidR="00217A61" w:rsidRDefault="001C2695">
            <w:pPr>
              <w:spacing w:beforeAutospacing="1" w:afterAutospacing="1"/>
              <w:jc w:val="right"/>
            </w:pPr>
            <w:r>
              <w:rPr>
                <w:color w:val="000000"/>
              </w:rPr>
              <w:t>547</w:t>
            </w:r>
          </w:p>
        </w:tc>
        <w:tc>
          <w:tcPr>
            <w:tcW w:w="0" w:type="auto"/>
            <w:vAlign w:val="bottom"/>
          </w:tcPr>
          <w:p w14:paraId="50091439" w14:textId="77777777" w:rsidR="00217A61" w:rsidRDefault="001C2695">
            <w:pPr>
              <w:spacing w:beforeAutospacing="1" w:afterAutospacing="1"/>
              <w:jc w:val="right"/>
            </w:pPr>
            <w:r>
              <w:rPr>
                <w:color w:val="000000"/>
              </w:rPr>
              <w:t>4</w:t>
            </w:r>
          </w:p>
        </w:tc>
        <w:tc>
          <w:tcPr>
            <w:tcW w:w="0" w:type="auto"/>
            <w:vAlign w:val="bottom"/>
          </w:tcPr>
          <w:p w14:paraId="07599EA9" w14:textId="77777777" w:rsidR="00217A61" w:rsidRDefault="001C2695">
            <w:pPr>
              <w:spacing w:beforeAutospacing="1" w:afterAutospacing="1"/>
              <w:jc w:val="right"/>
            </w:pPr>
            <w:r>
              <w:rPr>
                <w:color w:val="000000"/>
              </w:rPr>
              <w:t>1</w:t>
            </w:r>
          </w:p>
        </w:tc>
        <w:tc>
          <w:tcPr>
            <w:tcW w:w="0" w:type="auto"/>
            <w:vAlign w:val="bottom"/>
          </w:tcPr>
          <w:p w14:paraId="1428659B" w14:textId="77777777" w:rsidR="00217A61" w:rsidRDefault="001C2695">
            <w:pPr>
              <w:spacing w:beforeAutospacing="1" w:afterAutospacing="1"/>
              <w:jc w:val="right"/>
            </w:pPr>
            <w:r>
              <w:rPr>
                <w:color w:val="000000"/>
              </w:rPr>
              <w:t>2</w:t>
            </w:r>
          </w:p>
        </w:tc>
      </w:tr>
      <w:tr w:rsidR="00217A61" w14:paraId="5564F2B0" w14:textId="77777777">
        <w:trPr>
          <w:cantSplit/>
        </w:trPr>
        <w:tc>
          <w:tcPr>
            <w:tcW w:w="0" w:type="auto"/>
          </w:tcPr>
          <w:p w14:paraId="4EA58B92" w14:textId="77777777" w:rsidR="00217A61" w:rsidRDefault="001C2695">
            <w:pPr>
              <w:spacing w:beforeAutospacing="1" w:afterAutospacing="1"/>
            </w:pPr>
            <w:r>
              <w:rPr>
                <w:color w:val="000000"/>
              </w:rPr>
              <w:t>Pacific Islander</w:t>
            </w:r>
          </w:p>
        </w:tc>
        <w:tc>
          <w:tcPr>
            <w:tcW w:w="0" w:type="auto"/>
            <w:vAlign w:val="bottom"/>
          </w:tcPr>
          <w:p w14:paraId="3FE8304A" w14:textId="77777777" w:rsidR="00217A61" w:rsidRDefault="001C2695">
            <w:pPr>
              <w:spacing w:beforeAutospacing="1" w:afterAutospacing="1"/>
              <w:jc w:val="right"/>
            </w:pPr>
            <w:r>
              <w:rPr>
                <w:color w:val="000000"/>
              </w:rPr>
              <w:t>0</w:t>
            </w:r>
          </w:p>
        </w:tc>
        <w:tc>
          <w:tcPr>
            <w:tcW w:w="0" w:type="auto"/>
            <w:vAlign w:val="bottom"/>
          </w:tcPr>
          <w:p w14:paraId="49914EF7" w14:textId="77777777" w:rsidR="00217A61" w:rsidRDefault="001C2695">
            <w:pPr>
              <w:spacing w:beforeAutospacing="1" w:afterAutospacing="1"/>
              <w:jc w:val="right"/>
            </w:pPr>
            <w:r>
              <w:rPr>
                <w:color w:val="000000"/>
              </w:rPr>
              <w:t>0</w:t>
            </w:r>
          </w:p>
        </w:tc>
        <w:tc>
          <w:tcPr>
            <w:tcW w:w="0" w:type="auto"/>
            <w:vAlign w:val="bottom"/>
          </w:tcPr>
          <w:p w14:paraId="668F2987" w14:textId="77777777" w:rsidR="00217A61" w:rsidRDefault="001C2695">
            <w:pPr>
              <w:spacing w:beforeAutospacing="1" w:afterAutospacing="1"/>
              <w:jc w:val="right"/>
            </w:pPr>
            <w:r>
              <w:rPr>
                <w:color w:val="000000"/>
              </w:rPr>
              <w:t>57</w:t>
            </w:r>
          </w:p>
        </w:tc>
        <w:tc>
          <w:tcPr>
            <w:tcW w:w="0" w:type="auto"/>
            <w:vAlign w:val="bottom"/>
          </w:tcPr>
          <w:p w14:paraId="1D390B0B" w14:textId="77777777" w:rsidR="00217A61" w:rsidRDefault="001C2695">
            <w:pPr>
              <w:spacing w:beforeAutospacing="1" w:afterAutospacing="1"/>
              <w:jc w:val="right"/>
            </w:pPr>
            <w:r>
              <w:rPr>
                <w:color w:val="000000"/>
              </w:rPr>
              <w:t>61</w:t>
            </w:r>
          </w:p>
        </w:tc>
        <w:tc>
          <w:tcPr>
            <w:tcW w:w="0" w:type="auto"/>
            <w:vAlign w:val="bottom"/>
          </w:tcPr>
          <w:p w14:paraId="30696729" w14:textId="77777777" w:rsidR="00217A61" w:rsidRDefault="001C2695">
            <w:pPr>
              <w:spacing w:beforeAutospacing="1" w:afterAutospacing="1"/>
              <w:jc w:val="right"/>
            </w:pPr>
            <w:r>
              <w:rPr>
                <w:color w:val="000000"/>
              </w:rPr>
              <w:t>1</w:t>
            </w:r>
          </w:p>
        </w:tc>
        <w:tc>
          <w:tcPr>
            <w:tcW w:w="0" w:type="auto"/>
            <w:vAlign w:val="bottom"/>
          </w:tcPr>
          <w:p w14:paraId="56A75248" w14:textId="77777777" w:rsidR="00217A61" w:rsidRDefault="001C2695">
            <w:pPr>
              <w:spacing w:beforeAutospacing="1" w:afterAutospacing="1"/>
              <w:jc w:val="right"/>
            </w:pPr>
            <w:r>
              <w:rPr>
                <w:color w:val="000000"/>
              </w:rPr>
              <w:t>58</w:t>
            </w:r>
          </w:p>
        </w:tc>
        <w:tc>
          <w:tcPr>
            <w:tcW w:w="0" w:type="auto"/>
            <w:vAlign w:val="bottom"/>
          </w:tcPr>
          <w:p w14:paraId="6C0C6B72" w14:textId="77777777" w:rsidR="00217A61" w:rsidRDefault="001C2695">
            <w:pPr>
              <w:spacing w:beforeAutospacing="1" w:afterAutospacing="1"/>
              <w:jc w:val="right"/>
            </w:pPr>
            <w:r>
              <w:rPr>
                <w:color w:val="000000"/>
              </w:rPr>
              <w:t>0</w:t>
            </w:r>
          </w:p>
        </w:tc>
        <w:tc>
          <w:tcPr>
            <w:tcW w:w="0" w:type="auto"/>
            <w:vAlign w:val="bottom"/>
          </w:tcPr>
          <w:p w14:paraId="3382E5B5" w14:textId="77777777" w:rsidR="00217A61" w:rsidRDefault="001C2695">
            <w:pPr>
              <w:spacing w:beforeAutospacing="1" w:afterAutospacing="1"/>
              <w:jc w:val="right"/>
            </w:pPr>
            <w:r>
              <w:rPr>
                <w:color w:val="000000"/>
              </w:rPr>
              <w:t>0</w:t>
            </w:r>
          </w:p>
        </w:tc>
        <w:tc>
          <w:tcPr>
            <w:tcW w:w="0" w:type="auto"/>
            <w:vAlign w:val="bottom"/>
          </w:tcPr>
          <w:p w14:paraId="3FB31CCE" w14:textId="77777777" w:rsidR="00217A61" w:rsidRDefault="001C2695">
            <w:pPr>
              <w:spacing w:beforeAutospacing="1" w:afterAutospacing="1"/>
              <w:jc w:val="right"/>
            </w:pPr>
            <w:r>
              <w:rPr>
                <w:color w:val="000000"/>
              </w:rPr>
              <w:t>1</w:t>
            </w:r>
          </w:p>
        </w:tc>
      </w:tr>
      <w:tr w:rsidR="00217A61" w14:paraId="124D1056" w14:textId="77777777">
        <w:trPr>
          <w:cantSplit/>
        </w:trPr>
        <w:tc>
          <w:tcPr>
            <w:tcW w:w="0" w:type="auto"/>
          </w:tcPr>
          <w:p w14:paraId="1CBF1A57" w14:textId="77777777" w:rsidR="00217A61" w:rsidRDefault="001C2695">
            <w:pPr>
              <w:spacing w:beforeAutospacing="1" w:afterAutospacing="1"/>
            </w:pPr>
            <w:r>
              <w:rPr>
                <w:color w:val="000000"/>
              </w:rPr>
              <w:t>Other</w:t>
            </w:r>
          </w:p>
        </w:tc>
        <w:tc>
          <w:tcPr>
            <w:tcW w:w="0" w:type="auto"/>
            <w:vAlign w:val="bottom"/>
          </w:tcPr>
          <w:p w14:paraId="6A622B42" w14:textId="77777777" w:rsidR="00217A61" w:rsidRDefault="001C2695">
            <w:pPr>
              <w:spacing w:beforeAutospacing="1" w:afterAutospacing="1"/>
              <w:jc w:val="right"/>
            </w:pPr>
            <w:r>
              <w:rPr>
                <w:color w:val="000000"/>
              </w:rPr>
              <w:t>0</w:t>
            </w:r>
          </w:p>
        </w:tc>
        <w:tc>
          <w:tcPr>
            <w:tcW w:w="0" w:type="auto"/>
            <w:vAlign w:val="bottom"/>
          </w:tcPr>
          <w:p w14:paraId="532270E5" w14:textId="77777777" w:rsidR="00217A61" w:rsidRDefault="001C2695">
            <w:pPr>
              <w:spacing w:beforeAutospacing="1" w:afterAutospacing="1"/>
              <w:jc w:val="right"/>
            </w:pPr>
            <w:r>
              <w:rPr>
                <w:color w:val="000000"/>
              </w:rPr>
              <w:t>0</w:t>
            </w:r>
          </w:p>
        </w:tc>
        <w:tc>
          <w:tcPr>
            <w:tcW w:w="0" w:type="auto"/>
            <w:vAlign w:val="bottom"/>
          </w:tcPr>
          <w:p w14:paraId="6B51ECF0" w14:textId="77777777" w:rsidR="00217A61" w:rsidRDefault="001C2695">
            <w:pPr>
              <w:spacing w:beforeAutospacing="1" w:afterAutospacing="1"/>
              <w:jc w:val="right"/>
            </w:pPr>
            <w:r>
              <w:rPr>
                <w:color w:val="000000"/>
              </w:rPr>
              <w:t>0</w:t>
            </w:r>
          </w:p>
        </w:tc>
        <w:tc>
          <w:tcPr>
            <w:tcW w:w="0" w:type="auto"/>
            <w:vAlign w:val="bottom"/>
          </w:tcPr>
          <w:p w14:paraId="40FB94AB" w14:textId="77777777" w:rsidR="00217A61" w:rsidRDefault="001C2695">
            <w:pPr>
              <w:spacing w:beforeAutospacing="1" w:afterAutospacing="1"/>
              <w:jc w:val="right"/>
            </w:pPr>
            <w:r>
              <w:rPr>
                <w:color w:val="000000"/>
              </w:rPr>
              <w:t>0</w:t>
            </w:r>
          </w:p>
        </w:tc>
        <w:tc>
          <w:tcPr>
            <w:tcW w:w="0" w:type="auto"/>
            <w:vAlign w:val="bottom"/>
          </w:tcPr>
          <w:p w14:paraId="0E834A1A" w14:textId="77777777" w:rsidR="00217A61" w:rsidRDefault="001C2695">
            <w:pPr>
              <w:spacing w:beforeAutospacing="1" w:afterAutospacing="1"/>
              <w:jc w:val="right"/>
            </w:pPr>
            <w:r>
              <w:rPr>
                <w:color w:val="000000"/>
              </w:rPr>
              <w:t>0</w:t>
            </w:r>
          </w:p>
        </w:tc>
        <w:tc>
          <w:tcPr>
            <w:tcW w:w="0" w:type="auto"/>
            <w:vAlign w:val="bottom"/>
          </w:tcPr>
          <w:p w14:paraId="5DBE8316" w14:textId="77777777" w:rsidR="00217A61" w:rsidRDefault="001C2695">
            <w:pPr>
              <w:spacing w:beforeAutospacing="1" w:afterAutospacing="1"/>
              <w:jc w:val="right"/>
            </w:pPr>
            <w:r>
              <w:rPr>
                <w:color w:val="000000"/>
              </w:rPr>
              <w:t>0</w:t>
            </w:r>
          </w:p>
        </w:tc>
        <w:tc>
          <w:tcPr>
            <w:tcW w:w="0" w:type="auto"/>
            <w:vAlign w:val="bottom"/>
          </w:tcPr>
          <w:p w14:paraId="70B7D34F" w14:textId="77777777" w:rsidR="00217A61" w:rsidRDefault="001C2695">
            <w:pPr>
              <w:spacing w:beforeAutospacing="1" w:afterAutospacing="1"/>
              <w:jc w:val="right"/>
            </w:pPr>
            <w:r>
              <w:rPr>
                <w:color w:val="000000"/>
              </w:rPr>
              <w:t>0</w:t>
            </w:r>
          </w:p>
        </w:tc>
        <w:tc>
          <w:tcPr>
            <w:tcW w:w="0" w:type="auto"/>
            <w:vAlign w:val="bottom"/>
          </w:tcPr>
          <w:p w14:paraId="57326240" w14:textId="77777777" w:rsidR="00217A61" w:rsidRDefault="001C2695">
            <w:pPr>
              <w:spacing w:beforeAutospacing="1" w:afterAutospacing="1"/>
              <w:jc w:val="right"/>
            </w:pPr>
            <w:r>
              <w:rPr>
                <w:color w:val="000000"/>
              </w:rPr>
              <w:t>0</w:t>
            </w:r>
          </w:p>
        </w:tc>
        <w:tc>
          <w:tcPr>
            <w:tcW w:w="0" w:type="auto"/>
            <w:vAlign w:val="bottom"/>
          </w:tcPr>
          <w:p w14:paraId="42F02876" w14:textId="77777777" w:rsidR="00217A61" w:rsidRDefault="001C2695">
            <w:pPr>
              <w:spacing w:beforeAutospacing="1" w:afterAutospacing="1"/>
              <w:jc w:val="right"/>
            </w:pPr>
            <w:r>
              <w:rPr>
                <w:color w:val="000000"/>
              </w:rPr>
              <w:t>0</w:t>
            </w:r>
          </w:p>
        </w:tc>
      </w:tr>
    </w:tbl>
    <w:p w14:paraId="31786213" w14:textId="77777777" w:rsidR="00217A61" w:rsidRDefault="00217A61">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50"/>
      </w:tblGrid>
      <w:tr w:rsidR="00217A61" w14:paraId="176D6620" w14:textId="77777777">
        <w:trPr>
          <w:cantSplit/>
        </w:trPr>
        <w:tc>
          <w:tcPr>
            <w:tcW w:w="13190" w:type="dxa"/>
          </w:tcPr>
          <w:p w14:paraId="72573A88" w14:textId="77777777" w:rsidR="00217A61" w:rsidRDefault="001C2695">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14:paraId="5AF390B2"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24</w:t>
      </w:r>
      <w:r>
        <w:rPr>
          <w:rFonts w:asciiTheme="minorHAnsi" w:hAnsiTheme="minorHAnsi"/>
        </w:rPr>
        <w:fldChar w:fldCharType="end"/>
      </w:r>
      <w:r>
        <w:rPr>
          <w:rFonts w:asciiTheme="minorHAnsi" w:hAnsiTheme="minorHAnsi"/>
        </w:rPr>
        <w:t xml:space="preserve"> – Race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60"/>
        <w:gridCol w:w="11500"/>
      </w:tblGrid>
      <w:tr w:rsidR="00217A61" w14:paraId="05E856D8" w14:textId="77777777">
        <w:trPr>
          <w:cantSplit/>
        </w:trPr>
        <w:tc>
          <w:tcPr>
            <w:tcW w:w="1080" w:type="dxa"/>
          </w:tcPr>
          <w:p w14:paraId="4D02E9E9" w14:textId="77777777" w:rsidR="00217A61" w:rsidRDefault="001C2695">
            <w:pPr>
              <w:spacing w:after="0" w:line="240" w:lineRule="auto"/>
              <w:rPr>
                <w:sz w:val="16"/>
                <w:szCs w:val="16"/>
              </w:rPr>
            </w:pPr>
            <w:r>
              <w:rPr>
                <w:b/>
                <w:bCs/>
                <w:sz w:val="16"/>
                <w:szCs w:val="16"/>
              </w:rPr>
              <w:lastRenderedPageBreak/>
              <w:t>Data Source:</w:t>
            </w:r>
          </w:p>
        </w:tc>
        <w:tc>
          <w:tcPr>
            <w:tcW w:w="8510" w:type="dxa"/>
          </w:tcPr>
          <w:p w14:paraId="03D4630B" w14:textId="77777777" w:rsidR="00217A61" w:rsidRDefault="001C2695">
            <w:pPr>
              <w:spacing w:beforeAutospacing="1" w:afterAutospacing="1"/>
              <w:rPr>
                <w:sz w:val="16"/>
                <w:szCs w:val="16"/>
              </w:rPr>
            </w:pPr>
            <w:r>
              <w:rPr>
                <w:sz w:val="16"/>
                <w:szCs w:val="16"/>
              </w:rPr>
              <w:t>PIC (PIH Information Center)</w:t>
            </w:r>
          </w:p>
        </w:tc>
      </w:tr>
    </w:tbl>
    <w:p w14:paraId="3D5858A3" w14:textId="77777777" w:rsidR="00217A61" w:rsidRDefault="00217A61">
      <w:pPr>
        <w:keepNext/>
        <w:widowControl w:val="0"/>
        <w:spacing w:after="0" w:line="240" w:lineRule="auto"/>
        <w:jc w:val="center"/>
        <w:rPr>
          <w:b/>
          <w:bCs/>
          <w:vanish/>
          <w:sz w:val="20"/>
          <w:szCs w:val="20"/>
        </w:rPr>
      </w:pPr>
    </w:p>
    <w:p w14:paraId="014D3997" w14:textId="77777777" w:rsidR="00217A61" w:rsidRDefault="00217A61">
      <w:pPr>
        <w:spacing w:after="0" w:line="240" w:lineRule="auto"/>
        <w:rPr>
          <w:b/>
          <w:bCs/>
          <w:vanish/>
          <w:sz w:val="16"/>
          <w:szCs w:val="16"/>
        </w:rPr>
      </w:pPr>
    </w:p>
    <w:p w14:paraId="0AA6F734" w14:textId="77777777" w:rsidR="00217A61" w:rsidRDefault="00217A61">
      <w:pPr>
        <w:rPr>
          <w:rFonts w:cs="Arial"/>
        </w:rPr>
      </w:pPr>
    </w:p>
    <w:p w14:paraId="426632D9" w14:textId="77777777" w:rsidR="00217A61" w:rsidRDefault="001C2695">
      <w:pPr>
        <w:keepNext/>
        <w:widowControl w:val="0"/>
        <w:rPr>
          <w:b/>
          <w:sz w:val="24"/>
          <w:szCs w:val="24"/>
        </w:rPr>
      </w:pPr>
      <w:r>
        <w:rPr>
          <w:b/>
          <w:sz w:val="24"/>
          <w:szCs w:val="24"/>
        </w:rPr>
        <w:t xml:space="preserve">Ethnicity of </w:t>
      </w:r>
      <w:r>
        <w:rPr>
          <w:b/>
          <w:sz w:val="24"/>
          <w:szCs w:val="24"/>
        </w:rPr>
        <w:t>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82"/>
        <w:gridCol w:w="1091"/>
        <w:gridCol w:w="1058"/>
        <w:gridCol w:w="1069"/>
        <w:gridCol w:w="1232"/>
        <w:gridCol w:w="1231"/>
        <w:gridCol w:w="1232"/>
        <w:gridCol w:w="1155"/>
        <w:gridCol w:w="1156"/>
        <w:gridCol w:w="1144"/>
      </w:tblGrid>
      <w:tr w:rsidR="00217A61" w14:paraId="1B5F3D61" w14:textId="77777777">
        <w:trPr>
          <w:cantSplit/>
          <w:tblHeader/>
        </w:trPr>
        <w:tc>
          <w:tcPr>
            <w:tcW w:w="13190" w:type="dxa"/>
            <w:gridSpan w:val="10"/>
          </w:tcPr>
          <w:p w14:paraId="65B99392" w14:textId="77777777" w:rsidR="00217A61" w:rsidRDefault="001C2695">
            <w:pPr>
              <w:keepNext/>
              <w:widowControl w:val="0"/>
              <w:spacing w:after="0" w:line="240" w:lineRule="auto"/>
              <w:jc w:val="center"/>
              <w:rPr>
                <w:b/>
                <w:sz w:val="20"/>
                <w:szCs w:val="20"/>
              </w:rPr>
            </w:pPr>
            <w:r>
              <w:rPr>
                <w:rFonts w:cs="Arial"/>
                <w:b/>
                <w:sz w:val="20"/>
                <w:szCs w:val="20"/>
              </w:rPr>
              <w:t>Program Type</w:t>
            </w:r>
          </w:p>
        </w:tc>
      </w:tr>
      <w:tr w:rsidR="00217A61" w14:paraId="7C489FE7" w14:textId="77777777">
        <w:trPr>
          <w:cantSplit/>
          <w:tblHeader/>
        </w:trPr>
        <w:tc>
          <w:tcPr>
            <w:tcW w:w="2693" w:type="dxa"/>
            <w:vMerge w:val="restart"/>
          </w:tcPr>
          <w:p w14:paraId="2FC276F3" w14:textId="77777777" w:rsidR="00217A61" w:rsidRDefault="001C2695">
            <w:pPr>
              <w:keepNext/>
              <w:widowControl w:val="0"/>
              <w:spacing w:after="0" w:line="240" w:lineRule="auto"/>
              <w:jc w:val="center"/>
              <w:rPr>
                <w:b/>
                <w:sz w:val="20"/>
                <w:szCs w:val="20"/>
              </w:rPr>
            </w:pPr>
            <w:r>
              <w:rPr>
                <w:b/>
                <w:sz w:val="20"/>
                <w:szCs w:val="20"/>
              </w:rPr>
              <w:t>Ethnicity</w:t>
            </w:r>
          </w:p>
        </w:tc>
        <w:tc>
          <w:tcPr>
            <w:tcW w:w="1091" w:type="dxa"/>
            <w:vMerge w:val="restart"/>
          </w:tcPr>
          <w:p w14:paraId="525A1168" w14:textId="77777777" w:rsidR="00217A61" w:rsidRDefault="001C2695">
            <w:pPr>
              <w:keepNext/>
              <w:widowControl w:val="0"/>
              <w:spacing w:after="0" w:line="240" w:lineRule="auto"/>
              <w:jc w:val="center"/>
              <w:rPr>
                <w:b/>
                <w:sz w:val="20"/>
                <w:szCs w:val="20"/>
              </w:rPr>
            </w:pPr>
            <w:r>
              <w:rPr>
                <w:rFonts w:cs="Arial"/>
                <w:b/>
                <w:sz w:val="20"/>
                <w:szCs w:val="20"/>
              </w:rPr>
              <w:t>Certificate</w:t>
            </w:r>
          </w:p>
        </w:tc>
        <w:tc>
          <w:tcPr>
            <w:tcW w:w="1079" w:type="dxa"/>
            <w:vMerge w:val="restart"/>
          </w:tcPr>
          <w:p w14:paraId="645AA768" w14:textId="77777777" w:rsidR="00217A61" w:rsidRDefault="001C2695">
            <w:pPr>
              <w:keepNext/>
              <w:widowControl w:val="0"/>
              <w:spacing w:after="0" w:line="240" w:lineRule="auto"/>
              <w:jc w:val="center"/>
              <w:rPr>
                <w:b/>
                <w:sz w:val="20"/>
                <w:szCs w:val="20"/>
              </w:rPr>
            </w:pPr>
            <w:r>
              <w:rPr>
                <w:rFonts w:cs="Arial"/>
                <w:b/>
                <w:sz w:val="20"/>
                <w:szCs w:val="20"/>
              </w:rPr>
              <w:t>Mod-Rehab</w:t>
            </w:r>
          </w:p>
        </w:tc>
        <w:tc>
          <w:tcPr>
            <w:tcW w:w="1080" w:type="dxa"/>
            <w:vMerge w:val="restart"/>
          </w:tcPr>
          <w:p w14:paraId="04D53ED1" w14:textId="77777777" w:rsidR="00217A61" w:rsidRDefault="001C2695">
            <w:pPr>
              <w:keepNext/>
              <w:widowControl w:val="0"/>
              <w:spacing w:after="0" w:line="240" w:lineRule="auto"/>
              <w:jc w:val="center"/>
              <w:rPr>
                <w:b/>
                <w:sz w:val="20"/>
                <w:szCs w:val="20"/>
              </w:rPr>
            </w:pPr>
            <w:r>
              <w:rPr>
                <w:rFonts w:cs="Arial"/>
                <w:b/>
                <w:sz w:val="20"/>
                <w:szCs w:val="20"/>
              </w:rPr>
              <w:t>Public Housing</w:t>
            </w:r>
          </w:p>
        </w:tc>
        <w:tc>
          <w:tcPr>
            <w:tcW w:w="7247" w:type="dxa"/>
            <w:gridSpan w:val="6"/>
          </w:tcPr>
          <w:p w14:paraId="03D778F9" w14:textId="77777777" w:rsidR="00217A61" w:rsidRDefault="001C2695">
            <w:pPr>
              <w:keepNext/>
              <w:widowControl w:val="0"/>
              <w:spacing w:after="0" w:line="240" w:lineRule="auto"/>
              <w:rPr>
                <w:b/>
                <w:sz w:val="20"/>
                <w:szCs w:val="20"/>
              </w:rPr>
            </w:pPr>
            <w:r>
              <w:rPr>
                <w:b/>
                <w:sz w:val="20"/>
                <w:szCs w:val="20"/>
              </w:rPr>
              <w:t>Vouchers</w:t>
            </w:r>
          </w:p>
        </w:tc>
      </w:tr>
      <w:tr w:rsidR="00217A61" w14:paraId="7D84CC62" w14:textId="77777777">
        <w:trPr>
          <w:cantSplit/>
          <w:tblHeader/>
        </w:trPr>
        <w:tc>
          <w:tcPr>
            <w:tcW w:w="2693" w:type="dxa"/>
            <w:vMerge/>
          </w:tcPr>
          <w:p w14:paraId="092B4AA5" w14:textId="77777777" w:rsidR="00217A61" w:rsidRDefault="00217A61">
            <w:pPr>
              <w:keepNext/>
              <w:widowControl w:val="0"/>
              <w:spacing w:after="0" w:line="240" w:lineRule="auto"/>
              <w:jc w:val="center"/>
              <w:rPr>
                <w:b/>
                <w:sz w:val="20"/>
                <w:szCs w:val="20"/>
              </w:rPr>
            </w:pPr>
          </w:p>
        </w:tc>
        <w:tc>
          <w:tcPr>
            <w:tcW w:w="1091" w:type="dxa"/>
            <w:vMerge/>
          </w:tcPr>
          <w:p w14:paraId="5CDB5ACE" w14:textId="77777777" w:rsidR="00217A61" w:rsidRDefault="00217A61">
            <w:pPr>
              <w:keepNext/>
              <w:widowControl w:val="0"/>
              <w:spacing w:after="0" w:line="240" w:lineRule="auto"/>
              <w:jc w:val="center"/>
              <w:rPr>
                <w:b/>
                <w:sz w:val="20"/>
                <w:szCs w:val="20"/>
              </w:rPr>
            </w:pPr>
          </w:p>
        </w:tc>
        <w:tc>
          <w:tcPr>
            <w:tcW w:w="1079" w:type="dxa"/>
            <w:vMerge/>
          </w:tcPr>
          <w:p w14:paraId="663779E2" w14:textId="77777777" w:rsidR="00217A61" w:rsidRDefault="00217A61">
            <w:pPr>
              <w:keepNext/>
              <w:widowControl w:val="0"/>
              <w:spacing w:after="0" w:line="240" w:lineRule="auto"/>
              <w:jc w:val="center"/>
              <w:rPr>
                <w:b/>
                <w:sz w:val="20"/>
                <w:szCs w:val="20"/>
              </w:rPr>
            </w:pPr>
          </w:p>
        </w:tc>
        <w:tc>
          <w:tcPr>
            <w:tcW w:w="1080" w:type="dxa"/>
            <w:vMerge/>
          </w:tcPr>
          <w:p w14:paraId="794BC643" w14:textId="77777777" w:rsidR="00217A61" w:rsidRDefault="00217A61">
            <w:pPr>
              <w:keepNext/>
              <w:widowControl w:val="0"/>
              <w:spacing w:after="0" w:line="240" w:lineRule="auto"/>
              <w:jc w:val="center"/>
              <w:rPr>
                <w:b/>
                <w:sz w:val="20"/>
                <w:szCs w:val="20"/>
              </w:rPr>
            </w:pPr>
          </w:p>
        </w:tc>
        <w:tc>
          <w:tcPr>
            <w:tcW w:w="1259" w:type="dxa"/>
            <w:vMerge w:val="restart"/>
          </w:tcPr>
          <w:p w14:paraId="6B01FF82" w14:textId="77777777" w:rsidR="00217A61" w:rsidRDefault="001C2695">
            <w:pPr>
              <w:keepNext/>
              <w:widowControl w:val="0"/>
              <w:spacing w:after="0" w:line="240" w:lineRule="auto"/>
              <w:jc w:val="center"/>
              <w:rPr>
                <w:b/>
                <w:sz w:val="20"/>
                <w:szCs w:val="20"/>
              </w:rPr>
            </w:pPr>
            <w:r>
              <w:rPr>
                <w:rFonts w:cs="Arial"/>
                <w:b/>
                <w:sz w:val="20"/>
                <w:szCs w:val="20"/>
              </w:rPr>
              <w:t>Total</w:t>
            </w:r>
          </w:p>
        </w:tc>
        <w:tc>
          <w:tcPr>
            <w:tcW w:w="1259" w:type="dxa"/>
            <w:vMerge w:val="restart"/>
          </w:tcPr>
          <w:p w14:paraId="46B41224" w14:textId="77777777" w:rsidR="00217A61" w:rsidRDefault="001C2695">
            <w:pPr>
              <w:keepNext/>
              <w:widowControl w:val="0"/>
              <w:spacing w:after="0" w:line="240" w:lineRule="auto"/>
              <w:jc w:val="center"/>
              <w:rPr>
                <w:b/>
                <w:sz w:val="20"/>
                <w:szCs w:val="20"/>
              </w:rPr>
            </w:pPr>
            <w:r>
              <w:rPr>
                <w:rFonts w:cs="Arial"/>
                <w:b/>
                <w:sz w:val="20"/>
                <w:szCs w:val="20"/>
              </w:rPr>
              <w:t>Project -based</w:t>
            </w:r>
          </w:p>
        </w:tc>
        <w:tc>
          <w:tcPr>
            <w:tcW w:w="1259" w:type="dxa"/>
            <w:vMerge w:val="restart"/>
          </w:tcPr>
          <w:p w14:paraId="0528C8EC" w14:textId="77777777" w:rsidR="00217A61" w:rsidRDefault="001C2695">
            <w:pPr>
              <w:keepNext/>
              <w:widowControl w:val="0"/>
              <w:spacing w:after="0" w:line="240" w:lineRule="auto"/>
              <w:jc w:val="center"/>
              <w:rPr>
                <w:b/>
                <w:sz w:val="20"/>
                <w:szCs w:val="20"/>
              </w:rPr>
            </w:pPr>
            <w:r>
              <w:rPr>
                <w:rFonts w:cs="Arial"/>
                <w:b/>
                <w:sz w:val="20"/>
                <w:szCs w:val="20"/>
              </w:rPr>
              <w:t>Tenant -based</w:t>
            </w:r>
          </w:p>
        </w:tc>
        <w:tc>
          <w:tcPr>
            <w:tcW w:w="3470" w:type="dxa"/>
            <w:gridSpan w:val="3"/>
          </w:tcPr>
          <w:p w14:paraId="08B0B10C" w14:textId="77777777" w:rsidR="00217A61" w:rsidRDefault="001C2695">
            <w:pPr>
              <w:keepNext/>
              <w:widowControl w:val="0"/>
              <w:spacing w:after="0" w:line="240" w:lineRule="auto"/>
              <w:jc w:val="center"/>
              <w:rPr>
                <w:b/>
                <w:sz w:val="20"/>
                <w:szCs w:val="20"/>
              </w:rPr>
            </w:pPr>
            <w:r>
              <w:rPr>
                <w:rFonts w:cs="Arial"/>
                <w:b/>
                <w:sz w:val="20"/>
                <w:szCs w:val="20"/>
              </w:rPr>
              <w:t>Special Purpose Voucher</w:t>
            </w:r>
          </w:p>
        </w:tc>
      </w:tr>
      <w:tr w:rsidR="00217A61" w14:paraId="1405429E" w14:textId="77777777">
        <w:trPr>
          <w:cantSplit/>
          <w:tblHeader/>
        </w:trPr>
        <w:tc>
          <w:tcPr>
            <w:tcW w:w="2693" w:type="dxa"/>
            <w:vMerge/>
          </w:tcPr>
          <w:p w14:paraId="6AA1C030" w14:textId="77777777" w:rsidR="00217A61" w:rsidRDefault="00217A61">
            <w:pPr>
              <w:keepNext/>
              <w:widowControl w:val="0"/>
              <w:spacing w:after="0" w:line="240" w:lineRule="auto"/>
              <w:jc w:val="center"/>
              <w:rPr>
                <w:b/>
                <w:sz w:val="20"/>
                <w:szCs w:val="20"/>
              </w:rPr>
            </w:pPr>
          </w:p>
        </w:tc>
        <w:tc>
          <w:tcPr>
            <w:tcW w:w="1091" w:type="dxa"/>
            <w:vMerge/>
          </w:tcPr>
          <w:p w14:paraId="5A56E38D" w14:textId="77777777" w:rsidR="00217A61" w:rsidRDefault="00217A61">
            <w:pPr>
              <w:keepNext/>
              <w:widowControl w:val="0"/>
              <w:spacing w:after="0" w:line="240" w:lineRule="auto"/>
              <w:jc w:val="center"/>
              <w:rPr>
                <w:b/>
                <w:sz w:val="20"/>
                <w:szCs w:val="20"/>
              </w:rPr>
            </w:pPr>
          </w:p>
        </w:tc>
        <w:tc>
          <w:tcPr>
            <w:tcW w:w="1079" w:type="dxa"/>
            <w:vMerge/>
          </w:tcPr>
          <w:p w14:paraId="52648A90" w14:textId="77777777" w:rsidR="00217A61" w:rsidRDefault="00217A61">
            <w:pPr>
              <w:keepNext/>
              <w:widowControl w:val="0"/>
              <w:spacing w:after="0" w:line="240" w:lineRule="auto"/>
              <w:jc w:val="center"/>
              <w:rPr>
                <w:b/>
                <w:sz w:val="20"/>
                <w:szCs w:val="20"/>
              </w:rPr>
            </w:pPr>
          </w:p>
        </w:tc>
        <w:tc>
          <w:tcPr>
            <w:tcW w:w="1080" w:type="dxa"/>
            <w:vMerge/>
          </w:tcPr>
          <w:p w14:paraId="76249731" w14:textId="77777777" w:rsidR="00217A61" w:rsidRDefault="00217A61">
            <w:pPr>
              <w:keepNext/>
              <w:widowControl w:val="0"/>
              <w:spacing w:after="0" w:line="240" w:lineRule="auto"/>
              <w:jc w:val="center"/>
              <w:rPr>
                <w:b/>
                <w:sz w:val="20"/>
                <w:szCs w:val="20"/>
              </w:rPr>
            </w:pPr>
          </w:p>
        </w:tc>
        <w:tc>
          <w:tcPr>
            <w:tcW w:w="1259" w:type="dxa"/>
            <w:vMerge/>
          </w:tcPr>
          <w:p w14:paraId="74C92DAE" w14:textId="77777777" w:rsidR="00217A61" w:rsidRDefault="00217A61">
            <w:pPr>
              <w:keepNext/>
              <w:widowControl w:val="0"/>
              <w:spacing w:after="0" w:line="240" w:lineRule="auto"/>
              <w:jc w:val="center"/>
              <w:rPr>
                <w:b/>
                <w:sz w:val="20"/>
                <w:szCs w:val="20"/>
              </w:rPr>
            </w:pPr>
          </w:p>
        </w:tc>
        <w:tc>
          <w:tcPr>
            <w:tcW w:w="1259" w:type="dxa"/>
            <w:vMerge/>
          </w:tcPr>
          <w:p w14:paraId="64EA6837" w14:textId="77777777" w:rsidR="00217A61" w:rsidRDefault="00217A61">
            <w:pPr>
              <w:keepNext/>
              <w:widowControl w:val="0"/>
              <w:spacing w:after="0" w:line="240" w:lineRule="auto"/>
              <w:jc w:val="center"/>
              <w:rPr>
                <w:b/>
                <w:sz w:val="20"/>
                <w:szCs w:val="20"/>
              </w:rPr>
            </w:pPr>
          </w:p>
        </w:tc>
        <w:tc>
          <w:tcPr>
            <w:tcW w:w="1259" w:type="dxa"/>
            <w:vMerge/>
          </w:tcPr>
          <w:p w14:paraId="0FACF780" w14:textId="77777777" w:rsidR="00217A61" w:rsidRDefault="00217A61">
            <w:pPr>
              <w:keepNext/>
              <w:widowControl w:val="0"/>
              <w:spacing w:after="0" w:line="240" w:lineRule="auto"/>
              <w:jc w:val="center"/>
              <w:rPr>
                <w:b/>
                <w:sz w:val="20"/>
                <w:szCs w:val="20"/>
              </w:rPr>
            </w:pPr>
          </w:p>
        </w:tc>
        <w:tc>
          <w:tcPr>
            <w:tcW w:w="1156" w:type="dxa"/>
          </w:tcPr>
          <w:p w14:paraId="799FA417" w14:textId="77777777" w:rsidR="00217A61" w:rsidRDefault="001C2695">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14:paraId="7C670834" w14:textId="77777777" w:rsidR="00217A61" w:rsidRDefault="001C2695">
            <w:pPr>
              <w:keepNext/>
              <w:widowControl w:val="0"/>
              <w:spacing w:after="0" w:line="240" w:lineRule="auto"/>
              <w:jc w:val="center"/>
              <w:rPr>
                <w:b/>
                <w:sz w:val="20"/>
                <w:szCs w:val="20"/>
              </w:rPr>
            </w:pPr>
            <w:r>
              <w:rPr>
                <w:rFonts w:cs="Arial"/>
                <w:b/>
                <w:sz w:val="20"/>
                <w:szCs w:val="20"/>
              </w:rPr>
              <w:t>Family Unification Program</w:t>
            </w:r>
          </w:p>
        </w:tc>
        <w:tc>
          <w:tcPr>
            <w:tcW w:w="1157" w:type="dxa"/>
          </w:tcPr>
          <w:p w14:paraId="17B2AADB" w14:textId="77777777" w:rsidR="00217A61" w:rsidRDefault="001C2695">
            <w:pPr>
              <w:keepNext/>
              <w:widowControl w:val="0"/>
              <w:spacing w:after="0" w:line="240" w:lineRule="auto"/>
              <w:jc w:val="center"/>
              <w:rPr>
                <w:rFonts w:cs="Arial"/>
                <w:b/>
                <w:sz w:val="20"/>
                <w:szCs w:val="20"/>
              </w:rPr>
            </w:pPr>
            <w:r>
              <w:rPr>
                <w:rFonts w:cs="Arial"/>
                <w:b/>
                <w:sz w:val="20"/>
                <w:szCs w:val="20"/>
              </w:rPr>
              <w:t>Disabled</w:t>
            </w:r>
          </w:p>
          <w:p w14:paraId="3C513FB1" w14:textId="77777777" w:rsidR="00217A61" w:rsidRDefault="001C2695">
            <w:pPr>
              <w:keepNext/>
              <w:widowControl w:val="0"/>
              <w:spacing w:after="0" w:line="240" w:lineRule="auto"/>
              <w:jc w:val="center"/>
              <w:rPr>
                <w:b/>
                <w:sz w:val="20"/>
                <w:szCs w:val="20"/>
              </w:rPr>
            </w:pPr>
            <w:r>
              <w:rPr>
                <w:b/>
                <w:sz w:val="20"/>
                <w:szCs w:val="20"/>
              </w:rPr>
              <w:t>*</w:t>
            </w:r>
          </w:p>
        </w:tc>
      </w:tr>
      <w:tr w:rsidR="00217A61" w14:paraId="7102DA33" w14:textId="77777777">
        <w:trPr>
          <w:cantSplit/>
        </w:trPr>
        <w:tc>
          <w:tcPr>
            <w:tcW w:w="0" w:type="auto"/>
          </w:tcPr>
          <w:p w14:paraId="28D96EA8" w14:textId="77777777" w:rsidR="00217A61" w:rsidRDefault="001C2695">
            <w:pPr>
              <w:spacing w:beforeAutospacing="1" w:afterAutospacing="1"/>
            </w:pPr>
            <w:r>
              <w:rPr>
                <w:color w:val="000000"/>
              </w:rPr>
              <w:t>Hispanic</w:t>
            </w:r>
          </w:p>
        </w:tc>
        <w:tc>
          <w:tcPr>
            <w:tcW w:w="0" w:type="auto"/>
            <w:vAlign w:val="bottom"/>
          </w:tcPr>
          <w:p w14:paraId="3876F2E8" w14:textId="77777777" w:rsidR="00217A61" w:rsidRDefault="001C2695">
            <w:pPr>
              <w:spacing w:beforeAutospacing="1" w:afterAutospacing="1"/>
              <w:jc w:val="right"/>
            </w:pPr>
            <w:r>
              <w:rPr>
                <w:color w:val="000000"/>
              </w:rPr>
              <w:t>1</w:t>
            </w:r>
          </w:p>
        </w:tc>
        <w:tc>
          <w:tcPr>
            <w:tcW w:w="0" w:type="auto"/>
            <w:vAlign w:val="bottom"/>
          </w:tcPr>
          <w:p w14:paraId="465179E2" w14:textId="77777777" w:rsidR="00217A61" w:rsidRDefault="001C2695">
            <w:pPr>
              <w:spacing w:beforeAutospacing="1" w:afterAutospacing="1"/>
              <w:jc w:val="right"/>
            </w:pPr>
            <w:r>
              <w:rPr>
                <w:color w:val="000000"/>
              </w:rPr>
              <w:t>27</w:t>
            </w:r>
          </w:p>
        </w:tc>
        <w:tc>
          <w:tcPr>
            <w:tcW w:w="0" w:type="auto"/>
            <w:vAlign w:val="bottom"/>
          </w:tcPr>
          <w:p w14:paraId="3EBDB782" w14:textId="77777777" w:rsidR="00217A61" w:rsidRDefault="001C2695">
            <w:pPr>
              <w:spacing w:beforeAutospacing="1" w:afterAutospacing="1"/>
              <w:jc w:val="right"/>
            </w:pPr>
            <w:r>
              <w:rPr>
                <w:color w:val="000000"/>
              </w:rPr>
              <w:t>894</w:t>
            </w:r>
          </w:p>
        </w:tc>
        <w:tc>
          <w:tcPr>
            <w:tcW w:w="0" w:type="auto"/>
            <w:vAlign w:val="bottom"/>
          </w:tcPr>
          <w:p w14:paraId="0F35B8FE" w14:textId="77777777" w:rsidR="00217A61" w:rsidRDefault="001C2695">
            <w:pPr>
              <w:spacing w:beforeAutospacing="1" w:afterAutospacing="1"/>
              <w:jc w:val="right"/>
            </w:pPr>
            <w:r>
              <w:rPr>
                <w:color w:val="000000"/>
              </w:rPr>
              <w:t>1,167</w:t>
            </w:r>
          </w:p>
        </w:tc>
        <w:tc>
          <w:tcPr>
            <w:tcW w:w="0" w:type="auto"/>
            <w:vAlign w:val="bottom"/>
          </w:tcPr>
          <w:p w14:paraId="1B0695AF" w14:textId="77777777" w:rsidR="00217A61" w:rsidRDefault="001C2695">
            <w:pPr>
              <w:spacing w:beforeAutospacing="1" w:afterAutospacing="1"/>
              <w:jc w:val="right"/>
            </w:pPr>
            <w:r>
              <w:rPr>
                <w:color w:val="000000"/>
              </w:rPr>
              <w:t>33</w:t>
            </w:r>
          </w:p>
        </w:tc>
        <w:tc>
          <w:tcPr>
            <w:tcW w:w="0" w:type="auto"/>
            <w:vAlign w:val="bottom"/>
          </w:tcPr>
          <w:p w14:paraId="66A910E5" w14:textId="77777777" w:rsidR="00217A61" w:rsidRDefault="001C2695">
            <w:pPr>
              <w:spacing w:beforeAutospacing="1" w:afterAutospacing="1"/>
              <w:jc w:val="right"/>
            </w:pPr>
            <w:r>
              <w:rPr>
                <w:color w:val="000000"/>
              </w:rPr>
              <w:t>1,065</w:t>
            </w:r>
          </w:p>
        </w:tc>
        <w:tc>
          <w:tcPr>
            <w:tcW w:w="0" w:type="auto"/>
            <w:vAlign w:val="bottom"/>
          </w:tcPr>
          <w:p w14:paraId="7EFA157A" w14:textId="77777777" w:rsidR="00217A61" w:rsidRDefault="001C2695">
            <w:pPr>
              <w:spacing w:beforeAutospacing="1" w:afterAutospacing="1"/>
              <w:jc w:val="right"/>
            </w:pPr>
            <w:r>
              <w:rPr>
                <w:color w:val="000000"/>
              </w:rPr>
              <w:t>20</w:t>
            </w:r>
          </w:p>
        </w:tc>
        <w:tc>
          <w:tcPr>
            <w:tcW w:w="0" w:type="auto"/>
            <w:vAlign w:val="bottom"/>
          </w:tcPr>
          <w:p w14:paraId="5B16E5ED" w14:textId="77777777" w:rsidR="00217A61" w:rsidRDefault="001C2695">
            <w:pPr>
              <w:spacing w:beforeAutospacing="1" w:afterAutospacing="1"/>
              <w:jc w:val="right"/>
            </w:pPr>
            <w:r>
              <w:rPr>
                <w:color w:val="000000"/>
              </w:rPr>
              <w:t>16</w:t>
            </w:r>
          </w:p>
        </w:tc>
        <w:tc>
          <w:tcPr>
            <w:tcW w:w="0" w:type="auto"/>
            <w:vAlign w:val="bottom"/>
          </w:tcPr>
          <w:p w14:paraId="187F91A3" w14:textId="77777777" w:rsidR="00217A61" w:rsidRDefault="001C2695">
            <w:pPr>
              <w:spacing w:beforeAutospacing="1" w:afterAutospacing="1"/>
              <w:jc w:val="right"/>
            </w:pPr>
            <w:r>
              <w:rPr>
                <w:color w:val="000000"/>
              </w:rPr>
              <w:t>27</w:t>
            </w:r>
          </w:p>
        </w:tc>
      </w:tr>
      <w:tr w:rsidR="00217A61" w14:paraId="1FD62919" w14:textId="77777777">
        <w:trPr>
          <w:cantSplit/>
        </w:trPr>
        <w:tc>
          <w:tcPr>
            <w:tcW w:w="0" w:type="auto"/>
          </w:tcPr>
          <w:p w14:paraId="1579DB61" w14:textId="77777777" w:rsidR="00217A61" w:rsidRDefault="001C2695">
            <w:pPr>
              <w:spacing w:beforeAutospacing="1" w:afterAutospacing="1"/>
            </w:pPr>
            <w:r>
              <w:rPr>
                <w:color w:val="000000"/>
              </w:rPr>
              <w:t>Not Hispanic</w:t>
            </w:r>
          </w:p>
        </w:tc>
        <w:tc>
          <w:tcPr>
            <w:tcW w:w="0" w:type="auto"/>
            <w:vAlign w:val="bottom"/>
          </w:tcPr>
          <w:p w14:paraId="7EE1CDA9" w14:textId="77777777" w:rsidR="00217A61" w:rsidRDefault="001C2695">
            <w:pPr>
              <w:spacing w:beforeAutospacing="1" w:afterAutospacing="1"/>
              <w:jc w:val="right"/>
            </w:pPr>
            <w:r>
              <w:rPr>
                <w:color w:val="000000"/>
              </w:rPr>
              <w:t>18</w:t>
            </w:r>
          </w:p>
        </w:tc>
        <w:tc>
          <w:tcPr>
            <w:tcW w:w="0" w:type="auto"/>
            <w:vAlign w:val="bottom"/>
          </w:tcPr>
          <w:p w14:paraId="379BB9CA" w14:textId="77777777" w:rsidR="00217A61" w:rsidRDefault="001C2695">
            <w:pPr>
              <w:spacing w:beforeAutospacing="1" w:afterAutospacing="1"/>
              <w:jc w:val="right"/>
            </w:pPr>
            <w:r>
              <w:rPr>
                <w:color w:val="000000"/>
              </w:rPr>
              <w:t>144</w:t>
            </w:r>
          </w:p>
        </w:tc>
        <w:tc>
          <w:tcPr>
            <w:tcW w:w="0" w:type="auto"/>
            <w:vAlign w:val="bottom"/>
          </w:tcPr>
          <w:p w14:paraId="6C335BB6" w14:textId="77777777" w:rsidR="00217A61" w:rsidRDefault="001C2695">
            <w:pPr>
              <w:spacing w:beforeAutospacing="1" w:afterAutospacing="1"/>
              <w:jc w:val="right"/>
            </w:pPr>
            <w:r>
              <w:rPr>
                <w:color w:val="000000"/>
              </w:rPr>
              <w:t>32,880</w:t>
            </w:r>
          </w:p>
        </w:tc>
        <w:tc>
          <w:tcPr>
            <w:tcW w:w="0" w:type="auto"/>
            <w:vAlign w:val="bottom"/>
          </w:tcPr>
          <w:p w14:paraId="09525373" w14:textId="77777777" w:rsidR="00217A61" w:rsidRDefault="001C2695">
            <w:pPr>
              <w:spacing w:beforeAutospacing="1" w:afterAutospacing="1"/>
              <w:jc w:val="right"/>
            </w:pPr>
            <w:r>
              <w:rPr>
                <w:color w:val="000000"/>
              </w:rPr>
              <w:t>52,775</w:t>
            </w:r>
          </w:p>
        </w:tc>
        <w:tc>
          <w:tcPr>
            <w:tcW w:w="0" w:type="auto"/>
            <w:vAlign w:val="bottom"/>
          </w:tcPr>
          <w:p w14:paraId="36581FD8" w14:textId="77777777" w:rsidR="00217A61" w:rsidRDefault="001C2695">
            <w:pPr>
              <w:spacing w:beforeAutospacing="1" w:afterAutospacing="1"/>
              <w:jc w:val="right"/>
            </w:pPr>
            <w:r>
              <w:rPr>
                <w:color w:val="000000"/>
              </w:rPr>
              <w:t>1,403</w:t>
            </w:r>
          </w:p>
        </w:tc>
        <w:tc>
          <w:tcPr>
            <w:tcW w:w="0" w:type="auto"/>
            <w:vAlign w:val="bottom"/>
          </w:tcPr>
          <w:p w14:paraId="6DCA7CBB" w14:textId="77777777" w:rsidR="00217A61" w:rsidRDefault="001C2695">
            <w:pPr>
              <w:spacing w:beforeAutospacing="1" w:afterAutospacing="1"/>
              <w:jc w:val="right"/>
            </w:pPr>
            <w:r>
              <w:rPr>
                <w:color w:val="000000"/>
              </w:rPr>
              <w:t>49,649</w:t>
            </w:r>
          </w:p>
        </w:tc>
        <w:tc>
          <w:tcPr>
            <w:tcW w:w="0" w:type="auto"/>
            <w:vAlign w:val="bottom"/>
          </w:tcPr>
          <w:p w14:paraId="0C1FF4EB" w14:textId="77777777" w:rsidR="00217A61" w:rsidRDefault="001C2695">
            <w:pPr>
              <w:spacing w:beforeAutospacing="1" w:afterAutospacing="1"/>
              <w:jc w:val="right"/>
            </w:pPr>
            <w:r>
              <w:rPr>
                <w:color w:val="000000"/>
              </w:rPr>
              <w:t>464</w:t>
            </w:r>
          </w:p>
        </w:tc>
        <w:tc>
          <w:tcPr>
            <w:tcW w:w="0" w:type="auto"/>
            <w:vAlign w:val="bottom"/>
          </w:tcPr>
          <w:p w14:paraId="41038CE6" w14:textId="77777777" w:rsidR="00217A61" w:rsidRDefault="001C2695">
            <w:pPr>
              <w:spacing w:beforeAutospacing="1" w:afterAutospacing="1"/>
              <w:jc w:val="right"/>
            </w:pPr>
            <w:r>
              <w:rPr>
                <w:color w:val="000000"/>
              </w:rPr>
              <w:t>213</w:t>
            </w:r>
          </w:p>
        </w:tc>
        <w:tc>
          <w:tcPr>
            <w:tcW w:w="0" w:type="auto"/>
            <w:vAlign w:val="bottom"/>
          </w:tcPr>
          <w:p w14:paraId="40412FDE" w14:textId="77777777" w:rsidR="00217A61" w:rsidRDefault="001C2695">
            <w:pPr>
              <w:spacing w:beforeAutospacing="1" w:afterAutospacing="1"/>
              <w:jc w:val="right"/>
            </w:pPr>
            <w:r>
              <w:rPr>
                <w:color w:val="000000"/>
              </w:rPr>
              <w:t>681</w:t>
            </w:r>
          </w:p>
        </w:tc>
      </w:tr>
    </w:tbl>
    <w:p w14:paraId="75F36890" w14:textId="77777777" w:rsidR="00217A61" w:rsidRDefault="00217A61">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50"/>
      </w:tblGrid>
      <w:tr w:rsidR="00217A61" w14:paraId="00A9C469" w14:textId="77777777">
        <w:trPr>
          <w:cantSplit/>
        </w:trPr>
        <w:tc>
          <w:tcPr>
            <w:tcW w:w="13190" w:type="dxa"/>
          </w:tcPr>
          <w:p w14:paraId="15FF5D44" w14:textId="77777777" w:rsidR="00217A61" w:rsidRDefault="001C2695">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14:paraId="0BE0A74C"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Ethnicity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70"/>
        <w:gridCol w:w="11490"/>
      </w:tblGrid>
      <w:tr w:rsidR="00217A61" w14:paraId="04C63BC2" w14:textId="77777777">
        <w:trPr>
          <w:cantSplit/>
        </w:trPr>
        <w:tc>
          <w:tcPr>
            <w:tcW w:w="1485" w:type="dxa"/>
          </w:tcPr>
          <w:p w14:paraId="447EB619" w14:textId="77777777" w:rsidR="00217A61" w:rsidRDefault="001C2695">
            <w:pPr>
              <w:spacing w:after="0" w:line="240" w:lineRule="auto"/>
              <w:rPr>
                <w:sz w:val="16"/>
                <w:szCs w:val="16"/>
              </w:rPr>
            </w:pPr>
            <w:r>
              <w:rPr>
                <w:b/>
                <w:bCs/>
                <w:sz w:val="16"/>
                <w:szCs w:val="16"/>
              </w:rPr>
              <w:t>Data Source:</w:t>
            </w:r>
          </w:p>
        </w:tc>
        <w:tc>
          <w:tcPr>
            <w:tcW w:w="11705" w:type="dxa"/>
          </w:tcPr>
          <w:p w14:paraId="4C1CB7DB" w14:textId="77777777" w:rsidR="00217A61" w:rsidRDefault="001C2695">
            <w:pPr>
              <w:spacing w:beforeAutospacing="1" w:afterAutospacing="1"/>
              <w:rPr>
                <w:sz w:val="16"/>
                <w:szCs w:val="16"/>
              </w:rPr>
            </w:pPr>
            <w:r>
              <w:rPr>
                <w:sz w:val="16"/>
                <w:szCs w:val="16"/>
              </w:rPr>
              <w:t>PIC (PIH Information Center)</w:t>
            </w:r>
          </w:p>
        </w:tc>
      </w:tr>
    </w:tbl>
    <w:p w14:paraId="43EF23DE" w14:textId="77777777" w:rsidR="00217A61" w:rsidRDefault="00217A61">
      <w:pPr>
        <w:spacing w:after="0" w:line="240" w:lineRule="auto"/>
        <w:rPr>
          <w:rFonts w:cs="Arial"/>
          <w:vanish/>
          <w:sz w:val="16"/>
          <w:szCs w:val="16"/>
        </w:rPr>
      </w:pPr>
    </w:p>
    <w:p w14:paraId="483FE3CC" w14:textId="77777777" w:rsidR="00217A61" w:rsidRDefault="00217A61">
      <w:pPr>
        <w:spacing w:after="0" w:line="240" w:lineRule="auto"/>
        <w:rPr>
          <w:b/>
          <w:bCs/>
          <w:vanish/>
          <w:sz w:val="16"/>
          <w:szCs w:val="16"/>
        </w:rPr>
      </w:pPr>
    </w:p>
    <w:p w14:paraId="5612F561" w14:textId="77777777" w:rsidR="00217A61" w:rsidRDefault="00217A61">
      <w:pPr>
        <w:rPr>
          <w:rFonts w:cs="Arial"/>
        </w:rPr>
      </w:pPr>
    </w:p>
    <w:p w14:paraId="305C7623" w14:textId="77777777" w:rsidR="00217A61" w:rsidRDefault="00217A61">
      <w:pPr>
        <w:spacing w:line="204" w:lineRule="auto"/>
        <w:rPr>
          <w:b/>
          <w:sz w:val="24"/>
          <w:szCs w:val="24"/>
        </w:rPr>
      </w:pPr>
    </w:p>
    <w:p w14:paraId="662CE5C5" w14:textId="77777777" w:rsidR="00217A61" w:rsidRDefault="00217A61">
      <w:pPr>
        <w:spacing w:line="204" w:lineRule="auto"/>
        <w:rPr>
          <w:b/>
          <w:sz w:val="24"/>
          <w:szCs w:val="24"/>
        </w:rPr>
        <w:sectPr w:rsidR="00217A61">
          <w:pgSz w:w="15840" w:h="12240" w:orient="landscape"/>
          <w:pgMar w:top="1440" w:right="1440" w:bottom="1440" w:left="1440" w:header="720" w:footer="720" w:gutter="0"/>
          <w:cols w:space="720"/>
          <w:docGrid w:linePitch="360"/>
        </w:sectPr>
      </w:pPr>
    </w:p>
    <w:p w14:paraId="6377943A" w14:textId="77777777" w:rsidR="00217A61" w:rsidRDefault="001C2695">
      <w:pPr>
        <w:rPr>
          <w:b/>
          <w:sz w:val="24"/>
          <w:szCs w:val="24"/>
        </w:rPr>
      </w:pPr>
      <w:r>
        <w:rPr>
          <w:b/>
          <w:sz w:val="24"/>
          <w:szCs w:val="24"/>
        </w:rPr>
        <w:lastRenderedPageBreak/>
        <w:t>Section 504 Needs Assessment: Describe the needs of public housing tenants and applicants on the waiting list for accessible units:</w:t>
      </w:r>
    </w:p>
    <w:p w14:paraId="7D7E50DB" w14:textId="77777777" w:rsidR="00217A61" w:rsidRDefault="00217A61">
      <w:pPr>
        <w:rPr>
          <w:rFonts w:cs="Arial"/>
        </w:rPr>
      </w:pPr>
    </w:p>
    <w:p w14:paraId="71F0CEF4" w14:textId="77777777" w:rsidR="00217A61" w:rsidRDefault="001C2695">
      <w:pPr>
        <w:rPr>
          <w:b/>
          <w:sz w:val="24"/>
          <w:szCs w:val="24"/>
        </w:rPr>
      </w:pPr>
      <w:r>
        <w:rPr>
          <w:b/>
          <w:sz w:val="24"/>
          <w:szCs w:val="24"/>
        </w:rPr>
        <w:t xml:space="preserve">What </w:t>
      </w:r>
      <w:r>
        <w:rPr>
          <w:b/>
          <w:sz w:val="24"/>
          <w:szCs w:val="24"/>
        </w:rPr>
        <w:t>are the number and type of families on the waiting lists for public housing and section 8 tenant-based rental assistance? Based on the information above, and any other information available to the jurisdiction, what are the most immediate needs of resident</w:t>
      </w:r>
      <w:r>
        <w:rPr>
          <w:b/>
          <w:sz w:val="24"/>
          <w:szCs w:val="24"/>
        </w:rPr>
        <w:t>s of public housing and Housing Choice voucher holders?</w:t>
      </w:r>
    </w:p>
    <w:p w14:paraId="3E4047F9" w14:textId="77777777" w:rsidR="00217A61" w:rsidRDefault="00217A61">
      <w:pPr>
        <w:rPr>
          <w:rFonts w:cs="Arial"/>
        </w:rPr>
      </w:pPr>
    </w:p>
    <w:p w14:paraId="4315F37F" w14:textId="77777777" w:rsidR="00217A61" w:rsidRDefault="001C2695">
      <w:pPr>
        <w:rPr>
          <w:b/>
          <w:sz w:val="24"/>
          <w:szCs w:val="24"/>
        </w:rPr>
      </w:pPr>
      <w:r>
        <w:rPr>
          <w:b/>
          <w:sz w:val="24"/>
          <w:szCs w:val="24"/>
        </w:rPr>
        <w:t xml:space="preserve">How do these needs compare to the housing needs of the </w:t>
      </w:r>
      <w:proofErr w:type="gramStart"/>
      <w:r>
        <w:rPr>
          <w:b/>
          <w:sz w:val="24"/>
          <w:szCs w:val="24"/>
        </w:rPr>
        <w:t>population at large</w:t>
      </w:r>
      <w:proofErr w:type="gramEnd"/>
    </w:p>
    <w:p w14:paraId="3C2B3963" w14:textId="77777777" w:rsidR="00217A61" w:rsidRDefault="00217A61">
      <w:pPr>
        <w:rPr>
          <w:rFonts w:cs="Arial"/>
        </w:rPr>
      </w:pPr>
    </w:p>
    <w:p w14:paraId="6145542B" w14:textId="77777777" w:rsidR="00217A61" w:rsidRDefault="001C2695">
      <w:pPr>
        <w:spacing w:line="204" w:lineRule="auto"/>
        <w:rPr>
          <w:b/>
          <w:sz w:val="24"/>
          <w:szCs w:val="24"/>
        </w:rPr>
      </w:pPr>
      <w:r>
        <w:rPr>
          <w:b/>
          <w:sz w:val="24"/>
          <w:szCs w:val="24"/>
        </w:rPr>
        <w:t>Discussion:</w:t>
      </w:r>
    </w:p>
    <w:p w14:paraId="3BBAE138" w14:textId="77777777" w:rsidR="00217A61" w:rsidRDefault="00217A61">
      <w:pPr>
        <w:spacing w:line="204" w:lineRule="auto"/>
        <w:rPr>
          <w:b/>
          <w:sz w:val="24"/>
          <w:szCs w:val="24"/>
        </w:rPr>
      </w:pPr>
    </w:p>
    <w:p w14:paraId="0B5EF4E4" w14:textId="77777777" w:rsidR="00217A61" w:rsidRDefault="00217A61">
      <w:pPr>
        <w:pStyle w:val="Heading2"/>
        <w:pageBreakBefore/>
        <w:rPr>
          <w:rFonts w:ascii="Calibri" w:hAnsi="Calibri"/>
          <w:i w:val="0"/>
        </w:rPr>
        <w:sectPr w:rsidR="00217A61">
          <w:pgSz w:w="12240" w:h="15840"/>
          <w:pgMar w:top="1440" w:right="1440" w:bottom="1440" w:left="1440" w:header="720" w:footer="720" w:gutter="0"/>
          <w:cols w:space="720"/>
          <w:docGrid w:linePitch="360"/>
        </w:sectPr>
      </w:pPr>
    </w:p>
    <w:p w14:paraId="54E5969C" w14:textId="77777777" w:rsidR="00217A61" w:rsidRDefault="001C2695">
      <w:pPr>
        <w:pStyle w:val="Heading2"/>
        <w:pageBreakBefore/>
        <w:rPr>
          <w:rFonts w:ascii="Calibri" w:hAnsi="Calibri"/>
          <w:i w:val="0"/>
        </w:rPr>
      </w:pPr>
      <w:r>
        <w:rPr>
          <w:rFonts w:ascii="Calibri" w:hAnsi="Calibri"/>
          <w:i w:val="0"/>
        </w:rPr>
        <w:lastRenderedPageBreak/>
        <w:t>NA-40 Homeless Needs Assessment – 91.305(c)</w:t>
      </w:r>
    </w:p>
    <w:p w14:paraId="06CFB8F7" w14:textId="77777777" w:rsidR="00217A61" w:rsidRDefault="001C2695">
      <w:pPr>
        <w:spacing w:line="204" w:lineRule="auto"/>
        <w:rPr>
          <w:b/>
          <w:sz w:val="24"/>
          <w:szCs w:val="24"/>
        </w:rPr>
      </w:pPr>
      <w:r>
        <w:rPr>
          <w:b/>
          <w:sz w:val="24"/>
          <w:szCs w:val="24"/>
        </w:rPr>
        <w:t>Introduction:</w:t>
      </w:r>
    </w:p>
    <w:p w14:paraId="69F78A7C" w14:textId="77777777" w:rsidR="00217A61" w:rsidRDefault="001C2695">
      <w:pPr>
        <w:spacing w:beforeAutospacing="1" w:afterAutospacing="1"/>
        <w:rPr>
          <w:b/>
          <w:sz w:val="24"/>
          <w:szCs w:val="24"/>
        </w:rPr>
      </w:pPr>
      <w:r>
        <w:rPr>
          <w:rFonts w:cs="Arial"/>
        </w:rPr>
        <w:t>The January 2019 Point-in-Time count showed seve</w:t>
      </w:r>
      <w:r>
        <w:rPr>
          <w:rFonts w:cs="Arial"/>
        </w:rPr>
        <w:t>ral decreases that reflect ongoing downward trends among the general homeless population as well as the subpopulations. The 2019 Annual Homelessness Assessment Report reports that homelessness in North Carolina has decreased 24% since 2010, including an 18</w:t>
      </w:r>
      <w:r>
        <w:rPr>
          <w:rFonts w:cs="Arial"/>
        </w:rPr>
        <w:t>% decrease in adults without children and a 36% decrease in people in families with children.</w:t>
      </w:r>
    </w:p>
    <w:p w14:paraId="58889E12" w14:textId="77777777" w:rsidR="00217A61" w:rsidRDefault="001C2695">
      <w:pPr>
        <w:spacing w:beforeAutospacing="1" w:afterAutospacing="1"/>
        <w:rPr>
          <w:b/>
          <w:sz w:val="24"/>
          <w:szCs w:val="24"/>
        </w:rPr>
      </w:pPr>
      <w:r>
        <w:rPr>
          <w:rFonts w:cs="Arial"/>
        </w:rPr>
        <w:t xml:space="preserve">Despite downward trends, thousands of North Carolinians are currently homeless and in need of assistance. There were 9,314 homeless individuals in North Carolina </w:t>
      </w:r>
      <w:r>
        <w:rPr>
          <w:rFonts w:cs="Arial"/>
        </w:rPr>
        <w:t xml:space="preserve">identified during the Point-in-Time (PIT) count conducted in late January 2019. Of these 7,046, or 76%, were staying in emergency shelters or transitional housing, and 2,268, or 24% were sleeping in unsheltered locations. 73% were adults with no dependent </w:t>
      </w:r>
      <w:r>
        <w:rPr>
          <w:rFonts w:cs="Arial"/>
        </w:rPr>
        <w:t>children, and 26% were people in families with children. Fourteen percent (14%) of the homeless population was reported as having a severe mental illness; 11% a substance abuse disorder; 8% were victims of domestic violence, and 10% were veterans. 417 unac</w:t>
      </w:r>
      <w:r>
        <w:rPr>
          <w:rFonts w:cs="Arial"/>
        </w:rPr>
        <w:t>companied youth were also counted.</w:t>
      </w:r>
    </w:p>
    <w:p w14:paraId="0C250F61" w14:textId="77777777" w:rsidR="00217A61" w:rsidRDefault="001C2695">
      <w:pPr>
        <w:keepNext/>
        <w:widowControl w:val="0"/>
        <w:rPr>
          <w:b/>
          <w:sz w:val="24"/>
          <w:szCs w:val="24"/>
        </w:rPr>
      </w:pPr>
      <w:r>
        <w:rPr>
          <w:b/>
          <w:sz w:val="24"/>
          <w:szCs w:val="24"/>
        </w:rPr>
        <w:t xml:space="preserve">Homeless Needs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73"/>
        <w:gridCol w:w="1406"/>
        <w:gridCol w:w="1510"/>
        <w:gridCol w:w="1682"/>
        <w:gridCol w:w="1525"/>
        <w:gridCol w:w="1682"/>
        <w:gridCol w:w="1682"/>
      </w:tblGrid>
      <w:tr w:rsidR="00217A61" w14:paraId="15998BB9" w14:textId="77777777">
        <w:trPr>
          <w:cantSplit/>
          <w:tblHeader/>
        </w:trPr>
        <w:tc>
          <w:tcPr>
            <w:tcW w:w="13190" w:type="dxa"/>
            <w:gridSpan w:val="7"/>
            <w:tcBorders>
              <w:top w:val="nil"/>
              <w:left w:val="nil"/>
              <w:bottom w:val="single" w:sz="4" w:space="0" w:color="auto"/>
              <w:right w:val="nil"/>
            </w:tcBorders>
            <w:hideMark/>
          </w:tcPr>
          <w:p w14:paraId="04CBB2DD" w14:textId="77777777" w:rsidR="00217A61" w:rsidRDefault="00217A61">
            <w:pPr>
              <w:keepNext/>
              <w:widowControl w:val="0"/>
              <w:spacing w:after="0" w:line="240" w:lineRule="auto"/>
              <w:rPr>
                <w:b/>
              </w:rPr>
            </w:pPr>
          </w:p>
        </w:tc>
      </w:tr>
      <w:tr w:rsidR="00217A61" w14:paraId="4BB45E88" w14:textId="77777777">
        <w:trPr>
          <w:cantSplit/>
          <w:tblHeader/>
        </w:trPr>
        <w:tc>
          <w:tcPr>
            <w:tcW w:w="2700" w:type="dxa"/>
            <w:tcBorders>
              <w:top w:val="single" w:sz="4" w:space="0" w:color="auto"/>
              <w:left w:val="single" w:sz="4" w:space="0" w:color="auto"/>
              <w:bottom w:val="single" w:sz="4" w:space="0" w:color="auto"/>
              <w:right w:val="single" w:sz="4" w:space="0" w:color="auto"/>
            </w:tcBorders>
            <w:hideMark/>
          </w:tcPr>
          <w:p w14:paraId="3E91FDF7" w14:textId="77777777" w:rsidR="00217A61" w:rsidRDefault="001C2695">
            <w:pPr>
              <w:keepNext/>
              <w:widowControl w:val="0"/>
              <w:spacing w:after="0" w:line="240" w:lineRule="auto"/>
              <w:jc w:val="center"/>
              <w:rPr>
                <w:b/>
              </w:rPr>
            </w:pPr>
            <w:r>
              <w:rPr>
                <w:b/>
              </w:rPr>
              <w:t>Population</w:t>
            </w:r>
          </w:p>
        </w:tc>
        <w:tc>
          <w:tcPr>
            <w:tcW w:w="3240" w:type="dxa"/>
            <w:gridSpan w:val="2"/>
            <w:tcBorders>
              <w:top w:val="single" w:sz="4" w:space="0" w:color="auto"/>
              <w:left w:val="single" w:sz="4" w:space="0" w:color="auto"/>
              <w:bottom w:val="single" w:sz="4" w:space="0" w:color="auto"/>
              <w:right w:val="single" w:sz="4" w:space="0" w:color="auto"/>
            </w:tcBorders>
            <w:hideMark/>
          </w:tcPr>
          <w:p w14:paraId="01C8CAB2" w14:textId="77777777" w:rsidR="00217A61" w:rsidRDefault="001C2695">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left w:val="single" w:sz="4" w:space="0" w:color="auto"/>
              <w:bottom w:val="single" w:sz="4" w:space="0" w:color="auto"/>
              <w:right w:val="single" w:sz="4" w:space="0" w:color="auto"/>
            </w:tcBorders>
            <w:hideMark/>
          </w:tcPr>
          <w:p w14:paraId="0F14B99A" w14:textId="77777777" w:rsidR="00217A61" w:rsidRDefault="001C2695">
            <w:pPr>
              <w:keepNext/>
              <w:widowControl w:val="0"/>
              <w:spacing w:after="0" w:line="240" w:lineRule="auto"/>
              <w:jc w:val="center"/>
              <w:rPr>
                <w:b/>
              </w:rPr>
            </w:pPr>
            <w:r>
              <w:rPr>
                <w:b/>
              </w:rPr>
              <w:t>Estimate the # experiencing homelessness each year</w:t>
            </w:r>
          </w:p>
        </w:tc>
        <w:tc>
          <w:tcPr>
            <w:tcW w:w="1813" w:type="dxa"/>
            <w:tcBorders>
              <w:top w:val="single" w:sz="4" w:space="0" w:color="auto"/>
              <w:left w:val="single" w:sz="4" w:space="0" w:color="auto"/>
              <w:bottom w:val="single" w:sz="4" w:space="0" w:color="auto"/>
              <w:right w:val="single" w:sz="4" w:space="0" w:color="auto"/>
            </w:tcBorders>
            <w:hideMark/>
          </w:tcPr>
          <w:p w14:paraId="2920FF7F" w14:textId="77777777" w:rsidR="00217A61" w:rsidRDefault="001C2695">
            <w:pPr>
              <w:keepNext/>
              <w:widowControl w:val="0"/>
              <w:spacing w:after="0" w:line="240" w:lineRule="auto"/>
              <w:jc w:val="center"/>
              <w:rPr>
                <w:b/>
              </w:rPr>
            </w:pPr>
            <w:r>
              <w:rPr>
                <w:b/>
              </w:rPr>
              <w:t>Estimate the # becoming homeless each year</w:t>
            </w:r>
          </w:p>
        </w:tc>
        <w:tc>
          <w:tcPr>
            <w:tcW w:w="1812" w:type="dxa"/>
            <w:tcBorders>
              <w:top w:val="single" w:sz="4" w:space="0" w:color="auto"/>
              <w:left w:val="single" w:sz="4" w:space="0" w:color="auto"/>
              <w:bottom w:val="single" w:sz="4" w:space="0" w:color="auto"/>
              <w:right w:val="single" w:sz="4" w:space="0" w:color="auto"/>
            </w:tcBorders>
            <w:hideMark/>
          </w:tcPr>
          <w:p w14:paraId="71F67E9B" w14:textId="77777777" w:rsidR="00217A61" w:rsidRDefault="001C2695">
            <w:pPr>
              <w:keepNext/>
              <w:widowControl w:val="0"/>
              <w:spacing w:after="0" w:line="240" w:lineRule="auto"/>
              <w:jc w:val="center"/>
              <w:rPr>
                <w:b/>
              </w:rPr>
            </w:pPr>
            <w:r>
              <w:rPr>
                <w:b/>
              </w:rPr>
              <w:t xml:space="preserve">Estimate the # </w:t>
            </w:r>
            <w:r>
              <w:rPr>
                <w:b/>
              </w:rPr>
              <w:t>exiting homelessness each year</w:t>
            </w:r>
          </w:p>
        </w:tc>
        <w:tc>
          <w:tcPr>
            <w:tcW w:w="1813" w:type="dxa"/>
            <w:tcBorders>
              <w:top w:val="single" w:sz="4" w:space="0" w:color="auto"/>
              <w:left w:val="single" w:sz="4" w:space="0" w:color="auto"/>
              <w:bottom w:val="single" w:sz="4" w:space="0" w:color="auto"/>
              <w:right w:val="single" w:sz="4" w:space="0" w:color="auto"/>
            </w:tcBorders>
            <w:hideMark/>
          </w:tcPr>
          <w:p w14:paraId="1863E77D" w14:textId="77777777" w:rsidR="00217A61" w:rsidRDefault="001C2695">
            <w:pPr>
              <w:keepNext/>
              <w:widowControl w:val="0"/>
              <w:spacing w:after="0" w:line="240" w:lineRule="auto"/>
              <w:jc w:val="center"/>
              <w:rPr>
                <w:b/>
              </w:rPr>
            </w:pPr>
            <w:r>
              <w:rPr>
                <w:b/>
              </w:rPr>
              <w:t>Estimate the # of days persons experience homelessness</w:t>
            </w:r>
          </w:p>
        </w:tc>
      </w:tr>
      <w:tr w:rsidR="00217A61" w14:paraId="59B97BCD" w14:textId="77777777">
        <w:trPr>
          <w:cantSplit/>
          <w:tblHeader/>
        </w:trPr>
        <w:tc>
          <w:tcPr>
            <w:tcW w:w="2700" w:type="dxa"/>
            <w:tcBorders>
              <w:top w:val="single" w:sz="4" w:space="0" w:color="auto"/>
              <w:left w:val="single" w:sz="4" w:space="0" w:color="auto"/>
              <w:bottom w:val="single" w:sz="4" w:space="0" w:color="auto"/>
              <w:right w:val="single" w:sz="4" w:space="0" w:color="auto"/>
            </w:tcBorders>
          </w:tcPr>
          <w:p w14:paraId="619B631E" w14:textId="77777777" w:rsidR="00217A61" w:rsidRDefault="00217A61">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14:paraId="21365C54" w14:textId="77777777" w:rsidR="00217A61" w:rsidRDefault="001C2695">
            <w:pPr>
              <w:keepNext/>
              <w:widowControl w:val="0"/>
              <w:spacing w:after="0" w:line="240" w:lineRule="auto"/>
              <w:jc w:val="center"/>
              <w:rPr>
                <w:b/>
                <w:szCs w:val="26"/>
              </w:rPr>
            </w:pPr>
            <w:r>
              <w:rPr>
                <w:b/>
              </w:rPr>
              <w:t>Sheltered</w:t>
            </w:r>
          </w:p>
        </w:tc>
        <w:tc>
          <w:tcPr>
            <w:tcW w:w="1620" w:type="dxa"/>
            <w:tcBorders>
              <w:top w:val="single" w:sz="4" w:space="0" w:color="auto"/>
              <w:left w:val="single" w:sz="4" w:space="0" w:color="auto"/>
              <w:bottom w:val="single" w:sz="4" w:space="0" w:color="auto"/>
              <w:right w:val="single" w:sz="4" w:space="0" w:color="auto"/>
            </w:tcBorders>
            <w:hideMark/>
          </w:tcPr>
          <w:p w14:paraId="3D80C19B" w14:textId="77777777" w:rsidR="00217A61" w:rsidRDefault="001C2695">
            <w:pPr>
              <w:keepNext/>
              <w:widowControl w:val="0"/>
              <w:spacing w:after="0" w:line="240" w:lineRule="auto"/>
              <w:jc w:val="center"/>
              <w:rPr>
                <w:b/>
                <w:szCs w:val="26"/>
              </w:rPr>
            </w:pPr>
            <w:r>
              <w:rPr>
                <w:b/>
              </w:rPr>
              <w:t>Unsheltered</w:t>
            </w:r>
          </w:p>
        </w:tc>
        <w:tc>
          <w:tcPr>
            <w:tcW w:w="1812" w:type="dxa"/>
            <w:tcBorders>
              <w:top w:val="single" w:sz="4" w:space="0" w:color="auto"/>
              <w:left w:val="single" w:sz="4" w:space="0" w:color="auto"/>
              <w:bottom w:val="single" w:sz="4" w:space="0" w:color="auto"/>
              <w:right w:val="single" w:sz="4" w:space="0" w:color="auto"/>
            </w:tcBorders>
          </w:tcPr>
          <w:p w14:paraId="0F902EE7" w14:textId="77777777" w:rsidR="00217A61" w:rsidRDefault="00217A61">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14:paraId="2964145C" w14:textId="77777777" w:rsidR="00217A61" w:rsidRDefault="00217A61">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14:paraId="7F6DC8FC" w14:textId="77777777" w:rsidR="00217A61" w:rsidRDefault="00217A61">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14:paraId="31C47B43" w14:textId="77777777" w:rsidR="00217A61" w:rsidRDefault="00217A61">
            <w:pPr>
              <w:keepNext/>
              <w:widowControl w:val="0"/>
              <w:spacing w:after="0" w:line="240" w:lineRule="auto"/>
              <w:jc w:val="center"/>
              <w:rPr>
                <w:b/>
              </w:rPr>
            </w:pPr>
          </w:p>
        </w:tc>
      </w:tr>
      <w:tr w:rsidR="00217A61" w14:paraId="7BB5136E" w14:textId="77777777">
        <w:trPr>
          <w:cantSplit/>
        </w:trPr>
        <w:tc>
          <w:tcPr>
            <w:tcW w:w="0" w:type="auto"/>
            <w:tcBorders>
              <w:top w:val="single" w:sz="4" w:space="0" w:color="auto"/>
              <w:left w:val="single" w:sz="4" w:space="0" w:color="auto"/>
              <w:bottom w:val="single" w:sz="4" w:space="0" w:color="auto"/>
              <w:right w:val="single" w:sz="4" w:space="0" w:color="auto"/>
            </w:tcBorders>
          </w:tcPr>
          <w:p w14:paraId="3BCF45BC" w14:textId="77777777" w:rsidR="00217A61" w:rsidRDefault="001C2695">
            <w:pPr>
              <w:spacing w:beforeAutospacing="1" w:afterAutospacing="1"/>
            </w:pPr>
            <w:r>
              <w:rPr>
                <w:color w:val="000000"/>
              </w:rPr>
              <w:t>Persons in Households with Adult(s) and Child(ren)</w:t>
            </w:r>
          </w:p>
        </w:tc>
        <w:tc>
          <w:tcPr>
            <w:tcW w:w="0" w:type="auto"/>
            <w:tcBorders>
              <w:top w:val="single" w:sz="4" w:space="0" w:color="auto"/>
              <w:left w:val="single" w:sz="4" w:space="0" w:color="auto"/>
              <w:bottom w:val="single" w:sz="4" w:space="0" w:color="auto"/>
              <w:right w:val="single" w:sz="4" w:space="0" w:color="auto"/>
            </w:tcBorders>
            <w:vAlign w:val="bottom"/>
          </w:tcPr>
          <w:p w14:paraId="19B3041B" w14:textId="77777777" w:rsidR="00217A61" w:rsidRDefault="001C2695">
            <w:pPr>
              <w:spacing w:beforeAutospacing="1" w:afterAutospacing="1"/>
              <w:jc w:val="right"/>
            </w:pPr>
            <w:r>
              <w:rPr>
                <w:color w:val="000000"/>
              </w:rPr>
              <w:t>290</w:t>
            </w:r>
          </w:p>
        </w:tc>
        <w:tc>
          <w:tcPr>
            <w:tcW w:w="0" w:type="auto"/>
            <w:tcBorders>
              <w:top w:val="single" w:sz="4" w:space="0" w:color="auto"/>
              <w:left w:val="single" w:sz="4" w:space="0" w:color="auto"/>
              <w:bottom w:val="single" w:sz="4" w:space="0" w:color="auto"/>
              <w:right w:val="single" w:sz="4" w:space="0" w:color="auto"/>
            </w:tcBorders>
            <w:vAlign w:val="bottom"/>
          </w:tcPr>
          <w:p w14:paraId="03B14C3D" w14:textId="77777777" w:rsidR="00217A61" w:rsidRDefault="001C2695">
            <w:pPr>
              <w:spacing w:beforeAutospacing="1" w:afterAutospacing="1"/>
              <w:jc w:val="right"/>
            </w:pPr>
            <w:r>
              <w:rPr>
                <w:color w:val="000000"/>
              </w:rPr>
              <w:t>2,157</w:t>
            </w:r>
          </w:p>
        </w:tc>
        <w:tc>
          <w:tcPr>
            <w:tcW w:w="0" w:type="auto"/>
            <w:tcBorders>
              <w:top w:val="single" w:sz="4" w:space="0" w:color="auto"/>
              <w:left w:val="single" w:sz="4" w:space="0" w:color="auto"/>
              <w:bottom w:val="single" w:sz="4" w:space="0" w:color="auto"/>
              <w:right w:val="single" w:sz="4" w:space="0" w:color="auto"/>
            </w:tcBorders>
            <w:vAlign w:val="bottom"/>
          </w:tcPr>
          <w:p w14:paraId="43C67E20"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30E173C8"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423978C"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479B22B" w14:textId="77777777" w:rsidR="00217A61" w:rsidRDefault="001C2695">
            <w:pPr>
              <w:spacing w:beforeAutospacing="1" w:afterAutospacing="1"/>
              <w:jc w:val="right"/>
            </w:pPr>
            <w:r>
              <w:rPr>
                <w:color w:val="000000"/>
              </w:rPr>
              <w:t>0</w:t>
            </w:r>
          </w:p>
        </w:tc>
      </w:tr>
      <w:tr w:rsidR="00217A61" w14:paraId="29AC72D4" w14:textId="77777777">
        <w:trPr>
          <w:cantSplit/>
        </w:trPr>
        <w:tc>
          <w:tcPr>
            <w:tcW w:w="0" w:type="auto"/>
            <w:tcBorders>
              <w:top w:val="single" w:sz="4" w:space="0" w:color="auto"/>
              <w:left w:val="single" w:sz="4" w:space="0" w:color="auto"/>
              <w:bottom w:val="single" w:sz="4" w:space="0" w:color="auto"/>
              <w:right w:val="single" w:sz="4" w:space="0" w:color="auto"/>
            </w:tcBorders>
          </w:tcPr>
          <w:p w14:paraId="6CB74DE2" w14:textId="77777777" w:rsidR="00217A61" w:rsidRDefault="001C2695">
            <w:pPr>
              <w:spacing w:beforeAutospacing="1" w:afterAutospacing="1"/>
            </w:pPr>
            <w:r>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14:paraId="4F33B8BC" w14:textId="77777777" w:rsidR="00217A61" w:rsidRDefault="001C2695">
            <w:pPr>
              <w:spacing w:beforeAutospacing="1" w:afterAutospacing="1"/>
              <w:jc w:val="right"/>
            </w:pPr>
            <w:r>
              <w:rPr>
                <w:color w:val="000000"/>
              </w:rPr>
              <w:t>31</w:t>
            </w:r>
          </w:p>
        </w:tc>
        <w:tc>
          <w:tcPr>
            <w:tcW w:w="0" w:type="auto"/>
            <w:tcBorders>
              <w:top w:val="single" w:sz="4" w:space="0" w:color="auto"/>
              <w:left w:val="single" w:sz="4" w:space="0" w:color="auto"/>
              <w:bottom w:val="single" w:sz="4" w:space="0" w:color="auto"/>
              <w:right w:val="single" w:sz="4" w:space="0" w:color="auto"/>
            </w:tcBorders>
            <w:vAlign w:val="bottom"/>
          </w:tcPr>
          <w:p w14:paraId="0E42D1DA" w14:textId="77777777" w:rsidR="00217A61" w:rsidRDefault="001C2695">
            <w:pPr>
              <w:spacing w:beforeAutospacing="1" w:afterAutospacing="1"/>
              <w:jc w:val="right"/>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tcPr>
          <w:p w14:paraId="34794B99"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2C55F749"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8FC8907"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B21C5C3" w14:textId="77777777" w:rsidR="00217A61" w:rsidRDefault="001C2695">
            <w:pPr>
              <w:spacing w:beforeAutospacing="1" w:afterAutospacing="1"/>
              <w:jc w:val="right"/>
            </w:pPr>
            <w:r>
              <w:rPr>
                <w:color w:val="000000"/>
              </w:rPr>
              <w:t>0</w:t>
            </w:r>
          </w:p>
        </w:tc>
      </w:tr>
      <w:tr w:rsidR="00217A61" w14:paraId="3A9D40AC" w14:textId="77777777">
        <w:trPr>
          <w:cantSplit/>
        </w:trPr>
        <w:tc>
          <w:tcPr>
            <w:tcW w:w="0" w:type="auto"/>
            <w:tcBorders>
              <w:top w:val="single" w:sz="4" w:space="0" w:color="auto"/>
              <w:left w:val="single" w:sz="4" w:space="0" w:color="auto"/>
              <w:bottom w:val="single" w:sz="4" w:space="0" w:color="auto"/>
              <w:right w:val="single" w:sz="4" w:space="0" w:color="auto"/>
            </w:tcBorders>
          </w:tcPr>
          <w:p w14:paraId="57BDF034" w14:textId="77777777" w:rsidR="00217A61" w:rsidRDefault="001C2695">
            <w:pPr>
              <w:spacing w:beforeAutospacing="1" w:afterAutospacing="1"/>
            </w:pPr>
            <w:r>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14:paraId="2CB4D5C8" w14:textId="77777777" w:rsidR="00217A61" w:rsidRDefault="001C2695">
            <w:pPr>
              <w:spacing w:beforeAutospacing="1" w:afterAutospacing="1"/>
              <w:jc w:val="right"/>
            </w:pPr>
            <w:r>
              <w:rPr>
                <w:color w:val="000000"/>
              </w:rPr>
              <w:t>1,975</w:t>
            </w:r>
          </w:p>
        </w:tc>
        <w:tc>
          <w:tcPr>
            <w:tcW w:w="0" w:type="auto"/>
            <w:tcBorders>
              <w:top w:val="single" w:sz="4" w:space="0" w:color="auto"/>
              <w:left w:val="single" w:sz="4" w:space="0" w:color="auto"/>
              <w:bottom w:val="single" w:sz="4" w:space="0" w:color="auto"/>
              <w:right w:val="single" w:sz="4" w:space="0" w:color="auto"/>
            </w:tcBorders>
            <w:vAlign w:val="bottom"/>
          </w:tcPr>
          <w:p w14:paraId="307A19CC" w14:textId="77777777" w:rsidR="00217A61" w:rsidRDefault="001C2695">
            <w:pPr>
              <w:spacing w:beforeAutospacing="1" w:afterAutospacing="1"/>
              <w:jc w:val="right"/>
            </w:pPr>
            <w:r>
              <w:rPr>
                <w:color w:val="000000"/>
              </w:rPr>
              <w:t>4,858</w:t>
            </w:r>
          </w:p>
        </w:tc>
        <w:tc>
          <w:tcPr>
            <w:tcW w:w="0" w:type="auto"/>
            <w:tcBorders>
              <w:top w:val="single" w:sz="4" w:space="0" w:color="auto"/>
              <w:left w:val="single" w:sz="4" w:space="0" w:color="auto"/>
              <w:bottom w:val="single" w:sz="4" w:space="0" w:color="auto"/>
              <w:right w:val="single" w:sz="4" w:space="0" w:color="auto"/>
            </w:tcBorders>
            <w:vAlign w:val="bottom"/>
          </w:tcPr>
          <w:p w14:paraId="573C6D2B"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4434DE17"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3B38FF88"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14AFE2D2" w14:textId="77777777" w:rsidR="00217A61" w:rsidRDefault="001C2695">
            <w:pPr>
              <w:spacing w:beforeAutospacing="1" w:afterAutospacing="1"/>
              <w:jc w:val="right"/>
            </w:pPr>
            <w:r>
              <w:rPr>
                <w:color w:val="000000"/>
              </w:rPr>
              <w:t>0</w:t>
            </w:r>
          </w:p>
        </w:tc>
      </w:tr>
      <w:tr w:rsidR="00217A61" w14:paraId="5ED4CE5E" w14:textId="77777777">
        <w:trPr>
          <w:cantSplit/>
        </w:trPr>
        <w:tc>
          <w:tcPr>
            <w:tcW w:w="0" w:type="auto"/>
            <w:tcBorders>
              <w:top w:val="single" w:sz="4" w:space="0" w:color="auto"/>
              <w:left w:val="single" w:sz="4" w:space="0" w:color="auto"/>
              <w:bottom w:val="single" w:sz="4" w:space="0" w:color="auto"/>
              <w:right w:val="single" w:sz="4" w:space="0" w:color="auto"/>
            </w:tcBorders>
          </w:tcPr>
          <w:p w14:paraId="3DC6CAAB" w14:textId="77777777" w:rsidR="00217A61" w:rsidRDefault="001C2695">
            <w:pPr>
              <w:spacing w:beforeAutospacing="1" w:afterAutospacing="1"/>
            </w:pPr>
            <w:r>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14:paraId="0E59E734" w14:textId="77777777" w:rsidR="00217A61" w:rsidRDefault="001C2695">
            <w:pPr>
              <w:spacing w:beforeAutospacing="1" w:afterAutospacing="1"/>
              <w:jc w:val="right"/>
            </w:pPr>
            <w:r>
              <w:rPr>
                <w:color w:val="000000"/>
              </w:rPr>
              <w:t>647</w:t>
            </w:r>
          </w:p>
        </w:tc>
        <w:tc>
          <w:tcPr>
            <w:tcW w:w="0" w:type="auto"/>
            <w:tcBorders>
              <w:top w:val="single" w:sz="4" w:space="0" w:color="auto"/>
              <w:left w:val="single" w:sz="4" w:space="0" w:color="auto"/>
              <w:bottom w:val="single" w:sz="4" w:space="0" w:color="auto"/>
              <w:right w:val="single" w:sz="4" w:space="0" w:color="auto"/>
            </w:tcBorders>
            <w:vAlign w:val="bottom"/>
          </w:tcPr>
          <w:p w14:paraId="2A076AA4" w14:textId="77777777" w:rsidR="00217A61" w:rsidRDefault="001C2695">
            <w:pPr>
              <w:spacing w:beforeAutospacing="1" w:afterAutospacing="1"/>
              <w:jc w:val="right"/>
            </w:pPr>
            <w:r>
              <w:rPr>
                <w:color w:val="000000"/>
              </w:rPr>
              <w:t>523</w:t>
            </w:r>
          </w:p>
        </w:tc>
        <w:tc>
          <w:tcPr>
            <w:tcW w:w="0" w:type="auto"/>
            <w:tcBorders>
              <w:top w:val="single" w:sz="4" w:space="0" w:color="auto"/>
              <w:left w:val="single" w:sz="4" w:space="0" w:color="auto"/>
              <w:bottom w:val="single" w:sz="4" w:space="0" w:color="auto"/>
              <w:right w:val="single" w:sz="4" w:space="0" w:color="auto"/>
            </w:tcBorders>
            <w:vAlign w:val="bottom"/>
          </w:tcPr>
          <w:p w14:paraId="7992EA9E"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143FB5D3"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6B2F0E08"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73A3375" w14:textId="77777777" w:rsidR="00217A61" w:rsidRDefault="001C2695">
            <w:pPr>
              <w:spacing w:beforeAutospacing="1" w:afterAutospacing="1"/>
              <w:jc w:val="right"/>
            </w:pPr>
            <w:r>
              <w:rPr>
                <w:color w:val="000000"/>
              </w:rPr>
              <w:t>0</w:t>
            </w:r>
          </w:p>
        </w:tc>
      </w:tr>
      <w:tr w:rsidR="00217A61" w14:paraId="18557155" w14:textId="77777777">
        <w:trPr>
          <w:cantSplit/>
        </w:trPr>
        <w:tc>
          <w:tcPr>
            <w:tcW w:w="0" w:type="auto"/>
            <w:tcBorders>
              <w:top w:val="single" w:sz="4" w:space="0" w:color="auto"/>
              <w:left w:val="single" w:sz="4" w:space="0" w:color="auto"/>
              <w:bottom w:val="single" w:sz="4" w:space="0" w:color="auto"/>
              <w:right w:val="single" w:sz="4" w:space="0" w:color="auto"/>
            </w:tcBorders>
          </w:tcPr>
          <w:p w14:paraId="24FDD533" w14:textId="77777777" w:rsidR="00217A61" w:rsidRDefault="001C2695">
            <w:pPr>
              <w:spacing w:beforeAutospacing="1" w:afterAutospacing="1"/>
            </w:pPr>
            <w:r>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14:paraId="38E8D254" w14:textId="77777777" w:rsidR="00217A61" w:rsidRDefault="001C2695">
            <w:pPr>
              <w:spacing w:beforeAutospacing="1" w:afterAutospacing="1"/>
              <w:jc w:val="right"/>
            </w:pPr>
            <w:r>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tcPr>
          <w:p w14:paraId="56D9C152" w14:textId="77777777" w:rsidR="00217A61" w:rsidRDefault="001C2695">
            <w:pPr>
              <w:spacing w:beforeAutospacing="1" w:afterAutospacing="1"/>
              <w:jc w:val="right"/>
            </w:pPr>
            <w:r>
              <w:rPr>
                <w:color w:val="000000"/>
              </w:rPr>
              <w:t>9</w:t>
            </w:r>
          </w:p>
        </w:tc>
        <w:tc>
          <w:tcPr>
            <w:tcW w:w="0" w:type="auto"/>
            <w:tcBorders>
              <w:top w:val="single" w:sz="4" w:space="0" w:color="auto"/>
              <w:left w:val="single" w:sz="4" w:space="0" w:color="auto"/>
              <w:bottom w:val="single" w:sz="4" w:space="0" w:color="auto"/>
              <w:right w:val="single" w:sz="4" w:space="0" w:color="auto"/>
            </w:tcBorders>
            <w:vAlign w:val="bottom"/>
          </w:tcPr>
          <w:p w14:paraId="7ADA5AB3"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25D68528"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31BF1A63"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B640D0D" w14:textId="77777777" w:rsidR="00217A61" w:rsidRDefault="001C2695">
            <w:pPr>
              <w:spacing w:beforeAutospacing="1" w:afterAutospacing="1"/>
              <w:jc w:val="right"/>
            </w:pPr>
            <w:r>
              <w:rPr>
                <w:color w:val="000000"/>
              </w:rPr>
              <w:t>0</w:t>
            </w:r>
          </w:p>
        </w:tc>
      </w:tr>
      <w:tr w:rsidR="00217A61" w14:paraId="14E736C7" w14:textId="77777777">
        <w:trPr>
          <w:cantSplit/>
        </w:trPr>
        <w:tc>
          <w:tcPr>
            <w:tcW w:w="0" w:type="auto"/>
            <w:tcBorders>
              <w:top w:val="single" w:sz="4" w:space="0" w:color="auto"/>
              <w:left w:val="single" w:sz="4" w:space="0" w:color="auto"/>
              <w:bottom w:val="single" w:sz="4" w:space="0" w:color="auto"/>
              <w:right w:val="single" w:sz="4" w:space="0" w:color="auto"/>
            </w:tcBorders>
          </w:tcPr>
          <w:p w14:paraId="20E999E8" w14:textId="77777777" w:rsidR="00217A61" w:rsidRDefault="001C2695">
            <w:pPr>
              <w:spacing w:beforeAutospacing="1" w:afterAutospacing="1"/>
            </w:pPr>
            <w:r>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14:paraId="3CC20C75" w14:textId="77777777" w:rsidR="00217A61" w:rsidRDefault="001C2695">
            <w:pPr>
              <w:spacing w:beforeAutospacing="1" w:afterAutospacing="1"/>
              <w:jc w:val="right"/>
            </w:pPr>
            <w:r>
              <w:rPr>
                <w:color w:val="000000"/>
              </w:rPr>
              <w:t>144</w:t>
            </w:r>
          </w:p>
        </w:tc>
        <w:tc>
          <w:tcPr>
            <w:tcW w:w="0" w:type="auto"/>
            <w:tcBorders>
              <w:top w:val="single" w:sz="4" w:space="0" w:color="auto"/>
              <w:left w:val="single" w:sz="4" w:space="0" w:color="auto"/>
              <w:bottom w:val="single" w:sz="4" w:space="0" w:color="auto"/>
              <w:right w:val="single" w:sz="4" w:space="0" w:color="auto"/>
            </w:tcBorders>
            <w:vAlign w:val="bottom"/>
          </w:tcPr>
          <w:p w14:paraId="7B64C0AA" w14:textId="77777777" w:rsidR="00217A61" w:rsidRDefault="001C2695">
            <w:pPr>
              <w:spacing w:beforeAutospacing="1" w:afterAutospacing="1"/>
              <w:jc w:val="right"/>
            </w:pPr>
            <w:r>
              <w:rPr>
                <w:color w:val="000000"/>
              </w:rPr>
              <w:t>763</w:t>
            </w:r>
          </w:p>
        </w:tc>
        <w:tc>
          <w:tcPr>
            <w:tcW w:w="0" w:type="auto"/>
            <w:tcBorders>
              <w:top w:val="single" w:sz="4" w:space="0" w:color="auto"/>
              <w:left w:val="single" w:sz="4" w:space="0" w:color="auto"/>
              <w:bottom w:val="single" w:sz="4" w:space="0" w:color="auto"/>
              <w:right w:val="single" w:sz="4" w:space="0" w:color="auto"/>
            </w:tcBorders>
            <w:vAlign w:val="bottom"/>
          </w:tcPr>
          <w:p w14:paraId="634023A1"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2EA3CAA8"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CA24979"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8E99ADF" w14:textId="77777777" w:rsidR="00217A61" w:rsidRDefault="001C2695">
            <w:pPr>
              <w:spacing w:beforeAutospacing="1" w:afterAutospacing="1"/>
              <w:jc w:val="right"/>
            </w:pPr>
            <w:r>
              <w:rPr>
                <w:color w:val="000000"/>
              </w:rPr>
              <w:t>0</w:t>
            </w:r>
          </w:p>
        </w:tc>
      </w:tr>
      <w:tr w:rsidR="00217A61" w14:paraId="09294DBB" w14:textId="77777777">
        <w:trPr>
          <w:cantSplit/>
        </w:trPr>
        <w:tc>
          <w:tcPr>
            <w:tcW w:w="0" w:type="auto"/>
            <w:tcBorders>
              <w:top w:val="single" w:sz="4" w:space="0" w:color="auto"/>
              <w:left w:val="single" w:sz="4" w:space="0" w:color="auto"/>
              <w:bottom w:val="single" w:sz="4" w:space="0" w:color="auto"/>
              <w:right w:val="single" w:sz="4" w:space="0" w:color="auto"/>
            </w:tcBorders>
          </w:tcPr>
          <w:p w14:paraId="052D3B00" w14:textId="77777777" w:rsidR="00217A61" w:rsidRDefault="001C2695">
            <w:pPr>
              <w:spacing w:beforeAutospacing="1" w:afterAutospacing="1"/>
            </w:pPr>
            <w:r>
              <w:rPr>
                <w:color w:val="000000"/>
              </w:rPr>
              <w:lastRenderedPageBreak/>
              <w:t>Unaccompanied Child</w:t>
            </w:r>
          </w:p>
        </w:tc>
        <w:tc>
          <w:tcPr>
            <w:tcW w:w="0" w:type="auto"/>
            <w:tcBorders>
              <w:top w:val="single" w:sz="4" w:space="0" w:color="auto"/>
              <w:left w:val="single" w:sz="4" w:space="0" w:color="auto"/>
              <w:bottom w:val="single" w:sz="4" w:space="0" w:color="auto"/>
              <w:right w:val="single" w:sz="4" w:space="0" w:color="auto"/>
            </w:tcBorders>
            <w:vAlign w:val="bottom"/>
          </w:tcPr>
          <w:p w14:paraId="333D2626" w14:textId="77777777" w:rsidR="00217A61" w:rsidRDefault="001C2695">
            <w:pPr>
              <w:spacing w:beforeAutospacing="1" w:afterAutospacing="1"/>
              <w:jc w:val="right"/>
            </w:pPr>
            <w:r>
              <w:rPr>
                <w:color w:val="000000"/>
              </w:rPr>
              <w:t>317</w:t>
            </w:r>
          </w:p>
        </w:tc>
        <w:tc>
          <w:tcPr>
            <w:tcW w:w="0" w:type="auto"/>
            <w:tcBorders>
              <w:top w:val="single" w:sz="4" w:space="0" w:color="auto"/>
              <w:left w:val="single" w:sz="4" w:space="0" w:color="auto"/>
              <w:bottom w:val="single" w:sz="4" w:space="0" w:color="auto"/>
              <w:right w:val="single" w:sz="4" w:space="0" w:color="auto"/>
            </w:tcBorders>
            <w:vAlign w:val="bottom"/>
          </w:tcPr>
          <w:p w14:paraId="4BED4DA8" w14:textId="77777777" w:rsidR="00217A61" w:rsidRDefault="001C2695">
            <w:pPr>
              <w:spacing w:beforeAutospacing="1" w:afterAutospacing="1"/>
              <w:jc w:val="right"/>
            </w:pPr>
            <w:r>
              <w:rPr>
                <w:color w:val="000000"/>
              </w:rPr>
              <w:t>100</w:t>
            </w:r>
          </w:p>
        </w:tc>
        <w:tc>
          <w:tcPr>
            <w:tcW w:w="0" w:type="auto"/>
            <w:tcBorders>
              <w:top w:val="single" w:sz="4" w:space="0" w:color="auto"/>
              <w:left w:val="single" w:sz="4" w:space="0" w:color="auto"/>
              <w:bottom w:val="single" w:sz="4" w:space="0" w:color="auto"/>
              <w:right w:val="single" w:sz="4" w:space="0" w:color="auto"/>
            </w:tcBorders>
            <w:vAlign w:val="bottom"/>
          </w:tcPr>
          <w:p w14:paraId="69C8F54E"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D7791EB"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4F25C361"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6C5465D" w14:textId="77777777" w:rsidR="00217A61" w:rsidRDefault="001C2695">
            <w:pPr>
              <w:spacing w:beforeAutospacing="1" w:afterAutospacing="1"/>
              <w:jc w:val="right"/>
            </w:pPr>
            <w:r>
              <w:rPr>
                <w:color w:val="000000"/>
              </w:rPr>
              <w:t>0</w:t>
            </w:r>
          </w:p>
        </w:tc>
      </w:tr>
      <w:tr w:rsidR="00217A61" w14:paraId="57B1E841" w14:textId="77777777">
        <w:trPr>
          <w:cantSplit/>
        </w:trPr>
        <w:tc>
          <w:tcPr>
            <w:tcW w:w="0" w:type="auto"/>
            <w:tcBorders>
              <w:top w:val="single" w:sz="4" w:space="0" w:color="auto"/>
              <w:left w:val="single" w:sz="4" w:space="0" w:color="auto"/>
              <w:bottom w:val="single" w:sz="4" w:space="0" w:color="auto"/>
              <w:right w:val="single" w:sz="4" w:space="0" w:color="auto"/>
            </w:tcBorders>
          </w:tcPr>
          <w:p w14:paraId="1097C0CC" w14:textId="77777777" w:rsidR="00217A61" w:rsidRDefault="001C2695">
            <w:pPr>
              <w:spacing w:beforeAutospacing="1" w:afterAutospacing="1"/>
            </w:pPr>
            <w:r>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14:paraId="28CC1EFD" w14:textId="77777777" w:rsidR="00217A61" w:rsidRDefault="001C2695">
            <w:pPr>
              <w:spacing w:beforeAutospacing="1" w:afterAutospacing="1"/>
              <w:jc w:val="right"/>
            </w:pPr>
            <w:r>
              <w:rPr>
                <w:color w:val="000000"/>
              </w:rPr>
              <w:t>62</w:t>
            </w:r>
          </w:p>
        </w:tc>
        <w:tc>
          <w:tcPr>
            <w:tcW w:w="0" w:type="auto"/>
            <w:tcBorders>
              <w:top w:val="single" w:sz="4" w:space="0" w:color="auto"/>
              <w:left w:val="single" w:sz="4" w:space="0" w:color="auto"/>
              <w:bottom w:val="single" w:sz="4" w:space="0" w:color="auto"/>
              <w:right w:val="single" w:sz="4" w:space="0" w:color="auto"/>
            </w:tcBorders>
            <w:vAlign w:val="bottom"/>
          </w:tcPr>
          <w:p w14:paraId="39CD9153" w14:textId="77777777" w:rsidR="00217A61" w:rsidRDefault="001C2695">
            <w:pPr>
              <w:spacing w:beforeAutospacing="1" w:afterAutospacing="1"/>
              <w:jc w:val="right"/>
            </w:pPr>
            <w:r>
              <w:rPr>
                <w:color w:val="000000"/>
              </w:rPr>
              <w:t>18</w:t>
            </w:r>
          </w:p>
        </w:tc>
        <w:tc>
          <w:tcPr>
            <w:tcW w:w="0" w:type="auto"/>
            <w:tcBorders>
              <w:top w:val="single" w:sz="4" w:space="0" w:color="auto"/>
              <w:left w:val="single" w:sz="4" w:space="0" w:color="auto"/>
              <w:bottom w:val="single" w:sz="4" w:space="0" w:color="auto"/>
              <w:right w:val="single" w:sz="4" w:space="0" w:color="auto"/>
            </w:tcBorders>
            <w:vAlign w:val="bottom"/>
          </w:tcPr>
          <w:p w14:paraId="1E4CE696"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736BC45"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9E16A3F"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37B5E228" w14:textId="77777777" w:rsidR="00217A61" w:rsidRDefault="001C2695">
            <w:pPr>
              <w:spacing w:beforeAutospacing="1" w:afterAutospacing="1"/>
              <w:jc w:val="right"/>
            </w:pPr>
            <w:r>
              <w:rPr>
                <w:color w:val="000000"/>
              </w:rPr>
              <w:t>0</w:t>
            </w:r>
          </w:p>
        </w:tc>
      </w:tr>
    </w:tbl>
    <w:p w14:paraId="5F27E9A4"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 Homeless Needs Assessment </w:t>
      </w:r>
    </w:p>
    <w:p w14:paraId="193B253A" w14:textId="77777777" w:rsidR="00217A61" w:rsidRDefault="00217A61">
      <w:pPr>
        <w:keepNext/>
        <w:widowControl w:val="0"/>
        <w:spacing w:after="0" w:line="240" w:lineRule="auto"/>
        <w:jc w:val="center"/>
        <w:rPr>
          <w:b/>
          <w:bCs/>
          <w:vanish/>
          <w:sz w:val="20"/>
          <w:szCs w:val="20"/>
        </w:rPr>
      </w:pPr>
    </w:p>
    <w:tbl>
      <w:tblPr>
        <w:tblW w:w="0" w:type="auto"/>
        <w:tblInd w:w="108" w:type="dxa"/>
        <w:tblLook w:val="01E0" w:firstRow="1" w:lastRow="1" w:firstColumn="1" w:lastColumn="1" w:noHBand="0" w:noVBand="0"/>
      </w:tblPr>
      <w:tblGrid>
        <w:gridCol w:w="2160"/>
      </w:tblGrid>
      <w:tr w:rsidR="00217A61" w14:paraId="35ADD471" w14:textId="77777777">
        <w:tc>
          <w:tcPr>
            <w:tcW w:w="0" w:type="auto"/>
            <w:hideMark/>
          </w:tcPr>
          <w:p w14:paraId="0D0FE416" w14:textId="77777777" w:rsidR="00217A61" w:rsidRDefault="00217A61">
            <w:pPr>
              <w:keepNext/>
              <w:widowControl w:val="0"/>
              <w:spacing w:after="0" w:line="240" w:lineRule="auto"/>
              <w:rPr>
                <w:sz w:val="16"/>
                <w:szCs w:val="16"/>
              </w:rPr>
            </w:pPr>
          </w:p>
        </w:tc>
      </w:tr>
      <w:tr w:rsidR="00217A61" w14:paraId="088A8EAD" w14:textId="77777777">
        <w:tc>
          <w:tcPr>
            <w:tcW w:w="0" w:type="auto"/>
            <w:hideMark/>
          </w:tcPr>
          <w:p w14:paraId="68BBD295" w14:textId="77777777" w:rsidR="00217A61" w:rsidRDefault="001C2695">
            <w:pPr>
              <w:keepNext/>
              <w:widowControl w:val="0"/>
              <w:spacing w:after="0" w:line="240" w:lineRule="auto"/>
            </w:pPr>
            <w:r>
              <w:rPr>
                <w:b/>
                <w:sz w:val="16"/>
                <w:szCs w:val="16"/>
              </w:rPr>
              <w:t>Alternate Data Source Name:</w:t>
            </w:r>
            <w:r>
              <w:t xml:space="preserve"> </w:t>
            </w:r>
          </w:p>
        </w:tc>
      </w:tr>
      <w:tr w:rsidR="00217A61" w14:paraId="247E2B77" w14:textId="77777777">
        <w:trPr>
          <w:cantSplit/>
        </w:trPr>
        <w:tc>
          <w:tcPr>
            <w:tcW w:w="0" w:type="auto"/>
          </w:tcPr>
          <w:p w14:paraId="46902F94" w14:textId="77777777" w:rsidR="00217A61" w:rsidRDefault="001C2695">
            <w:pPr>
              <w:spacing w:beforeAutospacing="1" w:afterAutospacing="1"/>
            </w:pPr>
            <w:r>
              <w:rPr>
                <w:color w:val="000000"/>
                <w:sz w:val="16"/>
              </w:rPr>
              <w:t xml:space="preserve">2019 PIT Count by </w:t>
            </w:r>
            <w:proofErr w:type="spellStart"/>
            <w:r>
              <w:rPr>
                <w:color w:val="000000"/>
                <w:sz w:val="16"/>
              </w:rPr>
              <w:t>CoC</w:t>
            </w:r>
            <w:proofErr w:type="spellEnd"/>
          </w:p>
        </w:tc>
      </w:tr>
    </w:tbl>
    <w:p w14:paraId="175640E3" w14:textId="77777777" w:rsidR="00217A61" w:rsidRDefault="00217A61">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61"/>
        <w:gridCol w:w="10999"/>
      </w:tblGrid>
      <w:tr w:rsidR="00217A61" w14:paraId="29405640" w14:textId="77777777">
        <w:trPr>
          <w:cantSplit/>
        </w:trPr>
        <w:tc>
          <w:tcPr>
            <w:tcW w:w="13190" w:type="dxa"/>
            <w:gridSpan w:val="2"/>
            <w:vAlign w:val="bottom"/>
            <w:hideMark/>
          </w:tcPr>
          <w:p w14:paraId="6303F0F8" w14:textId="77777777" w:rsidR="00217A61" w:rsidRDefault="00217A61">
            <w:pPr>
              <w:spacing w:after="0" w:line="240" w:lineRule="auto"/>
              <w:rPr>
                <w:sz w:val="16"/>
                <w:szCs w:val="16"/>
              </w:rPr>
            </w:pPr>
          </w:p>
        </w:tc>
      </w:tr>
      <w:tr w:rsidR="00217A61" w14:paraId="35857423" w14:textId="77777777">
        <w:trPr>
          <w:cantSplit/>
        </w:trPr>
        <w:tc>
          <w:tcPr>
            <w:tcW w:w="1980" w:type="dxa"/>
            <w:vAlign w:val="bottom"/>
            <w:hideMark/>
          </w:tcPr>
          <w:p w14:paraId="2439AE44" w14:textId="77777777" w:rsidR="00217A61" w:rsidRDefault="001C2695">
            <w:pPr>
              <w:spacing w:after="0" w:line="240" w:lineRule="auto"/>
              <w:rPr>
                <w:sz w:val="16"/>
                <w:szCs w:val="16"/>
              </w:rPr>
            </w:pPr>
            <w:r>
              <w:rPr>
                <w:b/>
                <w:bCs/>
                <w:sz w:val="16"/>
                <w:szCs w:val="16"/>
              </w:rPr>
              <w:t>Data Source Comments:</w:t>
            </w:r>
            <w:r>
              <w:t xml:space="preserve"> </w:t>
            </w:r>
          </w:p>
        </w:tc>
        <w:tc>
          <w:tcPr>
            <w:tcW w:w="11210" w:type="dxa"/>
            <w:vAlign w:val="bottom"/>
            <w:hideMark/>
          </w:tcPr>
          <w:p w14:paraId="53DF3873" w14:textId="77777777" w:rsidR="00217A61" w:rsidRDefault="001C2695">
            <w:pPr>
              <w:spacing w:after="0" w:line="240" w:lineRule="auto"/>
              <w:rPr>
                <w:sz w:val="16"/>
                <w:szCs w:val="16"/>
              </w:rPr>
            </w:pPr>
            <w:r>
              <w:t xml:space="preserve"> </w:t>
            </w:r>
          </w:p>
        </w:tc>
      </w:tr>
    </w:tbl>
    <w:p w14:paraId="5BC52CD1" w14:textId="77777777" w:rsidR="00217A61" w:rsidRDefault="00217A61"/>
    <w:tbl>
      <w:tblPr>
        <w:tblW w:w="5000" w:type="pct"/>
        <w:tblInd w:w="115" w:type="dxa"/>
        <w:tblCellMar>
          <w:left w:w="115" w:type="dxa"/>
          <w:right w:w="115" w:type="dxa"/>
        </w:tblCellMar>
        <w:tblLook w:val="01E0" w:firstRow="1" w:lastRow="1" w:firstColumn="1" w:lastColumn="1" w:noHBand="0" w:noVBand="0"/>
      </w:tblPr>
      <w:tblGrid>
        <w:gridCol w:w="3903"/>
        <w:gridCol w:w="9057"/>
      </w:tblGrid>
      <w:tr w:rsidR="00217A61" w14:paraId="14C68FCC" w14:textId="77777777">
        <w:trPr>
          <w:cantSplit/>
        </w:trPr>
        <w:tc>
          <w:tcPr>
            <w:tcW w:w="3960" w:type="dxa"/>
            <w:hideMark/>
          </w:tcPr>
          <w:p w14:paraId="3655406B" w14:textId="77777777" w:rsidR="00217A61" w:rsidRDefault="001C2695">
            <w:pPr>
              <w:spacing w:after="0" w:line="240" w:lineRule="auto"/>
              <w:rPr>
                <w:sz w:val="24"/>
                <w:szCs w:val="24"/>
              </w:rPr>
            </w:pPr>
            <w:r>
              <w:rPr>
                <w:sz w:val="24"/>
                <w:szCs w:val="24"/>
              </w:rPr>
              <w:t xml:space="preserve">Indicate if the homeless </w:t>
            </w:r>
            <w:r>
              <w:rPr>
                <w:sz w:val="24"/>
                <w:szCs w:val="24"/>
              </w:rPr>
              <w:t>population is:</w:t>
            </w:r>
          </w:p>
        </w:tc>
        <w:tc>
          <w:tcPr>
            <w:tcW w:w="9230" w:type="dxa"/>
            <w:hideMark/>
          </w:tcPr>
          <w:p w14:paraId="7F951153" w14:textId="77777777" w:rsidR="00217A61" w:rsidRDefault="001C2695">
            <w:pPr>
              <w:spacing w:beforeAutospacing="1" w:afterAutospacing="1"/>
              <w:rPr>
                <w:sz w:val="24"/>
                <w:szCs w:val="24"/>
              </w:rPr>
            </w:pPr>
            <w:r>
              <w:rPr>
                <w:sz w:val="24"/>
                <w:szCs w:val="24"/>
              </w:rPr>
              <w:t>Partially Rural Homeless</w:t>
            </w:r>
          </w:p>
        </w:tc>
      </w:tr>
    </w:tbl>
    <w:p w14:paraId="2087354A" w14:textId="77777777" w:rsidR="00217A61" w:rsidRDefault="00217A61">
      <w:pPr>
        <w:keepNext/>
        <w:widowControl w:val="0"/>
        <w:rPr>
          <w:b/>
          <w:sz w:val="24"/>
          <w:szCs w:val="24"/>
        </w:rPr>
      </w:pPr>
    </w:p>
    <w:p w14:paraId="7E1429DA" w14:textId="77777777" w:rsidR="00217A61" w:rsidRDefault="001C2695">
      <w:pPr>
        <w:keepNext/>
        <w:widowControl w:val="0"/>
        <w:rPr>
          <w:b/>
          <w:sz w:val="24"/>
          <w:szCs w:val="24"/>
        </w:rPr>
      </w:pPr>
      <w:r>
        <w:rPr>
          <w:b/>
          <w:sz w:val="24"/>
          <w:szCs w:val="24"/>
        </w:rPr>
        <w:t>Rural Homeless Needs Assessment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73"/>
        <w:gridCol w:w="1406"/>
        <w:gridCol w:w="1510"/>
        <w:gridCol w:w="1682"/>
        <w:gridCol w:w="1525"/>
        <w:gridCol w:w="1682"/>
        <w:gridCol w:w="1682"/>
      </w:tblGrid>
      <w:tr w:rsidR="00217A61" w14:paraId="378ABDAF" w14:textId="77777777">
        <w:trPr>
          <w:cantSplit/>
          <w:tblHeader/>
        </w:trPr>
        <w:tc>
          <w:tcPr>
            <w:tcW w:w="13190" w:type="dxa"/>
            <w:gridSpan w:val="7"/>
            <w:tcBorders>
              <w:top w:val="nil"/>
              <w:left w:val="nil"/>
              <w:bottom w:val="single" w:sz="4" w:space="0" w:color="auto"/>
              <w:right w:val="nil"/>
            </w:tcBorders>
            <w:hideMark/>
          </w:tcPr>
          <w:p w14:paraId="66968575" w14:textId="77777777" w:rsidR="00217A61" w:rsidRDefault="00217A61">
            <w:pPr>
              <w:keepNext/>
              <w:widowControl w:val="0"/>
              <w:spacing w:after="0" w:line="240" w:lineRule="auto"/>
              <w:rPr>
                <w:b/>
              </w:rPr>
            </w:pPr>
          </w:p>
        </w:tc>
      </w:tr>
      <w:tr w:rsidR="00217A61" w14:paraId="71D57F32" w14:textId="77777777">
        <w:trPr>
          <w:cantSplit/>
          <w:tblHeader/>
        </w:trPr>
        <w:tc>
          <w:tcPr>
            <w:tcW w:w="2700" w:type="dxa"/>
            <w:tcBorders>
              <w:top w:val="single" w:sz="4" w:space="0" w:color="auto"/>
              <w:left w:val="single" w:sz="4" w:space="0" w:color="auto"/>
              <w:bottom w:val="single" w:sz="4" w:space="0" w:color="auto"/>
              <w:right w:val="single" w:sz="4" w:space="0" w:color="auto"/>
            </w:tcBorders>
            <w:hideMark/>
          </w:tcPr>
          <w:p w14:paraId="609BB6CB" w14:textId="77777777" w:rsidR="00217A61" w:rsidRDefault="001C2695">
            <w:pPr>
              <w:keepNext/>
              <w:widowControl w:val="0"/>
              <w:spacing w:after="0" w:line="240" w:lineRule="auto"/>
              <w:jc w:val="center"/>
              <w:rPr>
                <w:b/>
              </w:rPr>
            </w:pPr>
            <w:r>
              <w:rPr>
                <w:b/>
              </w:rPr>
              <w:t>Population</w:t>
            </w:r>
          </w:p>
        </w:tc>
        <w:tc>
          <w:tcPr>
            <w:tcW w:w="3240" w:type="dxa"/>
            <w:gridSpan w:val="2"/>
            <w:tcBorders>
              <w:top w:val="single" w:sz="4" w:space="0" w:color="auto"/>
              <w:left w:val="single" w:sz="4" w:space="0" w:color="auto"/>
              <w:bottom w:val="single" w:sz="4" w:space="0" w:color="auto"/>
              <w:right w:val="single" w:sz="4" w:space="0" w:color="auto"/>
            </w:tcBorders>
            <w:hideMark/>
          </w:tcPr>
          <w:p w14:paraId="50C069E1" w14:textId="77777777" w:rsidR="00217A61" w:rsidRDefault="001C2695">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left w:val="single" w:sz="4" w:space="0" w:color="auto"/>
              <w:bottom w:val="single" w:sz="4" w:space="0" w:color="auto"/>
              <w:right w:val="single" w:sz="4" w:space="0" w:color="auto"/>
            </w:tcBorders>
            <w:hideMark/>
          </w:tcPr>
          <w:p w14:paraId="00AAB84E" w14:textId="77777777" w:rsidR="00217A61" w:rsidRDefault="001C2695">
            <w:pPr>
              <w:keepNext/>
              <w:widowControl w:val="0"/>
              <w:spacing w:after="0" w:line="240" w:lineRule="auto"/>
              <w:jc w:val="center"/>
              <w:rPr>
                <w:b/>
              </w:rPr>
            </w:pPr>
            <w:r>
              <w:rPr>
                <w:b/>
              </w:rPr>
              <w:t>Estimate the # experiencing homelessness each year</w:t>
            </w:r>
          </w:p>
        </w:tc>
        <w:tc>
          <w:tcPr>
            <w:tcW w:w="1813" w:type="dxa"/>
            <w:tcBorders>
              <w:top w:val="single" w:sz="4" w:space="0" w:color="auto"/>
              <w:left w:val="single" w:sz="4" w:space="0" w:color="auto"/>
              <w:bottom w:val="single" w:sz="4" w:space="0" w:color="auto"/>
              <w:right w:val="single" w:sz="4" w:space="0" w:color="auto"/>
            </w:tcBorders>
            <w:hideMark/>
          </w:tcPr>
          <w:p w14:paraId="306D3A77" w14:textId="77777777" w:rsidR="00217A61" w:rsidRDefault="001C2695">
            <w:pPr>
              <w:keepNext/>
              <w:widowControl w:val="0"/>
              <w:spacing w:after="0" w:line="240" w:lineRule="auto"/>
              <w:jc w:val="center"/>
              <w:rPr>
                <w:b/>
              </w:rPr>
            </w:pPr>
            <w:r>
              <w:rPr>
                <w:b/>
              </w:rPr>
              <w:t>Estimate the # becoming homeless each year</w:t>
            </w:r>
          </w:p>
        </w:tc>
        <w:tc>
          <w:tcPr>
            <w:tcW w:w="1812" w:type="dxa"/>
            <w:tcBorders>
              <w:top w:val="single" w:sz="4" w:space="0" w:color="auto"/>
              <w:left w:val="single" w:sz="4" w:space="0" w:color="auto"/>
              <w:bottom w:val="single" w:sz="4" w:space="0" w:color="auto"/>
              <w:right w:val="single" w:sz="4" w:space="0" w:color="auto"/>
            </w:tcBorders>
            <w:hideMark/>
          </w:tcPr>
          <w:p w14:paraId="6968AE90" w14:textId="77777777" w:rsidR="00217A61" w:rsidRDefault="001C2695">
            <w:pPr>
              <w:keepNext/>
              <w:widowControl w:val="0"/>
              <w:spacing w:after="0" w:line="240" w:lineRule="auto"/>
              <w:jc w:val="center"/>
              <w:rPr>
                <w:b/>
              </w:rPr>
            </w:pPr>
            <w:r>
              <w:rPr>
                <w:b/>
              </w:rPr>
              <w:t>Estimate the # exiting homelessness each year</w:t>
            </w:r>
          </w:p>
        </w:tc>
        <w:tc>
          <w:tcPr>
            <w:tcW w:w="1813" w:type="dxa"/>
            <w:tcBorders>
              <w:top w:val="single" w:sz="4" w:space="0" w:color="auto"/>
              <w:left w:val="single" w:sz="4" w:space="0" w:color="auto"/>
              <w:bottom w:val="single" w:sz="4" w:space="0" w:color="auto"/>
              <w:right w:val="single" w:sz="4" w:space="0" w:color="auto"/>
            </w:tcBorders>
            <w:hideMark/>
          </w:tcPr>
          <w:p w14:paraId="6FFDACA7" w14:textId="77777777" w:rsidR="00217A61" w:rsidRDefault="001C2695">
            <w:pPr>
              <w:keepNext/>
              <w:widowControl w:val="0"/>
              <w:spacing w:after="0" w:line="240" w:lineRule="auto"/>
              <w:jc w:val="center"/>
              <w:rPr>
                <w:b/>
              </w:rPr>
            </w:pPr>
            <w:r>
              <w:rPr>
                <w:b/>
              </w:rPr>
              <w:t>Estimate the # of days persons experience homelessness</w:t>
            </w:r>
          </w:p>
        </w:tc>
      </w:tr>
      <w:tr w:rsidR="00217A61" w14:paraId="13B158BB" w14:textId="77777777">
        <w:trPr>
          <w:cantSplit/>
          <w:tblHeader/>
        </w:trPr>
        <w:tc>
          <w:tcPr>
            <w:tcW w:w="2700" w:type="dxa"/>
            <w:tcBorders>
              <w:top w:val="single" w:sz="4" w:space="0" w:color="auto"/>
              <w:left w:val="single" w:sz="4" w:space="0" w:color="auto"/>
              <w:bottom w:val="single" w:sz="4" w:space="0" w:color="auto"/>
              <w:right w:val="single" w:sz="4" w:space="0" w:color="auto"/>
            </w:tcBorders>
          </w:tcPr>
          <w:p w14:paraId="267D9D2C" w14:textId="77777777" w:rsidR="00217A61" w:rsidRDefault="00217A61">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14:paraId="3C036C23" w14:textId="77777777" w:rsidR="00217A61" w:rsidRDefault="001C2695">
            <w:pPr>
              <w:keepNext/>
              <w:widowControl w:val="0"/>
              <w:spacing w:after="0" w:line="240" w:lineRule="auto"/>
              <w:jc w:val="center"/>
              <w:rPr>
                <w:b/>
                <w:szCs w:val="26"/>
              </w:rPr>
            </w:pPr>
            <w:r>
              <w:rPr>
                <w:b/>
              </w:rPr>
              <w:t>Sheltered</w:t>
            </w:r>
          </w:p>
        </w:tc>
        <w:tc>
          <w:tcPr>
            <w:tcW w:w="1620" w:type="dxa"/>
            <w:tcBorders>
              <w:top w:val="single" w:sz="4" w:space="0" w:color="auto"/>
              <w:left w:val="single" w:sz="4" w:space="0" w:color="auto"/>
              <w:bottom w:val="single" w:sz="4" w:space="0" w:color="auto"/>
              <w:right w:val="single" w:sz="4" w:space="0" w:color="auto"/>
            </w:tcBorders>
            <w:hideMark/>
          </w:tcPr>
          <w:p w14:paraId="6A585BAB" w14:textId="77777777" w:rsidR="00217A61" w:rsidRDefault="001C2695">
            <w:pPr>
              <w:keepNext/>
              <w:widowControl w:val="0"/>
              <w:spacing w:after="0" w:line="240" w:lineRule="auto"/>
              <w:jc w:val="center"/>
              <w:rPr>
                <w:b/>
                <w:szCs w:val="26"/>
              </w:rPr>
            </w:pPr>
            <w:r>
              <w:rPr>
                <w:b/>
              </w:rPr>
              <w:t>Unsheltered</w:t>
            </w:r>
          </w:p>
        </w:tc>
        <w:tc>
          <w:tcPr>
            <w:tcW w:w="1812" w:type="dxa"/>
            <w:tcBorders>
              <w:top w:val="single" w:sz="4" w:space="0" w:color="auto"/>
              <w:left w:val="single" w:sz="4" w:space="0" w:color="auto"/>
              <w:bottom w:val="single" w:sz="4" w:space="0" w:color="auto"/>
              <w:right w:val="single" w:sz="4" w:space="0" w:color="auto"/>
            </w:tcBorders>
          </w:tcPr>
          <w:p w14:paraId="5AC1B0F8" w14:textId="77777777" w:rsidR="00217A61" w:rsidRDefault="00217A61">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14:paraId="53AF11FA" w14:textId="77777777" w:rsidR="00217A61" w:rsidRDefault="00217A61">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14:paraId="7E5195A2" w14:textId="77777777" w:rsidR="00217A61" w:rsidRDefault="00217A61">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14:paraId="1AE664AF" w14:textId="77777777" w:rsidR="00217A61" w:rsidRDefault="00217A61">
            <w:pPr>
              <w:keepNext/>
              <w:widowControl w:val="0"/>
              <w:spacing w:after="0" w:line="240" w:lineRule="auto"/>
              <w:jc w:val="center"/>
              <w:rPr>
                <w:b/>
              </w:rPr>
            </w:pPr>
          </w:p>
        </w:tc>
      </w:tr>
      <w:tr w:rsidR="00217A61" w14:paraId="25E49DEB" w14:textId="77777777">
        <w:trPr>
          <w:cantSplit/>
        </w:trPr>
        <w:tc>
          <w:tcPr>
            <w:tcW w:w="0" w:type="auto"/>
            <w:tcBorders>
              <w:top w:val="single" w:sz="4" w:space="0" w:color="auto"/>
              <w:left w:val="single" w:sz="4" w:space="0" w:color="auto"/>
              <w:bottom w:val="single" w:sz="4" w:space="0" w:color="auto"/>
              <w:right w:val="single" w:sz="4" w:space="0" w:color="auto"/>
            </w:tcBorders>
          </w:tcPr>
          <w:p w14:paraId="15A5B888" w14:textId="77777777" w:rsidR="00217A61" w:rsidRDefault="001C2695">
            <w:pPr>
              <w:spacing w:beforeAutospacing="1" w:afterAutospacing="1"/>
            </w:pPr>
            <w:r>
              <w:rPr>
                <w:color w:val="000000"/>
              </w:rPr>
              <w:t>Persons in Households with Adult(s) and Child(ren)</w:t>
            </w:r>
          </w:p>
        </w:tc>
        <w:tc>
          <w:tcPr>
            <w:tcW w:w="0" w:type="auto"/>
            <w:tcBorders>
              <w:top w:val="single" w:sz="4" w:space="0" w:color="auto"/>
              <w:left w:val="single" w:sz="4" w:space="0" w:color="auto"/>
              <w:bottom w:val="single" w:sz="4" w:space="0" w:color="auto"/>
              <w:right w:val="single" w:sz="4" w:space="0" w:color="auto"/>
            </w:tcBorders>
            <w:vAlign w:val="bottom"/>
          </w:tcPr>
          <w:p w14:paraId="11A4EE89" w14:textId="77777777" w:rsidR="00217A61" w:rsidRDefault="001C2695">
            <w:pPr>
              <w:spacing w:beforeAutospacing="1" w:afterAutospacing="1"/>
              <w:jc w:val="right"/>
            </w:pPr>
            <w:r>
              <w:rPr>
                <w:color w:val="000000"/>
              </w:rPr>
              <w:t>240</w:t>
            </w:r>
          </w:p>
        </w:tc>
        <w:tc>
          <w:tcPr>
            <w:tcW w:w="0" w:type="auto"/>
            <w:tcBorders>
              <w:top w:val="single" w:sz="4" w:space="0" w:color="auto"/>
              <w:left w:val="single" w:sz="4" w:space="0" w:color="auto"/>
              <w:bottom w:val="single" w:sz="4" w:space="0" w:color="auto"/>
              <w:right w:val="single" w:sz="4" w:space="0" w:color="auto"/>
            </w:tcBorders>
            <w:vAlign w:val="bottom"/>
          </w:tcPr>
          <w:p w14:paraId="7F5FA8ED" w14:textId="77777777" w:rsidR="00217A61" w:rsidRDefault="001C2695">
            <w:pPr>
              <w:spacing w:beforeAutospacing="1" w:afterAutospacing="1"/>
              <w:jc w:val="right"/>
            </w:pPr>
            <w:r>
              <w:rPr>
                <w:color w:val="000000"/>
              </w:rPr>
              <w:t>736</w:t>
            </w:r>
          </w:p>
        </w:tc>
        <w:tc>
          <w:tcPr>
            <w:tcW w:w="0" w:type="auto"/>
            <w:tcBorders>
              <w:top w:val="single" w:sz="4" w:space="0" w:color="auto"/>
              <w:left w:val="single" w:sz="4" w:space="0" w:color="auto"/>
              <w:bottom w:val="single" w:sz="4" w:space="0" w:color="auto"/>
              <w:right w:val="single" w:sz="4" w:space="0" w:color="auto"/>
            </w:tcBorders>
            <w:vAlign w:val="bottom"/>
          </w:tcPr>
          <w:p w14:paraId="13E07DEB"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264B508D"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325E0332"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BAD6410" w14:textId="77777777" w:rsidR="00217A61" w:rsidRDefault="001C2695">
            <w:pPr>
              <w:spacing w:beforeAutospacing="1" w:afterAutospacing="1"/>
              <w:jc w:val="right"/>
            </w:pPr>
            <w:r>
              <w:rPr>
                <w:color w:val="000000"/>
              </w:rPr>
              <w:t>0</w:t>
            </w:r>
          </w:p>
        </w:tc>
      </w:tr>
      <w:tr w:rsidR="00217A61" w14:paraId="372682C1" w14:textId="77777777">
        <w:trPr>
          <w:cantSplit/>
        </w:trPr>
        <w:tc>
          <w:tcPr>
            <w:tcW w:w="0" w:type="auto"/>
            <w:tcBorders>
              <w:top w:val="single" w:sz="4" w:space="0" w:color="auto"/>
              <w:left w:val="single" w:sz="4" w:space="0" w:color="auto"/>
              <w:bottom w:val="single" w:sz="4" w:space="0" w:color="auto"/>
              <w:right w:val="single" w:sz="4" w:space="0" w:color="auto"/>
            </w:tcBorders>
          </w:tcPr>
          <w:p w14:paraId="4E8B0D9F" w14:textId="77777777" w:rsidR="00217A61" w:rsidRDefault="001C2695">
            <w:pPr>
              <w:spacing w:beforeAutospacing="1" w:afterAutospacing="1"/>
            </w:pPr>
            <w:r>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14:paraId="47967104"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17A81A3" w14:textId="77777777" w:rsidR="00217A61" w:rsidRDefault="001C2695">
            <w:pPr>
              <w:spacing w:beforeAutospacing="1" w:afterAutospacing="1"/>
              <w:jc w:val="right"/>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bottom"/>
          </w:tcPr>
          <w:p w14:paraId="03CC4C98"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4FA318CB"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3EFAF8B7"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3D245D92" w14:textId="77777777" w:rsidR="00217A61" w:rsidRDefault="001C2695">
            <w:pPr>
              <w:spacing w:beforeAutospacing="1" w:afterAutospacing="1"/>
              <w:jc w:val="right"/>
            </w:pPr>
            <w:r>
              <w:rPr>
                <w:color w:val="000000"/>
              </w:rPr>
              <w:t>0</w:t>
            </w:r>
          </w:p>
        </w:tc>
      </w:tr>
      <w:tr w:rsidR="00217A61" w14:paraId="47511609" w14:textId="77777777">
        <w:trPr>
          <w:cantSplit/>
        </w:trPr>
        <w:tc>
          <w:tcPr>
            <w:tcW w:w="0" w:type="auto"/>
            <w:tcBorders>
              <w:top w:val="single" w:sz="4" w:space="0" w:color="auto"/>
              <w:left w:val="single" w:sz="4" w:space="0" w:color="auto"/>
              <w:bottom w:val="single" w:sz="4" w:space="0" w:color="auto"/>
              <w:right w:val="single" w:sz="4" w:space="0" w:color="auto"/>
            </w:tcBorders>
          </w:tcPr>
          <w:p w14:paraId="5B730259" w14:textId="77777777" w:rsidR="00217A61" w:rsidRDefault="001C2695">
            <w:pPr>
              <w:spacing w:beforeAutospacing="1" w:afterAutospacing="1"/>
            </w:pPr>
            <w:r>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14:paraId="662E012C" w14:textId="77777777" w:rsidR="00217A61" w:rsidRDefault="001C2695">
            <w:pPr>
              <w:spacing w:beforeAutospacing="1" w:afterAutospacing="1"/>
              <w:jc w:val="right"/>
            </w:pPr>
            <w:r>
              <w:rPr>
                <w:color w:val="000000"/>
              </w:rPr>
              <w:t>293</w:t>
            </w:r>
          </w:p>
        </w:tc>
        <w:tc>
          <w:tcPr>
            <w:tcW w:w="0" w:type="auto"/>
            <w:tcBorders>
              <w:top w:val="single" w:sz="4" w:space="0" w:color="auto"/>
              <w:left w:val="single" w:sz="4" w:space="0" w:color="auto"/>
              <w:bottom w:val="single" w:sz="4" w:space="0" w:color="auto"/>
              <w:right w:val="single" w:sz="4" w:space="0" w:color="auto"/>
            </w:tcBorders>
            <w:vAlign w:val="bottom"/>
          </w:tcPr>
          <w:p w14:paraId="0DEFE3F5" w14:textId="77777777" w:rsidR="00217A61" w:rsidRDefault="001C2695">
            <w:pPr>
              <w:spacing w:beforeAutospacing="1" w:afterAutospacing="1"/>
              <w:jc w:val="right"/>
            </w:pPr>
            <w:r>
              <w:rPr>
                <w:color w:val="000000"/>
              </w:rPr>
              <w:t>1,274</w:t>
            </w:r>
          </w:p>
        </w:tc>
        <w:tc>
          <w:tcPr>
            <w:tcW w:w="0" w:type="auto"/>
            <w:tcBorders>
              <w:top w:val="single" w:sz="4" w:space="0" w:color="auto"/>
              <w:left w:val="single" w:sz="4" w:space="0" w:color="auto"/>
              <w:bottom w:val="single" w:sz="4" w:space="0" w:color="auto"/>
              <w:right w:val="single" w:sz="4" w:space="0" w:color="auto"/>
            </w:tcBorders>
            <w:vAlign w:val="bottom"/>
          </w:tcPr>
          <w:p w14:paraId="4708E1DB"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3ACD5CB6"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36A76E6"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6604C04" w14:textId="77777777" w:rsidR="00217A61" w:rsidRDefault="001C2695">
            <w:pPr>
              <w:spacing w:beforeAutospacing="1" w:afterAutospacing="1"/>
              <w:jc w:val="right"/>
            </w:pPr>
            <w:r>
              <w:rPr>
                <w:color w:val="000000"/>
              </w:rPr>
              <w:t>0</w:t>
            </w:r>
          </w:p>
        </w:tc>
      </w:tr>
      <w:tr w:rsidR="00217A61" w14:paraId="23A8748C" w14:textId="77777777">
        <w:trPr>
          <w:cantSplit/>
        </w:trPr>
        <w:tc>
          <w:tcPr>
            <w:tcW w:w="0" w:type="auto"/>
            <w:tcBorders>
              <w:top w:val="single" w:sz="4" w:space="0" w:color="auto"/>
              <w:left w:val="single" w:sz="4" w:space="0" w:color="auto"/>
              <w:bottom w:val="single" w:sz="4" w:space="0" w:color="auto"/>
              <w:right w:val="single" w:sz="4" w:space="0" w:color="auto"/>
            </w:tcBorders>
          </w:tcPr>
          <w:p w14:paraId="0CC73648" w14:textId="77777777" w:rsidR="00217A61" w:rsidRDefault="001C2695">
            <w:pPr>
              <w:spacing w:beforeAutospacing="1" w:afterAutospacing="1"/>
            </w:pPr>
            <w:r>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14:paraId="517A27EB" w14:textId="77777777" w:rsidR="00217A61" w:rsidRDefault="001C2695">
            <w:pPr>
              <w:spacing w:beforeAutospacing="1" w:afterAutospacing="1"/>
              <w:jc w:val="right"/>
            </w:pPr>
            <w:r>
              <w:rPr>
                <w:color w:val="000000"/>
              </w:rPr>
              <w:t>130</w:t>
            </w:r>
          </w:p>
        </w:tc>
        <w:tc>
          <w:tcPr>
            <w:tcW w:w="0" w:type="auto"/>
            <w:tcBorders>
              <w:top w:val="single" w:sz="4" w:space="0" w:color="auto"/>
              <w:left w:val="single" w:sz="4" w:space="0" w:color="auto"/>
              <w:bottom w:val="single" w:sz="4" w:space="0" w:color="auto"/>
              <w:right w:val="single" w:sz="4" w:space="0" w:color="auto"/>
            </w:tcBorders>
            <w:vAlign w:val="bottom"/>
          </w:tcPr>
          <w:p w14:paraId="565A5250" w14:textId="77777777" w:rsidR="00217A61" w:rsidRDefault="001C2695">
            <w:pPr>
              <w:spacing w:beforeAutospacing="1" w:afterAutospacing="1"/>
              <w:jc w:val="right"/>
            </w:pPr>
            <w:r>
              <w:rPr>
                <w:color w:val="000000"/>
              </w:rPr>
              <w:t>154</w:t>
            </w:r>
          </w:p>
        </w:tc>
        <w:tc>
          <w:tcPr>
            <w:tcW w:w="0" w:type="auto"/>
            <w:tcBorders>
              <w:top w:val="single" w:sz="4" w:space="0" w:color="auto"/>
              <w:left w:val="single" w:sz="4" w:space="0" w:color="auto"/>
              <w:bottom w:val="single" w:sz="4" w:space="0" w:color="auto"/>
              <w:right w:val="single" w:sz="4" w:space="0" w:color="auto"/>
            </w:tcBorders>
            <w:vAlign w:val="bottom"/>
          </w:tcPr>
          <w:p w14:paraId="6214AF23"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4E8FB704"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A6D0478"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43515EA3" w14:textId="77777777" w:rsidR="00217A61" w:rsidRDefault="001C2695">
            <w:pPr>
              <w:spacing w:beforeAutospacing="1" w:afterAutospacing="1"/>
              <w:jc w:val="right"/>
            </w:pPr>
            <w:r>
              <w:rPr>
                <w:color w:val="000000"/>
              </w:rPr>
              <w:t>0</w:t>
            </w:r>
          </w:p>
        </w:tc>
      </w:tr>
      <w:tr w:rsidR="00217A61" w14:paraId="1A6F3E38" w14:textId="77777777">
        <w:trPr>
          <w:cantSplit/>
        </w:trPr>
        <w:tc>
          <w:tcPr>
            <w:tcW w:w="0" w:type="auto"/>
            <w:tcBorders>
              <w:top w:val="single" w:sz="4" w:space="0" w:color="auto"/>
              <w:left w:val="single" w:sz="4" w:space="0" w:color="auto"/>
              <w:bottom w:val="single" w:sz="4" w:space="0" w:color="auto"/>
              <w:right w:val="single" w:sz="4" w:space="0" w:color="auto"/>
            </w:tcBorders>
          </w:tcPr>
          <w:p w14:paraId="108BF6D4" w14:textId="77777777" w:rsidR="00217A61" w:rsidRDefault="001C2695">
            <w:pPr>
              <w:spacing w:beforeAutospacing="1" w:afterAutospacing="1"/>
            </w:pPr>
            <w:r>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14:paraId="6488DFEE" w14:textId="77777777" w:rsidR="00217A61" w:rsidRDefault="001C2695">
            <w:pPr>
              <w:spacing w:beforeAutospacing="1" w:afterAutospacing="1"/>
              <w:jc w:val="right"/>
            </w:pPr>
            <w:r>
              <w:rPr>
                <w:color w:val="000000"/>
              </w:rPr>
              <w:t>6</w:t>
            </w:r>
          </w:p>
        </w:tc>
        <w:tc>
          <w:tcPr>
            <w:tcW w:w="0" w:type="auto"/>
            <w:tcBorders>
              <w:top w:val="single" w:sz="4" w:space="0" w:color="auto"/>
              <w:left w:val="single" w:sz="4" w:space="0" w:color="auto"/>
              <w:bottom w:val="single" w:sz="4" w:space="0" w:color="auto"/>
              <w:right w:val="single" w:sz="4" w:space="0" w:color="auto"/>
            </w:tcBorders>
            <w:vAlign w:val="bottom"/>
          </w:tcPr>
          <w:p w14:paraId="7203A126" w14:textId="77777777" w:rsidR="00217A61" w:rsidRDefault="001C2695">
            <w:pPr>
              <w:spacing w:beforeAutospacing="1" w:afterAutospacing="1"/>
              <w:jc w:val="right"/>
            </w:pPr>
            <w:r>
              <w:rPr>
                <w:color w:val="000000"/>
              </w:rPr>
              <w:t>26</w:t>
            </w:r>
          </w:p>
        </w:tc>
        <w:tc>
          <w:tcPr>
            <w:tcW w:w="0" w:type="auto"/>
            <w:tcBorders>
              <w:top w:val="single" w:sz="4" w:space="0" w:color="auto"/>
              <w:left w:val="single" w:sz="4" w:space="0" w:color="auto"/>
              <w:bottom w:val="single" w:sz="4" w:space="0" w:color="auto"/>
              <w:right w:val="single" w:sz="4" w:space="0" w:color="auto"/>
            </w:tcBorders>
            <w:vAlign w:val="bottom"/>
          </w:tcPr>
          <w:p w14:paraId="104A1A08"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5D555B0"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6444FDED"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45CE67C1" w14:textId="77777777" w:rsidR="00217A61" w:rsidRDefault="001C2695">
            <w:pPr>
              <w:spacing w:beforeAutospacing="1" w:afterAutospacing="1"/>
              <w:jc w:val="right"/>
            </w:pPr>
            <w:r>
              <w:rPr>
                <w:color w:val="000000"/>
              </w:rPr>
              <w:t>0</w:t>
            </w:r>
          </w:p>
        </w:tc>
      </w:tr>
      <w:tr w:rsidR="00217A61" w14:paraId="369BB9FC" w14:textId="77777777">
        <w:trPr>
          <w:cantSplit/>
        </w:trPr>
        <w:tc>
          <w:tcPr>
            <w:tcW w:w="0" w:type="auto"/>
            <w:tcBorders>
              <w:top w:val="single" w:sz="4" w:space="0" w:color="auto"/>
              <w:left w:val="single" w:sz="4" w:space="0" w:color="auto"/>
              <w:bottom w:val="single" w:sz="4" w:space="0" w:color="auto"/>
              <w:right w:val="single" w:sz="4" w:space="0" w:color="auto"/>
            </w:tcBorders>
          </w:tcPr>
          <w:p w14:paraId="38B29B6C" w14:textId="77777777" w:rsidR="00217A61" w:rsidRDefault="001C2695">
            <w:pPr>
              <w:spacing w:beforeAutospacing="1" w:afterAutospacing="1"/>
            </w:pPr>
            <w:r>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14:paraId="3701571A" w14:textId="77777777" w:rsidR="00217A61" w:rsidRDefault="001C2695">
            <w:pPr>
              <w:spacing w:beforeAutospacing="1" w:afterAutospacing="1"/>
              <w:jc w:val="right"/>
            </w:pPr>
            <w:r>
              <w:rPr>
                <w:color w:val="000000"/>
              </w:rPr>
              <w:t>33</w:t>
            </w:r>
          </w:p>
        </w:tc>
        <w:tc>
          <w:tcPr>
            <w:tcW w:w="0" w:type="auto"/>
            <w:tcBorders>
              <w:top w:val="single" w:sz="4" w:space="0" w:color="auto"/>
              <w:left w:val="single" w:sz="4" w:space="0" w:color="auto"/>
              <w:bottom w:val="single" w:sz="4" w:space="0" w:color="auto"/>
              <w:right w:val="single" w:sz="4" w:space="0" w:color="auto"/>
            </w:tcBorders>
            <w:vAlign w:val="bottom"/>
          </w:tcPr>
          <w:p w14:paraId="49774441" w14:textId="77777777" w:rsidR="00217A61" w:rsidRDefault="001C2695">
            <w:pPr>
              <w:spacing w:beforeAutospacing="1" w:afterAutospacing="1"/>
              <w:jc w:val="right"/>
            </w:pPr>
            <w:r>
              <w:rPr>
                <w:color w:val="000000"/>
              </w:rPr>
              <w:t>129</w:t>
            </w:r>
          </w:p>
        </w:tc>
        <w:tc>
          <w:tcPr>
            <w:tcW w:w="0" w:type="auto"/>
            <w:tcBorders>
              <w:top w:val="single" w:sz="4" w:space="0" w:color="auto"/>
              <w:left w:val="single" w:sz="4" w:space="0" w:color="auto"/>
              <w:bottom w:val="single" w:sz="4" w:space="0" w:color="auto"/>
              <w:right w:val="single" w:sz="4" w:space="0" w:color="auto"/>
            </w:tcBorders>
            <w:vAlign w:val="bottom"/>
          </w:tcPr>
          <w:p w14:paraId="7F825A36"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46CBB956"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1091EB7E"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4903ECAE" w14:textId="77777777" w:rsidR="00217A61" w:rsidRDefault="001C2695">
            <w:pPr>
              <w:spacing w:beforeAutospacing="1" w:afterAutospacing="1"/>
              <w:jc w:val="right"/>
            </w:pPr>
            <w:r>
              <w:rPr>
                <w:color w:val="000000"/>
              </w:rPr>
              <w:t>0</w:t>
            </w:r>
          </w:p>
        </w:tc>
      </w:tr>
      <w:tr w:rsidR="00217A61" w14:paraId="771AEBE8" w14:textId="77777777">
        <w:trPr>
          <w:cantSplit/>
        </w:trPr>
        <w:tc>
          <w:tcPr>
            <w:tcW w:w="0" w:type="auto"/>
            <w:tcBorders>
              <w:top w:val="single" w:sz="4" w:space="0" w:color="auto"/>
              <w:left w:val="single" w:sz="4" w:space="0" w:color="auto"/>
              <w:bottom w:val="single" w:sz="4" w:space="0" w:color="auto"/>
              <w:right w:val="single" w:sz="4" w:space="0" w:color="auto"/>
            </w:tcBorders>
          </w:tcPr>
          <w:p w14:paraId="0F3ACC2C" w14:textId="77777777" w:rsidR="00217A61" w:rsidRDefault="001C2695">
            <w:pPr>
              <w:spacing w:beforeAutospacing="1" w:afterAutospacing="1"/>
            </w:pPr>
            <w:r>
              <w:rPr>
                <w:color w:val="000000"/>
              </w:rPr>
              <w:lastRenderedPageBreak/>
              <w:t>Unaccompanied Youth</w:t>
            </w:r>
          </w:p>
        </w:tc>
        <w:tc>
          <w:tcPr>
            <w:tcW w:w="0" w:type="auto"/>
            <w:tcBorders>
              <w:top w:val="single" w:sz="4" w:space="0" w:color="auto"/>
              <w:left w:val="single" w:sz="4" w:space="0" w:color="auto"/>
              <w:bottom w:val="single" w:sz="4" w:space="0" w:color="auto"/>
              <w:right w:val="single" w:sz="4" w:space="0" w:color="auto"/>
            </w:tcBorders>
            <w:vAlign w:val="bottom"/>
          </w:tcPr>
          <w:p w14:paraId="5DB75C5F" w14:textId="77777777" w:rsidR="00217A61" w:rsidRDefault="001C2695">
            <w:pPr>
              <w:spacing w:beforeAutospacing="1" w:afterAutospacing="1"/>
              <w:jc w:val="right"/>
            </w:pPr>
            <w:r>
              <w:rPr>
                <w:color w:val="000000"/>
              </w:rPr>
              <w:t>40</w:t>
            </w:r>
          </w:p>
        </w:tc>
        <w:tc>
          <w:tcPr>
            <w:tcW w:w="0" w:type="auto"/>
            <w:tcBorders>
              <w:top w:val="single" w:sz="4" w:space="0" w:color="auto"/>
              <w:left w:val="single" w:sz="4" w:space="0" w:color="auto"/>
              <w:bottom w:val="single" w:sz="4" w:space="0" w:color="auto"/>
              <w:right w:val="single" w:sz="4" w:space="0" w:color="auto"/>
            </w:tcBorders>
            <w:vAlign w:val="bottom"/>
          </w:tcPr>
          <w:p w14:paraId="5E5F7EAD" w14:textId="77777777" w:rsidR="00217A61" w:rsidRDefault="001C2695">
            <w:pPr>
              <w:spacing w:beforeAutospacing="1" w:afterAutospacing="1"/>
              <w:jc w:val="right"/>
            </w:pPr>
            <w:r>
              <w:rPr>
                <w:color w:val="000000"/>
              </w:rPr>
              <w:t>147</w:t>
            </w:r>
          </w:p>
        </w:tc>
        <w:tc>
          <w:tcPr>
            <w:tcW w:w="0" w:type="auto"/>
            <w:tcBorders>
              <w:top w:val="single" w:sz="4" w:space="0" w:color="auto"/>
              <w:left w:val="single" w:sz="4" w:space="0" w:color="auto"/>
              <w:bottom w:val="single" w:sz="4" w:space="0" w:color="auto"/>
              <w:right w:val="single" w:sz="4" w:space="0" w:color="auto"/>
            </w:tcBorders>
            <w:vAlign w:val="bottom"/>
          </w:tcPr>
          <w:p w14:paraId="108BAEB5"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9BA12E5"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273BD6C"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3D36B718" w14:textId="77777777" w:rsidR="00217A61" w:rsidRDefault="001C2695">
            <w:pPr>
              <w:spacing w:beforeAutospacing="1" w:afterAutospacing="1"/>
              <w:jc w:val="right"/>
            </w:pPr>
            <w:r>
              <w:rPr>
                <w:color w:val="000000"/>
              </w:rPr>
              <w:t>0</w:t>
            </w:r>
          </w:p>
        </w:tc>
      </w:tr>
      <w:tr w:rsidR="00217A61" w14:paraId="64E7BC40" w14:textId="77777777">
        <w:trPr>
          <w:cantSplit/>
        </w:trPr>
        <w:tc>
          <w:tcPr>
            <w:tcW w:w="0" w:type="auto"/>
            <w:tcBorders>
              <w:top w:val="single" w:sz="4" w:space="0" w:color="auto"/>
              <w:left w:val="single" w:sz="4" w:space="0" w:color="auto"/>
              <w:bottom w:val="single" w:sz="4" w:space="0" w:color="auto"/>
              <w:right w:val="single" w:sz="4" w:space="0" w:color="auto"/>
            </w:tcBorders>
          </w:tcPr>
          <w:p w14:paraId="5ED91B77" w14:textId="77777777" w:rsidR="00217A61" w:rsidRDefault="001C2695">
            <w:pPr>
              <w:spacing w:beforeAutospacing="1" w:afterAutospacing="1"/>
            </w:pPr>
            <w:r>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14:paraId="49FF8B8E"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6B99B2EE"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2724755"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5272686"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9FDC7AF" w14:textId="77777777" w:rsidR="00217A61" w:rsidRDefault="001C2695">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17E26FCD" w14:textId="77777777" w:rsidR="00217A61" w:rsidRDefault="001C2695">
            <w:pPr>
              <w:spacing w:beforeAutospacing="1" w:afterAutospacing="1"/>
              <w:jc w:val="right"/>
            </w:pPr>
            <w:r>
              <w:rPr>
                <w:color w:val="000000"/>
              </w:rPr>
              <w:t>0</w:t>
            </w:r>
          </w:p>
        </w:tc>
      </w:tr>
    </w:tbl>
    <w:p w14:paraId="292DC69B"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27</w:t>
      </w:r>
      <w:r>
        <w:rPr>
          <w:rFonts w:asciiTheme="minorHAnsi" w:hAnsiTheme="minorHAnsi"/>
        </w:rPr>
        <w:fldChar w:fldCharType="end"/>
      </w:r>
      <w:r>
        <w:rPr>
          <w:rFonts w:asciiTheme="minorHAnsi" w:hAnsiTheme="minorHAnsi"/>
        </w:rPr>
        <w:t xml:space="preserve"> - Homeless Needs Assessment  </w:t>
      </w:r>
    </w:p>
    <w:p w14:paraId="5C28FC9A" w14:textId="77777777" w:rsidR="00217A61" w:rsidRDefault="00217A61">
      <w:pPr>
        <w:keepNext/>
        <w:widowControl w:val="0"/>
        <w:spacing w:after="0" w:line="240" w:lineRule="auto"/>
        <w:jc w:val="center"/>
        <w:rPr>
          <w:b/>
          <w:bCs/>
          <w:vanish/>
          <w:sz w:val="20"/>
          <w:szCs w:val="20"/>
        </w:rPr>
      </w:pPr>
    </w:p>
    <w:tbl>
      <w:tblPr>
        <w:tblW w:w="0" w:type="auto"/>
        <w:tblInd w:w="108" w:type="dxa"/>
        <w:tblLook w:val="01E0" w:firstRow="1" w:lastRow="1" w:firstColumn="1" w:lastColumn="1" w:noHBand="0" w:noVBand="0"/>
      </w:tblPr>
      <w:tblGrid>
        <w:gridCol w:w="2160"/>
      </w:tblGrid>
      <w:tr w:rsidR="00217A61" w14:paraId="709CAECC" w14:textId="77777777">
        <w:tc>
          <w:tcPr>
            <w:tcW w:w="0" w:type="auto"/>
            <w:hideMark/>
          </w:tcPr>
          <w:p w14:paraId="2B6F870C" w14:textId="77777777" w:rsidR="00217A61" w:rsidRDefault="00217A61">
            <w:pPr>
              <w:keepNext/>
              <w:widowControl w:val="0"/>
              <w:spacing w:after="0" w:line="240" w:lineRule="auto"/>
              <w:rPr>
                <w:sz w:val="16"/>
                <w:szCs w:val="16"/>
              </w:rPr>
            </w:pPr>
          </w:p>
        </w:tc>
      </w:tr>
      <w:tr w:rsidR="00217A61" w14:paraId="5AEE1890" w14:textId="77777777">
        <w:tc>
          <w:tcPr>
            <w:tcW w:w="0" w:type="auto"/>
            <w:hideMark/>
          </w:tcPr>
          <w:p w14:paraId="45EAC756" w14:textId="77777777" w:rsidR="00217A61" w:rsidRDefault="001C2695">
            <w:pPr>
              <w:keepNext/>
              <w:widowControl w:val="0"/>
              <w:spacing w:after="0" w:line="240" w:lineRule="auto"/>
            </w:pPr>
            <w:r>
              <w:rPr>
                <w:b/>
                <w:sz w:val="16"/>
                <w:szCs w:val="16"/>
              </w:rPr>
              <w:t>Alternate Data Source Name:</w:t>
            </w:r>
            <w:r>
              <w:t xml:space="preserve"> </w:t>
            </w:r>
          </w:p>
        </w:tc>
      </w:tr>
      <w:tr w:rsidR="00217A61" w14:paraId="2BDE664F" w14:textId="77777777">
        <w:trPr>
          <w:cantSplit/>
        </w:trPr>
        <w:tc>
          <w:tcPr>
            <w:tcW w:w="0" w:type="auto"/>
          </w:tcPr>
          <w:p w14:paraId="7B3142D9" w14:textId="77777777" w:rsidR="00217A61" w:rsidRDefault="001C2695">
            <w:pPr>
              <w:spacing w:beforeAutospacing="1" w:afterAutospacing="1"/>
            </w:pPr>
            <w:r>
              <w:rPr>
                <w:color w:val="000000"/>
                <w:sz w:val="16"/>
              </w:rPr>
              <w:t xml:space="preserve">2019 PIT Count by </w:t>
            </w:r>
            <w:proofErr w:type="spellStart"/>
            <w:r>
              <w:rPr>
                <w:color w:val="000000"/>
                <w:sz w:val="16"/>
              </w:rPr>
              <w:t>CoC</w:t>
            </w:r>
            <w:proofErr w:type="spellEnd"/>
          </w:p>
        </w:tc>
      </w:tr>
    </w:tbl>
    <w:p w14:paraId="0E07B8B2" w14:textId="77777777" w:rsidR="00217A61" w:rsidRDefault="00217A61">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61"/>
        <w:gridCol w:w="10999"/>
      </w:tblGrid>
      <w:tr w:rsidR="00217A61" w14:paraId="5316C5C1" w14:textId="77777777">
        <w:trPr>
          <w:cantSplit/>
        </w:trPr>
        <w:tc>
          <w:tcPr>
            <w:tcW w:w="13190" w:type="dxa"/>
            <w:gridSpan w:val="2"/>
            <w:vAlign w:val="bottom"/>
            <w:hideMark/>
          </w:tcPr>
          <w:p w14:paraId="59454FE4" w14:textId="77777777" w:rsidR="00217A61" w:rsidRDefault="00217A61">
            <w:pPr>
              <w:spacing w:after="0" w:line="240" w:lineRule="auto"/>
              <w:rPr>
                <w:sz w:val="16"/>
                <w:szCs w:val="16"/>
              </w:rPr>
            </w:pPr>
          </w:p>
        </w:tc>
      </w:tr>
      <w:tr w:rsidR="00217A61" w14:paraId="07185010" w14:textId="77777777">
        <w:trPr>
          <w:cantSplit/>
        </w:trPr>
        <w:tc>
          <w:tcPr>
            <w:tcW w:w="1980" w:type="dxa"/>
            <w:vAlign w:val="bottom"/>
            <w:hideMark/>
          </w:tcPr>
          <w:p w14:paraId="2BAD547B" w14:textId="77777777" w:rsidR="00217A61" w:rsidRDefault="001C2695">
            <w:pPr>
              <w:spacing w:after="0" w:line="240" w:lineRule="auto"/>
              <w:rPr>
                <w:sz w:val="16"/>
                <w:szCs w:val="16"/>
              </w:rPr>
            </w:pPr>
            <w:r>
              <w:rPr>
                <w:b/>
                <w:bCs/>
                <w:sz w:val="16"/>
                <w:szCs w:val="16"/>
              </w:rPr>
              <w:t>Data Source Comments:</w:t>
            </w:r>
            <w:r>
              <w:t xml:space="preserve"> </w:t>
            </w:r>
          </w:p>
        </w:tc>
        <w:tc>
          <w:tcPr>
            <w:tcW w:w="11210" w:type="dxa"/>
            <w:vAlign w:val="bottom"/>
            <w:hideMark/>
          </w:tcPr>
          <w:p w14:paraId="338EC495" w14:textId="77777777" w:rsidR="00217A61" w:rsidRDefault="001C2695">
            <w:pPr>
              <w:spacing w:after="0" w:line="240" w:lineRule="auto"/>
              <w:rPr>
                <w:sz w:val="16"/>
                <w:szCs w:val="16"/>
              </w:rPr>
            </w:pPr>
            <w:r>
              <w:t xml:space="preserve"> </w:t>
            </w:r>
          </w:p>
        </w:tc>
      </w:tr>
    </w:tbl>
    <w:p w14:paraId="4AC437AD" w14:textId="77777777" w:rsidR="00217A61" w:rsidRDefault="00217A61"/>
    <w:p w14:paraId="6498B4B9" w14:textId="77777777" w:rsidR="00217A61" w:rsidRDefault="001C2695">
      <w:pPr>
        <w:rPr>
          <w:b/>
          <w:sz w:val="24"/>
          <w:szCs w:val="24"/>
        </w:rPr>
      </w:pPr>
      <w:r>
        <w:rPr>
          <w:b/>
          <w:sz w:val="24"/>
          <w:szCs w:val="24"/>
        </w:rPr>
        <w:t xml:space="preserve">For persons in rural areas who are </w:t>
      </w:r>
      <w:r>
        <w:rPr>
          <w:b/>
          <w:sz w:val="24"/>
          <w:szCs w:val="24"/>
        </w:rPr>
        <w:t>homeless or at risk of homelessness, describe the nature and extent of unsheltered and sheltered homelessness with the jurisdiction:</w:t>
      </w:r>
      <w:r>
        <w:t xml:space="preserve"> </w:t>
      </w:r>
    </w:p>
    <w:tbl>
      <w:tblPr>
        <w:tblStyle w:val="TableGrid"/>
        <w:tblpPr w:leftFromText="180" w:rightFromText="180" w:bottomFromText="200" w:vertAnchor="text" w:horzAnchor="margin" w:tblpY="1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217A61" w14:paraId="057E00FB" w14:textId="77777777">
        <w:tc>
          <w:tcPr>
            <w:tcW w:w="13075" w:type="dxa"/>
            <w:hideMark/>
          </w:tcPr>
          <w:p w14:paraId="515A04FB" w14:textId="77777777" w:rsidR="00217A61" w:rsidRDefault="00217A61">
            <w:pPr>
              <w:rPr>
                <w:rFonts w:cs="Arial"/>
              </w:rPr>
            </w:pPr>
          </w:p>
        </w:tc>
      </w:tr>
      <w:tr w:rsidR="00217A61" w14:paraId="4A46B48C" w14:textId="77777777">
        <w:tc>
          <w:tcPr>
            <w:tcW w:w="13075" w:type="dxa"/>
            <w:hideMark/>
          </w:tcPr>
          <w:p w14:paraId="4DF850F5" w14:textId="77777777" w:rsidR="00217A61" w:rsidRDefault="001C2695">
            <w:pPr>
              <w:spacing w:beforeAutospacing="1" w:afterAutospacing="1"/>
              <w:rPr>
                <w:rFonts w:cs="Arial"/>
              </w:rPr>
            </w:pPr>
            <w:r>
              <w:rPr>
                <w:rFonts w:cs="Arial"/>
              </w:rPr>
              <w:t xml:space="preserve">The January 2019 Point in Time Count reports that 3,406 individuals were experiencing homelessness in two largely rural </w:t>
            </w:r>
            <w:proofErr w:type="spellStart"/>
            <w:r>
              <w:rPr>
                <w:rFonts w:cs="Arial"/>
              </w:rPr>
              <w:t>CoCs</w:t>
            </w:r>
            <w:proofErr w:type="spellEnd"/>
            <w:r>
              <w:rPr>
                <w:rFonts w:cs="Arial"/>
              </w:rPr>
              <w:t xml:space="preserve">, which represents 37% of the homeless population. These rural </w:t>
            </w:r>
            <w:proofErr w:type="spellStart"/>
            <w:r>
              <w:rPr>
                <w:rFonts w:cs="Arial"/>
              </w:rPr>
              <w:t>CoCs</w:t>
            </w:r>
            <w:proofErr w:type="spellEnd"/>
            <w:r>
              <w:rPr>
                <w:rFonts w:cs="Arial"/>
              </w:rPr>
              <w:t xml:space="preserve"> serve 42% of the state’s Asian homeless population and 50% of th</w:t>
            </w:r>
            <w:r>
              <w:rPr>
                <w:rFonts w:cs="Arial"/>
              </w:rPr>
              <w:t xml:space="preserve">e Native American homeless population. Roughly half (49%) of the total count of unsheltered homeless in North Carolina can be found in the largely rural </w:t>
            </w:r>
            <w:proofErr w:type="spellStart"/>
            <w:r>
              <w:rPr>
                <w:rFonts w:cs="Arial"/>
              </w:rPr>
              <w:t>CoCs</w:t>
            </w:r>
            <w:proofErr w:type="spellEnd"/>
            <w:r>
              <w:rPr>
                <w:rFonts w:cs="Arial"/>
              </w:rPr>
              <w:t>. The majority (83%) of North Carolina’s unsheltered homeless families can also be found in the lar</w:t>
            </w:r>
            <w:r>
              <w:rPr>
                <w:rFonts w:cs="Arial"/>
              </w:rPr>
              <w:t xml:space="preserve">gely rural </w:t>
            </w:r>
            <w:proofErr w:type="spellStart"/>
            <w:r>
              <w:rPr>
                <w:rFonts w:cs="Arial"/>
              </w:rPr>
              <w:t>CoCs</w:t>
            </w:r>
            <w:proofErr w:type="spellEnd"/>
            <w:r>
              <w:rPr>
                <w:rFonts w:cs="Arial"/>
              </w:rPr>
              <w:t>. This aligns with a report by the National Alliance to End Homelessness, which states that many rural homeless people reside in “hidden places”, such as campgrounds, cars, abandoned farm buildings or other places not intended for habitation</w:t>
            </w:r>
            <w:r>
              <w:rPr>
                <w:rFonts w:cs="Arial"/>
              </w:rPr>
              <w:t>. Out of the total homeless in rural areas, 68% were sheltered and 32% were unsheltered.  Since 2010, homelessness in rural areas has decreased by 7%. </w:t>
            </w:r>
          </w:p>
        </w:tc>
      </w:tr>
    </w:tbl>
    <w:p w14:paraId="15894E21" w14:textId="77777777" w:rsidR="00217A61" w:rsidRDefault="001C2695">
      <w:pPr>
        <w:rPr>
          <w:b/>
          <w:sz w:val="24"/>
          <w:szCs w:val="24"/>
        </w:rPr>
      </w:pPr>
      <w:r>
        <w:rPr>
          <w:b/>
          <w:sz w:val="24"/>
          <w:szCs w:val="24"/>
        </w:rPr>
        <w:t>If data is not available for the categories "number of persons becoming and exiting homelessness each y</w:t>
      </w:r>
      <w:r>
        <w:rPr>
          <w:b/>
          <w:sz w:val="24"/>
          <w:szCs w:val="24"/>
        </w:rPr>
        <w:t xml:space="preserve">ear," and "number of days that </w:t>
      </w:r>
      <w:proofErr w:type="gramStart"/>
      <w:r>
        <w:rPr>
          <w:b/>
          <w:sz w:val="24"/>
          <w:szCs w:val="24"/>
        </w:rPr>
        <w:t>persons</w:t>
      </w:r>
      <w:proofErr w:type="gramEnd"/>
      <w:r>
        <w:rPr>
          <w:b/>
          <w:sz w:val="24"/>
          <w:szCs w:val="24"/>
        </w:rPr>
        <w:t xml:space="preserve"> experience homelessness," describe these categories for each homeless population type (including chronically homeless individuals and families, families with children, veterans and their families, and unaccompanied yo</w:t>
      </w:r>
      <w:r>
        <w:rPr>
          <w:b/>
          <w:sz w:val="24"/>
          <w:szCs w:val="24"/>
        </w:rPr>
        <w:t>uth):</w:t>
      </w:r>
    </w:p>
    <w:p w14:paraId="4F8717B6" w14:textId="77777777" w:rsidR="00217A61" w:rsidRDefault="00217A61">
      <w:pPr>
        <w:rPr>
          <w:rFonts w:cs="Arial"/>
        </w:rPr>
      </w:pPr>
    </w:p>
    <w:p w14:paraId="0CA58526" w14:textId="77777777" w:rsidR="00217A61" w:rsidRDefault="00217A61">
      <w:pPr>
        <w:spacing w:after="0"/>
        <w:rPr>
          <w:b/>
          <w:sz w:val="24"/>
          <w:szCs w:val="24"/>
        </w:rPr>
        <w:sectPr w:rsidR="00217A61">
          <w:pgSz w:w="15840" w:h="12240" w:orient="landscape"/>
          <w:pgMar w:top="1440" w:right="1440" w:bottom="1440" w:left="1440" w:header="720" w:footer="720" w:gutter="0"/>
          <w:cols w:space="720"/>
        </w:sectPr>
      </w:pPr>
    </w:p>
    <w:p w14:paraId="44F1C916" w14:textId="77777777" w:rsidR="00217A61" w:rsidRDefault="001C2695">
      <w:pPr>
        <w:keepNext/>
        <w:widowControl w:val="0"/>
        <w:rPr>
          <w:b/>
          <w:sz w:val="24"/>
          <w:szCs w:val="24"/>
        </w:rPr>
      </w:pPr>
      <w:r>
        <w:rPr>
          <w:b/>
          <w:sz w:val="24"/>
          <w:szCs w:val="24"/>
        </w:rPr>
        <w:lastRenderedPageBreak/>
        <w:t>Nature and Extent of Homelessness: (Optional)</w:t>
      </w:r>
    </w:p>
    <w:tbl>
      <w:tblPr>
        <w:tblStyle w:val="TableGrid"/>
        <w:tblW w:w="0" w:type="auto"/>
        <w:tblLook w:val="04A0" w:firstRow="1" w:lastRow="0" w:firstColumn="1" w:lastColumn="0" w:noHBand="0" w:noVBand="1"/>
      </w:tblPr>
      <w:tblGrid>
        <w:gridCol w:w="3042"/>
        <w:gridCol w:w="3054"/>
        <w:gridCol w:w="3139"/>
      </w:tblGrid>
      <w:tr w:rsidR="00217A61" w14:paraId="56B4412C" w14:textId="77777777">
        <w:trPr>
          <w:cantSplit/>
          <w:tblHeader/>
        </w:trPr>
        <w:tc>
          <w:tcPr>
            <w:tcW w:w="3009" w:type="dxa"/>
            <w:tcBorders>
              <w:top w:val="single" w:sz="4" w:space="0" w:color="auto"/>
              <w:left w:val="single" w:sz="4" w:space="0" w:color="auto"/>
              <w:bottom w:val="single" w:sz="4" w:space="0" w:color="auto"/>
              <w:right w:val="single" w:sz="4" w:space="0" w:color="auto"/>
            </w:tcBorders>
            <w:hideMark/>
          </w:tcPr>
          <w:p w14:paraId="0ABC395F" w14:textId="77777777" w:rsidR="00217A61" w:rsidRDefault="001C2695">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14:paraId="71F1A5F5" w14:textId="77777777" w:rsidR="00217A61" w:rsidRDefault="001C2695">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14:paraId="5E78ADE6" w14:textId="77777777" w:rsidR="00217A61" w:rsidRDefault="001C2695">
            <w:pPr>
              <w:keepNext/>
              <w:widowControl w:val="0"/>
              <w:rPr>
                <w:b/>
                <w:sz w:val="24"/>
                <w:szCs w:val="24"/>
              </w:rPr>
            </w:pPr>
            <w:r>
              <w:rPr>
                <w:b/>
                <w:sz w:val="24"/>
                <w:szCs w:val="24"/>
              </w:rPr>
              <w:t>Unsheltered (optional)</w:t>
            </w:r>
          </w:p>
        </w:tc>
      </w:tr>
      <w:tr w:rsidR="00217A61" w14:paraId="3C994E54" w14:textId="77777777">
        <w:trPr>
          <w:cantSplit/>
        </w:trPr>
        <w:tc>
          <w:tcPr>
            <w:tcW w:w="0" w:type="auto"/>
            <w:tcBorders>
              <w:top w:val="single" w:sz="4" w:space="0" w:color="auto"/>
              <w:left w:val="single" w:sz="4" w:space="0" w:color="auto"/>
              <w:bottom w:val="single" w:sz="4" w:space="0" w:color="auto"/>
              <w:right w:val="single" w:sz="4" w:space="0" w:color="auto"/>
            </w:tcBorders>
          </w:tcPr>
          <w:p w14:paraId="5C350F0C" w14:textId="77777777" w:rsidR="00217A61" w:rsidRDefault="001C2695">
            <w:pPr>
              <w:spacing w:beforeAutospacing="1" w:afterAutospacing="1"/>
            </w:pPr>
            <w:r>
              <w:rPr>
                <w:color w:val="000000"/>
                <w:sz w:val="22"/>
              </w:rPr>
              <w:t>White</w:t>
            </w:r>
          </w:p>
        </w:tc>
        <w:tc>
          <w:tcPr>
            <w:tcW w:w="0" w:type="auto"/>
            <w:tcBorders>
              <w:top w:val="single" w:sz="4" w:space="0" w:color="auto"/>
              <w:left w:val="single" w:sz="4" w:space="0" w:color="auto"/>
              <w:bottom w:val="single" w:sz="4" w:space="0" w:color="auto"/>
              <w:right w:val="single" w:sz="4" w:space="0" w:color="auto"/>
            </w:tcBorders>
            <w:vAlign w:val="bottom"/>
          </w:tcPr>
          <w:p w14:paraId="7A8F25EF" w14:textId="77777777" w:rsidR="00217A61" w:rsidRDefault="001C2695">
            <w:pPr>
              <w:spacing w:beforeAutospacing="1" w:afterAutospacing="1"/>
              <w:jc w:val="right"/>
            </w:pPr>
            <w:r>
              <w:rPr>
                <w:color w:val="000000"/>
                <w:sz w:val="22"/>
              </w:rPr>
              <w:t>2,629</w:t>
            </w:r>
          </w:p>
        </w:tc>
        <w:tc>
          <w:tcPr>
            <w:tcW w:w="0" w:type="auto"/>
            <w:tcBorders>
              <w:top w:val="single" w:sz="4" w:space="0" w:color="auto"/>
              <w:left w:val="single" w:sz="4" w:space="0" w:color="auto"/>
              <w:bottom w:val="single" w:sz="4" w:space="0" w:color="auto"/>
              <w:right w:val="single" w:sz="4" w:space="0" w:color="auto"/>
            </w:tcBorders>
            <w:vAlign w:val="bottom"/>
          </w:tcPr>
          <w:p w14:paraId="60AF3536" w14:textId="77777777" w:rsidR="00217A61" w:rsidRDefault="001C2695">
            <w:pPr>
              <w:spacing w:beforeAutospacing="1" w:afterAutospacing="1"/>
              <w:jc w:val="right"/>
            </w:pPr>
            <w:r>
              <w:rPr>
                <w:color w:val="000000"/>
                <w:sz w:val="22"/>
              </w:rPr>
              <w:t>1,363</w:t>
            </w:r>
          </w:p>
        </w:tc>
      </w:tr>
      <w:tr w:rsidR="00217A61" w14:paraId="5F8C887B" w14:textId="77777777">
        <w:trPr>
          <w:cantSplit/>
        </w:trPr>
        <w:tc>
          <w:tcPr>
            <w:tcW w:w="0" w:type="auto"/>
            <w:tcBorders>
              <w:top w:val="single" w:sz="4" w:space="0" w:color="auto"/>
              <w:left w:val="single" w:sz="4" w:space="0" w:color="auto"/>
              <w:bottom w:val="single" w:sz="4" w:space="0" w:color="auto"/>
              <w:right w:val="single" w:sz="4" w:space="0" w:color="auto"/>
            </w:tcBorders>
          </w:tcPr>
          <w:p w14:paraId="605ED411" w14:textId="77777777" w:rsidR="00217A61" w:rsidRDefault="001C2695">
            <w:pPr>
              <w:spacing w:beforeAutospacing="1" w:afterAutospacing="1"/>
            </w:pPr>
            <w:r>
              <w:rPr>
                <w:color w:val="000000"/>
                <w:sz w:val="22"/>
              </w:rPr>
              <w:t>Black or African American</w:t>
            </w:r>
          </w:p>
        </w:tc>
        <w:tc>
          <w:tcPr>
            <w:tcW w:w="0" w:type="auto"/>
            <w:tcBorders>
              <w:top w:val="single" w:sz="4" w:space="0" w:color="auto"/>
              <w:left w:val="single" w:sz="4" w:space="0" w:color="auto"/>
              <w:bottom w:val="single" w:sz="4" w:space="0" w:color="auto"/>
              <w:right w:val="single" w:sz="4" w:space="0" w:color="auto"/>
            </w:tcBorders>
            <w:vAlign w:val="bottom"/>
          </w:tcPr>
          <w:p w14:paraId="30FA6B11" w14:textId="77777777" w:rsidR="00217A61" w:rsidRDefault="001C2695">
            <w:pPr>
              <w:spacing w:beforeAutospacing="1" w:afterAutospacing="1"/>
              <w:jc w:val="right"/>
            </w:pPr>
            <w:r>
              <w:rPr>
                <w:color w:val="000000"/>
                <w:sz w:val="22"/>
              </w:rPr>
              <w:t>4,043</w:t>
            </w:r>
          </w:p>
        </w:tc>
        <w:tc>
          <w:tcPr>
            <w:tcW w:w="0" w:type="auto"/>
            <w:tcBorders>
              <w:top w:val="single" w:sz="4" w:space="0" w:color="auto"/>
              <w:left w:val="single" w:sz="4" w:space="0" w:color="auto"/>
              <w:bottom w:val="single" w:sz="4" w:space="0" w:color="auto"/>
              <w:right w:val="single" w:sz="4" w:space="0" w:color="auto"/>
            </w:tcBorders>
            <w:vAlign w:val="bottom"/>
          </w:tcPr>
          <w:p w14:paraId="11EA2B51" w14:textId="77777777" w:rsidR="00217A61" w:rsidRDefault="001C2695">
            <w:pPr>
              <w:spacing w:beforeAutospacing="1" w:afterAutospacing="1"/>
              <w:jc w:val="right"/>
            </w:pPr>
            <w:r>
              <w:rPr>
                <w:color w:val="000000"/>
                <w:sz w:val="22"/>
              </w:rPr>
              <w:t>789</w:t>
            </w:r>
          </w:p>
        </w:tc>
      </w:tr>
      <w:tr w:rsidR="00217A61" w14:paraId="69A124CC" w14:textId="77777777">
        <w:trPr>
          <w:cantSplit/>
        </w:trPr>
        <w:tc>
          <w:tcPr>
            <w:tcW w:w="0" w:type="auto"/>
            <w:tcBorders>
              <w:top w:val="single" w:sz="4" w:space="0" w:color="auto"/>
              <w:left w:val="single" w:sz="4" w:space="0" w:color="auto"/>
              <w:bottom w:val="single" w:sz="4" w:space="0" w:color="auto"/>
              <w:right w:val="single" w:sz="4" w:space="0" w:color="auto"/>
            </w:tcBorders>
          </w:tcPr>
          <w:p w14:paraId="2D5CD085" w14:textId="77777777" w:rsidR="00217A61" w:rsidRDefault="001C2695">
            <w:pPr>
              <w:spacing w:beforeAutospacing="1" w:afterAutospacing="1"/>
            </w:pPr>
            <w:r>
              <w:rPr>
                <w:color w:val="000000"/>
                <w:sz w:val="22"/>
              </w:rPr>
              <w:t>Asian</w:t>
            </w:r>
          </w:p>
        </w:tc>
        <w:tc>
          <w:tcPr>
            <w:tcW w:w="0" w:type="auto"/>
            <w:tcBorders>
              <w:top w:val="single" w:sz="4" w:space="0" w:color="auto"/>
              <w:left w:val="single" w:sz="4" w:space="0" w:color="auto"/>
              <w:bottom w:val="single" w:sz="4" w:space="0" w:color="auto"/>
              <w:right w:val="single" w:sz="4" w:space="0" w:color="auto"/>
            </w:tcBorders>
            <w:vAlign w:val="bottom"/>
          </w:tcPr>
          <w:p w14:paraId="5CB83F21" w14:textId="77777777" w:rsidR="00217A61" w:rsidRDefault="001C2695">
            <w:pPr>
              <w:spacing w:beforeAutospacing="1" w:afterAutospacing="1"/>
              <w:jc w:val="right"/>
            </w:pPr>
            <w:r>
              <w:rPr>
                <w:color w:val="000000"/>
                <w:sz w:val="22"/>
              </w:rPr>
              <w:t>27</w:t>
            </w:r>
          </w:p>
        </w:tc>
        <w:tc>
          <w:tcPr>
            <w:tcW w:w="0" w:type="auto"/>
            <w:tcBorders>
              <w:top w:val="single" w:sz="4" w:space="0" w:color="auto"/>
              <w:left w:val="single" w:sz="4" w:space="0" w:color="auto"/>
              <w:bottom w:val="single" w:sz="4" w:space="0" w:color="auto"/>
              <w:right w:val="single" w:sz="4" w:space="0" w:color="auto"/>
            </w:tcBorders>
            <w:vAlign w:val="bottom"/>
          </w:tcPr>
          <w:p w14:paraId="235AB366" w14:textId="77777777" w:rsidR="00217A61" w:rsidRDefault="001C2695">
            <w:pPr>
              <w:spacing w:beforeAutospacing="1" w:afterAutospacing="1"/>
              <w:jc w:val="right"/>
            </w:pPr>
            <w:r>
              <w:rPr>
                <w:color w:val="000000"/>
                <w:sz w:val="22"/>
              </w:rPr>
              <w:t>4</w:t>
            </w:r>
          </w:p>
        </w:tc>
      </w:tr>
      <w:tr w:rsidR="00217A61" w14:paraId="19297091" w14:textId="77777777">
        <w:trPr>
          <w:cantSplit/>
        </w:trPr>
        <w:tc>
          <w:tcPr>
            <w:tcW w:w="0" w:type="auto"/>
            <w:tcBorders>
              <w:top w:val="single" w:sz="4" w:space="0" w:color="auto"/>
              <w:left w:val="single" w:sz="4" w:space="0" w:color="auto"/>
              <w:bottom w:val="single" w:sz="4" w:space="0" w:color="auto"/>
              <w:right w:val="single" w:sz="4" w:space="0" w:color="auto"/>
            </w:tcBorders>
          </w:tcPr>
          <w:p w14:paraId="660D90A8" w14:textId="77777777" w:rsidR="00217A61" w:rsidRDefault="001C2695">
            <w:pPr>
              <w:spacing w:beforeAutospacing="1" w:afterAutospacing="1"/>
            </w:pPr>
            <w:r>
              <w:rPr>
                <w:color w:val="000000"/>
                <w:sz w:val="22"/>
              </w:rPr>
              <w:t>American Indian or Alaska Native</w:t>
            </w:r>
          </w:p>
        </w:tc>
        <w:tc>
          <w:tcPr>
            <w:tcW w:w="0" w:type="auto"/>
            <w:tcBorders>
              <w:top w:val="single" w:sz="4" w:space="0" w:color="auto"/>
              <w:left w:val="single" w:sz="4" w:space="0" w:color="auto"/>
              <w:bottom w:val="single" w:sz="4" w:space="0" w:color="auto"/>
              <w:right w:val="single" w:sz="4" w:space="0" w:color="auto"/>
            </w:tcBorders>
            <w:vAlign w:val="bottom"/>
          </w:tcPr>
          <w:p w14:paraId="3173621C" w14:textId="77777777" w:rsidR="00217A61" w:rsidRDefault="001C2695">
            <w:pPr>
              <w:spacing w:beforeAutospacing="1" w:afterAutospacing="1"/>
              <w:jc w:val="right"/>
            </w:pPr>
            <w:r>
              <w:rPr>
                <w:color w:val="000000"/>
                <w:sz w:val="22"/>
              </w:rPr>
              <w:t>55</w:t>
            </w:r>
          </w:p>
        </w:tc>
        <w:tc>
          <w:tcPr>
            <w:tcW w:w="0" w:type="auto"/>
            <w:tcBorders>
              <w:top w:val="single" w:sz="4" w:space="0" w:color="auto"/>
              <w:left w:val="single" w:sz="4" w:space="0" w:color="auto"/>
              <w:bottom w:val="single" w:sz="4" w:space="0" w:color="auto"/>
              <w:right w:val="single" w:sz="4" w:space="0" w:color="auto"/>
            </w:tcBorders>
            <w:vAlign w:val="bottom"/>
          </w:tcPr>
          <w:p w14:paraId="3287A749" w14:textId="77777777" w:rsidR="00217A61" w:rsidRDefault="001C2695">
            <w:pPr>
              <w:spacing w:beforeAutospacing="1" w:afterAutospacing="1"/>
              <w:jc w:val="right"/>
            </w:pPr>
            <w:r>
              <w:rPr>
                <w:color w:val="000000"/>
                <w:sz w:val="22"/>
              </w:rPr>
              <w:t>39</w:t>
            </w:r>
          </w:p>
        </w:tc>
      </w:tr>
      <w:tr w:rsidR="00217A61" w14:paraId="2AAF4B31" w14:textId="77777777">
        <w:trPr>
          <w:cantSplit/>
        </w:trPr>
        <w:tc>
          <w:tcPr>
            <w:tcW w:w="0" w:type="auto"/>
            <w:tcBorders>
              <w:top w:val="single" w:sz="4" w:space="0" w:color="auto"/>
              <w:left w:val="single" w:sz="4" w:space="0" w:color="auto"/>
              <w:bottom w:val="single" w:sz="4" w:space="0" w:color="auto"/>
              <w:right w:val="single" w:sz="4" w:space="0" w:color="auto"/>
            </w:tcBorders>
          </w:tcPr>
          <w:p w14:paraId="65D0245E" w14:textId="77777777" w:rsidR="00217A61" w:rsidRDefault="001C2695">
            <w:pPr>
              <w:spacing w:beforeAutospacing="1" w:afterAutospacing="1"/>
            </w:pPr>
            <w:r>
              <w:rPr>
                <w:color w:val="000000"/>
                <w:sz w:val="22"/>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14:paraId="7D10251A" w14:textId="77777777" w:rsidR="00217A61" w:rsidRDefault="001C2695">
            <w:pPr>
              <w:spacing w:beforeAutospacing="1" w:afterAutospacing="1"/>
              <w:jc w:val="right"/>
            </w:pPr>
            <w:r>
              <w:rPr>
                <w:color w:val="000000"/>
                <w:sz w:val="22"/>
              </w:rPr>
              <w:t>16</w:t>
            </w:r>
          </w:p>
        </w:tc>
        <w:tc>
          <w:tcPr>
            <w:tcW w:w="0" w:type="auto"/>
            <w:tcBorders>
              <w:top w:val="single" w:sz="4" w:space="0" w:color="auto"/>
              <w:left w:val="single" w:sz="4" w:space="0" w:color="auto"/>
              <w:bottom w:val="single" w:sz="4" w:space="0" w:color="auto"/>
              <w:right w:val="single" w:sz="4" w:space="0" w:color="auto"/>
            </w:tcBorders>
            <w:vAlign w:val="bottom"/>
          </w:tcPr>
          <w:p w14:paraId="6F6C596B" w14:textId="77777777" w:rsidR="00217A61" w:rsidRDefault="001C2695">
            <w:pPr>
              <w:spacing w:beforeAutospacing="1" w:afterAutospacing="1"/>
              <w:jc w:val="right"/>
            </w:pPr>
            <w:r>
              <w:rPr>
                <w:color w:val="000000"/>
                <w:sz w:val="22"/>
              </w:rPr>
              <w:t>6</w:t>
            </w:r>
          </w:p>
        </w:tc>
      </w:tr>
      <w:tr w:rsidR="00217A61" w14:paraId="1932106E" w14:textId="77777777">
        <w:trPr>
          <w:cantSplit/>
          <w:tblHeader/>
        </w:trPr>
        <w:tc>
          <w:tcPr>
            <w:tcW w:w="3009" w:type="dxa"/>
            <w:tcBorders>
              <w:top w:val="single" w:sz="4" w:space="0" w:color="auto"/>
              <w:left w:val="single" w:sz="4" w:space="0" w:color="auto"/>
              <w:bottom w:val="single" w:sz="4" w:space="0" w:color="auto"/>
              <w:right w:val="single" w:sz="4" w:space="0" w:color="auto"/>
            </w:tcBorders>
            <w:hideMark/>
          </w:tcPr>
          <w:p w14:paraId="21E4713E" w14:textId="77777777" w:rsidR="00217A61" w:rsidRDefault="001C2695">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14:paraId="53D91437" w14:textId="77777777" w:rsidR="00217A61" w:rsidRDefault="001C2695">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14:paraId="49E960C4" w14:textId="77777777" w:rsidR="00217A61" w:rsidRDefault="001C2695">
            <w:pPr>
              <w:keepNext/>
              <w:widowControl w:val="0"/>
              <w:rPr>
                <w:b/>
                <w:sz w:val="24"/>
                <w:szCs w:val="24"/>
              </w:rPr>
            </w:pPr>
            <w:r>
              <w:rPr>
                <w:b/>
                <w:sz w:val="24"/>
                <w:szCs w:val="24"/>
              </w:rPr>
              <w:t>Unsheltered (optional)</w:t>
            </w:r>
          </w:p>
        </w:tc>
      </w:tr>
      <w:tr w:rsidR="00217A61" w14:paraId="0EED6E52" w14:textId="77777777">
        <w:trPr>
          <w:cantSplit/>
        </w:trPr>
        <w:tc>
          <w:tcPr>
            <w:tcW w:w="0" w:type="auto"/>
            <w:tcBorders>
              <w:top w:val="single" w:sz="4" w:space="0" w:color="auto"/>
              <w:left w:val="single" w:sz="4" w:space="0" w:color="auto"/>
              <w:bottom w:val="single" w:sz="4" w:space="0" w:color="auto"/>
              <w:right w:val="single" w:sz="4" w:space="0" w:color="auto"/>
            </w:tcBorders>
          </w:tcPr>
          <w:p w14:paraId="30ACFB8B" w14:textId="77777777" w:rsidR="00217A61" w:rsidRDefault="001C2695">
            <w:pPr>
              <w:spacing w:beforeAutospacing="1" w:afterAutospacing="1"/>
            </w:pPr>
            <w:r>
              <w:rPr>
                <w:color w:val="000000"/>
                <w:sz w:val="22"/>
              </w:rPr>
              <w:t>Hispanic</w:t>
            </w:r>
          </w:p>
        </w:tc>
        <w:tc>
          <w:tcPr>
            <w:tcW w:w="0" w:type="auto"/>
            <w:tcBorders>
              <w:top w:val="single" w:sz="4" w:space="0" w:color="auto"/>
              <w:left w:val="single" w:sz="4" w:space="0" w:color="auto"/>
              <w:bottom w:val="single" w:sz="4" w:space="0" w:color="auto"/>
              <w:right w:val="single" w:sz="4" w:space="0" w:color="auto"/>
            </w:tcBorders>
            <w:vAlign w:val="bottom"/>
          </w:tcPr>
          <w:p w14:paraId="773AC415" w14:textId="77777777" w:rsidR="00217A61" w:rsidRDefault="001C2695">
            <w:pPr>
              <w:spacing w:beforeAutospacing="1" w:afterAutospacing="1"/>
              <w:jc w:val="right"/>
            </w:pPr>
            <w:r>
              <w:rPr>
                <w:color w:val="000000"/>
                <w:sz w:val="22"/>
              </w:rPr>
              <w:t>273</w:t>
            </w:r>
          </w:p>
        </w:tc>
        <w:tc>
          <w:tcPr>
            <w:tcW w:w="0" w:type="auto"/>
            <w:tcBorders>
              <w:top w:val="single" w:sz="4" w:space="0" w:color="auto"/>
              <w:left w:val="single" w:sz="4" w:space="0" w:color="auto"/>
              <w:bottom w:val="single" w:sz="4" w:space="0" w:color="auto"/>
              <w:right w:val="single" w:sz="4" w:space="0" w:color="auto"/>
            </w:tcBorders>
            <w:vAlign w:val="bottom"/>
          </w:tcPr>
          <w:p w14:paraId="24814980" w14:textId="77777777" w:rsidR="00217A61" w:rsidRDefault="001C2695">
            <w:pPr>
              <w:spacing w:beforeAutospacing="1" w:afterAutospacing="1"/>
              <w:jc w:val="right"/>
            </w:pPr>
            <w:r>
              <w:rPr>
                <w:color w:val="000000"/>
                <w:sz w:val="22"/>
              </w:rPr>
              <w:t>138</w:t>
            </w:r>
          </w:p>
        </w:tc>
      </w:tr>
      <w:tr w:rsidR="00217A61" w14:paraId="2A6668F6" w14:textId="77777777">
        <w:trPr>
          <w:cantSplit/>
        </w:trPr>
        <w:tc>
          <w:tcPr>
            <w:tcW w:w="0" w:type="auto"/>
            <w:tcBorders>
              <w:top w:val="single" w:sz="4" w:space="0" w:color="auto"/>
              <w:left w:val="single" w:sz="4" w:space="0" w:color="auto"/>
              <w:bottom w:val="single" w:sz="4" w:space="0" w:color="auto"/>
              <w:right w:val="single" w:sz="4" w:space="0" w:color="auto"/>
            </w:tcBorders>
          </w:tcPr>
          <w:p w14:paraId="45AE09D1" w14:textId="77777777" w:rsidR="00217A61" w:rsidRDefault="001C2695">
            <w:pPr>
              <w:spacing w:beforeAutospacing="1" w:afterAutospacing="1"/>
            </w:pPr>
            <w:r>
              <w:rPr>
                <w:color w:val="000000"/>
                <w:sz w:val="22"/>
              </w:rPr>
              <w:t>Not Hispanic</w:t>
            </w:r>
          </w:p>
        </w:tc>
        <w:tc>
          <w:tcPr>
            <w:tcW w:w="0" w:type="auto"/>
            <w:tcBorders>
              <w:top w:val="single" w:sz="4" w:space="0" w:color="auto"/>
              <w:left w:val="single" w:sz="4" w:space="0" w:color="auto"/>
              <w:bottom w:val="single" w:sz="4" w:space="0" w:color="auto"/>
              <w:right w:val="single" w:sz="4" w:space="0" w:color="auto"/>
            </w:tcBorders>
            <w:vAlign w:val="bottom"/>
          </w:tcPr>
          <w:p w14:paraId="40BB8273" w14:textId="77777777" w:rsidR="00217A61" w:rsidRDefault="001C2695">
            <w:pPr>
              <w:spacing w:beforeAutospacing="1" w:afterAutospacing="1"/>
              <w:jc w:val="right"/>
            </w:pPr>
            <w:r>
              <w:rPr>
                <w:color w:val="000000"/>
                <w:sz w:val="22"/>
              </w:rPr>
              <w:t>6,773</w:t>
            </w:r>
          </w:p>
        </w:tc>
        <w:tc>
          <w:tcPr>
            <w:tcW w:w="0" w:type="auto"/>
            <w:tcBorders>
              <w:top w:val="single" w:sz="4" w:space="0" w:color="auto"/>
              <w:left w:val="single" w:sz="4" w:space="0" w:color="auto"/>
              <w:bottom w:val="single" w:sz="4" w:space="0" w:color="auto"/>
              <w:right w:val="single" w:sz="4" w:space="0" w:color="auto"/>
            </w:tcBorders>
            <w:vAlign w:val="bottom"/>
          </w:tcPr>
          <w:p w14:paraId="7488425A" w14:textId="77777777" w:rsidR="00217A61" w:rsidRDefault="001C2695">
            <w:pPr>
              <w:spacing w:beforeAutospacing="1" w:afterAutospacing="1"/>
              <w:jc w:val="right"/>
            </w:pPr>
            <w:r>
              <w:rPr>
                <w:color w:val="000000"/>
                <w:sz w:val="22"/>
              </w:rPr>
              <w:t>2,130</w:t>
            </w:r>
          </w:p>
        </w:tc>
      </w:tr>
    </w:tbl>
    <w:p w14:paraId="35D57F5B" w14:textId="77777777" w:rsidR="00217A61" w:rsidRDefault="00217A61">
      <w:pPr>
        <w:keepNext/>
        <w:widowControl w:val="0"/>
        <w:spacing w:after="0" w:line="240" w:lineRule="auto"/>
        <w:jc w:val="center"/>
        <w:rPr>
          <w:b/>
          <w:bCs/>
          <w:vanish/>
          <w:sz w:val="20"/>
          <w:szCs w:val="20"/>
        </w:rPr>
      </w:pPr>
    </w:p>
    <w:tbl>
      <w:tblPr>
        <w:tblW w:w="0" w:type="auto"/>
        <w:tblInd w:w="108" w:type="dxa"/>
        <w:tblLook w:val="01E0" w:firstRow="1" w:lastRow="1" w:firstColumn="1" w:lastColumn="1" w:noHBand="0" w:noVBand="0"/>
      </w:tblPr>
      <w:tblGrid>
        <w:gridCol w:w="2160"/>
      </w:tblGrid>
      <w:tr w:rsidR="00217A61" w14:paraId="07776246" w14:textId="77777777">
        <w:tc>
          <w:tcPr>
            <w:tcW w:w="0" w:type="auto"/>
            <w:hideMark/>
          </w:tcPr>
          <w:p w14:paraId="5A83A5AA" w14:textId="77777777" w:rsidR="00217A61" w:rsidRDefault="001C2695">
            <w:pPr>
              <w:keepNext/>
              <w:widowControl w:val="0"/>
              <w:spacing w:after="0" w:line="240" w:lineRule="auto"/>
            </w:pPr>
            <w:r>
              <w:rPr>
                <w:b/>
                <w:sz w:val="16"/>
                <w:szCs w:val="16"/>
              </w:rPr>
              <w:t>Alternate Data Source Name:</w:t>
            </w:r>
          </w:p>
        </w:tc>
      </w:tr>
      <w:tr w:rsidR="00217A61" w14:paraId="00312AB6" w14:textId="77777777">
        <w:trPr>
          <w:cantSplit/>
        </w:trPr>
        <w:tc>
          <w:tcPr>
            <w:tcW w:w="0" w:type="auto"/>
          </w:tcPr>
          <w:p w14:paraId="0A01C00B" w14:textId="77777777" w:rsidR="00217A61" w:rsidRDefault="001C2695">
            <w:pPr>
              <w:spacing w:beforeAutospacing="1" w:afterAutospacing="1"/>
            </w:pPr>
            <w:r>
              <w:rPr>
                <w:color w:val="000000"/>
                <w:sz w:val="16"/>
              </w:rPr>
              <w:t>2019 AHAR Part I</w:t>
            </w:r>
          </w:p>
        </w:tc>
      </w:tr>
    </w:tbl>
    <w:p w14:paraId="79402AE1" w14:textId="77777777" w:rsidR="00217A61" w:rsidRDefault="00217A61">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63"/>
        <w:gridCol w:w="7697"/>
      </w:tblGrid>
      <w:tr w:rsidR="00217A61" w14:paraId="43F60F64" w14:textId="77777777">
        <w:trPr>
          <w:cantSplit/>
        </w:trPr>
        <w:tc>
          <w:tcPr>
            <w:tcW w:w="1980" w:type="dxa"/>
            <w:vAlign w:val="bottom"/>
            <w:hideMark/>
          </w:tcPr>
          <w:p w14:paraId="2DBA04BC" w14:textId="77777777" w:rsidR="00217A61" w:rsidRDefault="001C2695">
            <w:pPr>
              <w:spacing w:after="0" w:line="240" w:lineRule="auto"/>
              <w:rPr>
                <w:sz w:val="16"/>
                <w:szCs w:val="16"/>
              </w:rPr>
            </w:pPr>
            <w:r>
              <w:rPr>
                <w:b/>
                <w:bCs/>
                <w:sz w:val="16"/>
                <w:szCs w:val="16"/>
              </w:rPr>
              <w:t>Data Source Comments:</w:t>
            </w:r>
          </w:p>
        </w:tc>
        <w:tc>
          <w:tcPr>
            <w:tcW w:w="11210" w:type="dxa"/>
            <w:vAlign w:val="bottom"/>
            <w:hideMark/>
          </w:tcPr>
          <w:p w14:paraId="5454600F" w14:textId="77777777" w:rsidR="00217A61" w:rsidRDefault="00217A61">
            <w:pPr>
              <w:spacing w:after="0" w:line="240" w:lineRule="auto"/>
              <w:rPr>
                <w:sz w:val="16"/>
                <w:szCs w:val="16"/>
              </w:rPr>
            </w:pPr>
          </w:p>
        </w:tc>
      </w:tr>
    </w:tbl>
    <w:p w14:paraId="51B95767" w14:textId="77777777" w:rsidR="00217A61" w:rsidRDefault="00217A61"/>
    <w:p w14:paraId="4E5AEFB8" w14:textId="77777777" w:rsidR="00217A61" w:rsidRDefault="001C2695">
      <w:pPr>
        <w:rPr>
          <w:b/>
          <w:sz w:val="24"/>
          <w:szCs w:val="24"/>
        </w:rPr>
      </w:pPr>
      <w:r>
        <w:rPr>
          <w:b/>
          <w:sz w:val="24"/>
          <w:szCs w:val="24"/>
        </w:rPr>
        <w:t xml:space="preserve">Estimate the number and type of families in need of housing assistance for families with </w:t>
      </w:r>
      <w:r>
        <w:rPr>
          <w:b/>
          <w:sz w:val="24"/>
          <w:szCs w:val="24"/>
        </w:rPr>
        <w:t>children and the families of veterans.</w:t>
      </w:r>
    </w:p>
    <w:p w14:paraId="11AB55DD" w14:textId="77777777" w:rsidR="00217A61" w:rsidRDefault="001C2695">
      <w:pPr>
        <w:spacing w:beforeAutospacing="1" w:afterAutospacing="1"/>
        <w:rPr>
          <w:rFonts w:cs="Arial"/>
        </w:rPr>
      </w:pPr>
      <w:r>
        <w:rPr>
          <w:rFonts w:cs="Arial"/>
        </w:rPr>
        <w:t>The number of homeless veterans has dropped by 16% from 2010, with 907 homeless veterans counted during the 2019 PIT.  Cumberland County/Fayetteville and Winston-Salem are two communities in North Carolina that have a</w:t>
      </w:r>
      <w:r>
        <w:rPr>
          <w:rFonts w:cs="Arial"/>
        </w:rPr>
        <w:t>nnounced an end to veteran homelessness. There was a total of 2,447 homeless adults with children during the 2019 PIT count; this represents a 36% decrease from 2010.  </w:t>
      </w:r>
    </w:p>
    <w:p w14:paraId="7509C7F6" w14:textId="77777777" w:rsidR="00217A61" w:rsidRDefault="001C2695">
      <w:pPr>
        <w:rPr>
          <w:b/>
          <w:sz w:val="24"/>
          <w:szCs w:val="24"/>
        </w:rPr>
      </w:pPr>
      <w:r>
        <w:rPr>
          <w:b/>
          <w:sz w:val="24"/>
          <w:szCs w:val="24"/>
        </w:rPr>
        <w:t>Describe the Nature and Extent of Homelessness by Racial and Ethnic Group.</w:t>
      </w:r>
    </w:p>
    <w:p w14:paraId="13492FEA" w14:textId="77777777" w:rsidR="00217A61" w:rsidRDefault="001C2695">
      <w:pPr>
        <w:spacing w:beforeAutospacing="1" w:afterAutospacing="1"/>
        <w:rPr>
          <w:rFonts w:cs="Arial"/>
        </w:rPr>
      </w:pPr>
      <w:r>
        <w:rPr>
          <w:rFonts w:cs="Arial"/>
        </w:rPr>
        <w:t>There are ne</w:t>
      </w:r>
      <w:r>
        <w:rPr>
          <w:rFonts w:cs="Arial"/>
        </w:rPr>
        <w:t>arly 5000 Black homeless people, nearly 4000 White homeless people, and nearly 500 homeless people of other race categories in North Carolina. There are more than 400 Hispanic homeless people in the state.</w:t>
      </w:r>
    </w:p>
    <w:p w14:paraId="79BFEE1C" w14:textId="77777777" w:rsidR="00217A61" w:rsidRDefault="001C2695">
      <w:pPr>
        <w:spacing w:beforeAutospacing="1" w:afterAutospacing="1"/>
        <w:rPr>
          <w:rFonts w:cs="Arial"/>
        </w:rPr>
      </w:pPr>
      <w:r>
        <w:rPr>
          <w:rFonts w:cs="Arial"/>
        </w:rPr>
        <w:t>Different racial/ethnic categories experience home</w:t>
      </w:r>
      <w:r>
        <w:rPr>
          <w:rFonts w:cs="Arial"/>
        </w:rPr>
        <w:t xml:space="preserve">lessness at different ratios. African-Americans comprise approximately 21% of the state’s </w:t>
      </w:r>
      <w:proofErr w:type="gramStart"/>
      <w:r>
        <w:rPr>
          <w:rFonts w:cs="Arial"/>
        </w:rPr>
        <w:t>population ,</w:t>
      </w:r>
      <w:proofErr w:type="gramEnd"/>
      <w:r>
        <w:rPr>
          <w:rFonts w:cs="Arial"/>
        </w:rPr>
        <w:t xml:space="preserve"> but 52% of the homeless population. Sixty-three percent of the state’s population is in the category “White alone, not Hispanic or Latino”, while Whites </w:t>
      </w:r>
      <w:r>
        <w:rPr>
          <w:rFonts w:cs="Arial"/>
        </w:rPr>
        <w:t xml:space="preserve">comprise only 43% of the state’s homeless population. Hispanic people make up 10% of the total population in North </w:t>
      </w:r>
      <w:proofErr w:type="gramStart"/>
      <w:r>
        <w:rPr>
          <w:rFonts w:cs="Arial"/>
        </w:rPr>
        <w:t>Carolina ,</w:t>
      </w:r>
      <w:proofErr w:type="gramEnd"/>
      <w:r>
        <w:rPr>
          <w:rFonts w:cs="Arial"/>
        </w:rPr>
        <w:t xml:space="preserve"> but only 4% of the homeless population. Asians, Native Hawaiians/Pacific Islanders, American Indian/Alaskan Natives, and Multi-rac</w:t>
      </w:r>
      <w:r>
        <w:rPr>
          <w:rFonts w:cs="Arial"/>
        </w:rPr>
        <w:t>e people together comprise 5% of the state’s homeless population.</w:t>
      </w:r>
    </w:p>
    <w:p w14:paraId="531E9AA9" w14:textId="77777777" w:rsidR="00217A61" w:rsidRDefault="001C2695">
      <w:pPr>
        <w:spacing w:beforeAutospacing="1" w:afterAutospacing="1"/>
        <w:rPr>
          <w:rFonts w:cs="Arial"/>
        </w:rPr>
      </w:pPr>
      <w:r>
        <w:rPr>
          <w:rFonts w:cs="Arial"/>
        </w:rPr>
        <w:lastRenderedPageBreak/>
        <w:t>Black homeless people are more likely to be in shelters than White homeless people (with 84% of Black homeless people sheltered and only 66% of White homeless people sheltered. The remainder</w:t>
      </w:r>
      <w:r>
        <w:rPr>
          <w:rFonts w:cs="Arial"/>
        </w:rPr>
        <w:t xml:space="preserve"> are </w:t>
      </w:r>
      <w:proofErr w:type="gramStart"/>
      <w:r>
        <w:rPr>
          <w:rFonts w:cs="Arial"/>
        </w:rPr>
        <w:t>unsheltered, or</w:t>
      </w:r>
      <w:proofErr w:type="gramEnd"/>
      <w:r>
        <w:rPr>
          <w:rFonts w:cs="Arial"/>
        </w:rPr>
        <w:t xml:space="preserve"> living in structures not intended for housing.</w:t>
      </w:r>
    </w:p>
    <w:p w14:paraId="58203436" w14:textId="77777777" w:rsidR="00217A61" w:rsidRDefault="001C2695">
      <w:pPr>
        <w:rPr>
          <w:rFonts w:cs="Arial"/>
          <w:b/>
          <w:sz w:val="24"/>
          <w:szCs w:val="24"/>
        </w:rPr>
      </w:pPr>
      <w:r>
        <w:rPr>
          <w:b/>
          <w:sz w:val="24"/>
          <w:szCs w:val="24"/>
        </w:rPr>
        <w:t>Describe the Nature and Extent of Unsheltered and Sheltered Homelessness.</w:t>
      </w:r>
    </w:p>
    <w:p w14:paraId="667FEE41" w14:textId="77777777" w:rsidR="00217A61" w:rsidRDefault="001C2695">
      <w:pPr>
        <w:spacing w:beforeAutospacing="1" w:afterAutospacing="1"/>
        <w:rPr>
          <w:rFonts w:cs="Arial"/>
        </w:rPr>
      </w:pPr>
      <w:r>
        <w:rPr>
          <w:rFonts w:cs="Arial"/>
        </w:rPr>
        <w:t>Substantially more of the homeless population overall are sheltered than unsheltered. There were 9,314 homeless in</w:t>
      </w:r>
      <w:r>
        <w:rPr>
          <w:rFonts w:cs="Arial"/>
        </w:rPr>
        <w:t>dividuals in North Carolina identified during the Point-in-Time (PIT) Count conducted in late January 2019, of which 76% were sheltered and 24% unsheltered.</w:t>
      </w:r>
    </w:p>
    <w:p w14:paraId="54E4305E" w14:textId="77777777" w:rsidR="00217A61" w:rsidRDefault="001C2695">
      <w:pPr>
        <w:spacing w:beforeAutospacing="1" w:afterAutospacing="1"/>
        <w:rPr>
          <w:rFonts w:cs="Arial"/>
        </w:rPr>
      </w:pPr>
      <w:r>
        <w:rPr>
          <w:rFonts w:cs="Arial"/>
        </w:rPr>
        <w:t>Persons in households with only adults comprised 73% of the homeless population, with 52% located i</w:t>
      </w:r>
      <w:r>
        <w:rPr>
          <w:rFonts w:cs="Arial"/>
        </w:rPr>
        <w:t>n either shelter or transitional housing, and 21% were unsheltered. Persons in households with adults and children comprised 26% of the homeless population, with 23% of those families in either shelter or transitional housing and 3% unsheltered.</w:t>
      </w:r>
    </w:p>
    <w:p w14:paraId="5120708C" w14:textId="77777777" w:rsidR="00217A61" w:rsidRDefault="001C2695">
      <w:pPr>
        <w:spacing w:beforeAutospacing="1" w:afterAutospacing="1"/>
        <w:rPr>
          <w:rFonts w:cs="Arial"/>
        </w:rPr>
      </w:pPr>
      <w:r>
        <w:rPr>
          <w:rFonts w:cs="Arial"/>
        </w:rPr>
        <w:t>Chronicall</w:t>
      </w:r>
      <w:r>
        <w:rPr>
          <w:rFonts w:cs="Arial"/>
        </w:rPr>
        <w:t xml:space="preserve">y homeless persons are less likely to be sheltered than the whole homeless population; only 58% are sheltered, compared to 76% of the total homeless population. Similarly, homeless persons with chronic substance abuse are less likely to be sheltered; only </w:t>
      </w:r>
      <w:r>
        <w:rPr>
          <w:rFonts w:cs="Arial"/>
        </w:rPr>
        <w:t>59% are sheltered. Veterans, on the other hand, are more likely to be sheltered than the total homeless population; 84% of homeless veterans are sheltered.</w:t>
      </w:r>
    </w:p>
    <w:p w14:paraId="648A8200" w14:textId="77777777" w:rsidR="00217A61" w:rsidRDefault="001C2695">
      <w:pPr>
        <w:spacing w:line="204" w:lineRule="auto"/>
        <w:rPr>
          <w:b/>
          <w:sz w:val="24"/>
          <w:szCs w:val="24"/>
        </w:rPr>
      </w:pPr>
      <w:r>
        <w:rPr>
          <w:b/>
          <w:sz w:val="24"/>
          <w:szCs w:val="24"/>
        </w:rPr>
        <w:t>Discussion:</w:t>
      </w:r>
    </w:p>
    <w:p w14:paraId="30AA1D5B" w14:textId="77777777" w:rsidR="00217A61" w:rsidRDefault="00217A61">
      <w:pPr>
        <w:spacing w:line="204" w:lineRule="auto"/>
        <w:rPr>
          <w:b/>
          <w:sz w:val="24"/>
          <w:szCs w:val="24"/>
        </w:rPr>
      </w:pPr>
    </w:p>
    <w:p w14:paraId="0935005B" w14:textId="77777777" w:rsidR="00217A61" w:rsidRDefault="001C2695">
      <w:pPr>
        <w:pStyle w:val="Heading2"/>
        <w:pageBreakBefore/>
        <w:rPr>
          <w:rFonts w:ascii="Calibri" w:hAnsi="Calibri"/>
          <w:i w:val="0"/>
        </w:rPr>
      </w:pPr>
      <w:r>
        <w:rPr>
          <w:rFonts w:ascii="Calibri" w:hAnsi="Calibri"/>
          <w:i w:val="0"/>
        </w:rPr>
        <w:lastRenderedPageBreak/>
        <w:t>NA-45 Non-Homeless Special Needs Assessment – 91.305 (</w:t>
      </w:r>
      <w:proofErr w:type="spellStart"/>
      <w:proofErr w:type="gramStart"/>
      <w:r>
        <w:rPr>
          <w:rFonts w:ascii="Calibri" w:hAnsi="Calibri"/>
          <w:i w:val="0"/>
        </w:rPr>
        <w:t>b,d</w:t>
      </w:r>
      <w:proofErr w:type="spellEnd"/>
      <w:proofErr w:type="gramEnd"/>
      <w:r>
        <w:rPr>
          <w:rFonts w:ascii="Calibri" w:hAnsi="Calibri"/>
          <w:i w:val="0"/>
        </w:rPr>
        <w:t>)</w:t>
      </w:r>
    </w:p>
    <w:p w14:paraId="515B63CC" w14:textId="77777777" w:rsidR="00217A61" w:rsidRDefault="001C2695">
      <w:pPr>
        <w:spacing w:line="204" w:lineRule="auto"/>
        <w:rPr>
          <w:b/>
          <w:sz w:val="24"/>
          <w:szCs w:val="24"/>
        </w:rPr>
      </w:pPr>
      <w:r>
        <w:rPr>
          <w:b/>
          <w:sz w:val="24"/>
          <w:szCs w:val="24"/>
        </w:rPr>
        <w:t>Introduction</w:t>
      </w:r>
    </w:p>
    <w:p w14:paraId="3A10608D" w14:textId="77777777" w:rsidR="00217A61" w:rsidRDefault="00217A61">
      <w:pPr>
        <w:spacing w:line="204" w:lineRule="auto"/>
        <w:rPr>
          <w:b/>
          <w:sz w:val="24"/>
          <w:szCs w:val="24"/>
        </w:rPr>
      </w:pPr>
    </w:p>
    <w:p w14:paraId="2154DA17" w14:textId="77777777" w:rsidR="00217A61" w:rsidRDefault="001C2695">
      <w:pPr>
        <w:keepNext/>
        <w:widowControl w:val="0"/>
        <w:rPr>
          <w:b/>
          <w:i/>
          <w:sz w:val="24"/>
          <w:szCs w:val="24"/>
        </w:rPr>
      </w:pPr>
      <w:r>
        <w:rPr>
          <w:b/>
          <w:sz w:val="24"/>
          <w:szCs w:val="24"/>
        </w:rPr>
        <w:t>HOPWA</w:t>
      </w: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62"/>
      </w:tblGrid>
      <w:tr w:rsidR="00217A61" w14:paraId="6B49F046" w14:textId="77777777">
        <w:trPr>
          <w:cantSplit/>
          <w:tblHeader/>
        </w:trPr>
        <w:tc>
          <w:tcPr>
            <w:tcW w:w="4788" w:type="dxa"/>
            <w:tcBorders>
              <w:right w:val="nil"/>
            </w:tcBorders>
          </w:tcPr>
          <w:p w14:paraId="4F3F682A" w14:textId="77777777" w:rsidR="00217A61" w:rsidRDefault="001C2695">
            <w:pPr>
              <w:keepNext/>
              <w:widowControl w:val="0"/>
              <w:spacing w:after="0" w:line="240" w:lineRule="auto"/>
              <w:rPr>
                <w:b/>
                <w:i/>
              </w:rPr>
            </w:pPr>
            <w:r>
              <w:rPr>
                <w:b/>
              </w:rPr>
              <w:t>Current</w:t>
            </w:r>
            <w:r>
              <w:rPr>
                <w:b/>
              </w:rPr>
              <w:t xml:space="preserve"> HOPWA formula use:</w:t>
            </w:r>
          </w:p>
        </w:tc>
        <w:tc>
          <w:tcPr>
            <w:tcW w:w="4788" w:type="dxa"/>
            <w:tcBorders>
              <w:left w:val="nil"/>
            </w:tcBorders>
          </w:tcPr>
          <w:p w14:paraId="4E8BFBDB" w14:textId="77777777" w:rsidR="00217A61" w:rsidRDefault="00217A61">
            <w:pPr>
              <w:keepNext/>
              <w:widowControl w:val="0"/>
              <w:spacing w:after="0" w:line="240" w:lineRule="auto"/>
              <w:rPr>
                <w:b/>
                <w:i/>
              </w:rPr>
            </w:pPr>
          </w:p>
        </w:tc>
      </w:tr>
      <w:tr w:rsidR="00217A61" w14:paraId="2E616A8B" w14:textId="77777777">
        <w:trPr>
          <w:cantSplit/>
        </w:trPr>
        <w:tc>
          <w:tcPr>
            <w:tcW w:w="0" w:type="auto"/>
          </w:tcPr>
          <w:p w14:paraId="0E93A6F7" w14:textId="77777777" w:rsidR="00217A61" w:rsidRDefault="001C2695">
            <w:pPr>
              <w:spacing w:beforeAutospacing="1" w:afterAutospacing="1"/>
            </w:pPr>
            <w:r>
              <w:rPr>
                <w:color w:val="000000"/>
              </w:rPr>
              <w:t>Cumulative cases of AIDS reported</w:t>
            </w:r>
          </w:p>
        </w:tc>
        <w:tc>
          <w:tcPr>
            <w:tcW w:w="0" w:type="auto"/>
            <w:vAlign w:val="bottom"/>
          </w:tcPr>
          <w:p w14:paraId="51791D2F" w14:textId="77777777" w:rsidR="00217A61" w:rsidRDefault="001C2695">
            <w:pPr>
              <w:spacing w:beforeAutospacing="1" w:afterAutospacing="1"/>
              <w:jc w:val="right"/>
            </w:pPr>
            <w:r>
              <w:rPr>
                <w:color w:val="000000"/>
              </w:rPr>
              <w:t>0</w:t>
            </w:r>
          </w:p>
        </w:tc>
      </w:tr>
      <w:tr w:rsidR="00217A61" w14:paraId="5767180B" w14:textId="77777777">
        <w:trPr>
          <w:cantSplit/>
        </w:trPr>
        <w:tc>
          <w:tcPr>
            <w:tcW w:w="0" w:type="auto"/>
          </w:tcPr>
          <w:p w14:paraId="6A41217F" w14:textId="77777777" w:rsidR="00217A61" w:rsidRDefault="001C2695">
            <w:pPr>
              <w:spacing w:beforeAutospacing="1" w:afterAutospacing="1"/>
            </w:pPr>
            <w:r>
              <w:rPr>
                <w:color w:val="000000"/>
              </w:rPr>
              <w:t>Area incidence of AIDS</w:t>
            </w:r>
          </w:p>
        </w:tc>
        <w:tc>
          <w:tcPr>
            <w:tcW w:w="0" w:type="auto"/>
            <w:vAlign w:val="bottom"/>
          </w:tcPr>
          <w:p w14:paraId="5FAEFE85" w14:textId="77777777" w:rsidR="00217A61" w:rsidRDefault="001C2695">
            <w:pPr>
              <w:spacing w:beforeAutospacing="1" w:afterAutospacing="1"/>
              <w:jc w:val="right"/>
            </w:pPr>
            <w:r>
              <w:rPr>
                <w:color w:val="000000"/>
              </w:rPr>
              <w:t>0</w:t>
            </w:r>
          </w:p>
        </w:tc>
      </w:tr>
      <w:tr w:rsidR="00217A61" w14:paraId="4C911D25" w14:textId="77777777">
        <w:trPr>
          <w:cantSplit/>
        </w:trPr>
        <w:tc>
          <w:tcPr>
            <w:tcW w:w="0" w:type="auto"/>
          </w:tcPr>
          <w:p w14:paraId="29125522" w14:textId="77777777" w:rsidR="00217A61" w:rsidRDefault="001C2695">
            <w:pPr>
              <w:spacing w:beforeAutospacing="1" w:afterAutospacing="1"/>
            </w:pPr>
            <w:r>
              <w:rPr>
                <w:color w:val="000000"/>
              </w:rPr>
              <w:t>Rate per population</w:t>
            </w:r>
          </w:p>
        </w:tc>
        <w:tc>
          <w:tcPr>
            <w:tcW w:w="0" w:type="auto"/>
            <w:vAlign w:val="bottom"/>
          </w:tcPr>
          <w:p w14:paraId="3F58CBD9" w14:textId="77777777" w:rsidR="00217A61" w:rsidRDefault="001C2695">
            <w:pPr>
              <w:spacing w:beforeAutospacing="1" w:afterAutospacing="1"/>
              <w:jc w:val="right"/>
            </w:pPr>
            <w:r>
              <w:rPr>
                <w:color w:val="000000"/>
              </w:rPr>
              <w:t>0</w:t>
            </w:r>
          </w:p>
        </w:tc>
      </w:tr>
      <w:tr w:rsidR="00217A61" w14:paraId="21DEFEB1" w14:textId="77777777">
        <w:trPr>
          <w:cantSplit/>
        </w:trPr>
        <w:tc>
          <w:tcPr>
            <w:tcW w:w="0" w:type="auto"/>
          </w:tcPr>
          <w:p w14:paraId="7618020F" w14:textId="77777777" w:rsidR="00217A61" w:rsidRDefault="001C2695">
            <w:pPr>
              <w:spacing w:beforeAutospacing="1" w:afterAutospacing="1"/>
            </w:pPr>
            <w:r>
              <w:rPr>
                <w:color w:val="000000"/>
              </w:rPr>
              <w:t>Number of new cases prior year (3 years of data)</w:t>
            </w:r>
          </w:p>
        </w:tc>
        <w:tc>
          <w:tcPr>
            <w:tcW w:w="0" w:type="auto"/>
            <w:vAlign w:val="bottom"/>
          </w:tcPr>
          <w:p w14:paraId="1213EFB0" w14:textId="77777777" w:rsidR="00217A61" w:rsidRDefault="001C2695">
            <w:pPr>
              <w:spacing w:beforeAutospacing="1" w:afterAutospacing="1"/>
              <w:jc w:val="right"/>
            </w:pPr>
            <w:r>
              <w:rPr>
                <w:color w:val="000000"/>
              </w:rPr>
              <w:t>0</w:t>
            </w:r>
          </w:p>
        </w:tc>
      </w:tr>
      <w:tr w:rsidR="00217A61" w14:paraId="317E0D5F" w14:textId="77777777">
        <w:trPr>
          <w:cantSplit/>
        </w:trPr>
        <w:tc>
          <w:tcPr>
            <w:tcW w:w="0" w:type="auto"/>
          </w:tcPr>
          <w:p w14:paraId="02DD9848" w14:textId="77777777" w:rsidR="00217A61" w:rsidRDefault="001C2695">
            <w:pPr>
              <w:spacing w:beforeAutospacing="1" w:afterAutospacing="1"/>
            </w:pPr>
            <w:r>
              <w:rPr>
                <w:color w:val="000000"/>
              </w:rPr>
              <w:t>Rate per population (3 years of data)</w:t>
            </w:r>
          </w:p>
        </w:tc>
        <w:tc>
          <w:tcPr>
            <w:tcW w:w="0" w:type="auto"/>
            <w:vAlign w:val="bottom"/>
          </w:tcPr>
          <w:p w14:paraId="0A27BCAE" w14:textId="77777777" w:rsidR="00217A61" w:rsidRDefault="001C2695">
            <w:pPr>
              <w:spacing w:beforeAutospacing="1" w:afterAutospacing="1"/>
              <w:jc w:val="right"/>
            </w:pPr>
            <w:r>
              <w:rPr>
                <w:color w:val="000000"/>
              </w:rPr>
              <w:t>0</w:t>
            </w:r>
          </w:p>
        </w:tc>
      </w:tr>
    </w:tbl>
    <w:p w14:paraId="4BD3BBC9" w14:textId="77777777" w:rsidR="00217A61" w:rsidRDefault="00217A61">
      <w:pPr>
        <w:keepNext/>
        <w:widowControl w:val="0"/>
        <w:spacing w:after="0" w:line="240" w:lineRule="auto"/>
        <w:rPr>
          <w:b/>
          <w:vanish/>
          <w:sz w:val="10"/>
          <w:szCs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661"/>
      </w:tblGrid>
      <w:tr w:rsidR="00217A61" w14:paraId="4B0CA6B6" w14:textId="77777777">
        <w:trPr>
          <w:cantSplit/>
          <w:tblHeader/>
        </w:trPr>
        <w:tc>
          <w:tcPr>
            <w:tcW w:w="4788" w:type="dxa"/>
            <w:tcBorders>
              <w:right w:val="nil"/>
            </w:tcBorders>
          </w:tcPr>
          <w:p w14:paraId="14D7E726" w14:textId="77777777" w:rsidR="00217A61" w:rsidRDefault="001C2695">
            <w:pPr>
              <w:keepNext/>
              <w:widowControl w:val="0"/>
              <w:spacing w:after="0" w:line="240" w:lineRule="auto"/>
              <w:rPr>
                <w:b/>
              </w:rPr>
            </w:pPr>
            <w:r>
              <w:rPr>
                <w:b/>
              </w:rPr>
              <w:t>Current HIV surveillance data:</w:t>
            </w:r>
          </w:p>
        </w:tc>
        <w:tc>
          <w:tcPr>
            <w:tcW w:w="4788" w:type="dxa"/>
            <w:tcBorders>
              <w:left w:val="nil"/>
            </w:tcBorders>
          </w:tcPr>
          <w:p w14:paraId="39CB65C9" w14:textId="77777777" w:rsidR="00217A61" w:rsidRDefault="00217A61">
            <w:pPr>
              <w:keepNext/>
              <w:widowControl w:val="0"/>
              <w:spacing w:after="0" w:line="240" w:lineRule="auto"/>
              <w:rPr>
                <w:b/>
              </w:rPr>
            </w:pPr>
          </w:p>
        </w:tc>
      </w:tr>
      <w:tr w:rsidR="00217A61" w14:paraId="77EF4461" w14:textId="77777777">
        <w:trPr>
          <w:cantSplit/>
        </w:trPr>
        <w:tc>
          <w:tcPr>
            <w:tcW w:w="0" w:type="auto"/>
          </w:tcPr>
          <w:p w14:paraId="3F647407" w14:textId="77777777" w:rsidR="00217A61" w:rsidRDefault="001C2695">
            <w:pPr>
              <w:spacing w:beforeAutospacing="1" w:afterAutospacing="1"/>
            </w:pPr>
            <w:r>
              <w:rPr>
                <w:color w:val="000000"/>
              </w:rPr>
              <w:t>Number of Persons living with HIV (PLWH)</w:t>
            </w:r>
          </w:p>
        </w:tc>
        <w:tc>
          <w:tcPr>
            <w:tcW w:w="0" w:type="auto"/>
            <w:vAlign w:val="bottom"/>
          </w:tcPr>
          <w:p w14:paraId="0BC3F734" w14:textId="77777777" w:rsidR="00217A61" w:rsidRDefault="001C2695">
            <w:pPr>
              <w:spacing w:beforeAutospacing="1" w:afterAutospacing="1"/>
              <w:jc w:val="right"/>
            </w:pPr>
            <w:r>
              <w:rPr>
                <w:color w:val="000000"/>
              </w:rPr>
              <w:t>0</w:t>
            </w:r>
          </w:p>
        </w:tc>
      </w:tr>
      <w:tr w:rsidR="00217A61" w14:paraId="27F9B81D" w14:textId="77777777">
        <w:trPr>
          <w:cantSplit/>
        </w:trPr>
        <w:tc>
          <w:tcPr>
            <w:tcW w:w="0" w:type="auto"/>
          </w:tcPr>
          <w:p w14:paraId="311F29D0" w14:textId="77777777" w:rsidR="00217A61" w:rsidRDefault="001C2695">
            <w:pPr>
              <w:spacing w:beforeAutospacing="1" w:afterAutospacing="1"/>
            </w:pPr>
            <w:r>
              <w:rPr>
                <w:color w:val="000000"/>
              </w:rPr>
              <w:t>Area Prevalence (PLWH per population)</w:t>
            </w:r>
          </w:p>
        </w:tc>
        <w:tc>
          <w:tcPr>
            <w:tcW w:w="0" w:type="auto"/>
            <w:vAlign w:val="bottom"/>
          </w:tcPr>
          <w:p w14:paraId="1393CBAF" w14:textId="77777777" w:rsidR="00217A61" w:rsidRDefault="001C2695">
            <w:pPr>
              <w:spacing w:beforeAutospacing="1" w:afterAutospacing="1"/>
              <w:jc w:val="right"/>
            </w:pPr>
            <w:r>
              <w:rPr>
                <w:color w:val="000000"/>
              </w:rPr>
              <w:t>0</w:t>
            </w:r>
          </w:p>
        </w:tc>
      </w:tr>
      <w:tr w:rsidR="00217A61" w14:paraId="2A2D3080" w14:textId="77777777">
        <w:trPr>
          <w:cantSplit/>
        </w:trPr>
        <w:tc>
          <w:tcPr>
            <w:tcW w:w="0" w:type="auto"/>
          </w:tcPr>
          <w:p w14:paraId="32190B93" w14:textId="77777777" w:rsidR="00217A61" w:rsidRDefault="001C2695">
            <w:pPr>
              <w:spacing w:beforeAutospacing="1" w:afterAutospacing="1"/>
            </w:pPr>
            <w:r>
              <w:rPr>
                <w:color w:val="000000"/>
              </w:rPr>
              <w:t>Number of new HIV cases reported last year</w:t>
            </w:r>
          </w:p>
        </w:tc>
        <w:tc>
          <w:tcPr>
            <w:tcW w:w="0" w:type="auto"/>
            <w:vAlign w:val="bottom"/>
          </w:tcPr>
          <w:p w14:paraId="05DDD47B" w14:textId="77777777" w:rsidR="00217A61" w:rsidRDefault="001C2695">
            <w:pPr>
              <w:spacing w:beforeAutospacing="1" w:afterAutospacing="1"/>
              <w:jc w:val="right"/>
            </w:pPr>
            <w:r>
              <w:rPr>
                <w:color w:val="000000"/>
              </w:rPr>
              <w:t>0</w:t>
            </w:r>
          </w:p>
        </w:tc>
      </w:tr>
    </w:tbl>
    <w:p w14:paraId="22AA72B9"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28</w:t>
      </w:r>
      <w:r>
        <w:rPr>
          <w:rFonts w:asciiTheme="minorHAnsi" w:hAnsiTheme="minorHAnsi"/>
        </w:rPr>
        <w:fldChar w:fldCharType="end"/>
      </w:r>
      <w:r>
        <w:rPr>
          <w:rFonts w:asciiTheme="minorHAnsi" w:hAnsiTheme="minorHAnsi"/>
        </w:rPr>
        <w:t xml:space="preserve"> – HOPWA Data</w:t>
      </w:r>
    </w:p>
    <w:p w14:paraId="7FFFDCF9" w14:textId="77777777" w:rsidR="00217A61" w:rsidRDefault="00217A61">
      <w:pPr>
        <w:keepNext/>
        <w:widowControl w:val="0"/>
        <w:spacing w:after="0" w:line="240" w:lineRule="auto"/>
        <w:jc w:val="center"/>
        <w:rPr>
          <w:b/>
          <w:bCs/>
          <w:vanish/>
          <w:sz w:val="20"/>
          <w:szCs w:val="20"/>
        </w:rPr>
      </w:pPr>
    </w:p>
    <w:p w14:paraId="15CD3E63" w14:textId="77777777" w:rsidR="00217A61" w:rsidRDefault="00217A61">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53"/>
        <w:gridCol w:w="7407"/>
      </w:tblGrid>
      <w:tr w:rsidR="00217A61" w14:paraId="713235CA" w14:textId="77777777">
        <w:trPr>
          <w:cantSplit/>
        </w:trPr>
        <w:tc>
          <w:tcPr>
            <w:tcW w:w="9590" w:type="dxa"/>
            <w:gridSpan w:val="2"/>
            <w:vAlign w:val="bottom"/>
          </w:tcPr>
          <w:p w14:paraId="7DDF0E3D" w14:textId="77777777" w:rsidR="00217A61" w:rsidRDefault="00217A61">
            <w:pPr>
              <w:spacing w:after="0" w:line="240" w:lineRule="auto"/>
              <w:rPr>
                <w:bCs/>
                <w:sz w:val="16"/>
                <w:szCs w:val="16"/>
              </w:rPr>
            </w:pPr>
          </w:p>
        </w:tc>
      </w:tr>
      <w:tr w:rsidR="00217A61" w14:paraId="53C89EB3" w14:textId="77777777">
        <w:trPr>
          <w:cantSplit/>
        </w:trPr>
        <w:tc>
          <w:tcPr>
            <w:tcW w:w="1980" w:type="dxa"/>
            <w:vAlign w:val="bottom"/>
          </w:tcPr>
          <w:p w14:paraId="2E467B7F" w14:textId="77777777" w:rsidR="00217A61" w:rsidRDefault="001C2695">
            <w:pPr>
              <w:spacing w:after="0" w:line="240" w:lineRule="auto"/>
              <w:rPr>
                <w:sz w:val="16"/>
                <w:szCs w:val="16"/>
              </w:rPr>
            </w:pPr>
            <w:r>
              <w:rPr>
                <w:b/>
                <w:bCs/>
                <w:sz w:val="16"/>
                <w:szCs w:val="16"/>
              </w:rPr>
              <w:t>Data Source Comments:</w:t>
            </w:r>
          </w:p>
        </w:tc>
        <w:tc>
          <w:tcPr>
            <w:tcW w:w="7610" w:type="dxa"/>
            <w:vAlign w:val="bottom"/>
          </w:tcPr>
          <w:p w14:paraId="60FC8D61" w14:textId="77777777" w:rsidR="00217A61" w:rsidRDefault="00217A61">
            <w:pPr>
              <w:spacing w:after="0" w:line="240" w:lineRule="auto"/>
              <w:rPr>
                <w:sz w:val="16"/>
                <w:szCs w:val="16"/>
              </w:rPr>
            </w:pPr>
          </w:p>
        </w:tc>
      </w:tr>
    </w:tbl>
    <w:p w14:paraId="527D1869" w14:textId="77777777" w:rsidR="00217A61" w:rsidRDefault="00217A61">
      <w:pPr>
        <w:rPr>
          <w:rFonts w:cs="Arial"/>
          <w:sz w:val="16"/>
          <w:szCs w:val="16"/>
        </w:rPr>
      </w:pPr>
    </w:p>
    <w:p w14:paraId="241E56C1" w14:textId="77777777" w:rsidR="00217A61" w:rsidRDefault="001C2695">
      <w:pPr>
        <w:keepNext/>
        <w:widowControl w:val="0"/>
        <w:rPr>
          <w:b/>
          <w:i/>
          <w:sz w:val="24"/>
          <w:szCs w:val="24"/>
        </w:rPr>
      </w:pPr>
      <w:r>
        <w:rPr>
          <w:b/>
          <w:sz w:val="24"/>
          <w:szCs w:val="24"/>
        </w:rPr>
        <w:t>HIV Housing Need (HOPWA Grantees Only)</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4242"/>
      </w:tblGrid>
      <w:tr w:rsidR="00217A61" w14:paraId="5046493F" w14:textId="77777777">
        <w:trPr>
          <w:cantSplit/>
          <w:tblHeader/>
        </w:trPr>
        <w:tc>
          <w:tcPr>
            <w:tcW w:w="4788" w:type="dxa"/>
            <w:vAlign w:val="bottom"/>
          </w:tcPr>
          <w:p w14:paraId="3AF2DF17" w14:textId="77777777" w:rsidR="00217A61" w:rsidRDefault="001C2695">
            <w:pPr>
              <w:keepNext/>
              <w:widowControl w:val="0"/>
              <w:spacing w:after="0" w:line="240" w:lineRule="auto"/>
              <w:jc w:val="center"/>
              <w:rPr>
                <w:b/>
              </w:rPr>
            </w:pPr>
            <w:r>
              <w:rPr>
                <w:b/>
              </w:rPr>
              <w:t xml:space="preserve">Type of </w:t>
            </w:r>
            <w:r>
              <w:rPr>
                <w:b/>
              </w:rPr>
              <w:t>HOPWA Assistance</w:t>
            </w:r>
          </w:p>
        </w:tc>
        <w:tc>
          <w:tcPr>
            <w:tcW w:w="4788" w:type="dxa"/>
            <w:vAlign w:val="bottom"/>
          </w:tcPr>
          <w:p w14:paraId="126538F2" w14:textId="77777777" w:rsidR="00217A61" w:rsidRDefault="001C2695">
            <w:pPr>
              <w:keepNext/>
              <w:widowControl w:val="0"/>
              <w:spacing w:after="0" w:line="240" w:lineRule="auto"/>
              <w:jc w:val="center"/>
              <w:rPr>
                <w:b/>
              </w:rPr>
            </w:pPr>
            <w:r>
              <w:rPr>
                <w:b/>
              </w:rPr>
              <w:t>Estimates of Unmet Need</w:t>
            </w:r>
          </w:p>
        </w:tc>
      </w:tr>
      <w:tr w:rsidR="00217A61" w14:paraId="668D37ED" w14:textId="77777777">
        <w:trPr>
          <w:cantSplit/>
        </w:trPr>
        <w:tc>
          <w:tcPr>
            <w:tcW w:w="0" w:type="auto"/>
          </w:tcPr>
          <w:p w14:paraId="3374CB9B" w14:textId="77777777" w:rsidR="00217A61" w:rsidRDefault="001C2695">
            <w:pPr>
              <w:spacing w:beforeAutospacing="1" w:afterAutospacing="1"/>
            </w:pPr>
            <w:r>
              <w:rPr>
                <w:color w:val="000000"/>
              </w:rPr>
              <w:t>Tenant based rental assistance</w:t>
            </w:r>
          </w:p>
        </w:tc>
        <w:tc>
          <w:tcPr>
            <w:tcW w:w="0" w:type="auto"/>
            <w:vAlign w:val="bottom"/>
          </w:tcPr>
          <w:p w14:paraId="22B3CB5B" w14:textId="77777777" w:rsidR="00217A61" w:rsidRDefault="001C2695">
            <w:pPr>
              <w:spacing w:beforeAutospacing="1" w:afterAutospacing="1"/>
              <w:jc w:val="right"/>
            </w:pPr>
            <w:r>
              <w:rPr>
                <w:color w:val="000000"/>
              </w:rPr>
              <w:t>0</w:t>
            </w:r>
          </w:p>
        </w:tc>
      </w:tr>
      <w:tr w:rsidR="00217A61" w14:paraId="25807C59" w14:textId="77777777">
        <w:trPr>
          <w:cantSplit/>
        </w:trPr>
        <w:tc>
          <w:tcPr>
            <w:tcW w:w="0" w:type="auto"/>
          </w:tcPr>
          <w:p w14:paraId="52A75F14" w14:textId="77777777" w:rsidR="00217A61" w:rsidRDefault="001C2695">
            <w:pPr>
              <w:spacing w:beforeAutospacing="1" w:afterAutospacing="1"/>
            </w:pPr>
            <w:r>
              <w:rPr>
                <w:color w:val="000000"/>
              </w:rPr>
              <w:t>Short-term Rent, Mortgage, and Utility</w:t>
            </w:r>
          </w:p>
        </w:tc>
        <w:tc>
          <w:tcPr>
            <w:tcW w:w="0" w:type="auto"/>
            <w:vAlign w:val="bottom"/>
          </w:tcPr>
          <w:p w14:paraId="79F77640" w14:textId="77777777" w:rsidR="00217A61" w:rsidRDefault="001C2695">
            <w:pPr>
              <w:spacing w:beforeAutospacing="1" w:afterAutospacing="1"/>
              <w:jc w:val="right"/>
            </w:pPr>
            <w:r>
              <w:rPr>
                <w:color w:val="000000"/>
              </w:rPr>
              <w:t>0</w:t>
            </w:r>
          </w:p>
        </w:tc>
      </w:tr>
      <w:tr w:rsidR="00217A61" w14:paraId="49C16369" w14:textId="77777777">
        <w:trPr>
          <w:cantSplit/>
        </w:trPr>
        <w:tc>
          <w:tcPr>
            <w:tcW w:w="0" w:type="auto"/>
          </w:tcPr>
          <w:p w14:paraId="4D2F28FD" w14:textId="77777777" w:rsidR="00217A61" w:rsidRDefault="001C2695">
            <w:pPr>
              <w:spacing w:beforeAutospacing="1" w:afterAutospacing="1"/>
            </w:pPr>
            <w:r>
              <w:rPr>
                <w:color w:val="000000"/>
              </w:rPr>
              <w:t xml:space="preserve">Facility Based Housing (Permanent, </w:t>
            </w:r>
            <w:proofErr w:type="gramStart"/>
            <w:r>
              <w:rPr>
                <w:color w:val="000000"/>
              </w:rPr>
              <w:t>short-term</w:t>
            </w:r>
            <w:proofErr w:type="gramEnd"/>
            <w:r>
              <w:rPr>
                <w:color w:val="000000"/>
              </w:rPr>
              <w:t xml:space="preserve"> or transitional)</w:t>
            </w:r>
          </w:p>
        </w:tc>
        <w:tc>
          <w:tcPr>
            <w:tcW w:w="0" w:type="auto"/>
            <w:vAlign w:val="bottom"/>
          </w:tcPr>
          <w:p w14:paraId="254456C4" w14:textId="77777777" w:rsidR="00217A61" w:rsidRDefault="001C2695">
            <w:pPr>
              <w:spacing w:beforeAutospacing="1" w:afterAutospacing="1"/>
              <w:jc w:val="right"/>
            </w:pPr>
            <w:r>
              <w:rPr>
                <w:color w:val="000000"/>
              </w:rPr>
              <w:t>0</w:t>
            </w:r>
          </w:p>
        </w:tc>
      </w:tr>
    </w:tbl>
    <w:p w14:paraId="1B0F948E" w14:textId="77777777" w:rsidR="00217A61" w:rsidRDefault="001C269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29</w:t>
      </w:r>
      <w:r>
        <w:rPr>
          <w:rFonts w:asciiTheme="minorHAnsi" w:hAnsiTheme="minorHAnsi"/>
        </w:rPr>
        <w:fldChar w:fldCharType="end"/>
      </w:r>
      <w:r>
        <w:rPr>
          <w:rFonts w:asciiTheme="minorHAnsi" w:hAnsiTheme="minorHAnsi"/>
        </w:rPr>
        <w:t xml:space="preserve"> – HIV Housing Need</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217A61" w14:paraId="2DEC11B1" w14:textId="77777777">
        <w:trPr>
          <w:cantSplit/>
        </w:trPr>
        <w:tc>
          <w:tcPr>
            <w:tcW w:w="9590" w:type="dxa"/>
            <w:gridSpan w:val="2"/>
          </w:tcPr>
          <w:p w14:paraId="3FC2C428" w14:textId="77777777" w:rsidR="00217A61" w:rsidRDefault="00217A61">
            <w:pPr>
              <w:spacing w:after="0" w:line="240" w:lineRule="auto"/>
              <w:rPr>
                <w:bCs/>
                <w:sz w:val="16"/>
                <w:szCs w:val="16"/>
              </w:rPr>
            </w:pPr>
          </w:p>
        </w:tc>
      </w:tr>
      <w:tr w:rsidR="00217A61" w14:paraId="35EAEFDA" w14:textId="77777777">
        <w:trPr>
          <w:cantSplit/>
        </w:trPr>
        <w:tc>
          <w:tcPr>
            <w:tcW w:w="1080" w:type="dxa"/>
          </w:tcPr>
          <w:p w14:paraId="546F8100" w14:textId="77777777" w:rsidR="00217A61" w:rsidRDefault="001C2695">
            <w:pPr>
              <w:spacing w:after="0" w:line="240" w:lineRule="auto"/>
              <w:rPr>
                <w:sz w:val="16"/>
                <w:szCs w:val="16"/>
              </w:rPr>
            </w:pPr>
            <w:r>
              <w:rPr>
                <w:b/>
                <w:bCs/>
                <w:sz w:val="16"/>
                <w:szCs w:val="16"/>
              </w:rPr>
              <w:t xml:space="preserve">Data </w:t>
            </w:r>
            <w:r>
              <w:rPr>
                <w:b/>
                <w:bCs/>
                <w:sz w:val="16"/>
                <w:szCs w:val="16"/>
              </w:rPr>
              <w:t>Source:</w:t>
            </w:r>
          </w:p>
        </w:tc>
        <w:tc>
          <w:tcPr>
            <w:tcW w:w="8510" w:type="dxa"/>
          </w:tcPr>
          <w:p w14:paraId="54B4C4B3" w14:textId="77777777" w:rsidR="00217A61" w:rsidRDefault="001C2695">
            <w:pPr>
              <w:spacing w:beforeAutospacing="1" w:afterAutospacing="1"/>
              <w:rPr>
                <w:sz w:val="16"/>
                <w:szCs w:val="16"/>
              </w:rPr>
            </w:pPr>
            <w:r>
              <w:rPr>
                <w:sz w:val="16"/>
                <w:szCs w:val="16"/>
              </w:rPr>
              <w:t>HOPWA CAPER and HOPWA Beneficiary Verification Worksheet</w:t>
            </w:r>
          </w:p>
        </w:tc>
      </w:tr>
    </w:tbl>
    <w:p w14:paraId="11005C75" w14:textId="77777777" w:rsidR="00217A61" w:rsidRDefault="00217A61">
      <w:pPr>
        <w:keepNext/>
        <w:widowControl w:val="0"/>
        <w:spacing w:after="0" w:line="240" w:lineRule="auto"/>
        <w:jc w:val="center"/>
        <w:rPr>
          <w:b/>
          <w:bCs/>
          <w:vanish/>
          <w:sz w:val="20"/>
          <w:szCs w:val="20"/>
        </w:rPr>
      </w:pPr>
    </w:p>
    <w:p w14:paraId="55E7BB4F" w14:textId="77777777" w:rsidR="00217A61" w:rsidRDefault="00217A61">
      <w:pPr>
        <w:spacing w:after="0" w:line="240" w:lineRule="auto"/>
        <w:rPr>
          <w:b/>
          <w:bCs/>
          <w:vanish/>
          <w:sz w:val="16"/>
          <w:szCs w:val="16"/>
        </w:rPr>
      </w:pPr>
    </w:p>
    <w:p w14:paraId="3609B87E" w14:textId="77777777" w:rsidR="00217A61" w:rsidRDefault="00217A61"/>
    <w:p w14:paraId="2DF777BE" w14:textId="77777777" w:rsidR="00217A61" w:rsidRDefault="001C2695">
      <w:pPr>
        <w:rPr>
          <w:b/>
          <w:sz w:val="24"/>
          <w:szCs w:val="24"/>
        </w:rPr>
      </w:pPr>
      <w:r>
        <w:rPr>
          <w:b/>
          <w:sz w:val="24"/>
          <w:szCs w:val="24"/>
        </w:rPr>
        <w:t>Describe the characteristics of special needs populations in your community:</w:t>
      </w:r>
    </w:p>
    <w:p w14:paraId="09B96FD2" w14:textId="77777777" w:rsidR="00217A61" w:rsidRDefault="00217A61">
      <w:pPr>
        <w:rPr>
          <w:rFonts w:cs="Arial"/>
        </w:rPr>
      </w:pPr>
    </w:p>
    <w:p w14:paraId="2A037CD1" w14:textId="77777777" w:rsidR="00217A61" w:rsidRDefault="001C2695">
      <w:pPr>
        <w:rPr>
          <w:rFonts w:cs="Arial"/>
          <w:b/>
          <w:sz w:val="24"/>
          <w:szCs w:val="24"/>
        </w:rPr>
      </w:pPr>
      <w:r>
        <w:rPr>
          <w:b/>
          <w:sz w:val="24"/>
          <w:szCs w:val="24"/>
        </w:rPr>
        <w:t xml:space="preserve">What are the housing and supportive service needs of these populations and how are these needs determined?   </w:t>
      </w:r>
    </w:p>
    <w:p w14:paraId="62D83A3C" w14:textId="77777777" w:rsidR="00217A61" w:rsidRDefault="00217A61">
      <w:pPr>
        <w:rPr>
          <w:rFonts w:cs="Arial"/>
        </w:rPr>
      </w:pPr>
    </w:p>
    <w:p w14:paraId="1C3F079C" w14:textId="77777777" w:rsidR="00217A61" w:rsidRDefault="001C2695">
      <w:pPr>
        <w:rPr>
          <w:b/>
          <w:sz w:val="24"/>
          <w:szCs w:val="24"/>
        </w:rPr>
      </w:pPr>
      <w:r>
        <w:rPr>
          <w:b/>
          <w:sz w:val="24"/>
          <w:szCs w:val="24"/>
        </w:rPr>
        <w:t xml:space="preserve">Discuss the size and characteristics of the population with HIV/AIDS and their families within the Eligible Metropolitan Statistical Area: </w:t>
      </w:r>
    </w:p>
    <w:p w14:paraId="3913B028" w14:textId="77777777" w:rsidR="00217A61" w:rsidRDefault="00217A61">
      <w:pPr>
        <w:rPr>
          <w:rFonts w:cs="Arial"/>
        </w:rPr>
      </w:pPr>
    </w:p>
    <w:p w14:paraId="4359C91F" w14:textId="77777777" w:rsidR="00217A61" w:rsidRDefault="001C2695">
      <w:pPr>
        <w:spacing w:line="204" w:lineRule="auto"/>
        <w:rPr>
          <w:b/>
          <w:sz w:val="24"/>
          <w:szCs w:val="24"/>
        </w:rPr>
      </w:pPr>
      <w:r>
        <w:rPr>
          <w:b/>
          <w:sz w:val="24"/>
          <w:szCs w:val="24"/>
        </w:rPr>
        <w:t>Disc</w:t>
      </w:r>
      <w:r>
        <w:rPr>
          <w:b/>
          <w:sz w:val="24"/>
          <w:szCs w:val="24"/>
        </w:rPr>
        <w:t>ussion:</w:t>
      </w:r>
    </w:p>
    <w:p w14:paraId="668574E3" w14:textId="77777777" w:rsidR="00217A61" w:rsidRDefault="00217A61">
      <w:pPr>
        <w:spacing w:line="204" w:lineRule="auto"/>
        <w:rPr>
          <w:b/>
          <w:sz w:val="24"/>
          <w:szCs w:val="24"/>
        </w:rPr>
      </w:pPr>
    </w:p>
    <w:p w14:paraId="28E2255F" w14:textId="77777777" w:rsidR="00217A61" w:rsidRDefault="001C2695">
      <w:pPr>
        <w:pStyle w:val="Heading2"/>
        <w:pageBreakBefore/>
        <w:rPr>
          <w:rFonts w:ascii="Calibri" w:hAnsi="Calibri"/>
          <w:i w:val="0"/>
        </w:rPr>
      </w:pPr>
      <w:r>
        <w:rPr>
          <w:rFonts w:ascii="Calibri" w:hAnsi="Calibri"/>
          <w:i w:val="0"/>
        </w:rPr>
        <w:lastRenderedPageBreak/>
        <w:t>NA-50 Non-Housing Community Development Needs - 91.315 (f)</w:t>
      </w:r>
    </w:p>
    <w:p w14:paraId="06C07F7D" w14:textId="77777777" w:rsidR="00217A61" w:rsidRDefault="001C2695">
      <w:pPr>
        <w:rPr>
          <w:b/>
          <w:sz w:val="24"/>
          <w:szCs w:val="24"/>
        </w:rPr>
      </w:pPr>
      <w:r>
        <w:rPr>
          <w:b/>
          <w:sz w:val="24"/>
          <w:szCs w:val="24"/>
        </w:rPr>
        <w:t>Describe the jurisdiction’s need for Public Facilities:</w:t>
      </w:r>
    </w:p>
    <w:p w14:paraId="21E786F3" w14:textId="77777777" w:rsidR="00217A61" w:rsidRDefault="001C2695">
      <w:pPr>
        <w:spacing w:beforeAutospacing="1" w:afterAutospacing="1"/>
        <w:rPr>
          <w:rFonts w:cs="Arial"/>
        </w:rPr>
      </w:pPr>
      <w:r>
        <w:rPr>
          <w:rFonts w:cs="Arial"/>
        </w:rPr>
        <w:t xml:space="preserve">Through the CDBG Neighborhood Revitalization Program applicants </w:t>
      </w:r>
      <w:proofErr w:type="gramStart"/>
      <w:r>
        <w:rPr>
          <w:rFonts w:cs="Arial"/>
        </w:rPr>
        <w:t>are allowed to</w:t>
      </w:r>
      <w:proofErr w:type="gramEnd"/>
      <w:r>
        <w:rPr>
          <w:rFonts w:cs="Arial"/>
        </w:rPr>
        <w:t xml:space="preserve"> request funding for public facilities in addition to </w:t>
      </w:r>
      <w:r>
        <w:rPr>
          <w:rFonts w:cs="Arial"/>
        </w:rPr>
        <w:t>housing activities. The Rural Economic Development Division consistently receives requests for funds to build and rehabilitate public facilities for the aging, homeless and LMI communities. </w:t>
      </w:r>
    </w:p>
    <w:p w14:paraId="4A30D605" w14:textId="77777777" w:rsidR="00217A61" w:rsidRDefault="001C2695">
      <w:pPr>
        <w:rPr>
          <w:rFonts w:cs="Arial"/>
          <w:b/>
          <w:sz w:val="24"/>
          <w:szCs w:val="24"/>
        </w:rPr>
      </w:pPr>
      <w:r>
        <w:rPr>
          <w:b/>
          <w:sz w:val="24"/>
          <w:szCs w:val="24"/>
        </w:rPr>
        <w:t>How were these needs determined?</w:t>
      </w:r>
    </w:p>
    <w:p w14:paraId="4E8F4B11" w14:textId="77777777" w:rsidR="00217A61" w:rsidRDefault="001C2695">
      <w:pPr>
        <w:spacing w:beforeAutospacing="1" w:afterAutospacing="1"/>
        <w:rPr>
          <w:rFonts w:cs="Arial"/>
        </w:rPr>
      </w:pPr>
      <w:r>
        <w:rPr>
          <w:rFonts w:cs="Arial"/>
        </w:rPr>
        <w:t xml:space="preserve">Additionally, the Housing needs </w:t>
      </w:r>
      <w:proofErr w:type="spellStart"/>
      <w:r>
        <w:rPr>
          <w:rFonts w:cs="Arial"/>
        </w:rPr>
        <w:t>assessement</w:t>
      </w:r>
      <w:proofErr w:type="spellEnd"/>
      <w:r>
        <w:rPr>
          <w:rFonts w:cs="Arial"/>
        </w:rPr>
        <w:t xml:space="preserve"> revealed that North Carolina's population is growing mostly in urban areas and in elderly population.  Also, the homeless population and over-crowded housing is significant creating the need for emergency, transitional, and supporting housing.</w:t>
      </w:r>
    </w:p>
    <w:p w14:paraId="6A3FAF6D" w14:textId="77777777" w:rsidR="00217A61" w:rsidRDefault="00217A61">
      <w:pPr>
        <w:rPr>
          <w:rFonts w:cs="Arial"/>
        </w:rPr>
      </w:pPr>
    </w:p>
    <w:p w14:paraId="2839EA27" w14:textId="77777777" w:rsidR="00217A61" w:rsidRDefault="001C2695">
      <w:pPr>
        <w:rPr>
          <w:b/>
          <w:sz w:val="24"/>
          <w:szCs w:val="24"/>
        </w:rPr>
      </w:pPr>
      <w:r>
        <w:rPr>
          <w:b/>
          <w:sz w:val="24"/>
          <w:szCs w:val="24"/>
        </w:rPr>
        <w:t>Describe the jurisdiction’s need for Public Improvements:</w:t>
      </w:r>
    </w:p>
    <w:p w14:paraId="50D88FD1" w14:textId="77777777" w:rsidR="00217A61" w:rsidRDefault="00217A61">
      <w:pPr>
        <w:rPr>
          <w:rFonts w:cs="Arial"/>
        </w:rPr>
      </w:pPr>
    </w:p>
    <w:p w14:paraId="1F1220DD" w14:textId="77777777" w:rsidR="00217A61" w:rsidRDefault="001C2695">
      <w:pPr>
        <w:rPr>
          <w:b/>
          <w:sz w:val="24"/>
          <w:szCs w:val="24"/>
        </w:rPr>
      </w:pPr>
      <w:r>
        <w:rPr>
          <w:b/>
          <w:sz w:val="24"/>
          <w:szCs w:val="24"/>
        </w:rPr>
        <w:t>How were these needs determined?</w:t>
      </w:r>
    </w:p>
    <w:p w14:paraId="15839342" w14:textId="77777777" w:rsidR="00217A61" w:rsidRDefault="00217A61">
      <w:pPr>
        <w:rPr>
          <w:rFonts w:cs="Arial"/>
        </w:rPr>
      </w:pPr>
    </w:p>
    <w:p w14:paraId="73B4FDB3" w14:textId="77777777" w:rsidR="00217A61" w:rsidRDefault="00217A61">
      <w:pPr>
        <w:rPr>
          <w:rFonts w:cs="Arial"/>
        </w:rPr>
      </w:pPr>
    </w:p>
    <w:p w14:paraId="0175BB1C" w14:textId="77777777" w:rsidR="00217A61" w:rsidRDefault="001C2695">
      <w:pPr>
        <w:rPr>
          <w:b/>
          <w:sz w:val="24"/>
          <w:szCs w:val="24"/>
        </w:rPr>
      </w:pPr>
      <w:r>
        <w:rPr>
          <w:b/>
          <w:sz w:val="24"/>
          <w:szCs w:val="24"/>
        </w:rPr>
        <w:t>Describe the jurisdiction’s need for Public Services:</w:t>
      </w:r>
    </w:p>
    <w:p w14:paraId="1C97D70C" w14:textId="77777777" w:rsidR="00217A61" w:rsidRDefault="001C2695">
      <w:pPr>
        <w:spacing w:beforeAutospacing="1" w:afterAutospacing="1"/>
        <w:rPr>
          <w:rFonts w:cs="Arial"/>
        </w:rPr>
      </w:pPr>
      <w:r>
        <w:rPr>
          <w:rFonts w:cs="Arial"/>
        </w:rPr>
        <w:t>Public services needs have been increasing, especially during the public health emergency due to COVID-19. Prior to COVID-19, evidence of food desserts and insecurity was evident and has increased during the pandemic. Also, the job loss during the pandemic</w:t>
      </w:r>
      <w:r>
        <w:rPr>
          <w:rFonts w:cs="Arial"/>
        </w:rPr>
        <w:t xml:space="preserve"> and the importance of housing stability has increased the demand for internet access and emergency payments for rent, mortgage, and utilities. </w:t>
      </w:r>
    </w:p>
    <w:p w14:paraId="0821B1D8" w14:textId="77777777" w:rsidR="00217A61" w:rsidRDefault="001C2695">
      <w:pPr>
        <w:rPr>
          <w:b/>
          <w:sz w:val="24"/>
          <w:szCs w:val="24"/>
        </w:rPr>
      </w:pPr>
      <w:r>
        <w:rPr>
          <w:b/>
          <w:sz w:val="24"/>
          <w:szCs w:val="24"/>
        </w:rPr>
        <w:t>How were these needs determined?</w:t>
      </w:r>
    </w:p>
    <w:p w14:paraId="0FB05937" w14:textId="77777777" w:rsidR="00217A61" w:rsidRDefault="001C2695">
      <w:pPr>
        <w:spacing w:beforeAutospacing="1" w:afterAutospacing="1"/>
        <w:rPr>
          <w:rFonts w:cs="Arial"/>
        </w:rPr>
      </w:pPr>
      <w:r>
        <w:rPr>
          <w:rFonts w:cs="Arial"/>
        </w:rPr>
        <w:t>See the previous response.</w:t>
      </w:r>
    </w:p>
    <w:p w14:paraId="7B5B557A" w14:textId="77777777" w:rsidR="00217A61" w:rsidRDefault="00217A61">
      <w:pPr>
        <w:rPr>
          <w:rFonts w:cs="Arial"/>
        </w:rPr>
      </w:pPr>
    </w:p>
    <w:p w14:paraId="79EB1E3E" w14:textId="77777777" w:rsidR="00217A61" w:rsidRDefault="001C2695">
      <w:pPr>
        <w:pStyle w:val="Heading1"/>
        <w:pageBreakBefore/>
        <w:jc w:val="center"/>
        <w:rPr>
          <w:rFonts w:ascii="Calibri" w:hAnsi="Calibri"/>
          <w:color w:val="auto"/>
          <w:sz w:val="32"/>
          <w:szCs w:val="32"/>
        </w:rPr>
      </w:pPr>
      <w:r>
        <w:rPr>
          <w:rFonts w:ascii="Calibri" w:hAnsi="Calibri"/>
          <w:color w:val="auto"/>
          <w:sz w:val="32"/>
          <w:szCs w:val="32"/>
        </w:rPr>
        <w:lastRenderedPageBreak/>
        <w:t>Housing Market Analysis</w:t>
      </w:r>
    </w:p>
    <w:p w14:paraId="4BF42EED" w14:textId="77777777" w:rsidR="00217A61" w:rsidRDefault="001C2695">
      <w:pPr>
        <w:pStyle w:val="Heading2"/>
        <w:rPr>
          <w:rFonts w:ascii="Calibri" w:hAnsi="Calibri"/>
          <w:i w:val="0"/>
        </w:rPr>
      </w:pPr>
      <w:r>
        <w:rPr>
          <w:rFonts w:ascii="Calibri" w:hAnsi="Calibri"/>
          <w:i w:val="0"/>
        </w:rPr>
        <w:t>MA-05 Overview</w:t>
      </w:r>
    </w:p>
    <w:p w14:paraId="71B9246B" w14:textId="77777777" w:rsidR="00217A61" w:rsidRDefault="001C2695">
      <w:pPr>
        <w:rPr>
          <w:b/>
          <w:sz w:val="24"/>
          <w:szCs w:val="24"/>
        </w:rPr>
      </w:pPr>
      <w:r>
        <w:rPr>
          <w:b/>
          <w:sz w:val="24"/>
          <w:szCs w:val="24"/>
        </w:rPr>
        <w:t>Housing Mar</w:t>
      </w:r>
      <w:r>
        <w:rPr>
          <w:b/>
          <w:sz w:val="24"/>
          <w:szCs w:val="24"/>
        </w:rPr>
        <w:t>ket Analysis Overview:</w:t>
      </w:r>
    </w:p>
    <w:p w14:paraId="66B71368" w14:textId="77777777" w:rsidR="00217A61" w:rsidRDefault="001C2695">
      <w:pPr>
        <w:spacing w:beforeAutospacing="1" w:afterAutospacing="1"/>
        <w:rPr>
          <w:rFonts w:cs="Arial"/>
        </w:rPr>
      </w:pPr>
      <w:r>
        <w:rPr>
          <w:rFonts w:cs="Arial"/>
        </w:rPr>
        <w:t>Between 2010 and 2018, the population of North Carolina grew 7%, adding over 620,000 new residents and over 170,000 new households. To accommodate household growth and help remedy a deficit in affordable supply, the state added almos</w:t>
      </w:r>
      <w:r>
        <w:rPr>
          <w:rFonts w:cs="Arial"/>
        </w:rPr>
        <w:t xml:space="preserve">t 250,000 new housing units. Much of that growth was concentrated in urban counties like Buncombe, Durham, </w:t>
      </w:r>
      <w:proofErr w:type="gramStart"/>
      <w:r>
        <w:rPr>
          <w:rFonts w:cs="Arial"/>
        </w:rPr>
        <w:t>Mecklenburg</w:t>
      </w:r>
      <w:proofErr w:type="gramEnd"/>
      <w:r>
        <w:rPr>
          <w:rFonts w:cs="Arial"/>
        </w:rPr>
        <w:t xml:space="preserve"> and Wake. However, North Carolina continues to struggle in meeting the needs of its lowest income residents and, like many states, is exp</w:t>
      </w:r>
      <w:r>
        <w:rPr>
          <w:rFonts w:cs="Arial"/>
        </w:rPr>
        <w:t>eriencing affordability challenges.</w:t>
      </w:r>
    </w:p>
    <w:p w14:paraId="18706469" w14:textId="77777777" w:rsidR="00217A61" w:rsidRDefault="001C2695">
      <w:pPr>
        <w:spacing w:beforeAutospacing="1" w:afterAutospacing="1"/>
        <w:rPr>
          <w:rFonts w:cs="Arial"/>
        </w:rPr>
      </w:pPr>
      <w:r>
        <w:rPr>
          <w:rFonts w:cs="Arial"/>
        </w:rPr>
        <w:t>The addition of almost a million residents in the past decade plus an economic shift from manufacturing to health care, biotechnology and finance have exacerbated housing affordability challenges in North Carolina. Housi</w:t>
      </w:r>
      <w:r>
        <w:rPr>
          <w:rFonts w:cs="Arial"/>
        </w:rPr>
        <w:t>ng construction has not kept pace with household growth in urban areas, driving up home sales prices and rental costs. While housing costs may be lower in rural communities, incomes are often lower as well, making it difficult to buy, rent or maintain home</w:t>
      </w:r>
      <w:r>
        <w:rPr>
          <w:rFonts w:cs="Arial"/>
        </w:rPr>
        <w:t>s.</w:t>
      </w:r>
    </w:p>
    <w:p w14:paraId="2AC8CBA4" w14:textId="77777777" w:rsidR="00217A61" w:rsidRDefault="001C2695">
      <w:pPr>
        <w:spacing w:beforeAutospacing="1" w:afterAutospacing="1"/>
        <w:rPr>
          <w:rFonts w:cs="Arial"/>
        </w:rPr>
      </w:pPr>
      <w:r>
        <w:rPr>
          <w:rFonts w:cs="Arial"/>
        </w:rPr>
        <w:t xml:space="preserve">The following sections provide information about the housing market in North Carolina including changes in supply and demand, building permits over time, costs associated with housing and housing </w:t>
      </w:r>
      <w:proofErr w:type="gramStart"/>
      <w:r>
        <w:rPr>
          <w:rFonts w:cs="Arial"/>
        </w:rPr>
        <w:t>conditions</w:t>
      </w:r>
      <w:proofErr w:type="gramEnd"/>
    </w:p>
    <w:p w14:paraId="74390E98" w14:textId="77777777" w:rsidR="00217A61" w:rsidRDefault="00217A61">
      <w:pPr>
        <w:rPr>
          <w:rFonts w:cs="Arial"/>
        </w:rPr>
      </w:pPr>
    </w:p>
    <w:p w14:paraId="4BF1CA04" w14:textId="77777777" w:rsidR="00217A61" w:rsidRDefault="00217A61">
      <w:pPr>
        <w:rPr>
          <w:rFonts w:cs="Arial"/>
        </w:rPr>
      </w:pPr>
    </w:p>
    <w:p w14:paraId="15DFCB68" w14:textId="77777777" w:rsidR="00217A61" w:rsidRDefault="001C2695">
      <w:pPr>
        <w:pStyle w:val="Heading2"/>
        <w:pageBreakBefore/>
        <w:rPr>
          <w:rFonts w:ascii="Calibri" w:hAnsi="Calibri"/>
          <w:i w:val="0"/>
        </w:rPr>
      </w:pPr>
      <w:r>
        <w:rPr>
          <w:rFonts w:ascii="Calibri" w:hAnsi="Calibri"/>
          <w:i w:val="0"/>
        </w:rPr>
        <w:lastRenderedPageBreak/>
        <w:t>MA-10 Number of Housing Units – 91.310(a)</w:t>
      </w:r>
    </w:p>
    <w:p w14:paraId="458B00FD" w14:textId="77777777" w:rsidR="00217A61" w:rsidRDefault="001C2695">
      <w:pPr>
        <w:spacing w:line="204" w:lineRule="auto"/>
        <w:rPr>
          <w:b/>
          <w:sz w:val="24"/>
          <w:szCs w:val="24"/>
        </w:rPr>
      </w:pPr>
      <w:r>
        <w:rPr>
          <w:b/>
          <w:sz w:val="24"/>
          <w:szCs w:val="24"/>
        </w:rPr>
        <w:t>In</w:t>
      </w:r>
      <w:r>
        <w:rPr>
          <w:b/>
          <w:sz w:val="24"/>
          <w:szCs w:val="24"/>
        </w:rPr>
        <w:t>troduction</w:t>
      </w:r>
    </w:p>
    <w:p w14:paraId="00B1CA32" w14:textId="77777777" w:rsidR="00217A61" w:rsidRDefault="001C2695">
      <w:pPr>
        <w:spacing w:beforeAutospacing="1" w:afterAutospacing="1"/>
        <w:rPr>
          <w:b/>
          <w:sz w:val="24"/>
          <w:szCs w:val="24"/>
        </w:rPr>
      </w:pPr>
      <w:r>
        <w:rPr>
          <w:rFonts w:cs="Arial"/>
        </w:rPr>
        <w:t xml:space="preserve">Single-family homes make up </w:t>
      </w:r>
      <w:proofErr w:type="gramStart"/>
      <w:r>
        <w:rPr>
          <w:rFonts w:cs="Arial"/>
        </w:rPr>
        <w:t>the majority of</w:t>
      </w:r>
      <w:proofErr w:type="gramEnd"/>
      <w:r>
        <w:rPr>
          <w:rFonts w:cs="Arial"/>
        </w:rPr>
        <w:t xml:space="preserve"> housing stock across the state. Urban areas are more likely to have 20+ multi-unit structures, while rural areas are more likely to have mobile homes. The emphasis on single-family homes is likely attr</w:t>
      </w:r>
      <w:r>
        <w:rPr>
          <w:rFonts w:cs="Arial"/>
        </w:rPr>
        <w:t xml:space="preserve">ibutable to zoning regulations, development costs, and other factors. Building permit data shows that most new construction is focused on single-family homes, with 98% of permits in 2018. Like in other states across the country, the home-building industry </w:t>
      </w:r>
      <w:r>
        <w:rPr>
          <w:rFonts w:cs="Arial"/>
        </w:rPr>
        <w:t>in North Carolina was affected by the Great Recession and has started showing signs of recovery but has not returned to pre-Recession levels. </w:t>
      </w:r>
    </w:p>
    <w:p w14:paraId="3FA6A34D" w14:textId="77777777" w:rsidR="00217A61" w:rsidRDefault="001C2695">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32"/>
        <w:gridCol w:w="2620"/>
      </w:tblGrid>
      <w:tr w:rsidR="00217A61" w14:paraId="14A1D0DB" w14:textId="77777777">
        <w:trPr>
          <w:cantSplit/>
          <w:tblHeader/>
        </w:trPr>
        <w:tc>
          <w:tcPr>
            <w:tcW w:w="3028" w:type="dxa"/>
          </w:tcPr>
          <w:p w14:paraId="76D39138" w14:textId="77777777" w:rsidR="00217A61" w:rsidRDefault="001C2695">
            <w:pPr>
              <w:keepNext/>
              <w:widowControl w:val="0"/>
              <w:spacing w:after="0" w:line="240" w:lineRule="auto"/>
              <w:rPr>
                <w:b/>
                <w:bCs/>
              </w:rPr>
            </w:pPr>
            <w:r>
              <w:rPr>
                <w:b/>
                <w:bCs/>
              </w:rPr>
              <w:t>Property Type</w:t>
            </w:r>
          </w:p>
        </w:tc>
        <w:tc>
          <w:tcPr>
            <w:tcW w:w="3045" w:type="dxa"/>
          </w:tcPr>
          <w:p w14:paraId="2D770B41" w14:textId="77777777" w:rsidR="00217A61" w:rsidRDefault="001C2695">
            <w:pPr>
              <w:keepNext/>
              <w:widowControl w:val="0"/>
              <w:spacing w:after="0" w:line="240" w:lineRule="auto"/>
              <w:jc w:val="center"/>
              <w:rPr>
                <w:b/>
                <w:bCs/>
              </w:rPr>
            </w:pPr>
            <w:r>
              <w:rPr>
                <w:b/>
                <w:bCs/>
              </w:rPr>
              <w:t>Number</w:t>
            </w:r>
          </w:p>
        </w:tc>
        <w:tc>
          <w:tcPr>
            <w:tcW w:w="2394" w:type="dxa"/>
          </w:tcPr>
          <w:p w14:paraId="4AF78478" w14:textId="77777777" w:rsidR="00217A61" w:rsidRDefault="001C2695">
            <w:pPr>
              <w:keepNext/>
              <w:widowControl w:val="0"/>
              <w:spacing w:after="0" w:line="240" w:lineRule="auto"/>
              <w:jc w:val="center"/>
              <w:rPr>
                <w:b/>
                <w:bCs/>
              </w:rPr>
            </w:pPr>
            <w:r>
              <w:rPr>
                <w:b/>
                <w:bCs/>
              </w:rPr>
              <w:t>%</w:t>
            </w:r>
          </w:p>
        </w:tc>
      </w:tr>
      <w:tr w:rsidR="00217A61" w14:paraId="6E08B4D9" w14:textId="77777777">
        <w:trPr>
          <w:cantSplit/>
        </w:trPr>
        <w:tc>
          <w:tcPr>
            <w:tcW w:w="0" w:type="auto"/>
          </w:tcPr>
          <w:p w14:paraId="1ED60C32" w14:textId="77777777" w:rsidR="00217A61" w:rsidRDefault="001C2695">
            <w:pPr>
              <w:spacing w:beforeAutospacing="1" w:afterAutospacing="1"/>
            </w:pPr>
            <w:r>
              <w:rPr>
                <w:color w:val="000000"/>
              </w:rPr>
              <w:t>1-unit detached structure</w:t>
            </w:r>
          </w:p>
        </w:tc>
        <w:tc>
          <w:tcPr>
            <w:tcW w:w="0" w:type="auto"/>
            <w:vAlign w:val="bottom"/>
          </w:tcPr>
          <w:p w14:paraId="149E9B34" w14:textId="77777777" w:rsidR="00217A61" w:rsidRDefault="001C2695">
            <w:pPr>
              <w:spacing w:beforeAutospacing="1" w:afterAutospacing="1"/>
              <w:jc w:val="right"/>
            </w:pPr>
            <w:r>
              <w:rPr>
                <w:color w:val="000000"/>
              </w:rPr>
              <w:t>2,976,686</w:t>
            </w:r>
          </w:p>
        </w:tc>
        <w:tc>
          <w:tcPr>
            <w:tcW w:w="0" w:type="auto"/>
            <w:vAlign w:val="bottom"/>
          </w:tcPr>
          <w:p w14:paraId="23B4E6D8" w14:textId="77777777" w:rsidR="00217A61" w:rsidRDefault="001C2695">
            <w:pPr>
              <w:spacing w:beforeAutospacing="1" w:afterAutospacing="1"/>
              <w:jc w:val="right"/>
            </w:pPr>
            <w:r>
              <w:rPr>
                <w:color w:val="000000"/>
              </w:rPr>
              <w:t>65%</w:t>
            </w:r>
          </w:p>
        </w:tc>
      </w:tr>
      <w:tr w:rsidR="00217A61" w14:paraId="3C8A631C" w14:textId="77777777">
        <w:trPr>
          <w:cantSplit/>
        </w:trPr>
        <w:tc>
          <w:tcPr>
            <w:tcW w:w="0" w:type="auto"/>
          </w:tcPr>
          <w:p w14:paraId="5F0ED481" w14:textId="77777777" w:rsidR="00217A61" w:rsidRDefault="001C2695">
            <w:pPr>
              <w:spacing w:beforeAutospacing="1" w:afterAutospacing="1"/>
            </w:pPr>
            <w:r>
              <w:rPr>
                <w:color w:val="000000"/>
              </w:rPr>
              <w:t>1-unit, attached structure</w:t>
            </w:r>
          </w:p>
        </w:tc>
        <w:tc>
          <w:tcPr>
            <w:tcW w:w="0" w:type="auto"/>
            <w:vAlign w:val="bottom"/>
          </w:tcPr>
          <w:p w14:paraId="56FB3373" w14:textId="77777777" w:rsidR="00217A61" w:rsidRDefault="001C2695">
            <w:pPr>
              <w:spacing w:beforeAutospacing="1" w:afterAutospacing="1"/>
              <w:jc w:val="right"/>
            </w:pPr>
            <w:r>
              <w:rPr>
                <w:color w:val="000000"/>
              </w:rPr>
              <w:t>187,331</w:t>
            </w:r>
          </w:p>
        </w:tc>
        <w:tc>
          <w:tcPr>
            <w:tcW w:w="0" w:type="auto"/>
            <w:vAlign w:val="bottom"/>
          </w:tcPr>
          <w:p w14:paraId="7DF1B3C4" w14:textId="77777777" w:rsidR="00217A61" w:rsidRDefault="001C2695">
            <w:pPr>
              <w:spacing w:beforeAutospacing="1" w:afterAutospacing="1"/>
              <w:jc w:val="right"/>
            </w:pPr>
            <w:r>
              <w:rPr>
                <w:color w:val="000000"/>
              </w:rPr>
              <w:t>4%</w:t>
            </w:r>
          </w:p>
        </w:tc>
      </w:tr>
      <w:tr w:rsidR="00217A61" w14:paraId="5D2D0D92" w14:textId="77777777">
        <w:trPr>
          <w:cantSplit/>
        </w:trPr>
        <w:tc>
          <w:tcPr>
            <w:tcW w:w="0" w:type="auto"/>
          </w:tcPr>
          <w:p w14:paraId="2408FB38" w14:textId="77777777" w:rsidR="00217A61" w:rsidRDefault="001C2695">
            <w:pPr>
              <w:spacing w:beforeAutospacing="1" w:afterAutospacing="1"/>
            </w:pPr>
            <w:r>
              <w:rPr>
                <w:color w:val="000000"/>
              </w:rPr>
              <w:t>2-4 units</w:t>
            </w:r>
          </w:p>
        </w:tc>
        <w:tc>
          <w:tcPr>
            <w:tcW w:w="0" w:type="auto"/>
            <w:vAlign w:val="bottom"/>
          </w:tcPr>
          <w:p w14:paraId="079A6937" w14:textId="77777777" w:rsidR="00217A61" w:rsidRDefault="001C2695">
            <w:pPr>
              <w:spacing w:beforeAutospacing="1" w:afterAutospacing="1"/>
              <w:jc w:val="right"/>
            </w:pPr>
            <w:r>
              <w:rPr>
                <w:color w:val="000000"/>
              </w:rPr>
              <w:t>220,981</w:t>
            </w:r>
          </w:p>
        </w:tc>
        <w:tc>
          <w:tcPr>
            <w:tcW w:w="0" w:type="auto"/>
            <w:vAlign w:val="bottom"/>
          </w:tcPr>
          <w:p w14:paraId="49C31C9A" w14:textId="77777777" w:rsidR="00217A61" w:rsidRDefault="001C2695">
            <w:pPr>
              <w:spacing w:beforeAutospacing="1" w:afterAutospacing="1"/>
              <w:jc w:val="right"/>
            </w:pPr>
            <w:r>
              <w:rPr>
                <w:color w:val="000000"/>
              </w:rPr>
              <w:t>5%</w:t>
            </w:r>
          </w:p>
        </w:tc>
      </w:tr>
      <w:tr w:rsidR="00217A61" w14:paraId="14BD19A7" w14:textId="77777777">
        <w:trPr>
          <w:cantSplit/>
        </w:trPr>
        <w:tc>
          <w:tcPr>
            <w:tcW w:w="0" w:type="auto"/>
          </w:tcPr>
          <w:p w14:paraId="246E7AC6" w14:textId="77777777" w:rsidR="00217A61" w:rsidRDefault="001C2695">
            <w:pPr>
              <w:spacing w:beforeAutospacing="1" w:afterAutospacing="1"/>
            </w:pPr>
            <w:r>
              <w:rPr>
                <w:color w:val="000000"/>
              </w:rPr>
              <w:t>5-19 units</w:t>
            </w:r>
          </w:p>
        </w:tc>
        <w:tc>
          <w:tcPr>
            <w:tcW w:w="0" w:type="auto"/>
            <w:vAlign w:val="bottom"/>
          </w:tcPr>
          <w:p w14:paraId="3D68C483" w14:textId="77777777" w:rsidR="00217A61" w:rsidRDefault="001C2695">
            <w:pPr>
              <w:spacing w:beforeAutospacing="1" w:afterAutospacing="1"/>
              <w:jc w:val="right"/>
            </w:pPr>
            <w:r>
              <w:rPr>
                <w:color w:val="000000"/>
              </w:rPr>
              <w:t>389,014</w:t>
            </w:r>
          </w:p>
        </w:tc>
        <w:tc>
          <w:tcPr>
            <w:tcW w:w="0" w:type="auto"/>
            <w:vAlign w:val="bottom"/>
          </w:tcPr>
          <w:p w14:paraId="7747B379" w14:textId="77777777" w:rsidR="00217A61" w:rsidRDefault="001C2695">
            <w:pPr>
              <w:spacing w:beforeAutospacing="1" w:afterAutospacing="1"/>
              <w:jc w:val="right"/>
            </w:pPr>
            <w:r>
              <w:rPr>
                <w:color w:val="000000"/>
              </w:rPr>
              <w:t>9%</w:t>
            </w:r>
          </w:p>
        </w:tc>
      </w:tr>
      <w:tr w:rsidR="00217A61" w14:paraId="5FE442C9" w14:textId="77777777">
        <w:trPr>
          <w:cantSplit/>
        </w:trPr>
        <w:tc>
          <w:tcPr>
            <w:tcW w:w="0" w:type="auto"/>
          </w:tcPr>
          <w:p w14:paraId="358DD656" w14:textId="77777777" w:rsidR="00217A61" w:rsidRDefault="001C2695">
            <w:pPr>
              <w:spacing w:beforeAutospacing="1" w:afterAutospacing="1"/>
            </w:pPr>
            <w:r>
              <w:rPr>
                <w:color w:val="000000"/>
              </w:rPr>
              <w:t>20 or more units</w:t>
            </w:r>
          </w:p>
        </w:tc>
        <w:tc>
          <w:tcPr>
            <w:tcW w:w="0" w:type="auto"/>
            <w:vAlign w:val="bottom"/>
          </w:tcPr>
          <w:p w14:paraId="1D6483B3" w14:textId="77777777" w:rsidR="00217A61" w:rsidRDefault="001C2695">
            <w:pPr>
              <w:spacing w:beforeAutospacing="1" w:afterAutospacing="1"/>
              <w:jc w:val="right"/>
            </w:pPr>
            <w:r>
              <w:rPr>
                <w:color w:val="000000"/>
              </w:rPr>
              <w:t>200,737</w:t>
            </w:r>
          </w:p>
        </w:tc>
        <w:tc>
          <w:tcPr>
            <w:tcW w:w="0" w:type="auto"/>
            <w:vAlign w:val="bottom"/>
          </w:tcPr>
          <w:p w14:paraId="341D376E" w14:textId="77777777" w:rsidR="00217A61" w:rsidRDefault="001C2695">
            <w:pPr>
              <w:spacing w:beforeAutospacing="1" w:afterAutospacing="1"/>
              <w:jc w:val="right"/>
            </w:pPr>
            <w:r>
              <w:rPr>
                <w:color w:val="000000"/>
              </w:rPr>
              <w:t>4%</w:t>
            </w:r>
          </w:p>
        </w:tc>
      </w:tr>
      <w:tr w:rsidR="00217A61" w14:paraId="26DF6F23" w14:textId="77777777">
        <w:trPr>
          <w:cantSplit/>
        </w:trPr>
        <w:tc>
          <w:tcPr>
            <w:tcW w:w="0" w:type="auto"/>
          </w:tcPr>
          <w:p w14:paraId="52E31254" w14:textId="77777777" w:rsidR="00217A61" w:rsidRDefault="001C2695">
            <w:pPr>
              <w:spacing w:beforeAutospacing="1" w:afterAutospacing="1"/>
            </w:pPr>
            <w:r>
              <w:rPr>
                <w:color w:val="000000"/>
              </w:rPr>
              <w:t xml:space="preserve">Mobile Home, boat, RV, van, </w:t>
            </w:r>
            <w:proofErr w:type="spellStart"/>
            <w:r>
              <w:rPr>
                <w:color w:val="000000"/>
              </w:rPr>
              <w:t>etc</w:t>
            </w:r>
            <w:proofErr w:type="spellEnd"/>
          </w:p>
        </w:tc>
        <w:tc>
          <w:tcPr>
            <w:tcW w:w="0" w:type="auto"/>
            <w:vAlign w:val="bottom"/>
          </w:tcPr>
          <w:p w14:paraId="6C42FD46" w14:textId="77777777" w:rsidR="00217A61" w:rsidRDefault="001C2695">
            <w:pPr>
              <w:spacing w:beforeAutospacing="1" w:afterAutospacing="1"/>
              <w:jc w:val="right"/>
            </w:pPr>
            <w:r>
              <w:rPr>
                <w:color w:val="000000"/>
              </w:rPr>
              <w:t>598,317</w:t>
            </w:r>
          </w:p>
        </w:tc>
        <w:tc>
          <w:tcPr>
            <w:tcW w:w="0" w:type="auto"/>
            <w:vAlign w:val="bottom"/>
          </w:tcPr>
          <w:p w14:paraId="60FB61AF" w14:textId="77777777" w:rsidR="00217A61" w:rsidRDefault="001C2695">
            <w:pPr>
              <w:spacing w:beforeAutospacing="1" w:afterAutospacing="1"/>
              <w:jc w:val="right"/>
            </w:pPr>
            <w:r>
              <w:rPr>
                <w:color w:val="000000"/>
              </w:rPr>
              <w:t>13%</w:t>
            </w:r>
          </w:p>
        </w:tc>
      </w:tr>
      <w:tr w:rsidR="00217A61" w14:paraId="05D88887" w14:textId="77777777">
        <w:trPr>
          <w:cantSplit/>
        </w:trPr>
        <w:tc>
          <w:tcPr>
            <w:tcW w:w="0" w:type="auto"/>
          </w:tcPr>
          <w:p w14:paraId="64B74F27" w14:textId="77777777" w:rsidR="00217A61" w:rsidRDefault="001C2695">
            <w:pPr>
              <w:spacing w:beforeAutospacing="1" w:afterAutospacing="1"/>
            </w:pPr>
            <w:r>
              <w:rPr>
                <w:rFonts w:ascii="Verdana" w:hAnsi="Verdana"/>
                <w:b/>
                <w:i/>
                <w:color w:val="000000"/>
                <w:sz w:val="16"/>
              </w:rPr>
              <w:t>Total</w:t>
            </w:r>
          </w:p>
        </w:tc>
        <w:tc>
          <w:tcPr>
            <w:tcW w:w="0" w:type="auto"/>
          </w:tcPr>
          <w:p w14:paraId="67648945" w14:textId="77777777" w:rsidR="00217A61" w:rsidRDefault="001C2695">
            <w:pPr>
              <w:spacing w:beforeAutospacing="1" w:afterAutospacing="1"/>
              <w:jc w:val="right"/>
            </w:pPr>
            <w:r>
              <w:rPr>
                <w:rFonts w:ascii="Verdana" w:hAnsi="Verdana"/>
                <w:b/>
                <w:i/>
                <w:color w:val="000000"/>
                <w:sz w:val="16"/>
              </w:rPr>
              <w:t>4,573,066</w:t>
            </w:r>
          </w:p>
        </w:tc>
        <w:tc>
          <w:tcPr>
            <w:tcW w:w="0" w:type="auto"/>
          </w:tcPr>
          <w:p w14:paraId="16F310CF" w14:textId="77777777" w:rsidR="00217A61" w:rsidRDefault="001C2695">
            <w:pPr>
              <w:spacing w:beforeAutospacing="1" w:afterAutospacing="1"/>
              <w:jc w:val="right"/>
            </w:pPr>
            <w:r>
              <w:rPr>
                <w:rFonts w:ascii="Verdana" w:hAnsi="Verdana"/>
                <w:b/>
                <w:i/>
                <w:color w:val="000000"/>
                <w:sz w:val="16"/>
              </w:rPr>
              <w:t>100%</w:t>
            </w:r>
          </w:p>
        </w:tc>
      </w:tr>
    </w:tbl>
    <w:p w14:paraId="5EFA66C7"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30</w:t>
      </w:r>
      <w:r>
        <w:rPr>
          <w:rFonts w:asciiTheme="minorHAnsi" w:hAnsiTheme="minorHAnsi"/>
        </w:rPr>
        <w:fldChar w:fldCharType="end"/>
      </w:r>
      <w:r>
        <w:rPr>
          <w:rFonts w:asciiTheme="minorHAnsi" w:hAnsiTheme="minorHAnsi"/>
        </w:rPr>
        <w:t xml:space="preserve"> – Residential Properties by Unit Number</w:t>
      </w:r>
    </w:p>
    <w:p w14:paraId="4745C1ED" w14:textId="77777777" w:rsidR="00217A61" w:rsidRDefault="00217A61">
      <w:pPr>
        <w:spacing w:after="0" w:line="240" w:lineRule="auto"/>
        <w:rPr>
          <w:vanish/>
        </w:rPr>
      </w:pPr>
    </w:p>
    <w:tbl>
      <w:tblPr>
        <w:tblW w:w="2450" w:type="pct"/>
        <w:tblInd w:w="115" w:type="dxa"/>
        <w:tblLook w:val="01E0" w:firstRow="1" w:lastRow="1" w:firstColumn="1" w:lastColumn="1" w:noHBand="0" w:noVBand="0"/>
      </w:tblPr>
      <w:tblGrid>
        <w:gridCol w:w="4586"/>
      </w:tblGrid>
      <w:tr w:rsidR="00217A61" w14:paraId="1BF7D033" w14:textId="77777777">
        <w:tc>
          <w:tcPr>
            <w:tcW w:w="0" w:type="auto"/>
          </w:tcPr>
          <w:p w14:paraId="5A2D6E92" w14:textId="77777777" w:rsidR="00217A61" w:rsidRDefault="001C2695">
            <w:pPr>
              <w:keepNext/>
              <w:widowControl w:val="0"/>
              <w:spacing w:after="0" w:line="240" w:lineRule="auto"/>
            </w:pPr>
            <w:r>
              <w:rPr>
                <w:b/>
                <w:sz w:val="16"/>
                <w:szCs w:val="16"/>
              </w:rPr>
              <w:t>Alternate Data Source Name:</w:t>
            </w:r>
          </w:p>
        </w:tc>
      </w:tr>
      <w:tr w:rsidR="00217A61" w14:paraId="14BC70D6" w14:textId="77777777">
        <w:trPr>
          <w:cantSplit/>
        </w:trPr>
        <w:tc>
          <w:tcPr>
            <w:tcW w:w="0" w:type="auto"/>
          </w:tcPr>
          <w:p w14:paraId="0CFB035B" w14:textId="77777777" w:rsidR="00217A61" w:rsidRDefault="001C2695">
            <w:pPr>
              <w:spacing w:beforeAutospacing="1" w:afterAutospacing="1"/>
            </w:pPr>
            <w:r>
              <w:rPr>
                <w:color w:val="000000"/>
                <w:sz w:val="16"/>
              </w:rPr>
              <w:t>2014 - 2018 ACS</w:t>
            </w:r>
          </w:p>
        </w:tc>
      </w:tr>
    </w:tbl>
    <w:p w14:paraId="1C416CC1" w14:textId="77777777" w:rsidR="00217A61" w:rsidRDefault="00217A61">
      <w:pPr>
        <w:rPr>
          <w:b/>
          <w:bCs/>
          <w:vanish/>
          <w:sz w:val="16"/>
          <w:szCs w:val="16"/>
        </w:rPr>
      </w:pPr>
    </w:p>
    <w:tbl>
      <w:tblPr>
        <w:tblW w:w="5000" w:type="pct"/>
        <w:tblInd w:w="115" w:type="dxa"/>
        <w:tblLook w:val="01E0" w:firstRow="1" w:lastRow="1" w:firstColumn="1" w:lastColumn="1" w:noHBand="0" w:noVBand="0"/>
      </w:tblPr>
      <w:tblGrid>
        <w:gridCol w:w="1947"/>
        <w:gridCol w:w="7413"/>
      </w:tblGrid>
      <w:tr w:rsidR="00217A61" w14:paraId="4F80DEC8" w14:textId="77777777">
        <w:trPr>
          <w:cantSplit/>
        </w:trPr>
        <w:tc>
          <w:tcPr>
            <w:tcW w:w="1973" w:type="dxa"/>
          </w:tcPr>
          <w:p w14:paraId="14F5E5A2" w14:textId="77777777" w:rsidR="00217A61" w:rsidRDefault="001C2695">
            <w:pPr>
              <w:spacing w:after="0" w:line="240" w:lineRule="auto"/>
              <w:rPr>
                <w:rFonts w:cs="Arial"/>
                <w:sz w:val="16"/>
                <w:szCs w:val="16"/>
              </w:rPr>
            </w:pPr>
            <w:r>
              <w:rPr>
                <w:b/>
                <w:bCs/>
                <w:sz w:val="16"/>
                <w:szCs w:val="16"/>
              </w:rPr>
              <w:t>Data Source Comments:</w:t>
            </w:r>
          </w:p>
        </w:tc>
        <w:tc>
          <w:tcPr>
            <w:tcW w:w="7603" w:type="dxa"/>
          </w:tcPr>
          <w:p w14:paraId="38773033" w14:textId="77777777" w:rsidR="00217A61" w:rsidRDefault="00217A61">
            <w:pPr>
              <w:spacing w:after="0" w:line="240" w:lineRule="auto"/>
              <w:rPr>
                <w:rFonts w:cs="Arial"/>
                <w:sz w:val="16"/>
                <w:szCs w:val="16"/>
              </w:rPr>
            </w:pPr>
          </w:p>
        </w:tc>
      </w:tr>
    </w:tbl>
    <w:p w14:paraId="1DEF78B9" w14:textId="77777777" w:rsidR="00217A61" w:rsidRDefault="00217A61"/>
    <w:p w14:paraId="06F7116D" w14:textId="77777777" w:rsidR="00217A61" w:rsidRDefault="001C2695">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1766"/>
        <w:gridCol w:w="1524"/>
        <w:gridCol w:w="1728"/>
        <w:gridCol w:w="1674"/>
      </w:tblGrid>
      <w:tr w:rsidR="00217A61" w14:paraId="6F108F4C" w14:textId="77777777">
        <w:trPr>
          <w:cantSplit/>
          <w:tblHeader/>
        </w:trPr>
        <w:tc>
          <w:tcPr>
            <w:tcW w:w="2736" w:type="dxa"/>
            <w:vMerge w:val="restart"/>
          </w:tcPr>
          <w:p w14:paraId="4F642943" w14:textId="77777777" w:rsidR="00217A61" w:rsidRDefault="00217A61">
            <w:pPr>
              <w:keepNext/>
              <w:widowControl w:val="0"/>
              <w:spacing w:after="0" w:line="240" w:lineRule="auto"/>
              <w:rPr>
                <w:b/>
                <w:bCs/>
              </w:rPr>
            </w:pPr>
          </w:p>
        </w:tc>
        <w:tc>
          <w:tcPr>
            <w:tcW w:w="3361" w:type="dxa"/>
            <w:gridSpan w:val="2"/>
          </w:tcPr>
          <w:p w14:paraId="508FBEB0" w14:textId="77777777" w:rsidR="00217A61" w:rsidRDefault="001C2695">
            <w:pPr>
              <w:keepNext/>
              <w:widowControl w:val="0"/>
              <w:spacing w:after="0" w:line="240" w:lineRule="auto"/>
              <w:jc w:val="center"/>
              <w:rPr>
                <w:b/>
                <w:bCs/>
              </w:rPr>
            </w:pPr>
            <w:r>
              <w:rPr>
                <w:b/>
                <w:bCs/>
              </w:rPr>
              <w:t>Owners</w:t>
            </w:r>
          </w:p>
        </w:tc>
        <w:tc>
          <w:tcPr>
            <w:tcW w:w="3479" w:type="dxa"/>
            <w:gridSpan w:val="2"/>
          </w:tcPr>
          <w:p w14:paraId="35934D7D" w14:textId="77777777" w:rsidR="00217A61" w:rsidRDefault="001C2695">
            <w:pPr>
              <w:keepNext/>
              <w:widowControl w:val="0"/>
              <w:spacing w:after="0" w:line="240" w:lineRule="auto"/>
              <w:jc w:val="center"/>
              <w:rPr>
                <w:b/>
                <w:bCs/>
              </w:rPr>
            </w:pPr>
            <w:r>
              <w:rPr>
                <w:b/>
                <w:bCs/>
              </w:rPr>
              <w:t>Renters</w:t>
            </w:r>
          </w:p>
        </w:tc>
      </w:tr>
      <w:tr w:rsidR="00217A61" w14:paraId="1A676EA9" w14:textId="77777777">
        <w:trPr>
          <w:cantSplit/>
          <w:tblHeader/>
        </w:trPr>
        <w:tc>
          <w:tcPr>
            <w:tcW w:w="2736" w:type="dxa"/>
            <w:vMerge/>
          </w:tcPr>
          <w:p w14:paraId="69563D1C" w14:textId="77777777" w:rsidR="00217A61" w:rsidRDefault="00217A61">
            <w:pPr>
              <w:keepNext/>
              <w:widowControl w:val="0"/>
              <w:spacing w:after="0" w:line="240" w:lineRule="auto"/>
              <w:rPr>
                <w:b/>
                <w:bCs/>
              </w:rPr>
            </w:pPr>
          </w:p>
        </w:tc>
        <w:tc>
          <w:tcPr>
            <w:tcW w:w="1798" w:type="dxa"/>
          </w:tcPr>
          <w:p w14:paraId="2C734798" w14:textId="77777777" w:rsidR="00217A61" w:rsidRDefault="001C2695">
            <w:pPr>
              <w:keepNext/>
              <w:widowControl w:val="0"/>
              <w:spacing w:after="0" w:line="240" w:lineRule="auto"/>
              <w:jc w:val="center"/>
              <w:rPr>
                <w:b/>
                <w:bCs/>
              </w:rPr>
            </w:pPr>
            <w:r>
              <w:rPr>
                <w:b/>
                <w:bCs/>
              </w:rPr>
              <w:t>Number</w:t>
            </w:r>
          </w:p>
        </w:tc>
        <w:tc>
          <w:tcPr>
            <w:tcW w:w="1563" w:type="dxa"/>
          </w:tcPr>
          <w:p w14:paraId="5D8E65B0" w14:textId="77777777" w:rsidR="00217A61" w:rsidRDefault="001C2695">
            <w:pPr>
              <w:keepNext/>
              <w:widowControl w:val="0"/>
              <w:spacing w:after="0" w:line="240" w:lineRule="auto"/>
              <w:jc w:val="center"/>
              <w:rPr>
                <w:b/>
                <w:bCs/>
              </w:rPr>
            </w:pPr>
            <w:r>
              <w:rPr>
                <w:b/>
                <w:bCs/>
              </w:rPr>
              <w:t>%</w:t>
            </w:r>
          </w:p>
        </w:tc>
        <w:tc>
          <w:tcPr>
            <w:tcW w:w="1759" w:type="dxa"/>
          </w:tcPr>
          <w:p w14:paraId="3ADFF81D" w14:textId="77777777" w:rsidR="00217A61" w:rsidRDefault="001C2695">
            <w:pPr>
              <w:keepNext/>
              <w:widowControl w:val="0"/>
              <w:spacing w:after="0" w:line="240" w:lineRule="auto"/>
              <w:jc w:val="center"/>
              <w:rPr>
                <w:b/>
                <w:bCs/>
              </w:rPr>
            </w:pPr>
            <w:r>
              <w:rPr>
                <w:b/>
                <w:bCs/>
              </w:rPr>
              <w:t>Number</w:t>
            </w:r>
          </w:p>
        </w:tc>
        <w:tc>
          <w:tcPr>
            <w:tcW w:w="1720" w:type="dxa"/>
          </w:tcPr>
          <w:p w14:paraId="3D3E4EF2" w14:textId="77777777" w:rsidR="00217A61" w:rsidRDefault="001C2695">
            <w:pPr>
              <w:keepNext/>
              <w:widowControl w:val="0"/>
              <w:spacing w:after="0" w:line="240" w:lineRule="auto"/>
              <w:jc w:val="center"/>
              <w:rPr>
                <w:b/>
                <w:bCs/>
              </w:rPr>
            </w:pPr>
            <w:r>
              <w:rPr>
                <w:b/>
                <w:bCs/>
              </w:rPr>
              <w:t>%</w:t>
            </w:r>
          </w:p>
        </w:tc>
      </w:tr>
      <w:tr w:rsidR="00217A61" w14:paraId="0BBC1BBE" w14:textId="77777777">
        <w:trPr>
          <w:cantSplit/>
        </w:trPr>
        <w:tc>
          <w:tcPr>
            <w:tcW w:w="0" w:type="auto"/>
          </w:tcPr>
          <w:p w14:paraId="0D0D0D95" w14:textId="77777777" w:rsidR="00217A61" w:rsidRDefault="001C2695">
            <w:pPr>
              <w:spacing w:beforeAutospacing="1" w:afterAutospacing="1"/>
            </w:pPr>
            <w:r>
              <w:rPr>
                <w:color w:val="000000"/>
              </w:rPr>
              <w:t>No bedroom</w:t>
            </w:r>
          </w:p>
        </w:tc>
        <w:tc>
          <w:tcPr>
            <w:tcW w:w="0" w:type="auto"/>
            <w:vAlign w:val="bottom"/>
          </w:tcPr>
          <w:p w14:paraId="48CECBD8" w14:textId="77777777" w:rsidR="00217A61" w:rsidRDefault="001C2695">
            <w:pPr>
              <w:spacing w:beforeAutospacing="1" w:afterAutospacing="1"/>
              <w:jc w:val="right"/>
            </w:pPr>
            <w:r>
              <w:rPr>
                <w:color w:val="000000"/>
              </w:rPr>
              <w:t>13,504</w:t>
            </w:r>
          </w:p>
        </w:tc>
        <w:tc>
          <w:tcPr>
            <w:tcW w:w="0" w:type="auto"/>
            <w:vAlign w:val="bottom"/>
          </w:tcPr>
          <w:p w14:paraId="406EF895" w14:textId="77777777" w:rsidR="00217A61" w:rsidRDefault="001C2695">
            <w:pPr>
              <w:spacing w:beforeAutospacing="1" w:afterAutospacing="1"/>
              <w:jc w:val="right"/>
            </w:pPr>
            <w:r>
              <w:rPr>
                <w:color w:val="000000"/>
              </w:rPr>
              <w:t>0%</w:t>
            </w:r>
          </w:p>
        </w:tc>
        <w:tc>
          <w:tcPr>
            <w:tcW w:w="0" w:type="auto"/>
            <w:vAlign w:val="bottom"/>
          </w:tcPr>
          <w:p w14:paraId="7C43412B" w14:textId="77777777" w:rsidR="00217A61" w:rsidRDefault="001C2695">
            <w:pPr>
              <w:spacing w:beforeAutospacing="1" w:afterAutospacing="1"/>
              <w:jc w:val="right"/>
            </w:pPr>
            <w:r>
              <w:rPr>
                <w:color w:val="000000"/>
              </w:rPr>
              <w:t>84,877</w:t>
            </w:r>
          </w:p>
        </w:tc>
        <w:tc>
          <w:tcPr>
            <w:tcW w:w="0" w:type="auto"/>
            <w:vAlign w:val="bottom"/>
          </w:tcPr>
          <w:p w14:paraId="3B28150B" w14:textId="77777777" w:rsidR="00217A61" w:rsidRDefault="001C2695">
            <w:pPr>
              <w:spacing w:beforeAutospacing="1" w:afterAutospacing="1"/>
              <w:jc w:val="right"/>
            </w:pPr>
            <w:r>
              <w:rPr>
                <w:color w:val="000000"/>
              </w:rPr>
              <w:t>6%</w:t>
            </w:r>
          </w:p>
        </w:tc>
      </w:tr>
      <w:tr w:rsidR="00217A61" w14:paraId="118B12A5" w14:textId="77777777">
        <w:trPr>
          <w:cantSplit/>
        </w:trPr>
        <w:tc>
          <w:tcPr>
            <w:tcW w:w="0" w:type="auto"/>
          </w:tcPr>
          <w:p w14:paraId="4A810C35" w14:textId="77777777" w:rsidR="00217A61" w:rsidRDefault="001C2695">
            <w:pPr>
              <w:spacing w:beforeAutospacing="1" w:afterAutospacing="1"/>
            </w:pPr>
            <w:r>
              <w:rPr>
                <w:color w:val="000000"/>
              </w:rPr>
              <w:t>1 bedroom</w:t>
            </w:r>
          </w:p>
        </w:tc>
        <w:tc>
          <w:tcPr>
            <w:tcW w:w="0" w:type="auto"/>
            <w:vAlign w:val="bottom"/>
          </w:tcPr>
          <w:p w14:paraId="53BE3255" w14:textId="77777777" w:rsidR="00217A61" w:rsidRDefault="001C2695">
            <w:pPr>
              <w:spacing w:beforeAutospacing="1" w:afterAutospacing="1"/>
              <w:jc w:val="right"/>
            </w:pPr>
            <w:r>
              <w:rPr>
                <w:color w:val="000000"/>
              </w:rPr>
              <w:t>53,921</w:t>
            </w:r>
          </w:p>
        </w:tc>
        <w:tc>
          <w:tcPr>
            <w:tcW w:w="0" w:type="auto"/>
            <w:vAlign w:val="bottom"/>
          </w:tcPr>
          <w:p w14:paraId="429DC1FE" w14:textId="77777777" w:rsidR="00217A61" w:rsidRDefault="001C2695">
            <w:pPr>
              <w:spacing w:beforeAutospacing="1" w:afterAutospacing="1"/>
              <w:jc w:val="right"/>
            </w:pPr>
            <w:r>
              <w:rPr>
                <w:color w:val="000000"/>
              </w:rPr>
              <w:t>2%</w:t>
            </w:r>
          </w:p>
        </w:tc>
        <w:tc>
          <w:tcPr>
            <w:tcW w:w="0" w:type="auto"/>
            <w:vAlign w:val="bottom"/>
          </w:tcPr>
          <w:p w14:paraId="39280251" w14:textId="77777777" w:rsidR="00217A61" w:rsidRDefault="001C2695">
            <w:pPr>
              <w:spacing w:beforeAutospacing="1" w:afterAutospacing="1"/>
              <w:jc w:val="right"/>
            </w:pPr>
            <w:r>
              <w:rPr>
                <w:color w:val="000000"/>
              </w:rPr>
              <w:t>438,751</w:t>
            </w:r>
          </w:p>
        </w:tc>
        <w:tc>
          <w:tcPr>
            <w:tcW w:w="0" w:type="auto"/>
            <w:vAlign w:val="bottom"/>
          </w:tcPr>
          <w:p w14:paraId="4EEDBD7C" w14:textId="77777777" w:rsidR="00217A61" w:rsidRDefault="001C2695">
            <w:pPr>
              <w:spacing w:beforeAutospacing="1" w:afterAutospacing="1"/>
              <w:jc w:val="right"/>
            </w:pPr>
            <w:r>
              <w:rPr>
                <w:color w:val="000000"/>
              </w:rPr>
              <w:t>32%</w:t>
            </w:r>
          </w:p>
        </w:tc>
      </w:tr>
      <w:tr w:rsidR="00217A61" w14:paraId="0B13429B" w14:textId="77777777">
        <w:trPr>
          <w:cantSplit/>
        </w:trPr>
        <w:tc>
          <w:tcPr>
            <w:tcW w:w="0" w:type="auto"/>
          </w:tcPr>
          <w:p w14:paraId="1F56FA31" w14:textId="77777777" w:rsidR="00217A61" w:rsidRDefault="001C2695">
            <w:pPr>
              <w:spacing w:beforeAutospacing="1" w:afterAutospacing="1"/>
            </w:pPr>
            <w:r>
              <w:rPr>
                <w:color w:val="000000"/>
              </w:rPr>
              <w:t>2 bedrooms</w:t>
            </w:r>
          </w:p>
        </w:tc>
        <w:tc>
          <w:tcPr>
            <w:tcW w:w="0" w:type="auto"/>
            <w:vAlign w:val="bottom"/>
          </w:tcPr>
          <w:p w14:paraId="66C8F0C1" w14:textId="77777777" w:rsidR="00217A61" w:rsidRDefault="001C2695">
            <w:pPr>
              <w:spacing w:beforeAutospacing="1" w:afterAutospacing="1"/>
              <w:jc w:val="right"/>
            </w:pPr>
            <w:r>
              <w:rPr>
                <w:color w:val="000000"/>
              </w:rPr>
              <w:t>761,500</w:t>
            </w:r>
          </w:p>
        </w:tc>
        <w:tc>
          <w:tcPr>
            <w:tcW w:w="0" w:type="auto"/>
            <w:vAlign w:val="bottom"/>
          </w:tcPr>
          <w:p w14:paraId="45C91CD7" w14:textId="77777777" w:rsidR="00217A61" w:rsidRDefault="001C2695">
            <w:pPr>
              <w:spacing w:beforeAutospacing="1" w:afterAutospacing="1"/>
              <w:jc w:val="right"/>
            </w:pPr>
            <w:r>
              <w:rPr>
                <w:color w:val="000000"/>
              </w:rPr>
              <w:t>31%</w:t>
            </w:r>
          </w:p>
        </w:tc>
        <w:tc>
          <w:tcPr>
            <w:tcW w:w="0" w:type="auto"/>
            <w:vAlign w:val="bottom"/>
          </w:tcPr>
          <w:p w14:paraId="4F644031" w14:textId="77777777" w:rsidR="00217A61" w:rsidRDefault="001C2695">
            <w:pPr>
              <w:spacing w:beforeAutospacing="1" w:afterAutospacing="1"/>
              <w:jc w:val="right"/>
            </w:pPr>
            <w:r>
              <w:rPr>
                <w:color w:val="000000"/>
              </w:rPr>
              <w:t>1,102,161</w:t>
            </w:r>
          </w:p>
        </w:tc>
        <w:tc>
          <w:tcPr>
            <w:tcW w:w="0" w:type="auto"/>
            <w:vAlign w:val="bottom"/>
          </w:tcPr>
          <w:p w14:paraId="53FF7AB5" w14:textId="77777777" w:rsidR="00217A61" w:rsidRDefault="001C2695">
            <w:pPr>
              <w:spacing w:beforeAutospacing="1" w:afterAutospacing="1"/>
              <w:jc w:val="right"/>
            </w:pPr>
            <w:r>
              <w:rPr>
                <w:color w:val="000000"/>
              </w:rPr>
              <w:t>83%</w:t>
            </w:r>
          </w:p>
        </w:tc>
      </w:tr>
      <w:tr w:rsidR="00217A61" w14:paraId="13F1A8A7" w14:textId="77777777">
        <w:trPr>
          <w:cantSplit/>
        </w:trPr>
        <w:tc>
          <w:tcPr>
            <w:tcW w:w="0" w:type="auto"/>
          </w:tcPr>
          <w:p w14:paraId="7CEEE768" w14:textId="77777777" w:rsidR="00217A61" w:rsidRDefault="001C2695">
            <w:pPr>
              <w:spacing w:beforeAutospacing="1" w:afterAutospacing="1"/>
            </w:pPr>
            <w:r>
              <w:rPr>
                <w:color w:val="000000"/>
              </w:rPr>
              <w:t>3 or more bedrooms</w:t>
            </w:r>
          </w:p>
        </w:tc>
        <w:tc>
          <w:tcPr>
            <w:tcW w:w="0" w:type="auto"/>
            <w:vAlign w:val="bottom"/>
          </w:tcPr>
          <w:p w14:paraId="74307C56" w14:textId="77777777" w:rsidR="00217A61" w:rsidRDefault="001C2695">
            <w:pPr>
              <w:spacing w:beforeAutospacing="1" w:afterAutospacing="1"/>
              <w:jc w:val="right"/>
            </w:pPr>
            <w:r>
              <w:rPr>
                <w:color w:val="000000"/>
              </w:rPr>
              <w:t>4,178,852</w:t>
            </w:r>
          </w:p>
        </w:tc>
        <w:tc>
          <w:tcPr>
            <w:tcW w:w="0" w:type="auto"/>
            <w:vAlign w:val="bottom"/>
          </w:tcPr>
          <w:p w14:paraId="031EDD51" w14:textId="77777777" w:rsidR="00217A61" w:rsidRDefault="001C2695">
            <w:pPr>
              <w:spacing w:beforeAutospacing="1" w:afterAutospacing="1"/>
              <w:jc w:val="right"/>
            </w:pPr>
            <w:r>
              <w:rPr>
                <w:color w:val="000000"/>
              </w:rPr>
              <w:t>167%</w:t>
            </w:r>
          </w:p>
        </w:tc>
        <w:tc>
          <w:tcPr>
            <w:tcW w:w="0" w:type="auto"/>
            <w:vAlign w:val="bottom"/>
          </w:tcPr>
          <w:p w14:paraId="521D1975" w14:textId="77777777" w:rsidR="00217A61" w:rsidRDefault="001C2695">
            <w:pPr>
              <w:spacing w:beforeAutospacing="1" w:afterAutospacing="1"/>
              <w:jc w:val="right"/>
            </w:pPr>
            <w:r>
              <w:rPr>
                <w:color w:val="000000"/>
              </w:rPr>
              <w:t>1,060,612</w:t>
            </w:r>
          </w:p>
        </w:tc>
        <w:tc>
          <w:tcPr>
            <w:tcW w:w="0" w:type="auto"/>
            <w:vAlign w:val="bottom"/>
          </w:tcPr>
          <w:p w14:paraId="41667DB7" w14:textId="77777777" w:rsidR="00217A61" w:rsidRDefault="001C2695">
            <w:pPr>
              <w:spacing w:beforeAutospacing="1" w:afterAutospacing="1"/>
              <w:jc w:val="right"/>
            </w:pPr>
            <w:r>
              <w:rPr>
                <w:color w:val="000000"/>
              </w:rPr>
              <w:t>79%</w:t>
            </w:r>
          </w:p>
        </w:tc>
      </w:tr>
      <w:tr w:rsidR="00217A61" w14:paraId="0E896367" w14:textId="77777777">
        <w:trPr>
          <w:cantSplit/>
        </w:trPr>
        <w:tc>
          <w:tcPr>
            <w:tcW w:w="0" w:type="auto"/>
          </w:tcPr>
          <w:p w14:paraId="38DFD9F9" w14:textId="77777777" w:rsidR="00217A61" w:rsidRDefault="001C2695">
            <w:pPr>
              <w:spacing w:beforeAutospacing="1" w:afterAutospacing="1"/>
            </w:pPr>
            <w:r>
              <w:rPr>
                <w:rFonts w:ascii="Verdana" w:hAnsi="Verdana"/>
                <w:b/>
                <w:i/>
                <w:color w:val="000000"/>
                <w:sz w:val="16"/>
              </w:rPr>
              <w:t>Total</w:t>
            </w:r>
          </w:p>
        </w:tc>
        <w:tc>
          <w:tcPr>
            <w:tcW w:w="0" w:type="auto"/>
          </w:tcPr>
          <w:p w14:paraId="7EB9EDFC" w14:textId="77777777" w:rsidR="00217A61" w:rsidRDefault="001C2695">
            <w:pPr>
              <w:spacing w:beforeAutospacing="1" w:afterAutospacing="1"/>
              <w:jc w:val="right"/>
            </w:pPr>
            <w:r>
              <w:rPr>
                <w:rFonts w:ascii="Verdana" w:hAnsi="Verdana"/>
                <w:b/>
                <w:i/>
                <w:color w:val="000000"/>
                <w:sz w:val="16"/>
              </w:rPr>
              <w:t>5,007,777</w:t>
            </w:r>
          </w:p>
        </w:tc>
        <w:tc>
          <w:tcPr>
            <w:tcW w:w="0" w:type="auto"/>
          </w:tcPr>
          <w:p w14:paraId="3DEBD628" w14:textId="77777777" w:rsidR="00217A61" w:rsidRDefault="001C2695">
            <w:pPr>
              <w:spacing w:beforeAutospacing="1" w:afterAutospacing="1"/>
              <w:jc w:val="right"/>
            </w:pPr>
            <w:r>
              <w:rPr>
                <w:rFonts w:ascii="Verdana" w:hAnsi="Verdana"/>
                <w:b/>
                <w:i/>
                <w:color w:val="000000"/>
                <w:sz w:val="16"/>
              </w:rPr>
              <w:t>200%</w:t>
            </w:r>
          </w:p>
        </w:tc>
        <w:tc>
          <w:tcPr>
            <w:tcW w:w="0" w:type="auto"/>
          </w:tcPr>
          <w:p w14:paraId="1B838EE1" w14:textId="77777777" w:rsidR="00217A61" w:rsidRDefault="001C2695">
            <w:pPr>
              <w:spacing w:beforeAutospacing="1" w:afterAutospacing="1"/>
              <w:jc w:val="right"/>
            </w:pPr>
            <w:r>
              <w:rPr>
                <w:rFonts w:ascii="Verdana" w:hAnsi="Verdana"/>
                <w:b/>
                <w:i/>
                <w:color w:val="000000"/>
                <w:sz w:val="16"/>
              </w:rPr>
              <w:t>2,686,401</w:t>
            </w:r>
          </w:p>
        </w:tc>
        <w:tc>
          <w:tcPr>
            <w:tcW w:w="0" w:type="auto"/>
          </w:tcPr>
          <w:p w14:paraId="210D191E" w14:textId="77777777" w:rsidR="00217A61" w:rsidRDefault="001C2695">
            <w:pPr>
              <w:spacing w:beforeAutospacing="1" w:afterAutospacing="1"/>
              <w:jc w:val="right"/>
            </w:pPr>
            <w:r>
              <w:rPr>
                <w:rFonts w:ascii="Verdana" w:hAnsi="Verdana"/>
                <w:b/>
                <w:i/>
                <w:color w:val="000000"/>
                <w:sz w:val="16"/>
              </w:rPr>
              <w:t>200%</w:t>
            </w:r>
          </w:p>
        </w:tc>
      </w:tr>
    </w:tbl>
    <w:p w14:paraId="47B70F2E"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Unit Size by Tenure</w:t>
      </w:r>
    </w:p>
    <w:p w14:paraId="54CE2A5B" w14:textId="77777777" w:rsidR="00217A61" w:rsidRDefault="00217A61">
      <w:pPr>
        <w:rPr>
          <w:vanish/>
        </w:rPr>
      </w:pPr>
    </w:p>
    <w:tbl>
      <w:tblPr>
        <w:tblW w:w="2742" w:type="pct"/>
        <w:tblInd w:w="115" w:type="dxa"/>
        <w:tblLook w:val="01E0" w:firstRow="1" w:lastRow="1" w:firstColumn="1" w:lastColumn="1" w:noHBand="0" w:noVBand="0"/>
      </w:tblPr>
      <w:tblGrid>
        <w:gridCol w:w="5133"/>
      </w:tblGrid>
      <w:tr w:rsidR="00217A61" w14:paraId="0519D815" w14:textId="77777777">
        <w:tc>
          <w:tcPr>
            <w:tcW w:w="0" w:type="auto"/>
          </w:tcPr>
          <w:p w14:paraId="043BCC50" w14:textId="77777777" w:rsidR="00217A61" w:rsidRDefault="001C2695">
            <w:pPr>
              <w:keepNext/>
              <w:widowControl w:val="0"/>
              <w:spacing w:after="0" w:line="240" w:lineRule="auto"/>
            </w:pPr>
            <w:r>
              <w:rPr>
                <w:b/>
                <w:sz w:val="16"/>
                <w:szCs w:val="16"/>
              </w:rPr>
              <w:t>Alternate Data Source Name:</w:t>
            </w:r>
          </w:p>
        </w:tc>
      </w:tr>
      <w:tr w:rsidR="00217A61" w14:paraId="0669BA64" w14:textId="77777777">
        <w:trPr>
          <w:cantSplit/>
        </w:trPr>
        <w:tc>
          <w:tcPr>
            <w:tcW w:w="0" w:type="auto"/>
          </w:tcPr>
          <w:p w14:paraId="4B8347E3" w14:textId="77777777" w:rsidR="00217A61" w:rsidRDefault="001C2695">
            <w:pPr>
              <w:spacing w:beforeAutospacing="1" w:afterAutospacing="1"/>
            </w:pPr>
            <w:r>
              <w:rPr>
                <w:color w:val="000000"/>
                <w:sz w:val="16"/>
              </w:rPr>
              <w:t>2014 - 2018 ACS</w:t>
            </w:r>
          </w:p>
        </w:tc>
      </w:tr>
    </w:tbl>
    <w:p w14:paraId="21204986" w14:textId="77777777" w:rsidR="00217A61" w:rsidRDefault="00217A61">
      <w:pPr>
        <w:rPr>
          <w:b/>
          <w:bCs/>
          <w:vanish/>
          <w:sz w:val="16"/>
          <w:szCs w:val="16"/>
        </w:rPr>
      </w:pPr>
    </w:p>
    <w:tbl>
      <w:tblPr>
        <w:tblW w:w="5000" w:type="pct"/>
        <w:tblInd w:w="115" w:type="dxa"/>
        <w:tblLook w:val="01E0" w:firstRow="1" w:lastRow="1" w:firstColumn="1" w:lastColumn="1" w:noHBand="0" w:noVBand="0"/>
      </w:tblPr>
      <w:tblGrid>
        <w:gridCol w:w="1947"/>
        <w:gridCol w:w="7413"/>
      </w:tblGrid>
      <w:tr w:rsidR="00217A61" w14:paraId="67B5B982" w14:textId="77777777">
        <w:trPr>
          <w:cantSplit/>
        </w:trPr>
        <w:tc>
          <w:tcPr>
            <w:tcW w:w="1973" w:type="dxa"/>
          </w:tcPr>
          <w:p w14:paraId="6EB1602F" w14:textId="77777777" w:rsidR="00217A61" w:rsidRDefault="001C2695">
            <w:pPr>
              <w:spacing w:after="0" w:line="240" w:lineRule="auto"/>
              <w:rPr>
                <w:rFonts w:cs="Arial"/>
                <w:sz w:val="16"/>
                <w:szCs w:val="16"/>
              </w:rPr>
            </w:pPr>
            <w:r>
              <w:rPr>
                <w:b/>
                <w:bCs/>
                <w:sz w:val="16"/>
                <w:szCs w:val="16"/>
              </w:rPr>
              <w:t xml:space="preserve">Data </w:t>
            </w:r>
            <w:r>
              <w:rPr>
                <w:b/>
                <w:bCs/>
                <w:sz w:val="16"/>
                <w:szCs w:val="16"/>
              </w:rPr>
              <w:t>Source Comments:</w:t>
            </w:r>
          </w:p>
        </w:tc>
        <w:tc>
          <w:tcPr>
            <w:tcW w:w="7603" w:type="dxa"/>
          </w:tcPr>
          <w:p w14:paraId="25C3E85B" w14:textId="77777777" w:rsidR="00217A61" w:rsidRDefault="00217A61">
            <w:pPr>
              <w:spacing w:after="0" w:line="240" w:lineRule="auto"/>
              <w:rPr>
                <w:rFonts w:cs="Arial"/>
                <w:sz w:val="16"/>
                <w:szCs w:val="16"/>
              </w:rPr>
            </w:pPr>
          </w:p>
        </w:tc>
      </w:tr>
    </w:tbl>
    <w:p w14:paraId="419A90E2" w14:textId="77777777" w:rsidR="00217A61" w:rsidRDefault="00217A61"/>
    <w:p w14:paraId="61B51414" w14:textId="77777777" w:rsidR="00217A61" w:rsidRDefault="001C2695">
      <w:pPr>
        <w:rPr>
          <w:b/>
          <w:sz w:val="24"/>
          <w:szCs w:val="24"/>
        </w:rPr>
      </w:pPr>
      <w:r>
        <w:rPr>
          <w:b/>
          <w:sz w:val="24"/>
          <w:szCs w:val="24"/>
        </w:rPr>
        <w:t>Describe the number and targeting (income level/type of family served) of units assisted with federal, state, and local programs.</w:t>
      </w:r>
    </w:p>
    <w:p w14:paraId="7AD02545" w14:textId="77777777" w:rsidR="00217A61" w:rsidRDefault="001C2695">
      <w:pPr>
        <w:spacing w:beforeAutospacing="1" w:afterAutospacing="1"/>
        <w:rPr>
          <w:rFonts w:cs="Arial"/>
        </w:rPr>
      </w:pPr>
      <w:r>
        <w:rPr>
          <w:rFonts w:cs="Arial"/>
        </w:rPr>
        <w:lastRenderedPageBreak/>
        <w:t>Federally subsidized housing plays a key role in meeting the housing needs of seniors, people with disabilities, veterans, and low-income individuals in North Carolina. Data from the National Housing Preservation Database shows there are 156,128 units with</w:t>
      </w:r>
      <w:r>
        <w:rPr>
          <w:rFonts w:cs="Arial"/>
        </w:rPr>
        <w:t xml:space="preserve"> federal subsidies including LIHTC, HOME, Section 8, Public Housing, </w:t>
      </w:r>
      <w:proofErr w:type="gramStart"/>
      <w:r>
        <w:rPr>
          <w:rFonts w:cs="Arial"/>
        </w:rPr>
        <w:t>USDA</w:t>
      </w:r>
      <w:proofErr w:type="gramEnd"/>
      <w:r>
        <w:rPr>
          <w:rFonts w:cs="Arial"/>
        </w:rPr>
        <w:t xml:space="preserve"> and other HUD sources. LIHTC units make up 40% of the federally subsidize housing stock, while Section 8 and Public Housing make up 37%. Analysis by the Center for Budget and Policy </w:t>
      </w:r>
      <w:r>
        <w:rPr>
          <w:rFonts w:cs="Arial"/>
        </w:rPr>
        <w:t xml:space="preserve">Priorities shows that 263,000 residents in North Carolina rely on federal rental assistance to afford modest housing. Of those residents, 69% are seniors, </w:t>
      </w:r>
      <w:proofErr w:type="gramStart"/>
      <w:r>
        <w:rPr>
          <w:rFonts w:cs="Arial"/>
        </w:rPr>
        <w:t>children</w:t>
      </w:r>
      <w:proofErr w:type="gramEnd"/>
      <w:r>
        <w:rPr>
          <w:rFonts w:cs="Arial"/>
        </w:rPr>
        <w:t xml:space="preserve"> or people with disabilities.</w:t>
      </w:r>
    </w:p>
    <w:p w14:paraId="1E32B863" w14:textId="77777777" w:rsidR="00217A61" w:rsidRDefault="001C2695">
      <w:pPr>
        <w:spacing w:beforeAutospacing="1" w:afterAutospacing="1"/>
        <w:rPr>
          <w:rFonts w:cs="Arial"/>
        </w:rPr>
      </w:pPr>
      <w:r>
        <w:rPr>
          <w:rFonts w:cs="Arial"/>
        </w:rPr>
        <w:t>Several state agencies are involved in the provision of housing</w:t>
      </w:r>
      <w:r>
        <w:rPr>
          <w:rFonts w:cs="Arial"/>
        </w:rPr>
        <w:t>. The North Carolina Housing Finance Agency sells bonds, allocates tax credits, and uses state and federal funds to finance affordable housing. Specifically, NCHFA administers and manages federal programs like Low Income Housing Tax Credit, HOME, and Natio</w:t>
      </w:r>
      <w:r>
        <w:rPr>
          <w:rFonts w:cs="Arial"/>
        </w:rPr>
        <w:t>nal Housing Trust Fund as well as allocates state sources like the North Carolina Housing Trust Fund and others. The North Carolina Department of Commerce administers the federal Community Development Block Grant (CDBG) program. The North Carolina Departme</w:t>
      </w:r>
      <w:r>
        <w:rPr>
          <w:rFonts w:cs="Arial"/>
        </w:rPr>
        <w:t>nt of Health and Human Services (NC DHHS) administers the Emergency Solutions Grant Program (ESG) and the Housing Opportunities for People with AIDS Program (HOPWA).</w:t>
      </w:r>
    </w:p>
    <w:p w14:paraId="1AD86C3C" w14:textId="77777777" w:rsidR="00217A61" w:rsidRDefault="001C2695">
      <w:pPr>
        <w:spacing w:beforeAutospacing="1" w:afterAutospacing="1"/>
        <w:rPr>
          <w:rFonts w:cs="Arial"/>
        </w:rPr>
      </w:pPr>
      <w:r>
        <w:rPr>
          <w:rFonts w:cs="Arial"/>
          <w:b/>
        </w:rPr>
        <w:t>CBDG</w:t>
      </w:r>
      <w:r>
        <w:rPr>
          <w:rFonts w:cs="Arial"/>
        </w:rPr>
        <w:t>: Funds local community development activities with the goal of providing affordable h</w:t>
      </w:r>
      <w:r>
        <w:rPr>
          <w:rFonts w:cs="Arial"/>
        </w:rPr>
        <w:t xml:space="preserve">ousing, decreasing </w:t>
      </w:r>
      <w:proofErr w:type="gramStart"/>
      <w:r>
        <w:rPr>
          <w:rFonts w:cs="Arial"/>
        </w:rPr>
        <w:t>poverty</w:t>
      </w:r>
      <w:proofErr w:type="gramEnd"/>
      <w:r>
        <w:rPr>
          <w:rFonts w:cs="Arial"/>
        </w:rPr>
        <w:t xml:space="preserve"> and improving infrastructure. </w:t>
      </w:r>
      <w:r>
        <w:rPr>
          <w:rFonts w:cs="Arial"/>
        </w:rPr>
        <w:br/>
      </w:r>
      <w:r>
        <w:rPr>
          <w:rFonts w:cs="Arial"/>
          <w:b/>
        </w:rPr>
        <w:t>ESG</w:t>
      </w:r>
      <w:r>
        <w:rPr>
          <w:rFonts w:cs="Arial"/>
        </w:rPr>
        <w:t>: To improve the number and quality of emergency shelters, provide essential services to shelter residents, re-house homeless individuals and families and prevent families and individuals from be</w:t>
      </w:r>
      <w:r>
        <w:rPr>
          <w:rFonts w:cs="Arial"/>
        </w:rPr>
        <w:t xml:space="preserve">coming homeless </w:t>
      </w:r>
      <w:r>
        <w:rPr>
          <w:rFonts w:cs="Arial"/>
        </w:rPr>
        <w:br/>
      </w:r>
      <w:r>
        <w:rPr>
          <w:rFonts w:cs="Arial"/>
          <w:b/>
        </w:rPr>
        <w:t>HOME</w:t>
      </w:r>
      <w:r>
        <w:rPr>
          <w:rFonts w:cs="Arial"/>
        </w:rPr>
        <w:t xml:space="preserve">: </w:t>
      </w:r>
      <w:proofErr w:type="gramStart"/>
      <w:r>
        <w:rPr>
          <w:rFonts w:cs="Arial"/>
        </w:rPr>
        <w:t>Funds</w:t>
      </w:r>
      <w:proofErr w:type="gramEnd"/>
      <w:r>
        <w:rPr>
          <w:rFonts w:cs="Arial"/>
        </w:rPr>
        <w:t xml:space="preserve"> rehabilitation of owner-occupied units, development of rental housing, and home-buying. Targets </w:t>
      </w:r>
      <w:proofErr w:type="gramStart"/>
      <w:r>
        <w:rPr>
          <w:rFonts w:cs="Arial"/>
        </w:rPr>
        <w:t>low and moderate income</w:t>
      </w:r>
      <w:proofErr w:type="gramEnd"/>
      <w:r>
        <w:rPr>
          <w:rFonts w:cs="Arial"/>
        </w:rPr>
        <w:t xml:space="preserve"> homeowners who are elderly, disabled or veterans; low and moderate income renters including elderly and spe</w:t>
      </w:r>
      <w:r>
        <w:rPr>
          <w:rFonts w:cs="Arial"/>
        </w:rPr>
        <w:t>cial needs; low and moderate income homebuyers</w:t>
      </w:r>
      <w:r>
        <w:rPr>
          <w:rFonts w:cs="Arial"/>
        </w:rPr>
        <w:br/>
      </w:r>
      <w:r>
        <w:rPr>
          <w:rFonts w:cs="Arial"/>
          <w:b/>
        </w:rPr>
        <w:t>HOPWA:</w:t>
      </w:r>
      <w:r>
        <w:rPr>
          <w:rFonts w:cs="Arial"/>
        </w:rPr>
        <w:t xml:space="preserve"> Provides housing and housing related services Persons/families living with HIV infection in the 86 North Carolina counties covered by the State HOPWA Program</w:t>
      </w:r>
      <w:r>
        <w:rPr>
          <w:rFonts w:cs="Arial"/>
        </w:rPr>
        <w:br/>
      </w:r>
      <w:r>
        <w:rPr>
          <w:rFonts w:cs="Arial"/>
          <w:b/>
        </w:rPr>
        <w:t>Low Income Housing Tax Credit</w:t>
      </w:r>
      <w:r>
        <w:rPr>
          <w:rFonts w:cs="Arial"/>
        </w:rPr>
        <w:t>: Finances deve</w:t>
      </w:r>
      <w:r>
        <w:rPr>
          <w:rFonts w:cs="Arial"/>
        </w:rPr>
        <w:t>lopment and substantial rehabilitation of affordable rental housing. Targets renters with incomes up to 80% of area median income including elderly and special needs</w:t>
      </w:r>
      <w:r>
        <w:rPr>
          <w:rFonts w:cs="Arial"/>
        </w:rPr>
        <w:br/>
      </w:r>
      <w:r>
        <w:rPr>
          <w:rFonts w:cs="Arial"/>
          <w:b/>
        </w:rPr>
        <w:t>National Housing Trust Fund</w:t>
      </w:r>
      <w:r>
        <w:rPr>
          <w:rFonts w:cs="Arial"/>
        </w:rPr>
        <w:t xml:space="preserve">: </w:t>
      </w:r>
      <w:proofErr w:type="gramStart"/>
      <w:r>
        <w:rPr>
          <w:rFonts w:cs="Arial"/>
        </w:rPr>
        <w:t>Finances</w:t>
      </w:r>
      <w:proofErr w:type="gramEnd"/>
      <w:r>
        <w:rPr>
          <w:rFonts w:cs="Arial"/>
        </w:rPr>
        <w:t xml:space="preserve"> development of affordable rental housing Renters wit</w:t>
      </w:r>
      <w:r>
        <w:rPr>
          <w:rFonts w:cs="Arial"/>
        </w:rPr>
        <w:t>h incomes up to 80% of area median income including elderly and special needs</w:t>
      </w:r>
      <w:r>
        <w:rPr>
          <w:rFonts w:cs="Arial"/>
        </w:rPr>
        <w:br/>
        <w:t>North Carolina Housing Trust Fund Funds rehabilitation of owner-occupied units, development of supportive housing, and development of affordable rental housing. Targets extremely</w:t>
      </w:r>
      <w:r>
        <w:rPr>
          <w:rFonts w:cs="Arial"/>
        </w:rPr>
        <w:t xml:space="preserve"> </w:t>
      </w:r>
      <w:proofErr w:type="gramStart"/>
      <w:r>
        <w:rPr>
          <w:rFonts w:cs="Arial"/>
        </w:rPr>
        <w:t>low and low income</w:t>
      </w:r>
      <w:proofErr w:type="gramEnd"/>
      <w:r>
        <w:rPr>
          <w:rFonts w:cs="Arial"/>
        </w:rPr>
        <w:t xml:space="preserve"> homeowners who are elderly or special needs; extremely low and low income renters with special needs</w:t>
      </w:r>
    </w:p>
    <w:p w14:paraId="7BBCEB19" w14:textId="77777777" w:rsidR="00217A61" w:rsidRDefault="001C2695">
      <w:pPr>
        <w:rPr>
          <w:b/>
          <w:sz w:val="24"/>
          <w:szCs w:val="24"/>
        </w:rPr>
      </w:pPr>
      <w:r>
        <w:rPr>
          <w:b/>
          <w:sz w:val="24"/>
          <w:szCs w:val="24"/>
        </w:rPr>
        <w:t xml:space="preserve">Provide an assessment of units expected to be lost from the affordable housing inventory for any reason, such as expiration of Section </w:t>
      </w:r>
      <w:r>
        <w:rPr>
          <w:b/>
          <w:sz w:val="24"/>
          <w:szCs w:val="24"/>
        </w:rPr>
        <w:t>8 contracts.</w:t>
      </w:r>
    </w:p>
    <w:p w14:paraId="19940BDB" w14:textId="77777777" w:rsidR="00217A61" w:rsidRDefault="001C2695">
      <w:pPr>
        <w:spacing w:beforeAutospacing="1" w:afterAutospacing="1"/>
        <w:rPr>
          <w:rFonts w:cs="Arial"/>
        </w:rPr>
      </w:pPr>
      <w:r>
        <w:rPr>
          <w:rFonts w:cs="Arial"/>
        </w:rPr>
        <w:lastRenderedPageBreak/>
        <w:t xml:space="preserve">Subsidized housing is an important part of the affordable housing stock in the state. In North Carolina, developments that receive tax credits must remain affordable for 30 years at which point owners may </w:t>
      </w:r>
      <w:proofErr w:type="spellStart"/>
      <w:r>
        <w:rPr>
          <w:rFonts w:cs="Arial"/>
        </w:rPr>
        <w:t>chose</w:t>
      </w:r>
      <w:proofErr w:type="spellEnd"/>
      <w:r>
        <w:rPr>
          <w:rFonts w:cs="Arial"/>
        </w:rPr>
        <w:t xml:space="preserve"> to raise rents, renovate, or red</w:t>
      </w:r>
      <w:r>
        <w:rPr>
          <w:rFonts w:cs="Arial"/>
        </w:rPr>
        <w:t>evelop. Section 8 contracts typically expire after 20 years. While most contracts are renewed, some owners may choose to convert to market rate housing, making these units vulnerable to significant price appreciation in certain markets. According to the Na</w:t>
      </w:r>
      <w:r>
        <w:rPr>
          <w:rFonts w:cs="Arial"/>
        </w:rPr>
        <w:t>tional Housing Preservation Database, over 5,000 rental units in North Carolina will lose affordability in the next 5 years - including 2,405 Section 8 vouchers and 1,427 LIHTC units.</w:t>
      </w:r>
    </w:p>
    <w:p w14:paraId="5F978814" w14:textId="77777777" w:rsidR="00217A61" w:rsidRDefault="001C2695">
      <w:pPr>
        <w:spacing w:beforeAutospacing="1" w:afterAutospacing="1"/>
        <w:rPr>
          <w:rFonts w:cs="Arial"/>
        </w:rPr>
      </w:pPr>
      <w:r>
        <w:rPr>
          <w:rFonts w:cs="Arial"/>
        </w:rPr>
        <w:t>However, the majority of the state’s affordable housing stock is unsubsi</w:t>
      </w:r>
      <w:r>
        <w:rPr>
          <w:rFonts w:cs="Arial"/>
        </w:rPr>
        <w:t>dized, making it vulnerable to changes in the housing market. According to the Joint Center for Housing Studies, North Carolina lost 20% of its low-cost units, or 125,000 units with rents under $600, between 2012 and 2017. Several forces have contributed t</w:t>
      </w:r>
      <w:r>
        <w:rPr>
          <w:rFonts w:cs="Arial"/>
        </w:rPr>
        <w:t>o the shrinking supply of low-cost rentals – including increased demand from high income renters and an aging stock with costly repair needs, among others.</w:t>
      </w:r>
    </w:p>
    <w:p w14:paraId="534C57F5" w14:textId="77777777" w:rsidR="00217A61" w:rsidRDefault="001C2695">
      <w:pPr>
        <w:rPr>
          <w:rFonts w:cs="Arial"/>
          <w:b/>
          <w:sz w:val="24"/>
          <w:szCs w:val="24"/>
        </w:rPr>
      </w:pPr>
      <w:r>
        <w:rPr>
          <w:b/>
          <w:sz w:val="24"/>
          <w:szCs w:val="24"/>
        </w:rPr>
        <w:t>Does the availability of housing units meet the needs of the population?</w:t>
      </w:r>
    </w:p>
    <w:p w14:paraId="32D7330A" w14:textId="77777777" w:rsidR="00217A61" w:rsidRDefault="001C2695">
      <w:pPr>
        <w:spacing w:beforeAutospacing="1" w:afterAutospacing="1"/>
        <w:rPr>
          <w:rFonts w:cs="Arial"/>
        </w:rPr>
      </w:pPr>
      <w:r>
        <w:rPr>
          <w:rFonts w:cs="Arial"/>
        </w:rPr>
        <w:t xml:space="preserve">The housing needs of </w:t>
      </w:r>
      <w:proofErr w:type="gramStart"/>
      <w:r>
        <w:rPr>
          <w:rFonts w:cs="Arial"/>
        </w:rPr>
        <w:t>extrem</w:t>
      </w:r>
      <w:r>
        <w:rPr>
          <w:rFonts w:cs="Arial"/>
        </w:rPr>
        <w:t>ely-low</w:t>
      </w:r>
      <w:proofErr w:type="gramEnd"/>
      <w:r>
        <w:rPr>
          <w:rFonts w:cs="Arial"/>
        </w:rPr>
        <w:t xml:space="preserve"> income households are not being met by the current housing stock in North Carolina. According to the Gap report by the National Low Income Housing Coalition, there is a shortage of over 188,000 homes for renters at 30% AMI and below and a shortage </w:t>
      </w:r>
      <w:r>
        <w:rPr>
          <w:rFonts w:cs="Arial"/>
        </w:rPr>
        <w:t xml:space="preserve">of 191,310 for renters at 50% AMI and below. </w:t>
      </w:r>
      <w:proofErr w:type="gramStart"/>
      <w:r>
        <w:rPr>
          <w:rFonts w:cs="Arial"/>
        </w:rPr>
        <w:t>As a consequence</w:t>
      </w:r>
      <w:proofErr w:type="gramEnd"/>
      <w:r>
        <w:rPr>
          <w:rFonts w:cs="Arial"/>
        </w:rPr>
        <w:t>, low and extremely low-income households are experiencing severe cost burden with 70% of renters at 30% AMI spending half or more of their income on housing. </w:t>
      </w:r>
    </w:p>
    <w:p w14:paraId="04CDC2BB" w14:textId="77777777" w:rsidR="00217A61" w:rsidRDefault="001C2695">
      <w:pPr>
        <w:rPr>
          <w:b/>
          <w:sz w:val="24"/>
          <w:szCs w:val="24"/>
        </w:rPr>
      </w:pPr>
      <w:r>
        <w:rPr>
          <w:b/>
          <w:sz w:val="24"/>
          <w:szCs w:val="24"/>
        </w:rPr>
        <w:t>Describe the need for specific type</w:t>
      </w:r>
      <w:r>
        <w:rPr>
          <w:b/>
          <w:sz w:val="24"/>
          <w:szCs w:val="24"/>
        </w:rPr>
        <w:t>s of housing:</w:t>
      </w:r>
    </w:p>
    <w:p w14:paraId="64B426F8" w14:textId="77777777" w:rsidR="00217A61" w:rsidRDefault="001C2695">
      <w:pPr>
        <w:spacing w:beforeAutospacing="1" w:afterAutospacing="1"/>
        <w:rPr>
          <w:rFonts w:cs="Arial"/>
        </w:rPr>
      </w:pPr>
      <w:r>
        <w:rPr>
          <w:rFonts w:cs="Arial"/>
        </w:rPr>
        <w:t>As evidenced by cost burden and shortage of low-cost rental units, there is a need for quality affordable and accessible housing across the state, particularly for extremely low-income households.</w:t>
      </w:r>
    </w:p>
    <w:p w14:paraId="6E47EA48" w14:textId="77777777" w:rsidR="00217A61" w:rsidRDefault="001C2695">
      <w:pPr>
        <w:spacing w:beforeAutospacing="1" w:afterAutospacing="1"/>
        <w:rPr>
          <w:rFonts w:cs="Arial"/>
        </w:rPr>
      </w:pPr>
      <w:r>
        <w:rPr>
          <w:rFonts w:cs="Arial"/>
        </w:rPr>
        <w:t>In addition to the challenges associated with</w:t>
      </w:r>
      <w:r>
        <w:rPr>
          <w:rFonts w:cs="Arial"/>
        </w:rPr>
        <w:t xml:space="preserve"> low-income households, North Carolina is experiencing significant demographic change including increased migration to urban counties and an aging population. According to the American Community Survey, 15% of the population is 65 and older. Among seniors,</w:t>
      </w:r>
      <w:r>
        <w:rPr>
          <w:rFonts w:cs="Arial"/>
        </w:rPr>
        <w:t xml:space="preserve"> 35% have a disability, 10% live alone and 9% live in poverty. Estimates show that by 2035, more than 1 in 5 North Carolinians will be 65 and older. Thus, there is an increasing need for housing stock that allows residents to age in place provides supporti</w:t>
      </w:r>
      <w:r>
        <w:rPr>
          <w:rFonts w:cs="Arial"/>
        </w:rPr>
        <w:t>ve services.</w:t>
      </w:r>
    </w:p>
    <w:p w14:paraId="57F3C577" w14:textId="77777777" w:rsidR="00217A61" w:rsidRDefault="001C2695">
      <w:pPr>
        <w:spacing w:line="204" w:lineRule="auto"/>
        <w:rPr>
          <w:b/>
          <w:sz w:val="24"/>
          <w:szCs w:val="24"/>
        </w:rPr>
      </w:pPr>
      <w:r>
        <w:rPr>
          <w:b/>
          <w:sz w:val="24"/>
          <w:szCs w:val="24"/>
        </w:rPr>
        <w:t>Discussion</w:t>
      </w:r>
    </w:p>
    <w:p w14:paraId="3DEB4311" w14:textId="77777777" w:rsidR="00217A61" w:rsidRDefault="00217A61">
      <w:pPr>
        <w:spacing w:line="204" w:lineRule="auto"/>
        <w:rPr>
          <w:b/>
          <w:sz w:val="24"/>
          <w:szCs w:val="24"/>
        </w:rPr>
      </w:pPr>
    </w:p>
    <w:p w14:paraId="0578BF0B" w14:textId="77777777" w:rsidR="00217A61" w:rsidRDefault="001C2695">
      <w:pPr>
        <w:pStyle w:val="Heading2"/>
        <w:pageBreakBefore/>
        <w:rPr>
          <w:rFonts w:ascii="Calibri" w:hAnsi="Calibri"/>
          <w:i w:val="0"/>
        </w:rPr>
      </w:pPr>
      <w:r>
        <w:rPr>
          <w:rFonts w:ascii="Calibri" w:hAnsi="Calibri"/>
          <w:i w:val="0"/>
        </w:rPr>
        <w:lastRenderedPageBreak/>
        <w:t>MA-15 Cost of Housing – 91.310(a)</w:t>
      </w:r>
    </w:p>
    <w:p w14:paraId="0445B0A3" w14:textId="77777777" w:rsidR="00217A61" w:rsidRDefault="001C2695">
      <w:pPr>
        <w:spacing w:line="204" w:lineRule="auto"/>
        <w:rPr>
          <w:b/>
          <w:sz w:val="24"/>
          <w:szCs w:val="24"/>
        </w:rPr>
      </w:pPr>
      <w:r>
        <w:rPr>
          <w:b/>
          <w:sz w:val="24"/>
          <w:szCs w:val="24"/>
        </w:rPr>
        <w:t>Introduction</w:t>
      </w:r>
    </w:p>
    <w:p w14:paraId="00961411" w14:textId="77777777" w:rsidR="00217A61" w:rsidRDefault="001C2695">
      <w:pPr>
        <w:spacing w:beforeAutospacing="1" w:afterAutospacing="1"/>
        <w:rPr>
          <w:b/>
          <w:sz w:val="24"/>
          <w:szCs w:val="24"/>
        </w:rPr>
      </w:pPr>
      <w:r>
        <w:rPr>
          <w:rFonts w:cs="Arial"/>
        </w:rPr>
        <w:t>North Carolina has seen an increase in median sales price and rents over the past decade. Incomes have not kept pace with rising housing costs which has led to affordability challenges</w:t>
      </w:r>
      <w:r>
        <w:rPr>
          <w:rFonts w:cs="Arial"/>
        </w:rPr>
        <w:t>, particularly for low-income households.</w:t>
      </w:r>
    </w:p>
    <w:p w14:paraId="188C8228" w14:textId="77777777" w:rsidR="00217A61" w:rsidRDefault="001C2695">
      <w:pPr>
        <w:spacing w:beforeAutospacing="1" w:afterAutospacing="1"/>
        <w:rPr>
          <w:b/>
          <w:sz w:val="24"/>
          <w:szCs w:val="24"/>
        </w:rPr>
      </w:pPr>
      <w:r>
        <w:rPr>
          <w:rFonts w:cs="Arial"/>
        </w:rPr>
        <w:t>While housing costs vary by region, North Carolina continues to face a shortage of affordable housing for low-income households, particularly those earning $20,000 or less. In urban areas, increased demand for hous</w:t>
      </w:r>
      <w:r>
        <w:rPr>
          <w:rFonts w:cs="Arial"/>
        </w:rPr>
        <w:t>ing and limited supply has driven up rents and housing prices. Unable to compete with higher income households for a limited number of homes, low-income workers in cities like Charlotte, Durham and Raleigh are being priced out of their neighborhoods. While</w:t>
      </w:r>
      <w:r>
        <w:rPr>
          <w:rFonts w:cs="Arial"/>
        </w:rPr>
        <w:t xml:space="preserve"> housing costs may be lower in rural communities, incomes are often lower as well, making it difficult to buy, rent or maintain homes. As a result, nearly one in three North Carolinians spends 30% or more of their income on housing, leaving less money for </w:t>
      </w:r>
      <w:r>
        <w:rPr>
          <w:rFonts w:cs="Arial"/>
        </w:rPr>
        <w:t>other critical expenses like food, health care and education.</w:t>
      </w:r>
    </w:p>
    <w:p w14:paraId="6169F1ED" w14:textId="77777777" w:rsidR="00217A61" w:rsidRDefault="001C2695">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2176"/>
        <w:gridCol w:w="2558"/>
        <w:gridCol w:w="1794"/>
      </w:tblGrid>
      <w:tr w:rsidR="00217A61" w14:paraId="53BEDBB5" w14:textId="77777777">
        <w:trPr>
          <w:cantSplit/>
          <w:tblHeader/>
        </w:trPr>
        <w:tc>
          <w:tcPr>
            <w:tcW w:w="2892" w:type="dxa"/>
            <w:shd w:val="clear" w:color="000000" w:fill="auto"/>
          </w:tcPr>
          <w:p w14:paraId="3872FBAF" w14:textId="77777777" w:rsidR="00217A61" w:rsidRDefault="00217A61">
            <w:pPr>
              <w:keepNext/>
              <w:widowControl w:val="0"/>
              <w:spacing w:after="0" w:line="240" w:lineRule="auto"/>
              <w:jc w:val="center"/>
              <w:rPr>
                <w:rFonts w:asciiTheme="minorHAnsi" w:hAnsiTheme="minorHAnsi" w:cs="Arial"/>
                <w:b/>
              </w:rPr>
            </w:pPr>
          </w:p>
        </w:tc>
        <w:tc>
          <w:tcPr>
            <w:tcW w:w="2228" w:type="dxa"/>
            <w:shd w:val="clear" w:color="000000" w:fill="auto"/>
          </w:tcPr>
          <w:p w14:paraId="2E2E3DFE" w14:textId="77777777" w:rsidR="00217A61" w:rsidRDefault="001C2695">
            <w:pPr>
              <w:spacing w:beforeAutospacing="1" w:afterAutospacing="1"/>
              <w:contextualSpacing/>
              <w:jc w:val="center"/>
              <w:rPr>
                <w:rFonts w:asciiTheme="minorHAnsi" w:hAnsiTheme="minorHAnsi" w:cs="Arial"/>
                <w:b/>
              </w:rPr>
            </w:pPr>
            <w:r>
              <w:rPr>
                <w:rFonts w:asciiTheme="minorHAnsi" w:hAnsiTheme="minorHAnsi" w:cs="Arial"/>
                <w:b/>
              </w:rPr>
              <w:t>Base Year:  2013</w:t>
            </w:r>
          </w:p>
        </w:tc>
        <w:tc>
          <w:tcPr>
            <w:tcW w:w="2620" w:type="dxa"/>
            <w:shd w:val="clear" w:color="000000" w:fill="auto"/>
          </w:tcPr>
          <w:p w14:paraId="3F0D15CF" w14:textId="77777777" w:rsidR="00217A61" w:rsidRDefault="001C2695">
            <w:pPr>
              <w:keepNext/>
              <w:widowControl w:val="0"/>
              <w:spacing w:beforeAutospacing="1" w:afterAutospacing="1"/>
              <w:jc w:val="center"/>
              <w:rPr>
                <w:rFonts w:asciiTheme="minorHAnsi" w:hAnsiTheme="minorHAnsi"/>
                <w:b/>
                <w:bCs/>
              </w:rPr>
            </w:pPr>
            <w:r>
              <w:rPr>
                <w:rFonts w:asciiTheme="minorHAnsi" w:hAnsiTheme="minorHAnsi" w:cs="Arial"/>
                <w:b/>
              </w:rPr>
              <w:t>Most Recent Year:  2018</w:t>
            </w:r>
          </w:p>
        </w:tc>
        <w:tc>
          <w:tcPr>
            <w:tcW w:w="1836" w:type="dxa"/>
            <w:shd w:val="clear" w:color="000000" w:fill="auto"/>
          </w:tcPr>
          <w:p w14:paraId="740A8C8C" w14:textId="77777777" w:rsidR="00217A61" w:rsidRDefault="001C2695">
            <w:pPr>
              <w:keepNext/>
              <w:widowControl w:val="0"/>
              <w:spacing w:after="0" w:line="240" w:lineRule="auto"/>
              <w:jc w:val="center"/>
              <w:rPr>
                <w:rFonts w:asciiTheme="minorHAnsi" w:hAnsiTheme="minorHAnsi"/>
                <w:b/>
                <w:bCs/>
              </w:rPr>
            </w:pPr>
            <w:r>
              <w:rPr>
                <w:rFonts w:asciiTheme="minorHAnsi" w:hAnsiTheme="minorHAnsi"/>
                <w:b/>
                <w:bCs/>
              </w:rPr>
              <w:t>% Change</w:t>
            </w:r>
          </w:p>
        </w:tc>
      </w:tr>
      <w:tr w:rsidR="00217A61" w14:paraId="5740BA41" w14:textId="77777777">
        <w:trPr>
          <w:cantSplit/>
        </w:trPr>
        <w:tc>
          <w:tcPr>
            <w:tcW w:w="2892" w:type="dxa"/>
          </w:tcPr>
          <w:p w14:paraId="5BFF8A8A" w14:textId="77777777" w:rsidR="00217A61" w:rsidRDefault="001C2695">
            <w:pPr>
              <w:spacing w:beforeAutospacing="1" w:afterAutospacing="1"/>
            </w:pPr>
            <w:r>
              <w:rPr>
                <w:color w:val="000000"/>
              </w:rPr>
              <w:t>Median Home Value</w:t>
            </w:r>
          </w:p>
        </w:tc>
        <w:tc>
          <w:tcPr>
            <w:tcW w:w="2228" w:type="dxa"/>
            <w:vAlign w:val="bottom"/>
          </w:tcPr>
          <w:p w14:paraId="7572BD86" w14:textId="77777777" w:rsidR="00217A61" w:rsidRDefault="001C2695">
            <w:pPr>
              <w:spacing w:beforeAutospacing="1" w:afterAutospacing="1"/>
              <w:jc w:val="right"/>
            </w:pPr>
            <w:r>
              <w:rPr>
                <w:color w:val="000000"/>
              </w:rPr>
              <w:t>153,600</w:t>
            </w:r>
          </w:p>
        </w:tc>
        <w:tc>
          <w:tcPr>
            <w:tcW w:w="2620" w:type="dxa"/>
            <w:vAlign w:val="bottom"/>
          </w:tcPr>
          <w:p w14:paraId="4DDDC560" w14:textId="77777777" w:rsidR="00217A61" w:rsidRDefault="001C2695">
            <w:pPr>
              <w:spacing w:beforeAutospacing="1" w:afterAutospacing="1"/>
              <w:jc w:val="right"/>
            </w:pPr>
            <w:r>
              <w:rPr>
                <w:color w:val="000000"/>
              </w:rPr>
              <w:t>180,600</w:t>
            </w:r>
          </w:p>
        </w:tc>
        <w:tc>
          <w:tcPr>
            <w:tcW w:w="1836" w:type="dxa"/>
            <w:vAlign w:val="bottom"/>
          </w:tcPr>
          <w:p w14:paraId="4FE9CBEA" w14:textId="77777777" w:rsidR="00217A61" w:rsidRDefault="001C2695">
            <w:pPr>
              <w:spacing w:beforeAutospacing="1" w:afterAutospacing="1"/>
              <w:jc w:val="right"/>
            </w:pPr>
            <w:r>
              <w:rPr>
                <w:color w:val="000000"/>
              </w:rPr>
              <w:t>18%</w:t>
            </w:r>
          </w:p>
        </w:tc>
      </w:tr>
      <w:tr w:rsidR="00217A61" w14:paraId="1AEDCB6A" w14:textId="77777777">
        <w:trPr>
          <w:cantSplit/>
        </w:trPr>
        <w:tc>
          <w:tcPr>
            <w:tcW w:w="2892" w:type="dxa"/>
          </w:tcPr>
          <w:p w14:paraId="69363F2E" w14:textId="77777777" w:rsidR="00217A61" w:rsidRDefault="001C2695">
            <w:pPr>
              <w:spacing w:beforeAutospacing="1" w:afterAutospacing="1"/>
            </w:pPr>
            <w:r>
              <w:rPr>
                <w:color w:val="000000"/>
              </w:rPr>
              <w:t>Median Contract Rent</w:t>
            </w:r>
          </w:p>
        </w:tc>
        <w:tc>
          <w:tcPr>
            <w:tcW w:w="2228" w:type="dxa"/>
            <w:vAlign w:val="bottom"/>
          </w:tcPr>
          <w:p w14:paraId="6122B34E" w14:textId="77777777" w:rsidR="00217A61" w:rsidRDefault="001C2695">
            <w:pPr>
              <w:spacing w:beforeAutospacing="1" w:afterAutospacing="1"/>
              <w:jc w:val="right"/>
            </w:pPr>
            <w:r>
              <w:rPr>
                <w:color w:val="000000"/>
              </w:rPr>
              <w:t>602</w:t>
            </w:r>
          </w:p>
        </w:tc>
        <w:tc>
          <w:tcPr>
            <w:tcW w:w="2620" w:type="dxa"/>
            <w:vAlign w:val="bottom"/>
          </w:tcPr>
          <w:p w14:paraId="0B45B13F" w14:textId="77777777" w:rsidR="00217A61" w:rsidRDefault="001C2695">
            <w:pPr>
              <w:spacing w:beforeAutospacing="1" w:afterAutospacing="1"/>
              <w:jc w:val="right"/>
            </w:pPr>
            <w:r>
              <w:rPr>
                <w:color w:val="000000"/>
              </w:rPr>
              <w:t>877</w:t>
            </w:r>
          </w:p>
        </w:tc>
        <w:tc>
          <w:tcPr>
            <w:tcW w:w="1836" w:type="dxa"/>
            <w:vAlign w:val="bottom"/>
          </w:tcPr>
          <w:p w14:paraId="0BAD85AC" w14:textId="77777777" w:rsidR="00217A61" w:rsidRDefault="001C2695">
            <w:pPr>
              <w:spacing w:beforeAutospacing="1" w:afterAutospacing="1"/>
              <w:jc w:val="right"/>
            </w:pPr>
            <w:r>
              <w:rPr>
                <w:color w:val="000000"/>
              </w:rPr>
              <w:t>46%</w:t>
            </w:r>
          </w:p>
        </w:tc>
      </w:tr>
    </w:tbl>
    <w:p w14:paraId="2FA15044"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Cost of Housing</w:t>
      </w:r>
    </w:p>
    <w:p w14:paraId="5A91015D" w14:textId="77777777" w:rsidR="00217A61" w:rsidRDefault="00217A61">
      <w:pPr>
        <w:spacing w:after="0"/>
      </w:pPr>
    </w:p>
    <w:p w14:paraId="07EE43A0" w14:textId="77777777" w:rsidR="00217A61" w:rsidRDefault="00217A61">
      <w:pPr>
        <w:rPr>
          <w:vanish/>
        </w:rPr>
      </w:pPr>
    </w:p>
    <w:tbl>
      <w:tblPr>
        <w:tblW w:w="2742" w:type="pct"/>
        <w:tblInd w:w="115" w:type="dxa"/>
        <w:tblLook w:val="01E0" w:firstRow="1" w:lastRow="1" w:firstColumn="1" w:lastColumn="1" w:noHBand="0" w:noVBand="0"/>
      </w:tblPr>
      <w:tblGrid>
        <w:gridCol w:w="5133"/>
      </w:tblGrid>
      <w:tr w:rsidR="00217A61" w14:paraId="08271430" w14:textId="77777777">
        <w:tc>
          <w:tcPr>
            <w:tcW w:w="0" w:type="auto"/>
          </w:tcPr>
          <w:p w14:paraId="5AA507BF" w14:textId="77777777" w:rsidR="00217A61" w:rsidRDefault="001C2695">
            <w:pPr>
              <w:keepNext/>
              <w:widowControl w:val="0"/>
              <w:spacing w:after="0" w:line="240" w:lineRule="auto"/>
            </w:pPr>
            <w:r>
              <w:rPr>
                <w:b/>
                <w:sz w:val="16"/>
                <w:szCs w:val="16"/>
              </w:rPr>
              <w:t>Alternate Data Source Name:</w:t>
            </w:r>
          </w:p>
        </w:tc>
      </w:tr>
      <w:tr w:rsidR="00217A61" w14:paraId="1471CB21" w14:textId="77777777">
        <w:trPr>
          <w:cantSplit/>
        </w:trPr>
        <w:tc>
          <w:tcPr>
            <w:tcW w:w="0" w:type="auto"/>
          </w:tcPr>
          <w:p w14:paraId="5E3E3B32" w14:textId="77777777" w:rsidR="00217A61" w:rsidRDefault="001C2695">
            <w:pPr>
              <w:spacing w:beforeAutospacing="1" w:afterAutospacing="1"/>
            </w:pPr>
            <w:r>
              <w:rPr>
                <w:color w:val="000000"/>
                <w:sz w:val="16"/>
              </w:rPr>
              <w:t>2014 - 2018 ACS</w:t>
            </w:r>
          </w:p>
        </w:tc>
      </w:tr>
    </w:tbl>
    <w:p w14:paraId="6C8A5BEB" w14:textId="77777777" w:rsidR="00217A61" w:rsidRDefault="00217A61">
      <w:pPr>
        <w:rPr>
          <w:b/>
          <w:bCs/>
          <w:vanish/>
          <w:sz w:val="16"/>
          <w:szCs w:val="16"/>
        </w:rPr>
      </w:pPr>
    </w:p>
    <w:tbl>
      <w:tblPr>
        <w:tblW w:w="5000" w:type="pct"/>
        <w:tblInd w:w="115" w:type="dxa"/>
        <w:tblLook w:val="01E0" w:firstRow="1" w:lastRow="1" w:firstColumn="1" w:lastColumn="1" w:noHBand="0" w:noVBand="0"/>
      </w:tblPr>
      <w:tblGrid>
        <w:gridCol w:w="1946"/>
        <w:gridCol w:w="7414"/>
      </w:tblGrid>
      <w:tr w:rsidR="00217A61" w14:paraId="7D7772CE" w14:textId="77777777">
        <w:trPr>
          <w:cantSplit/>
        </w:trPr>
        <w:tc>
          <w:tcPr>
            <w:tcW w:w="1973" w:type="dxa"/>
          </w:tcPr>
          <w:p w14:paraId="12F549A6" w14:textId="77777777" w:rsidR="00217A61" w:rsidRDefault="001C2695">
            <w:pPr>
              <w:spacing w:after="0" w:line="240" w:lineRule="auto"/>
              <w:rPr>
                <w:rFonts w:cs="Arial"/>
                <w:sz w:val="16"/>
                <w:szCs w:val="16"/>
              </w:rPr>
            </w:pPr>
            <w:r>
              <w:rPr>
                <w:b/>
                <w:bCs/>
                <w:sz w:val="16"/>
                <w:szCs w:val="16"/>
              </w:rPr>
              <w:t>Data Source Comments:</w:t>
            </w:r>
          </w:p>
        </w:tc>
        <w:tc>
          <w:tcPr>
            <w:tcW w:w="7603" w:type="dxa"/>
          </w:tcPr>
          <w:p w14:paraId="671721C5" w14:textId="77777777" w:rsidR="00217A61" w:rsidRDefault="001C2695">
            <w:pPr>
              <w:spacing w:beforeAutospacing="1" w:afterAutospacing="1"/>
              <w:rPr>
                <w:rFonts w:cs="Arial"/>
                <w:sz w:val="16"/>
                <w:szCs w:val="16"/>
              </w:rPr>
            </w:pPr>
            <w:r>
              <w:rPr>
                <w:rFonts w:cs="Arial"/>
                <w:sz w:val="16"/>
                <w:szCs w:val="16"/>
              </w:rPr>
              <w:t>2009 - 2013 ACS (Base Year)</w:t>
            </w:r>
          </w:p>
        </w:tc>
      </w:tr>
    </w:tbl>
    <w:p w14:paraId="6A7C4CC8" w14:textId="77777777" w:rsidR="00217A61" w:rsidRDefault="00217A61">
      <w:pPr>
        <w:spacing w:after="0" w:line="240" w:lineRule="auto"/>
      </w:pPr>
    </w:p>
    <w:p w14:paraId="3D9A8FEA" w14:textId="77777777" w:rsidR="00217A61" w:rsidRDefault="00217A61">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537"/>
        <w:gridCol w:w="2662"/>
      </w:tblGrid>
      <w:tr w:rsidR="00217A61" w14:paraId="1177B3D4" w14:textId="77777777">
        <w:trPr>
          <w:cantSplit/>
          <w:tblHeader/>
        </w:trPr>
        <w:tc>
          <w:tcPr>
            <w:tcW w:w="3231" w:type="dxa"/>
          </w:tcPr>
          <w:p w14:paraId="6D8FD620" w14:textId="77777777" w:rsidR="00217A61" w:rsidRDefault="001C2695">
            <w:pPr>
              <w:keepNext/>
              <w:widowControl w:val="0"/>
              <w:spacing w:after="0" w:line="240" w:lineRule="auto"/>
              <w:jc w:val="center"/>
              <w:rPr>
                <w:b/>
                <w:bCs/>
              </w:rPr>
            </w:pPr>
            <w:r>
              <w:rPr>
                <w:b/>
                <w:bCs/>
              </w:rPr>
              <w:t>Rent Paid</w:t>
            </w:r>
          </w:p>
        </w:tc>
        <w:tc>
          <w:tcPr>
            <w:tcW w:w="3622" w:type="dxa"/>
          </w:tcPr>
          <w:p w14:paraId="42168CD3" w14:textId="77777777" w:rsidR="00217A61" w:rsidRDefault="001C2695">
            <w:pPr>
              <w:keepNext/>
              <w:widowControl w:val="0"/>
              <w:spacing w:after="0" w:line="240" w:lineRule="auto"/>
              <w:jc w:val="center"/>
              <w:rPr>
                <w:b/>
                <w:bCs/>
              </w:rPr>
            </w:pPr>
            <w:r>
              <w:rPr>
                <w:b/>
                <w:bCs/>
              </w:rPr>
              <w:t>Number</w:t>
            </w:r>
          </w:p>
        </w:tc>
        <w:tc>
          <w:tcPr>
            <w:tcW w:w="2723" w:type="dxa"/>
          </w:tcPr>
          <w:p w14:paraId="76255696" w14:textId="77777777" w:rsidR="00217A61" w:rsidRDefault="001C2695">
            <w:pPr>
              <w:keepNext/>
              <w:widowControl w:val="0"/>
              <w:spacing w:after="0" w:line="240" w:lineRule="auto"/>
              <w:jc w:val="center"/>
              <w:rPr>
                <w:b/>
                <w:bCs/>
              </w:rPr>
            </w:pPr>
            <w:r>
              <w:rPr>
                <w:b/>
                <w:bCs/>
              </w:rPr>
              <w:t>%</w:t>
            </w:r>
          </w:p>
        </w:tc>
      </w:tr>
      <w:tr w:rsidR="00217A61" w14:paraId="0563A771" w14:textId="77777777">
        <w:trPr>
          <w:cantSplit/>
        </w:trPr>
        <w:tc>
          <w:tcPr>
            <w:tcW w:w="0" w:type="auto"/>
          </w:tcPr>
          <w:p w14:paraId="383A7EE5" w14:textId="77777777" w:rsidR="00217A61" w:rsidRDefault="001C2695">
            <w:pPr>
              <w:spacing w:beforeAutospacing="1" w:afterAutospacing="1"/>
            </w:pPr>
            <w:r>
              <w:rPr>
                <w:color w:val="000000"/>
              </w:rPr>
              <w:t>Less than $500</w:t>
            </w:r>
          </w:p>
        </w:tc>
        <w:tc>
          <w:tcPr>
            <w:tcW w:w="0" w:type="auto"/>
            <w:vAlign w:val="bottom"/>
          </w:tcPr>
          <w:p w14:paraId="3722D77B" w14:textId="77777777" w:rsidR="00217A61" w:rsidRDefault="001C2695">
            <w:pPr>
              <w:spacing w:beforeAutospacing="1" w:afterAutospacing="1"/>
              <w:jc w:val="right"/>
            </w:pPr>
            <w:r>
              <w:rPr>
                <w:color w:val="000000"/>
              </w:rPr>
              <w:t>140,542</w:t>
            </w:r>
          </w:p>
        </w:tc>
        <w:tc>
          <w:tcPr>
            <w:tcW w:w="0" w:type="auto"/>
            <w:vAlign w:val="bottom"/>
          </w:tcPr>
          <w:p w14:paraId="4EB15DAD" w14:textId="77777777" w:rsidR="00217A61" w:rsidRDefault="001C2695">
            <w:pPr>
              <w:spacing w:beforeAutospacing="1" w:afterAutospacing="1"/>
              <w:jc w:val="right"/>
            </w:pPr>
            <w:r>
              <w:rPr>
                <w:color w:val="000000"/>
              </w:rPr>
              <w:t>36.8%</w:t>
            </w:r>
          </w:p>
        </w:tc>
      </w:tr>
      <w:tr w:rsidR="00217A61" w14:paraId="18971D5C" w14:textId="77777777">
        <w:trPr>
          <w:cantSplit/>
        </w:trPr>
        <w:tc>
          <w:tcPr>
            <w:tcW w:w="0" w:type="auto"/>
          </w:tcPr>
          <w:p w14:paraId="5B1B5B9D" w14:textId="77777777" w:rsidR="00217A61" w:rsidRDefault="001C2695">
            <w:pPr>
              <w:spacing w:beforeAutospacing="1" w:afterAutospacing="1"/>
            </w:pPr>
            <w:r>
              <w:rPr>
                <w:color w:val="000000"/>
              </w:rPr>
              <w:t>$500-999</w:t>
            </w:r>
          </w:p>
        </w:tc>
        <w:tc>
          <w:tcPr>
            <w:tcW w:w="0" w:type="auto"/>
            <w:vAlign w:val="bottom"/>
          </w:tcPr>
          <w:p w14:paraId="43966D67" w14:textId="77777777" w:rsidR="00217A61" w:rsidRDefault="001C2695">
            <w:pPr>
              <w:spacing w:beforeAutospacing="1" w:afterAutospacing="1"/>
              <w:jc w:val="right"/>
            </w:pPr>
            <w:r>
              <w:rPr>
                <w:color w:val="000000"/>
              </w:rPr>
              <w:t>667,064</w:t>
            </w:r>
          </w:p>
        </w:tc>
        <w:tc>
          <w:tcPr>
            <w:tcW w:w="0" w:type="auto"/>
            <w:vAlign w:val="bottom"/>
          </w:tcPr>
          <w:p w14:paraId="7CEFDA50" w14:textId="77777777" w:rsidR="00217A61" w:rsidRDefault="001C2695">
            <w:pPr>
              <w:spacing w:beforeAutospacing="1" w:afterAutospacing="1"/>
              <w:jc w:val="right"/>
            </w:pPr>
            <w:r>
              <w:rPr>
                <w:color w:val="000000"/>
              </w:rPr>
              <w:t>49.5%</w:t>
            </w:r>
          </w:p>
        </w:tc>
      </w:tr>
      <w:tr w:rsidR="00217A61" w14:paraId="4222EFC4" w14:textId="77777777">
        <w:trPr>
          <w:cantSplit/>
        </w:trPr>
        <w:tc>
          <w:tcPr>
            <w:tcW w:w="0" w:type="auto"/>
          </w:tcPr>
          <w:p w14:paraId="784E1448" w14:textId="77777777" w:rsidR="00217A61" w:rsidRDefault="001C2695">
            <w:pPr>
              <w:spacing w:beforeAutospacing="1" w:afterAutospacing="1"/>
            </w:pPr>
            <w:r>
              <w:rPr>
                <w:color w:val="000000"/>
              </w:rPr>
              <w:t>$1,000-1,499</w:t>
            </w:r>
          </w:p>
        </w:tc>
        <w:tc>
          <w:tcPr>
            <w:tcW w:w="0" w:type="auto"/>
            <w:vAlign w:val="bottom"/>
          </w:tcPr>
          <w:p w14:paraId="666D0165" w14:textId="77777777" w:rsidR="00217A61" w:rsidRDefault="001C2695">
            <w:pPr>
              <w:spacing w:beforeAutospacing="1" w:afterAutospacing="1"/>
              <w:jc w:val="right"/>
            </w:pPr>
            <w:r>
              <w:rPr>
                <w:color w:val="000000"/>
              </w:rPr>
              <w:t>356,887</w:t>
            </w:r>
          </w:p>
        </w:tc>
        <w:tc>
          <w:tcPr>
            <w:tcW w:w="0" w:type="auto"/>
            <w:vAlign w:val="bottom"/>
          </w:tcPr>
          <w:p w14:paraId="7EDB679D" w14:textId="77777777" w:rsidR="00217A61" w:rsidRDefault="001C2695">
            <w:pPr>
              <w:spacing w:beforeAutospacing="1" w:afterAutospacing="1"/>
              <w:jc w:val="right"/>
            </w:pPr>
            <w:r>
              <w:rPr>
                <w:color w:val="000000"/>
              </w:rPr>
              <w:t>10.6%</w:t>
            </w:r>
          </w:p>
        </w:tc>
      </w:tr>
      <w:tr w:rsidR="00217A61" w14:paraId="784F7AB9" w14:textId="77777777">
        <w:trPr>
          <w:cantSplit/>
        </w:trPr>
        <w:tc>
          <w:tcPr>
            <w:tcW w:w="0" w:type="auto"/>
          </w:tcPr>
          <w:p w14:paraId="51550440" w14:textId="77777777" w:rsidR="00217A61" w:rsidRDefault="001C2695">
            <w:pPr>
              <w:spacing w:beforeAutospacing="1" w:afterAutospacing="1"/>
            </w:pPr>
            <w:r>
              <w:rPr>
                <w:color w:val="000000"/>
              </w:rPr>
              <w:t>$1,500-1,999</w:t>
            </w:r>
          </w:p>
        </w:tc>
        <w:tc>
          <w:tcPr>
            <w:tcW w:w="0" w:type="auto"/>
            <w:vAlign w:val="bottom"/>
          </w:tcPr>
          <w:p w14:paraId="4590E11E" w14:textId="77777777" w:rsidR="00217A61" w:rsidRDefault="001C2695">
            <w:pPr>
              <w:spacing w:beforeAutospacing="1" w:afterAutospacing="1"/>
              <w:jc w:val="right"/>
            </w:pPr>
            <w:r>
              <w:rPr>
                <w:color w:val="000000"/>
              </w:rPr>
              <w:t>83,009</w:t>
            </w:r>
          </w:p>
        </w:tc>
        <w:tc>
          <w:tcPr>
            <w:tcW w:w="0" w:type="auto"/>
            <w:vAlign w:val="bottom"/>
          </w:tcPr>
          <w:p w14:paraId="62191BE1" w14:textId="77777777" w:rsidR="00217A61" w:rsidRDefault="001C2695">
            <w:pPr>
              <w:spacing w:beforeAutospacing="1" w:afterAutospacing="1"/>
              <w:jc w:val="right"/>
            </w:pPr>
            <w:r>
              <w:rPr>
                <w:color w:val="000000"/>
              </w:rPr>
              <w:t>2.0%</w:t>
            </w:r>
          </w:p>
        </w:tc>
      </w:tr>
      <w:tr w:rsidR="00217A61" w14:paraId="7D09B931" w14:textId="77777777">
        <w:trPr>
          <w:cantSplit/>
        </w:trPr>
        <w:tc>
          <w:tcPr>
            <w:tcW w:w="0" w:type="auto"/>
          </w:tcPr>
          <w:p w14:paraId="1C24124E" w14:textId="77777777" w:rsidR="00217A61" w:rsidRDefault="001C2695">
            <w:pPr>
              <w:spacing w:beforeAutospacing="1" w:afterAutospacing="1"/>
            </w:pPr>
            <w:r>
              <w:rPr>
                <w:color w:val="000000"/>
              </w:rPr>
              <w:t>$2,000 or more</w:t>
            </w:r>
          </w:p>
        </w:tc>
        <w:tc>
          <w:tcPr>
            <w:tcW w:w="0" w:type="auto"/>
            <w:vAlign w:val="bottom"/>
          </w:tcPr>
          <w:p w14:paraId="2EDF00FF" w14:textId="77777777" w:rsidR="00217A61" w:rsidRDefault="001C2695">
            <w:pPr>
              <w:spacing w:beforeAutospacing="1" w:afterAutospacing="1"/>
              <w:jc w:val="right"/>
            </w:pPr>
            <w:r>
              <w:rPr>
                <w:color w:val="000000"/>
              </w:rPr>
              <w:t>31,083</w:t>
            </w:r>
          </w:p>
        </w:tc>
        <w:tc>
          <w:tcPr>
            <w:tcW w:w="0" w:type="auto"/>
            <w:vAlign w:val="bottom"/>
          </w:tcPr>
          <w:p w14:paraId="3C35F521" w14:textId="77777777" w:rsidR="00217A61" w:rsidRDefault="001C2695">
            <w:pPr>
              <w:spacing w:beforeAutospacing="1" w:afterAutospacing="1"/>
              <w:jc w:val="right"/>
            </w:pPr>
            <w:r>
              <w:rPr>
                <w:color w:val="000000"/>
              </w:rPr>
              <w:t>1.2%</w:t>
            </w:r>
          </w:p>
        </w:tc>
      </w:tr>
      <w:tr w:rsidR="00217A61" w14:paraId="42A448F8" w14:textId="77777777">
        <w:trPr>
          <w:cantSplit/>
        </w:trPr>
        <w:tc>
          <w:tcPr>
            <w:tcW w:w="0" w:type="auto"/>
          </w:tcPr>
          <w:p w14:paraId="79129491" w14:textId="77777777" w:rsidR="00217A61" w:rsidRDefault="001C2695">
            <w:pPr>
              <w:spacing w:beforeAutospacing="1" w:afterAutospacing="1"/>
            </w:pPr>
            <w:r>
              <w:rPr>
                <w:rFonts w:ascii="Verdana" w:hAnsi="Verdana"/>
                <w:b/>
                <w:i/>
                <w:color w:val="000000"/>
                <w:sz w:val="16"/>
              </w:rPr>
              <w:t>Total</w:t>
            </w:r>
          </w:p>
        </w:tc>
        <w:tc>
          <w:tcPr>
            <w:tcW w:w="0" w:type="auto"/>
          </w:tcPr>
          <w:p w14:paraId="58DA83F9" w14:textId="77777777" w:rsidR="00217A61" w:rsidRDefault="001C2695">
            <w:pPr>
              <w:spacing w:beforeAutospacing="1" w:afterAutospacing="1"/>
              <w:jc w:val="right"/>
            </w:pPr>
            <w:r>
              <w:rPr>
                <w:rFonts w:ascii="Verdana" w:hAnsi="Verdana"/>
                <w:b/>
                <w:i/>
                <w:color w:val="000000"/>
                <w:sz w:val="16"/>
              </w:rPr>
              <w:t>1,278,585</w:t>
            </w:r>
          </w:p>
        </w:tc>
        <w:tc>
          <w:tcPr>
            <w:tcW w:w="0" w:type="auto"/>
          </w:tcPr>
          <w:p w14:paraId="5205C6B1" w14:textId="77777777" w:rsidR="00217A61" w:rsidRDefault="001C2695">
            <w:pPr>
              <w:spacing w:beforeAutospacing="1" w:afterAutospacing="1"/>
              <w:jc w:val="right"/>
            </w:pPr>
            <w:r>
              <w:rPr>
                <w:rFonts w:ascii="Verdana" w:hAnsi="Verdana"/>
                <w:b/>
                <w:i/>
                <w:color w:val="000000"/>
                <w:sz w:val="16"/>
              </w:rPr>
              <w:t>100.0%</w:t>
            </w:r>
          </w:p>
        </w:tc>
      </w:tr>
    </w:tbl>
    <w:p w14:paraId="339035AD"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Rent </w:t>
      </w:r>
      <w:proofErr w:type="gramStart"/>
      <w:r>
        <w:rPr>
          <w:rFonts w:asciiTheme="minorHAnsi" w:hAnsiTheme="minorHAnsi"/>
        </w:rPr>
        <w:t>Paid</w:t>
      </w:r>
      <w:proofErr w:type="gramEnd"/>
    </w:p>
    <w:p w14:paraId="3E67F0AF" w14:textId="77777777" w:rsidR="00217A61" w:rsidRDefault="00217A61">
      <w:pPr>
        <w:rPr>
          <w:vanish/>
        </w:rPr>
      </w:pPr>
    </w:p>
    <w:tbl>
      <w:tblPr>
        <w:tblW w:w="2742" w:type="pct"/>
        <w:tblInd w:w="115" w:type="dxa"/>
        <w:tblLook w:val="01E0" w:firstRow="1" w:lastRow="1" w:firstColumn="1" w:lastColumn="1" w:noHBand="0" w:noVBand="0"/>
      </w:tblPr>
      <w:tblGrid>
        <w:gridCol w:w="5133"/>
      </w:tblGrid>
      <w:tr w:rsidR="00217A61" w14:paraId="110E89A2" w14:textId="77777777">
        <w:tc>
          <w:tcPr>
            <w:tcW w:w="0" w:type="auto"/>
          </w:tcPr>
          <w:p w14:paraId="34894450" w14:textId="77777777" w:rsidR="00217A61" w:rsidRDefault="001C2695">
            <w:pPr>
              <w:keepNext/>
              <w:widowControl w:val="0"/>
              <w:spacing w:after="0" w:line="240" w:lineRule="auto"/>
            </w:pPr>
            <w:r>
              <w:rPr>
                <w:b/>
                <w:sz w:val="16"/>
                <w:szCs w:val="16"/>
              </w:rPr>
              <w:t>Alternate Data Source Name:</w:t>
            </w:r>
          </w:p>
        </w:tc>
      </w:tr>
      <w:tr w:rsidR="00217A61" w14:paraId="49781F1A" w14:textId="77777777">
        <w:trPr>
          <w:cantSplit/>
        </w:trPr>
        <w:tc>
          <w:tcPr>
            <w:tcW w:w="0" w:type="auto"/>
          </w:tcPr>
          <w:p w14:paraId="75C2B3C9" w14:textId="77777777" w:rsidR="00217A61" w:rsidRDefault="001C2695">
            <w:pPr>
              <w:spacing w:beforeAutospacing="1" w:afterAutospacing="1"/>
            </w:pPr>
            <w:r>
              <w:rPr>
                <w:color w:val="000000"/>
                <w:sz w:val="16"/>
              </w:rPr>
              <w:t>2014 - 2018 ACS</w:t>
            </w:r>
          </w:p>
        </w:tc>
      </w:tr>
    </w:tbl>
    <w:p w14:paraId="204E16AB" w14:textId="77777777" w:rsidR="00217A61" w:rsidRDefault="00217A61">
      <w:pPr>
        <w:rPr>
          <w:b/>
          <w:bCs/>
          <w:vanish/>
          <w:sz w:val="16"/>
          <w:szCs w:val="16"/>
        </w:rPr>
      </w:pPr>
    </w:p>
    <w:tbl>
      <w:tblPr>
        <w:tblW w:w="5000" w:type="pct"/>
        <w:tblInd w:w="115" w:type="dxa"/>
        <w:tblLook w:val="01E0" w:firstRow="1" w:lastRow="1" w:firstColumn="1" w:lastColumn="1" w:noHBand="0" w:noVBand="0"/>
      </w:tblPr>
      <w:tblGrid>
        <w:gridCol w:w="1947"/>
        <w:gridCol w:w="7413"/>
      </w:tblGrid>
      <w:tr w:rsidR="00217A61" w14:paraId="38BC8641" w14:textId="77777777">
        <w:trPr>
          <w:cantSplit/>
        </w:trPr>
        <w:tc>
          <w:tcPr>
            <w:tcW w:w="1973" w:type="dxa"/>
          </w:tcPr>
          <w:p w14:paraId="6EC85903" w14:textId="77777777" w:rsidR="00217A61" w:rsidRDefault="001C2695">
            <w:pPr>
              <w:spacing w:after="0" w:line="240" w:lineRule="auto"/>
              <w:rPr>
                <w:rFonts w:cs="Arial"/>
                <w:sz w:val="16"/>
                <w:szCs w:val="16"/>
              </w:rPr>
            </w:pPr>
            <w:r>
              <w:rPr>
                <w:b/>
                <w:bCs/>
                <w:sz w:val="16"/>
                <w:szCs w:val="16"/>
              </w:rPr>
              <w:t>Data Source Comments:</w:t>
            </w:r>
          </w:p>
        </w:tc>
        <w:tc>
          <w:tcPr>
            <w:tcW w:w="7603" w:type="dxa"/>
          </w:tcPr>
          <w:p w14:paraId="170BBF74" w14:textId="77777777" w:rsidR="00217A61" w:rsidRDefault="00217A61">
            <w:pPr>
              <w:spacing w:after="0" w:line="240" w:lineRule="auto"/>
              <w:rPr>
                <w:rFonts w:cs="Arial"/>
                <w:sz w:val="16"/>
                <w:szCs w:val="16"/>
              </w:rPr>
            </w:pPr>
          </w:p>
        </w:tc>
      </w:tr>
    </w:tbl>
    <w:p w14:paraId="33773F89" w14:textId="77777777" w:rsidR="00217A61" w:rsidRDefault="00217A61">
      <w:pPr>
        <w:spacing w:after="0" w:line="240" w:lineRule="auto"/>
      </w:pPr>
    </w:p>
    <w:p w14:paraId="00CD2F09" w14:textId="77777777" w:rsidR="00217A61" w:rsidRDefault="00217A61">
      <w:pPr>
        <w:spacing w:after="0" w:line="240" w:lineRule="auto"/>
      </w:pPr>
    </w:p>
    <w:p w14:paraId="5A920B97" w14:textId="77777777" w:rsidR="00217A61" w:rsidRDefault="001C2695">
      <w:pPr>
        <w:keepNext/>
        <w:widowControl w:val="0"/>
        <w:rPr>
          <w:b/>
          <w:sz w:val="24"/>
          <w:szCs w:val="24"/>
        </w:rPr>
      </w:pPr>
      <w:r>
        <w:rPr>
          <w:b/>
          <w:sz w:val="24"/>
          <w:szCs w:val="24"/>
        </w:rPr>
        <w:lastRenderedPageBreak/>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3325"/>
        <w:gridCol w:w="2756"/>
      </w:tblGrid>
      <w:tr w:rsidR="00217A61" w14:paraId="0CD90DA6" w14:textId="77777777">
        <w:trPr>
          <w:cantSplit/>
          <w:tblHeader/>
        </w:trPr>
        <w:tc>
          <w:tcPr>
            <w:tcW w:w="3346" w:type="dxa"/>
          </w:tcPr>
          <w:p w14:paraId="2FD376DA" w14:textId="77777777" w:rsidR="00217A61" w:rsidRDefault="001C2695">
            <w:pPr>
              <w:keepNext/>
              <w:widowControl w:val="0"/>
              <w:spacing w:after="0" w:line="240" w:lineRule="auto"/>
              <w:jc w:val="center"/>
              <w:rPr>
                <w:b/>
                <w:bCs/>
              </w:rPr>
            </w:pPr>
            <w:r>
              <w:rPr>
                <w:b/>
                <w:bCs/>
              </w:rPr>
              <w:t xml:space="preserve">% Units affordable to Households earning </w:t>
            </w:r>
          </w:p>
        </w:tc>
        <w:tc>
          <w:tcPr>
            <w:tcW w:w="3411" w:type="dxa"/>
          </w:tcPr>
          <w:p w14:paraId="5E8343B6" w14:textId="77777777" w:rsidR="00217A61" w:rsidRDefault="001C2695">
            <w:pPr>
              <w:keepNext/>
              <w:widowControl w:val="0"/>
              <w:spacing w:after="0" w:line="240" w:lineRule="auto"/>
              <w:jc w:val="center"/>
              <w:rPr>
                <w:b/>
                <w:bCs/>
              </w:rPr>
            </w:pPr>
            <w:r>
              <w:rPr>
                <w:b/>
                <w:bCs/>
              </w:rPr>
              <w:t>Renter</w:t>
            </w:r>
          </w:p>
        </w:tc>
        <w:tc>
          <w:tcPr>
            <w:tcW w:w="2819" w:type="dxa"/>
          </w:tcPr>
          <w:p w14:paraId="6CC997FF" w14:textId="77777777" w:rsidR="00217A61" w:rsidRDefault="001C2695">
            <w:pPr>
              <w:keepNext/>
              <w:widowControl w:val="0"/>
              <w:spacing w:after="0" w:line="240" w:lineRule="auto"/>
              <w:jc w:val="center"/>
              <w:rPr>
                <w:b/>
                <w:bCs/>
              </w:rPr>
            </w:pPr>
            <w:r>
              <w:rPr>
                <w:b/>
                <w:bCs/>
              </w:rPr>
              <w:t>Owner</w:t>
            </w:r>
          </w:p>
        </w:tc>
      </w:tr>
      <w:tr w:rsidR="00217A61" w14:paraId="523C5381" w14:textId="77777777">
        <w:trPr>
          <w:cantSplit/>
        </w:trPr>
        <w:tc>
          <w:tcPr>
            <w:tcW w:w="0" w:type="auto"/>
          </w:tcPr>
          <w:p w14:paraId="7DED3E17" w14:textId="77777777" w:rsidR="00217A61" w:rsidRDefault="001C2695">
            <w:pPr>
              <w:spacing w:beforeAutospacing="1" w:afterAutospacing="1"/>
            </w:pPr>
            <w:r>
              <w:rPr>
                <w:color w:val="000000"/>
              </w:rPr>
              <w:t>30% HAMFI</w:t>
            </w:r>
          </w:p>
        </w:tc>
        <w:tc>
          <w:tcPr>
            <w:tcW w:w="0" w:type="auto"/>
            <w:vAlign w:val="bottom"/>
          </w:tcPr>
          <w:p w14:paraId="1173FFAE" w14:textId="77777777" w:rsidR="00217A61" w:rsidRDefault="001C2695">
            <w:pPr>
              <w:spacing w:beforeAutospacing="1" w:afterAutospacing="1"/>
              <w:jc w:val="right"/>
            </w:pPr>
            <w:r>
              <w:rPr>
                <w:color w:val="000000"/>
              </w:rPr>
              <w:t>95,690</w:t>
            </w:r>
          </w:p>
        </w:tc>
        <w:tc>
          <w:tcPr>
            <w:tcW w:w="0" w:type="auto"/>
            <w:vAlign w:val="bottom"/>
          </w:tcPr>
          <w:p w14:paraId="2A246B7D" w14:textId="77777777" w:rsidR="00217A61" w:rsidRDefault="001C2695">
            <w:pPr>
              <w:spacing w:beforeAutospacing="1" w:afterAutospacing="1"/>
              <w:jc w:val="right"/>
            </w:pPr>
            <w:r>
              <w:rPr>
                <w:color w:val="000000"/>
              </w:rPr>
              <w:t>No Data</w:t>
            </w:r>
          </w:p>
        </w:tc>
      </w:tr>
      <w:tr w:rsidR="00217A61" w14:paraId="6DE552B2" w14:textId="77777777">
        <w:trPr>
          <w:cantSplit/>
        </w:trPr>
        <w:tc>
          <w:tcPr>
            <w:tcW w:w="0" w:type="auto"/>
          </w:tcPr>
          <w:p w14:paraId="6F5C656F" w14:textId="77777777" w:rsidR="00217A61" w:rsidRDefault="001C2695">
            <w:pPr>
              <w:spacing w:beforeAutospacing="1" w:afterAutospacing="1"/>
            </w:pPr>
            <w:r>
              <w:rPr>
                <w:color w:val="000000"/>
              </w:rPr>
              <w:t>50% HAMFI</w:t>
            </w:r>
          </w:p>
        </w:tc>
        <w:tc>
          <w:tcPr>
            <w:tcW w:w="0" w:type="auto"/>
            <w:vAlign w:val="bottom"/>
          </w:tcPr>
          <w:p w14:paraId="46AC50E7" w14:textId="77777777" w:rsidR="00217A61" w:rsidRDefault="001C2695">
            <w:pPr>
              <w:spacing w:beforeAutospacing="1" w:afterAutospacing="1"/>
              <w:jc w:val="right"/>
            </w:pPr>
            <w:r>
              <w:rPr>
                <w:color w:val="000000"/>
              </w:rPr>
              <w:t>360,725</w:t>
            </w:r>
          </w:p>
        </w:tc>
        <w:tc>
          <w:tcPr>
            <w:tcW w:w="0" w:type="auto"/>
            <w:vAlign w:val="bottom"/>
          </w:tcPr>
          <w:p w14:paraId="5BA8983D" w14:textId="77777777" w:rsidR="00217A61" w:rsidRDefault="001C2695">
            <w:pPr>
              <w:spacing w:beforeAutospacing="1" w:afterAutospacing="1"/>
              <w:jc w:val="right"/>
            </w:pPr>
            <w:r>
              <w:rPr>
                <w:color w:val="000000"/>
              </w:rPr>
              <w:t>225,450</w:t>
            </w:r>
          </w:p>
        </w:tc>
      </w:tr>
      <w:tr w:rsidR="00217A61" w14:paraId="2A1804EA" w14:textId="77777777">
        <w:trPr>
          <w:cantSplit/>
        </w:trPr>
        <w:tc>
          <w:tcPr>
            <w:tcW w:w="0" w:type="auto"/>
          </w:tcPr>
          <w:p w14:paraId="11A25E25" w14:textId="77777777" w:rsidR="00217A61" w:rsidRDefault="001C2695">
            <w:pPr>
              <w:spacing w:beforeAutospacing="1" w:afterAutospacing="1"/>
            </w:pPr>
            <w:r>
              <w:rPr>
                <w:color w:val="000000"/>
              </w:rPr>
              <w:t>80% HAMFI</w:t>
            </w:r>
          </w:p>
        </w:tc>
        <w:tc>
          <w:tcPr>
            <w:tcW w:w="0" w:type="auto"/>
            <w:vAlign w:val="bottom"/>
          </w:tcPr>
          <w:p w14:paraId="1D025F13" w14:textId="77777777" w:rsidR="00217A61" w:rsidRDefault="001C2695">
            <w:pPr>
              <w:spacing w:beforeAutospacing="1" w:afterAutospacing="1"/>
              <w:jc w:val="right"/>
            </w:pPr>
            <w:r>
              <w:rPr>
                <w:color w:val="000000"/>
              </w:rPr>
              <w:t>854,240</w:t>
            </w:r>
          </w:p>
        </w:tc>
        <w:tc>
          <w:tcPr>
            <w:tcW w:w="0" w:type="auto"/>
            <w:vAlign w:val="bottom"/>
          </w:tcPr>
          <w:p w14:paraId="7F062720" w14:textId="77777777" w:rsidR="00217A61" w:rsidRDefault="001C2695">
            <w:pPr>
              <w:spacing w:beforeAutospacing="1" w:afterAutospacing="1"/>
              <w:jc w:val="right"/>
            </w:pPr>
            <w:r>
              <w:rPr>
                <w:color w:val="000000"/>
              </w:rPr>
              <w:t>612,655</w:t>
            </w:r>
          </w:p>
        </w:tc>
      </w:tr>
      <w:tr w:rsidR="00217A61" w14:paraId="28245718" w14:textId="77777777">
        <w:trPr>
          <w:cantSplit/>
        </w:trPr>
        <w:tc>
          <w:tcPr>
            <w:tcW w:w="0" w:type="auto"/>
          </w:tcPr>
          <w:p w14:paraId="76815C72" w14:textId="77777777" w:rsidR="00217A61" w:rsidRDefault="001C2695">
            <w:pPr>
              <w:spacing w:beforeAutospacing="1" w:afterAutospacing="1"/>
            </w:pPr>
            <w:r>
              <w:rPr>
                <w:color w:val="000000"/>
              </w:rPr>
              <w:t>100% HAMFI</w:t>
            </w:r>
          </w:p>
        </w:tc>
        <w:tc>
          <w:tcPr>
            <w:tcW w:w="0" w:type="auto"/>
            <w:vAlign w:val="bottom"/>
          </w:tcPr>
          <w:p w14:paraId="5BC480A4" w14:textId="77777777" w:rsidR="00217A61" w:rsidRDefault="001C2695">
            <w:pPr>
              <w:spacing w:beforeAutospacing="1" w:afterAutospacing="1"/>
              <w:jc w:val="right"/>
            </w:pPr>
            <w:r>
              <w:rPr>
                <w:color w:val="000000"/>
              </w:rPr>
              <w:t>No Data</w:t>
            </w:r>
          </w:p>
        </w:tc>
        <w:tc>
          <w:tcPr>
            <w:tcW w:w="0" w:type="auto"/>
            <w:vAlign w:val="bottom"/>
          </w:tcPr>
          <w:p w14:paraId="1C87FDE7" w14:textId="77777777" w:rsidR="00217A61" w:rsidRDefault="001C2695">
            <w:pPr>
              <w:spacing w:beforeAutospacing="1" w:afterAutospacing="1"/>
              <w:jc w:val="right"/>
            </w:pPr>
            <w:r>
              <w:rPr>
                <w:color w:val="000000"/>
              </w:rPr>
              <w:t>890,150</w:t>
            </w:r>
          </w:p>
        </w:tc>
      </w:tr>
      <w:tr w:rsidR="00217A61" w14:paraId="5B28D47B" w14:textId="77777777">
        <w:trPr>
          <w:cantSplit/>
        </w:trPr>
        <w:tc>
          <w:tcPr>
            <w:tcW w:w="0" w:type="auto"/>
          </w:tcPr>
          <w:p w14:paraId="152DF4D6" w14:textId="77777777" w:rsidR="00217A61" w:rsidRDefault="001C2695">
            <w:pPr>
              <w:spacing w:beforeAutospacing="1" w:afterAutospacing="1"/>
            </w:pPr>
            <w:r>
              <w:rPr>
                <w:rFonts w:ascii="Verdana" w:hAnsi="Verdana"/>
                <w:b/>
                <w:i/>
                <w:color w:val="000000"/>
                <w:sz w:val="16"/>
              </w:rPr>
              <w:t>Total</w:t>
            </w:r>
          </w:p>
        </w:tc>
        <w:tc>
          <w:tcPr>
            <w:tcW w:w="0" w:type="auto"/>
          </w:tcPr>
          <w:p w14:paraId="1F16634D" w14:textId="77777777" w:rsidR="00217A61" w:rsidRDefault="001C2695">
            <w:pPr>
              <w:spacing w:beforeAutospacing="1" w:afterAutospacing="1"/>
              <w:jc w:val="right"/>
            </w:pPr>
            <w:r>
              <w:rPr>
                <w:rFonts w:ascii="Verdana" w:hAnsi="Verdana"/>
                <w:b/>
                <w:i/>
                <w:color w:val="000000"/>
                <w:sz w:val="16"/>
              </w:rPr>
              <w:t>1,310,655</w:t>
            </w:r>
          </w:p>
        </w:tc>
        <w:tc>
          <w:tcPr>
            <w:tcW w:w="0" w:type="auto"/>
          </w:tcPr>
          <w:p w14:paraId="38EC453C" w14:textId="77777777" w:rsidR="00217A61" w:rsidRDefault="001C2695">
            <w:pPr>
              <w:spacing w:beforeAutospacing="1" w:afterAutospacing="1"/>
              <w:jc w:val="right"/>
            </w:pPr>
            <w:r>
              <w:rPr>
                <w:rFonts w:ascii="Verdana" w:hAnsi="Verdana"/>
                <w:b/>
                <w:i/>
                <w:color w:val="000000"/>
                <w:sz w:val="16"/>
              </w:rPr>
              <w:t>1,728,255</w:t>
            </w:r>
          </w:p>
        </w:tc>
      </w:tr>
    </w:tbl>
    <w:p w14:paraId="486C49AD"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Housing Affordability</w:t>
      </w:r>
    </w:p>
    <w:tbl>
      <w:tblPr>
        <w:tblW w:w="5000" w:type="pct"/>
        <w:tblInd w:w="115" w:type="dxa"/>
        <w:tblLook w:val="01E0" w:firstRow="1" w:lastRow="1" w:firstColumn="1" w:lastColumn="1" w:noHBand="0" w:noVBand="0"/>
      </w:tblPr>
      <w:tblGrid>
        <w:gridCol w:w="1064"/>
        <w:gridCol w:w="8296"/>
      </w:tblGrid>
      <w:tr w:rsidR="00217A61" w14:paraId="39318296" w14:textId="77777777">
        <w:trPr>
          <w:cantSplit/>
        </w:trPr>
        <w:tc>
          <w:tcPr>
            <w:tcW w:w="1073" w:type="dxa"/>
          </w:tcPr>
          <w:p w14:paraId="7D534743" w14:textId="77777777" w:rsidR="00217A61" w:rsidRDefault="001C2695">
            <w:pPr>
              <w:spacing w:after="0" w:line="240" w:lineRule="auto"/>
              <w:rPr>
                <w:rFonts w:cs="Arial"/>
                <w:sz w:val="16"/>
                <w:szCs w:val="16"/>
              </w:rPr>
            </w:pPr>
            <w:r>
              <w:rPr>
                <w:b/>
                <w:bCs/>
                <w:sz w:val="16"/>
                <w:szCs w:val="16"/>
              </w:rPr>
              <w:t>Data Source:</w:t>
            </w:r>
          </w:p>
        </w:tc>
        <w:tc>
          <w:tcPr>
            <w:tcW w:w="8503" w:type="dxa"/>
          </w:tcPr>
          <w:p w14:paraId="7EE1D83C" w14:textId="77777777" w:rsidR="00217A61" w:rsidRDefault="001C2695">
            <w:pPr>
              <w:spacing w:beforeAutospacing="1" w:afterAutospacing="1"/>
              <w:rPr>
                <w:rFonts w:cs="Arial"/>
                <w:sz w:val="16"/>
                <w:szCs w:val="16"/>
              </w:rPr>
            </w:pPr>
            <w:r>
              <w:rPr>
                <w:rFonts w:cs="Arial"/>
                <w:sz w:val="16"/>
                <w:szCs w:val="16"/>
              </w:rPr>
              <w:t>2011-2015 CHAS</w:t>
            </w:r>
          </w:p>
        </w:tc>
      </w:tr>
    </w:tbl>
    <w:p w14:paraId="3B6B9A05" w14:textId="77777777" w:rsidR="00217A61" w:rsidRDefault="00217A61">
      <w:pPr>
        <w:rPr>
          <w:vanish/>
        </w:rPr>
      </w:pPr>
    </w:p>
    <w:p w14:paraId="2A009061" w14:textId="77777777" w:rsidR="00217A61" w:rsidRDefault="00217A61">
      <w:pPr>
        <w:rPr>
          <w:b/>
          <w:bCs/>
          <w:vanish/>
          <w:sz w:val="16"/>
          <w:szCs w:val="16"/>
        </w:rPr>
      </w:pPr>
    </w:p>
    <w:p w14:paraId="72AF958E" w14:textId="77777777" w:rsidR="00217A61" w:rsidRDefault="00217A61">
      <w:pPr>
        <w:spacing w:after="0" w:line="240" w:lineRule="auto"/>
      </w:pPr>
    </w:p>
    <w:p w14:paraId="55094AE4" w14:textId="77777777" w:rsidR="00217A61" w:rsidRDefault="00217A61">
      <w:pPr>
        <w:widowControl w:val="0"/>
        <w:spacing w:after="0" w:line="240" w:lineRule="auto"/>
        <w:rPr>
          <w:b/>
          <w:sz w:val="24"/>
          <w:szCs w:val="24"/>
        </w:rPr>
      </w:pPr>
    </w:p>
    <w:p w14:paraId="608AF2A7" w14:textId="77777777" w:rsidR="00217A61" w:rsidRDefault="001C2695">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601"/>
        <w:gridCol w:w="1322"/>
        <w:gridCol w:w="1322"/>
        <w:gridCol w:w="1322"/>
        <w:gridCol w:w="1322"/>
      </w:tblGrid>
      <w:tr w:rsidR="00217A61" w14:paraId="33165C06" w14:textId="77777777">
        <w:trPr>
          <w:cantSplit/>
          <w:tblHeader/>
        </w:trPr>
        <w:tc>
          <w:tcPr>
            <w:tcW w:w="2520" w:type="dxa"/>
          </w:tcPr>
          <w:p w14:paraId="4D8BEB1A" w14:textId="77777777" w:rsidR="00217A61" w:rsidRDefault="001C2695">
            <w:pPr>
              <w:keepNext/>
              <w:widowControl w:val="0"/>
              <w:spacing w:after="0" w:line="240" w:lineRule="auto"/>
              <w:jc w:val="center"/>
              <w:rPr>
                <w:b/>
              </w:rPr>
            </w:pPr>
            <w:r>
              <w:rPr>
                <w:b/>
              </w:rPr>
              <w:t>Monthly Rent ($)</w:t>
            </w:r>
          </w:p>
        </w:tc>
        <w:tc>
          <w:tcPr>
            <w:tcW w:w="1620" w:type="dxa"/>
          </w:tcPr>
          <w:p w14:paraId="0BC716A5" w14:textId="77777777" w:rsidR="00217A61" w:rsidRDefault="001C2695">
            <w:pPr>
              <w:keepNext/>
              <w:widowControl w:val="0"/>
              <w:spacing w:after="0" w:line="240" w:lineRule="auto"/>
              <w:jc w:val="center"/>
              <w:rPr>
                <w:b/>
              </w:rPr>
            </w:pPr>
            <w:r>
              <w:rPr>
                <w:b/>
                <w:bCs/>
              </w:rPr>
              <w:t>Efficiency (no bedroom)</w:t>
            </w:r>
          </w:p>
        </w:tc>
        <w:tc>
          <w:tcPr>
            <w:tcW w:w="1332" w:type="dxa"/>
          </w:tcPr>
          <w:p w14:paraId="6FBC7561" w14:textId="77777777" w:rsidR="00217A61" w:rsidRDefault="001C2695">
            <w:pPr>
              <w:keepNext/>
              <w:widowControl w:val="0"/>
              <w:spacing w:after="0" w:line="240" w:lineRule="auto"/>
              <w:jc w:val="center"/>
              <w:rPr>
                <w:b/>
              </w:rPr>
            </w:pPr>
            <w:r>
              <w:rPr>
                <w:b/>
                <w:bCs/>
              </w:rPr>
              <w:t>1 Bedroom</w:t>
            </w:r>
          </w:p>
        </w:tc>
        <w:tc>
          <w:tcPr>
            <w:tcW w:w="1332" w:type="dxa"/>
          </w:tcPr>
          <w:p w14:paraId="2BF00858" w14:textId="77777777" w:rsidR="00217A61" w:rsidRDefault="001C2695">
            <w:pPr>
              <w:keepNext/>
              <w:widowControl w:val="0"/>
              <w:spacing w:after="0" w:line="240" w:lineRule="auto"/>
              <w:jc w:val="center"/>
              <w:rPr>
                <w:b/>
              </w:rPr>
            </w:pPr>
            <w:r>
              <w:rPr>
                <w:b/>
                <w:bCs/>
              </w:rPr>
              <w:t>2 Bedroom</w:t>
            </w:r>
          </w:p>
        </w:tc>
        <w:tc>
          <w:tcPr>
            <w:tcW w:w="1332" w:type="dxa"/>
          </w:tcPr>
          <w:p w14:paraId="327CE66B" w14:textId="77777777" w:rsidR="00217A61" w:rsidRDefault="001C2695">
            <w:pPr>
              <w:keepNext/>
              <w:widowControl w:val="0"/>
              <w:spacing w:after="0" w:line="240" w:lineRule="auto"/>
              <w:jc w:val="center"/>
              <w:rPr>
                <w:b/>
              </w:rPr>
            </w:pPr>
            <w:r>
              <w:rPr>
                <w:b/>
                <w:bCs/>
              </w:rPr>
              <w:t>3 Bedroom</w:t>
            </w:r>
          </w:p>
        </w:tc>
        <w:tc>
          <w:tcPr>
            <w:tcW w:w="1332" w:type="dxa"/>
          </w:tcPr>
          <w:p w14:paraId="7CA07786" w14:textId="77777777" w:rsidR="00217A61" w:rsidRDefault="001C2695">
            <w:pPr>
              <w:keepNext/>
              <w:widowControl w:val="0"/>
              <w:spacing w:after="0" w:line="240" w:lineRule="auto"/>
              <w:jc w:val="center"/>
              <w:rPr>
                <w:b/>
              </w:rPr>
            </w:pPr>
            <w:r>
              <w:rPr>
                <w:b/>
                <w:bCs/>
              </w:rPr>
              <w:t>4 Bedroom</w:t>
            </w:r>
          </w:p>
        </w:tc>
      </w:tr>
      <w:tr w:rsidR="00217A61" w14:paraId="0B6BA6A5" w14:textId="77777777">
        <w:trPr>
          <w:cantSplit/>
        </w:trPr>
        <w:tc>
          <w:tcPr>
            <w:tcW w:w="0" w:type="auto"/>
          </w:tcPr>
          <w:p w14:paraId="7BD50DE5" w14:textId="77777777" w:rsidR="00217A61" w:rsidRDefault="001C2695">
            <w:pPr>
              <w:spacing w:beforeAutospacing="1" w:afterAutospacing="1"/>
            </w:pPr>
            <w:r>
              <w:rPr>
                <w:color w:val="000000"/>
              </w:rPr>
              <w:t>Fair Market Rent</w:t>
            </w:r>
          </w:p>
        </w:tc>
        <w:tc>
          <w:tcPr>
            <w:tcW w:w="0" w:type="auto"/>
            <w:vAlign w:val="bottom"/>
          </w:tcPr>
          <w:p w14:paraId="3783017A" w14:textId="77777777" w:rsidR="00217A61" w:rsidRDefault="001C2695">
            <w:pPr>
              <w:spacing w:beforeAutospacing="1" w:afterAutospacing="1"/>
              <w:jc w:val="right"/>
            </w:pPr>
            <w:r>
              <w:rPr>
                <w:color w:val="000000"/>
              </w:rPr>
              <w:t>633</w:t>
            </w:r>
          </w:p>
        </w:tc>
        <w:tc>
          <w:tcPr>
            <w:tcW w:w="0" w:type="auto"/>
            <w:vAlign w:val="bottom"/>
          </w:tcPr>
          <w:p w14:paraId="37DC85C1" w14:textId="77777777" w:rsidR="00217A61" w:rsidRDefault="001C2695">
            <w:pPr>
              <w:spacing w:beforeAutospacing="1" w:afterAutospacing="1"/>
              <w:jc w:val="right"/>
            </w:pPr>
            <w:r>
              <w:rPr>
                <w:color w:val="000000"/>
              </w:rPr>
              <w:t>652</w:t>
            </w:r>
          </w:p>
        </w:tc>
        <w:tc>
          <w:tcPr>
            <w:tcW w:w="0" w:type="auto"/>
            <w:vAlign w:val="bottom"/>
          </w:tcPr>
          <w:p w14:paraId="22040E30" w14:textId="77777777" w:rsidR="00217A61" w:rsidRDefault="001C2695">
            <w:pPr>
              <w:spacing w:beforeAutospacing="1" w:afterAutospacing="1"/>
              <w:jc w:val="right"/>
            </w:pPr>
            <w:r>
              <w:rPr>
                <w:color w:val="000000"/>
              </w:rPr>
              <w:t>799</w:t>
            </w:r>
          </w:p>
        </w:tc>
        <w:tc>
          <w:tcPr>
            <w:tcW w:w="0" w:type="auto"/>
            <w:vAlign w:val="bottom"/>
          </w:tcPr>
          <w:p w14:paraId="10A10F72" w14:textId="77777777" w:rsidR="00217A61" w:rsidRDefault="001C2695">
            <w:pPr>
              <w:spacing w:beforeAutospacing="1" w:afterAutospacing="1"/>
              <w:jc w:val="right"/>
            </w:pPr>
            <w:r>
              <w:rPr>
                <w:color w:val="000000"/>
              </w:rPr>
              <w:t>1,063</w:t>
            </w:r>
          </w:p>
        </w:tc>
        <w:tc>
          <w:tcPr>
            <w:tcW w:w="0" w:type="auto"/>
            <w:vAlign w:val="bottom"/>
          </w:tcPr>
          <w:p w14:paraId="0DDA513F" w14:textId="77777777" w:rsidR="00217A61" w:rsidRDefault="001C2695">
            <w:pPr>
              <w:spacing w:beforeAutospacing="1" w:afterAutospacing="1"/>
              <w:jc w:val="right"/>
            </w:pPr>
            <w:r>
              <w:rPr>
                <w:color w:val="000000"/>
              </w:rPr>
              <w:t>1,281</w:t>
            </w:r>
          </w:p>
        </w:tc>
      </w:tr>
      <w:tr w:rsidR="00217A61" w14:paraId="42C90D16" w14:textId="77777777">
        <w:trPr>
          <w:cantSplit/>
        </w:trPr>
        <w:tc>
          <w:tcPr>
            <w:tcW w:w="0" w:type="auto"/>
          </w:tcPr>
          <w:p w14:paraId="3BE4C9BB" w14:textId="77777777" w:rsidR="00217A61" w:rsidRDefault="001C2695">
            <w:pPr>
              <w:spacing w:beforeAutospacing="1" w:afterAutospacing="1"/>
            </w:pPr>
            <w:r>
              <w:rPr>
                <w:color w:val="000000"/>
              </w:rPr>
              <w:t>High HOME Rent</w:t>
            </w:r>
          </w:p>
        </w:tc>
        <w:tc>
          <w:tcPr>
            <w:tcW w:w="0" w:type="auto"/>
            <w:vAlign w:val="bottom"/>
          </w:tcPr>
          <w:p w14:paraId="531BD0D7" w14:textId="77777777" w:rsidR="00217A61" w:rsidRDefault="001C2695">
            <w:pPr>
              <w:spacing w:beforeAutospacing="1" w:afterAutospacing="1"/>
              <w:jc w:val="right"/>
            </w:pPr>
            <w:r>
              <w:rPr>
                <w:color w:val="000000"/>
              </w:rPr>
              <w:t>593</w:t>
            </w:r>
          </w:p>
        </w:tc>
        <w:tc>
          <w:tcPr>
            <w:tcW w:w="0" w:type="auto"/>
            <w:vAlign w:val="bottom"/>
          </w:tcPr>
          <w:p w14:paraId="6D27B400" w14:textId="77777777" w:rsidR="00217A61" w:rsidRDefault="001C2695">
            <w:pPr>
              <w:spacing w:beforeAutospacing="1" w:afterAutospacing="1"/>
              <w:jc w:val="right"/>
            </w:pPr>
            <w:r>
              <w:rPr>
                <w:color w:val="000000"/>
              </w:rPr>
              <w:t>614</w:t>
            </w:r>
          </w:p>
        </w:tc>
        <w:tc>
          <w:tcPr>
            <w:tcW w:w="0" w:type="auto"/>
            <w:vAlign w:val="bottom"/>
          </w:tcPr>
          <w:p w14:paraId="2731536C" w14:textId="77777777" w:rsidR="00217A61" w:rsidRDefault="001C2695">
            <w:pPr>
              <w:spacing w:beforeAutospacing="1" w:afterAutospacing="1"/>
              <w:jc w:val="right"/>
            </w:pPr>
            <w:r>
              <w:rPr>
                <w:color w:val="000000"/>
              </w:rPr>
              <w:t>760</w:t>
            </w:r>
          </w:p>
        </w:tc>
        <w:tc>
          <w:tcPr>
            <w:tcW w:w="0" w:type="auto"/>
            <w:vAlign w:val="bottom"/>
          </w:tcPr>
          <w:p w14:paraId="2A5A0D9C" w14:textId="77777777" w:rsidR="00217A61" w:rsidRDefault="001C2695">
            <w:pPr>
              <w:spacing w:beforeAutospacing="1" w:afterAutospacing="1"/>
              <w:jc w:val="right"/>
            </w:pPr>
            <w:r>
              <w:rPr>
                <w:color w:val="000000"/>
              </w:rPr>
              <w:t>969</w:t>
            </w:r>
          </w:p>
        </w:tc>
        <w:tc>
          <w:tcPr>
            <w:tcW w:w="0" w:type="auto"/>
            <w:vAlign w:val="bottom"/>
          </w:tcPr>
          <w:p w14:paraId="5BC8D610" w14:textId="77777777" w:rsidR="00217A61" w:rsidRDefault="001C2695">
            <w:pPr>
              <w:spacing w:beforeAutospacing="1" w:afterAutospacing="1"/>
              <w:jc w:val="right"/>
            </w:pPr>
            <w:r>
              <w:rPr>
                <w:color w:val="000000"/>
              </w:rPr>
              <w:t>1,072</w:t>
            </w:r>
          </w:p>
        </w:tc>
      </w:tr>
      <w:tr w:rsidR="00217A61" w14:paraId="53D0AB43" w14:textId="77777777">
        <w:trPr>
          <w:cantSplit/>
        </w:trPr>
        <w:tc>
          <w:tcPr>
            <w:tcW w:w="0" w:type="auto"/>
          </w:tcPr>
          <w:p w14:paraId="3607E6B3" w14:textId="77777777" w:rsidR="00217A61" w:rsidRDefault="001C2695">
            <w:pPr>
              <w:spacing w:beforeAutospacing="1" w:afterAutospacing="1"/>
            </w:pPr>
            <w:r>
              <w:rPr>
                <w:color w:val="000000"/>
              </w:rPr>
              <w:t>Low HOME Rent</w:t>
            </w:r>
          </w:p>
        </w:tc>
        <w:tc>
          <w:tcPr>
            <w:tcW w:w="0" w:type="auto"/>
            <w:vAlign w:val="bottom"/>
          </w:tcPr>
          <w:p w14:paraId="682A3578" w14:textId="77777777" w:rsidR="00217A61" w:rsidRDefault="001C2695">
            <w:pPr>
              <w:spacing w:beforeAutospacing="1" w:afterAutospacing="1"/>
              <w:jc w:val="right"/>
            </w:pPr>
            <w:r>
              <w:rPr>
                <w:color w:val="000000"/>
              </w:rPr>
              <w:t>522</w:t>
            </w:r>
          </w:p>
        </w:tc>
        <w:tc>
          <w:tcPr>
            <w:tcW w:w="0" w:type="auto"/>
            <w:vAlign w:val="bottom"/>
          </w:tcPr>
          <w:p w14:paraId="365231A2" w14:textId="77777777" w:rsidR="00217A61" w:rsidRDefault="001C2695">
            <w:pPr>
              <w:spacing w:beforeAutospacing="1" w:afterAutospacing="1"/>
              <w:jc w:val="right"/>
            </w:pPr>
            <w:r>
              <w:rPr>
                <w:color w:val="000000"/>
              </w:rPr>
              <w:t>559</w:t>
            </w:r>
          </w:p>
        </w:tc>
        <w:tc>
          <w:tcPr>
            <w:tcW w:w="0" w:type="auto"/>
            <w:vAlign w:val="bottom"/>
          </w:tcPr>
          <w:p w14:paraId="0A46E30E" w14:textId="77777777" w:rsidR="00217A61" w:rsidRDefault="001C2695">
            <w:pPr>
              <w:spacing w:beforeAutospacing="1" w:afterAutospacing="1"/>
              <w:jc w:val="right"/>
            </w:pPr>
            <w:r>
              <w:rPr>
                <w:color w:val="000000"/>
              </w:rPr>
              <w:t>672</w:t>
            </w:r>
          </w:p>
        </w:tc>
        <w:tc>
          <w:tcPr>
            <w:tcW w:w="0" w:type="auto"/>
            <w:vAlign w:val="bottom"/>
          </w:tcPr>
          <w:p w14:paraId="5C814356" w14:textId="77777777" w:rsidR="00217A61" w:rsidRDefault="001C2695">
            <w:pPr>
              <w:spacing w:beforeAutospacing="1" w:afterAutospacing="1"/>
              <w:jc w:val="right"/>
            </w:pPr>
            <w:r>
              <w:rPr>
                <w:color w:val="000000"/>
              </w:rPr>
              <w:t>778</w:t>
            </w:r>
          </w:p>
        </w:tc>
        <w:tc>
          <w:tcPr>
            <w:tcW w:w="0" w:type="auto"/>
            <w:vAlign w:val="bottom"/>
          </w:tcPr>
          <w:p w14:paraId="66011D5F" w14:textId="77777777" w:rsidR="00217A61" w:rsidRDefault="001C2695">
            <w:pPr>
              <w:spacing w:beforeAutospacing="1" w:afterAutospacing="1"/>
              <w:jc w:val="right"/>
            </w:pPr>
            <w:r>
              <w:rPr>
                <w:color w:val="000000"/>
              </w:rPr>
              <w:t>867</w:t>
            </w:r>
          </w:p>
        </w:tc>
      </w:tr>
    </w:tbl>
    <w:p w14:paraId="07471CCF"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Monthly Rent</w:t>
      </w:r>
    </w:p>
    <w:p w14:paraId="4E28E127" w14:textId="77777777" w:rsidR="00217A61" w:rsidRDefault="00217A61">
      <w:pPr>
        <w:rPr>
          <w:vanish/>
        </w:rPr>
      </w:pPr>
    </w:p>
    <w:p w14:paraId="1152789A" w14:textId="77777777" w:rsidR="00217A61" w:rsidRDefault="00217A61">
      <w:pPr>
        <w:rPr>
          <w:b/>
          <w:bCs/>
          <w:vanish/>
          <w:sz w:val="16"/>
          <w:szCs w:val="16"/>
        </w:rPr>
      </w:pPr>
    </w:p>
    <w:tbl>
      <w:tblPr>
        <w:tblW w:w="5000" w:type="pct"/>
        <w:tblInd w:w="115" w:type="dxa"/>
        <w:tblLook w:val="01E0" w:firstRow="1" w:lastRow="1" w:firstColumn="1" w:lastColumn="1" w:noHBand="0" w:noVBand="0"/>
      </w:tblPr>
      <w:tblGrid>
        <w:gridCol w:w="1947"/>
        <w:gridCol w:w="7413"/>
      </w:tblGrid>
      <w:tr w:rsidR="00217A61" w14:paraId="50511098" w14:textId="77777777">
        <w:trPr>
          <w:cantSplit/>
        </w:trPr>
        <w:tc>
          <w:tcPr>
            <w:tcW w:w="1973" w:type="dxa"/>
          </w:tcPr>
          <w:p w14:paraId="23E960D9" w14:textId="77777777" w:rsidR="00217A61" w:rsidRDefault="001C2695">
            <w:pPr>
              <w:spacing w:after="0" w:line="240" w:lineRule="auto"/>
              <w:rPr>
                <w:rFonts w:cs="Arial"/>
                <w:sz w:val="16"/>
                <w:szCs w:val="16"/>
              </w:rPr>
            </w:pPr>
            <w:r>
              <w:rPr>
                <w:b/>
                <w:bCs/>
                <w:sz w:val="16"/>
                <w:szCs w:val="16"/>
              </w:rPr>
              <w:t>Data Source Comments:</w:t>
            </w:r>
          </w:p>
        </w:tc>
        <w:tc>
          <w:tcPr>
            <w:tcW w:w="7603" w:type="dxa"/>
          </w:tcPr>
          <w:p w14:paraId="4B352173" w14:textId="77777777" w:rsidR="00217A61" w:rsidRDefault="00217A61">
            <w:pPr>
              <w:spacing w:after="0" w:line="240" w:lineRule="auto"/>
              <w:rPr>
                <w:rFonts w:cs="Arial"/>
                <w:sz w:val="16"/>
                <w:szCs w:val="16"/>
              </w:rPr>
            </w:pPr>
          </w:p>
        </w:tc>
      </w:tr>
    </w:tbl>
    <w:p w14:paraId="50F66C90" w14:textId="77777777" w:rsidR="00217A61" w:rsidRDefault="00217A61">
      <w:pPr>
        <w:spacing w:after="0" w:line="240" w:lineRule="auto"/>
      </w:pPr>
    </w:p>
    <w:p w14:paraId="18AFA5E2" w14:textId="77777777" w:rsidR="00217A61" w:rsidRDefault="00217A61">
      <w:pPr>
        <w:spacing w:after="0" w:line="240" w:lineRule="auto"/>
      </w:pPr>
    </w:p>
    <w:p w14:paraId="257B9337" w14:textId="77777777" w:rsidR="00217A61" w:rsidRDefault="001C2695">
      <w:pPr>
        <w:rPr>
          <w:b/>
          <w:sz w:val="24"/>
          <w:szCs w:val="24"/>
        </w:rPr>
      </w:pPr>
      <w:r>
        <w:rPr>
          <w:b/>
          <w:sz w:val="24"/>
          <w:szCs w:val="24"/>
        </w:rPr>
        <w:t>Is there sufficient housing for households at all income levels?</w:t>
      </w:r>
    </w:p>
    <w:p w14:paraId="10CB5CBB" w14:textId="77777777" w:rsidR="00217A61" w:rsidRDefault="001C2695">
      <w:pPr>
        <w:spacing w:beforeAutospacing="1" w:afterAutospacing="1"/>
        <w:rPr>
          <w:rFonts w:cs="Arial"/>
          <w:szCs w:val="26"/>
        </w:rPr>
      </w:pPr>
      <w:r>
        <w:rPr>
          <w:rFonts w:cs="Arial"/>
        </w:rPr>
        <w:t>According to the latest Gap report from the National Low-Income Housing Coalition, North Carolina continues to face a shortage of affordable rental housing for households at the lowest income levels. Low-income households must compete with higher income ho</w:t>
      </w:r>
      <w:r>
        <w:rPr>
          <w:rFonts w:cs="Arial"/>
        </w:rPr>
        <w:t xml:space="preserve">useholds for a limited number of affordable homes in a private market. For every 100 </w:t>
      </w:r>
      <w:proofErr w:type="gramStart"/>
      <w:r>
        <w:rPr>
          <w:rFonts w:cs="Arial"/>
        </w:rPr>
        <w:t>extremely-low</w:t>
      </w:r>
      <w:proofErr w:type="gramEnd"/>
      <w:r>
        <w:rPr>
          <w:rFonts w:cs="Arial"/>
        </w:rPr>
        <w:t xml:space="preserve"> income households (earning $17,000 or less) in the state, there are only 43 affordable and available homes, leaving 57 households without a home they can aff</w:t>
      </w:r>
      <w:r>
        <w:rPr>
          <w:rFonts w:cs="Arial"/>
        </w:rPr>
        <w:t>ord; there is a resulting in a shortage of more than 188,000 homes. For households earning at or below 50% area median income, roughly $27,000 annually, there are only 65 affordable and available rental homes, resulting in a shortage of 191,310 homes. Thes</w:t>
      </w:r>
      <w:r>
        <w:rPr>
          <w:rFonts w:cs="Arial"/>
        </w:rPr>
        <w:t>e shortages do not account for the more than 9,000 people experiencing homelessness, for whom additional homes are needed. </w:t>
      </w:r>
    </w:p>
    <w:p w14:paraId="64B12ACD" w14:textId="77777777" w:rsidR="00217A61" w:rsidRDefault="001C2695">
      <w:pPr>
        <w:rPr>
          <w:b/>
          <w:sz w:val="24"/>
          <w:szCs w:val="24"/>
        </w:rPr>
      </w:pPr>
      <w:r>
        <w:rPr>
          <w:b/>
          <w:sz w:val="24"/>
          <w:szCs w:val="24"/>
        </w:rPr>
        <w:t>How is affordability of housing likely to change considering changes to home values and/or rents?</w:t>
      </w:r>
    </w:p>
    <w:p w14:paraId="7BC3F580" w14:textId="77777777" w:rsidR="00217A61" w:rsidRDefault="001C2695">
      <w:pPr>
        <w:spacing w:beforeAutospacing="1" w:afterAutospacing="1"/>
        <w:rPr>
          <w:rFonts w:cs="Arial"/>
        </w:rPr>
      </w:pPr>
      <w:r>
        <w:rPr>
          <w:rFonts w:cs="Arial"/>
        </w:rPr>
        <w:t>Home prices and rents are expected to continue to increase, exacerbating affordability challenges. According to Zillow, the median home value is $206,286 in 2020, a 5% increase since last year. Prices are forecasted to rise another 4% in 2021. Meanwhile, m</w:t>
      </w:r>
      <w:r>
        <w:rPr>
          <w:rFonts w:cs="Arial"/>
        </w:rPr>
        <w:t xml:space="preserve">edian rent in North Carolina is $1,332/month and has steadily increased in the past decade. Rising housing costs are particularly noticeable in metropolitan areas where demand for housing has outpaced supply. Rural areas, on the other hand, </w:t>
      </w:r>
      <w:r>
        <w:rPr>
          <w:rFonts w:cs="Arial"/>
        </w:rPr>
        <w:lastRenderedPageBreak/>
        <w:t>may struggle to</w:t>
      </w:r>
      <w:r>
        <w:rPr>
          <w:rFonts w:cs="Arial"/>
        </w:rPr>
        <w:t xml:space="preserve"> attract and retain employment opportunities for residents, leading to higher rates of cost burden, </w:t>
      </w:r>
      <w:proofErr w:type="gramStart"/>
      <w:r>
        <w:rPr>
          <w:rFonts w:cs="Arial"/>
        </w:rPr>
        <w:t>vacancy</w:t>
      </w:r>
      <w:proofErr w:type="gramEnd"/>
      <w:r>
        <w:rPr>
          <w:rFonts w:cs="Arial"/>
        </w:rPr>
        <w:t xml:space="preserve"> and foreclosure.</w:t>
      </w:r>
    </w:p>
    <w:p w14:paraId="27AE3972" w14:textId="77777777" w:rsidR="00217A61" w:rsidRDefault="001C2695">
      <w:pPr>
        <w:spacing w:beforeAutospacing="1" w:afterAutospacing="1"/>
        <w:rPr>
          <w:rFonts w:cs="Arial"/>
        </w:rPr>
      </w:pPr>
      <w:r>
        <w:rPr>
          <w:rFonts w:cs="Arial"/>
        </w:rPr>
        <w:t>Incomes have not kept pace with housing costs. Some of the occupations in North Carolina that employ the most people – fast food wo</w:t>
      </w:r>
      <w:r>
        <w:rPr>
          <w:rFonts w:cs="Arial"/>
        </w:rPr>
        <w:t xml:space="preserve">rkers and retail </w:t>
      </w:r>
      <w:proofErr w:type="gramStart"/>
      <w:r>
        <w:rPr>
          <w:rFonts w:cs="Arial"/>
        </w:rPr>
        <w:t>sales persons</w:t>
      </w:r>
      <w:proofErr w:type="gramEnd"/>
      <w:r>
        <w:rPr>
          <w:rFonts w:cs="Arial"/>
        </w:rPr>
        <w:t xml:space="preserve"> – pay the least, with median hourly wages that are insufficient to afford modest housing. North Carolina is projected to add more than 389,000 jobs between 2017 and 2026. Among the occupations that will have the largest numbe</w:t>
      </w:r>
      <w:r>
        <w:rPr>
          <w:rFonts w:cs="Arial"/>
        </w:rPr>
        <w:t>r of annual job openings are food preparation and serving, office and administrative support, and sale – occupations that pay less than $30,000 per year. Without a significant increase in wages or subsidized rental assistance, low-income households will co</w:t>
      </w:r>
      <w:r>
        <w:rPr>
          <w:rFonts w:cs="Arial"/>
        </w:rPr>
        <w:t>ntinue to struggle to pay for housing.</w:t>
      </w:r>
    </w:p>
    <w:p w14:paraId="61DE8D53" w14:textId="77777777" w:rsidR="00217A61" w:rsidRDefault="001C2695">
      <w:pPr>
        <w:rPr>
          <w:b/>
          <w:sz w:val="24"/>
          <w:szCs w:val="24"/>
        </w:rPr>
      </w:pPr>
      <w:r>
        <w:rPr>
          <w:b/>
          <w:sz w:val="24"/>
          <w:szCs w:val="24"/>
        </w:rPr>
        <w:t>How do HOME rents / Fair Market Rent compare to Area Median Rent? How might this impact your strategy to produce or preserve affordable housing?</w:t>
      </w:r>
    </w:p>
    <w:p w14:paraId="31E08ADC" w14:textId="77777777" w:rsidR="00217A61" w:rsidRDefault="001C2695">
      <w:pPr>
        <w:spacing w:beforeAutospacing="1" w:afterAutospacing="1"/>
        <w:rPr>
          <w:rFonts w:cs="Arial"/>
          <w:szCs w:val="26"/>
        </w:rPr>
      </w:pPr>
      <w:r>
        <w:rPr>
          <w:rFonts w:cs="Arial"/>
        </w:rPr>
        <w:t>There are no statewide HOME and Fair Market Rents due to the differences</w:t>
      </w:r>
      <w:r>
        <w:rPr>
          <w:rFonts w:cs="Arial"/>
        </w:rPr>
        <w:t xml:space="preserve"> by county and region. In many counties, area median rent is higher than Fair Market Rent and HOME rents, suggesting the need for developing more affordable housing.  </w:t>
      </w:r>
    </w:p>
    <w:p w14:paraId="0E3BEE5F" w14:textId="77777777" w:rsidR="00217A61" w:rsidRDefault="001C2695">
      <w:pPr>
        <w:spacing w:line="204" w:lineRule="auto"/>
        <w:rPr>
          <w:b/>
          <w:sz w:val="24"/>
          <w:szCs w:val="24"/>
        </w:rPr>
      </w:pPr>
      <w:r>
        <w:rPr>
          <w:b/>
          <w:sz w:val="24"/>
          <w:szCs w:val="24"/>
        </w:rPr>
        <w:t>Discussion</w:t>
      </w:r>
    </w:p>
    <w:p w14:paraId="2C345AD3" w14:textId="77777777" w:rsidR="00217A61" w:rsidRDefault="00217A61">
      <w:pPr>
        <w:spacing w:line="204" w:lineRule="auto"/>
        <w:rPr>
          <w:b/>
          <w:sz w:val="24"/>
          <w:szCs w:val="24"/>
        </w:rPr>
      </w:pPr>
    </w:p>
    <w:p w14:paraId="6F8D1FD9" w14:textId="77777777" w:rsidR="00217A61" w:rsidRDefault="001C2695">
      <w:pPr>
        <w:pStyle w:val="Heading2"/>
        <w:pageBreakBefore/>
        <w:rPr>
          <w:rFonts w:ascii="Calibri" w:hAnsi="Calibri"/>
          <w:i w:val="0"/>
        </w:rPr>
      </w:pPr>
      <w:r>
        <w:rPr>
          <w:rFonts w:ascii="Calibri" w:hAnsi="Calibri"/>
          <w:i w:val="0"/>
        </w:rPr>
        <w:lastRenderedPageBreak/>
        <w:t>MA-20 Condition of Housing – 91.310(a)</w:t>
      </w:r>
    </w:p>
    <w:p w14:paraId="140BC7D0" w14:textId="77777777" w:rsidR="00217A61" w:rsidRDefault="001C2695">
      <w:pPr>
        <w:spacing w:line="204" w:lineRule="auto"/>
        <w:rPr>
          <w:b/>
          <w:sz w:val="24"/>
          <w:szCs w:val="24"/>
        </w:rPr>
      </w:pPr>
      <w:r>
        <w:rPr>
          <w:b/>
          <w:sz w:val="24"/>
          <w:szCs w:val="24"/>
        </w:rPr>
        <w:t xml:space="preserve">Introduction: </w:t>
      </w:r>
    </w:p>
    <w:p w14:paraId="22FD3355" w14:textId="77777777" w:rsidR="00217A61" w:rsidRDefault="001C2695">
      <w:pPr>
        <w:spacing w:beforeAutospacing="1" w:afterAutospacing="1"/>
        <w:rPr>
          <w:b/>
          <w:sz w:val="24"/>
          <w:szCs w:val="24"/>
        </w:rPr>
      </w:pPr>
      <w:r>
        <w:rPr>
          <w:rFonts w:cs="Arial"/>
        </w:rPr>
        <w:t xml:space="preserve">North Carolina has an </w:t>
      </w:r>
      <w:r>
        <w:rPr>
          <w:rFonts w:cs="Arial"/>
        </w:rPr>
        <w:t>aging housing stock - 45% of all housing units were built before 1980. The housing stock in metropolitan areas and surrounding counties tends to be newer than that of more rural counties. Generally, renter-occupied units are slightly older. The median year</w:t>
      </w:r>
      <w:r>
        <w:rPr>
          <w:rFonts w:cs="Arial"/>
        </w:rPr>
        <w:t xml:space="preserve"> built for renter-occupied units is 1986 compared to 1990 for owner-occupied units. Consequently, renter-occupied units are more likely to have conditions like inadequate plumbing or kitchen facilities, overcrowding and cost-burden. Forty-three percent of </w:t>
      </w:r>
      <w:r>
        <w:rPr>
          <w:rFonts w:cs="Arial"/>
        </w:rPr>
        <w:t xml:space="preserve">renter occupied units had one of these conditions compared to 20% of </w:t>
      </w:r>
      <w:proofErr w:type="gramStart"/>
      <w:r>
        <w:rPr>
          <w:rFonts w:cs="Arial"/>
        </w:rPr>
        <w:t>owner occupied</w:t>
      </w:r>
      <w:proofErr w:type="gramEnd"/>
      <w:r>
        <w:rPr>
          <w:rFonts w:cs="Arial"/>
        </w:rPr>
        <w:t xml:space="preserve"> housing. Older housing is also more at risk for lead-based paint hazards.</w:t>
      </w:r>
    </w:p>
    <w:p w14:paraId="66A70344" w14:textId="77777777" w:rsidR="00217A61" w:rsidRDefault="001C2695">
      <w:pPr>
        <w:spacing w:beforeAutospacing="1" w:afterAutospacing="1"/>
        <w:rPr>
          <w:b/>
          <w:sz w:val="24"/>
          <w:szCs w:val="24"/>
        </w:rPr>
      </w:pPr>
      <w:r>
        <w:rPr>
          <w:rFonts w:cs="Arial"/>
        </w:rPr>
        <w:t>The vacancy rate in North Carolina (14%) is higher than in the United States (12%). The most commo</w:t>
      </w:r>
      <w:r>
        <w:rPr>
          <w:rFonts w:cs="Arial"/>
        </w:rPr>
        <w:t>n reasons for vacancy are “other”, “seasonal, recreational or occasional use” and “for rent”. Urban counties like Wake, Mecklenburg and Durham have vacancy rates below 8% which suggest tight real estate markets while more rural counties Montgomery, Warren,</w:t>
      </w:r>
      <w:r>
        <w:rPr>
          <w:rFonts w:cs="Arial"/>
        </w:rPr>
        <w:t xml:space="preserve"> and Yancey have vacancy rates above 30%. The large percentage of units that are vacant for other reasons (38%) could be indicative of housing units in foreclosure, </w:t>
      </w:r>
      <w:proofErr w:type="gramStart"/>
      <w:r>
        <w:rPr>
          <w:rFonts w:cs="Arial"/>
        </w:rPr>
        <w:t>disrepair</w:t>
      </w:r>
      <w:proofErr w:type="gramEnd"/>
      <w:r>
        <w:rPr>
          <w:rFonts w:cs="Arial"/>
        </w:rPr>
        <w:t xml:space="preserve"> or abandonment.</w:t>
      </w:r>
    </w:p>
    <w:p w14:paraId="30353B2B" w14:textId="77777777" w:rsidR="00217A61" w:rsidRDefault="001C2695">
      <w:pPr>
        <w:rPr>
          <w:b/>
          <w:sz w:val="24"/>
          <w:szCs w:val="24"/>
        </w:rPr>
      </w:pPr>
      <w:r>
        <w:rPr>
          <w:b/>
          <w:sz w:val="24"/>
          <w:szCs w:val="24"/>
        </w:rPr>
        <w:t>Definitions</w:t>
      </w:r>
    </w:p>
    <w:p w14:paraId="052BB6F1" w14:textId="77777777" w:rsidR="00217A61" w:rsidRDefault="001C2695">
      <w:pPr>
        <w:spacing w:beforeAutospacing="1" w:afterAutospacing="1"/>
        <w:rPr>
          <w:rFonts w:cs="Arial"/>
        </w:rPr>
      </w:pPr>
      <w:r>
        <w:rPr>
          <w:rFonts w:cs="Arial"/>
          <w:b/>
        </w:rPr>
        <w:t>Substandard Condition</w:t>
      </w:r>
      <w:r>
        <w:rPr>
          <w:rFonts w:cs="Arial"/>
        </w:rPr>
        <w:t>: The unit does not meet code standards or has one of the selected conditions (overcrowding, lack of kitchen/plumbing facilities and/or other utilities)</w:t>
      </w:r>
      <w:r>
        <w:rPr>
          <w:rFonts w:cs="Arial"/>
        </w:rPr>
        <w:br/>
      </w:r>
      <w:r>
        <w:rPr>
          <w:rFonts w:cs="Arial"/>
          <w:b/>
        </w:rPr>
        <w:t>Suitable for Rehabilitation</w:t>
      </w:r>
      <w:r>
        <w:rPr>
          <w:rFonts w:cs="Arial"/>
        </w:rPr>
        <w:t>: The amount of work required to bring the unit up to minimum code standard,</w:t>
      </w:r>
      <w:r>
        <w:rPr>
          <w:rFonts w:cs="Arial"/>
        </w:rPr>
        <w:t xml:space="preserve"> and the existing debt on the property, together are less than the fair market value of</w:t>
      </w:r>
      <w:r>
        <w:rPr>
          <w:rFonts w:cs="Arial"/>
        </w:rPr>
        <w:br/>
        <w:t xml:space="preserve">the </w:t>
      </w:r>
      <w:proofErr w:type="gramStart"/>
      <w:r>
        <w:rPr>
          <w:rFonts w:cs="Arial"/>
        </w:rPr>
        <w:t>property</w:t>
      </w:r>
      <w:proofErr w:type="gramEnd"/>
    </w:p>
    <w:p w14:paraId="7915F89D" w14:textId="77777777" w:rsidR="00217A61" w:rsidRDefault="001C2695">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433"/>
        <w:gridCol w:w="1597"/>
        <w:gridCol w:w="1433"/>
        <w:gridCol w:w="1703"/>
      </w:tblGrid>
      <w:tr w:rsidR="00217A61" w14:paraId="07C0C76E" w14:textId="77777777">
        <w:trPr>
          <w:cantSplit/>
          <w:tblHeader/>
        </w:trPr>
        <w:tc>
          <w:tcPr>
            <w:tcW w:w="3233" w:type="dxa"/>
            <w:vMerge w:val="restart"/>
          </w:tcPr>
          <w:p w14:paraId="5AEFA0A9" w14:textId="77777777" w:rsidR="00217A61" w:rsidRDefault="001C2695">
            <w:pPr>
              <w:keepNext/>
              <w:widowControl w:val="0"/>
              <w:spacing w:after="0" w:line="240" w:lineRule="auto"/>
              <w:jc w:val="center"/>
            </w:pPr>
            <w:r>
              <w:rPr>
                <w:b/>
                <w:bCs/>
              </w:rPr>
              <w:t>Condition of Units</w:t>
            </w:r>
          </w:p>
        </w:tc>
        <w:tc>
          <w:tcPr>
            <w:tcW w:w="3060" w:type="dxa"/>
            <w:gridSpan w:val="2"/>
          </w:tcPr>
          <w:p w14:paraId="35F35687" w14:textId="77777777" w:rsidR="00217A61" w:rsidRDefault="001C2695">
            <w:pPr>
              <w:keepNext/>
              <w:widowControl w:val="0"/>
              <w:spacing w:after="0" w:line="240" w:lineRule="auto"/>
              <w:jc w:val="center"/>
            </w:pPr>
            <w:r>
              <w:rPr>
                <w:b/>
                <w:bCs/>
              </w:rPr>
              <w:t>Owner-Occupied</w:t>
            </w:r>
          </w:p>
        </w:tc>
        <w:tc>
          <w:tcPr>
            <w:tcW w:w="3168" w:type="dxa"/>
            <w:gridSpan w:val="2"/>
          </w:tcPr>
          <w:p w14:paraId="534B386E" w14:textId="77777777" w:rsidR="00217A61" w:rsidRDefault="001C2695">
            <w:pPr>
              <w:keepNext/>
              <w:widowControl w:val="0"/>
              <w:spacing w:after="0" w:line="240" w:lineRule="auto"/>
              <w:jc w:val="center"/>
              <w:rPr>
                <w:b/>
                <w:bCs/>
              </w:rPr>
            </w:pPr>
            <w:r>
              <w:rPr>
                <w:b/>
                <w:bCs/>
              </w:rPr>
              <w:t>Renter-Occupied</w:t>
            </w:r>
          </w:p>
        </w:tc>
      </w:tr>
      <w:tr w:rsidR="00217A61" w14:paraId="10144618" w14:textId="77777777">
        <w:trPr>
          <w:cantSplit/>
          <w:tblHeader/>
        </w:trPr>
        <w:tc>
          <w:tcPr>
            <w:tcW w:w="3233" w:type="dxa"/>
            <w:vMerge/>
          </w:tcPr>
          <w:p w14:paraId="09AF76EB" w14:textId="77777777" w:rsidR="00217A61" w:rsidRDefault="00217A61">
            <w:pPr>
              <w:keepNext/>
              <w:widowControl w:val="0"/>
              <w:spacing w:after="0" w:line="240" w:lineRule="auto"/>
              <w:jc w:val="center"/>
            </w:pPr>
          </w:p>
        </w:tc>
        <w:tc>
          <w:tcPr>
            <w:tcW w:w="1440" w:type="dxa"/>
          </w:tcPr>
          <w:p w14:paraId="2B71D270" w14:textId="77777777" w:rsidR="00217A61" w:rsidRDefault="001C2695">
            <w:pPr>
              <w:keepNext/>
              <w:widowControl w:val="0"/>
              <w:spacing w:after="0" w:line="240" w:lineRule="auto"/>
              <w:jc w:val="center"/>
            </w:pPr>
            <w:r>
              <w:rPr>
                <w:b/>
                <w:bCs/>
              </w:rPr>
              <w:t>Number</w:t>
            </w:r>
          </w:p>
        </w:tc>
        <w:tc>
          <w:tcPr>
            <w:tcW w:w="1620" w:type="dxa"/>
          </w:tcPr>
          <w:p w14:paraId="48A2EDF3" w14:textId="77777777" w:rsidR="00217A61" w:rsidRDefault="001C2695">
            <w:pPr>
              <w:keepNext/>
              <w:widowControl w:val="0"/>
              <w:spacing w:after="0" w:line="240" w:lineRule="auto"/>
              <w:jc w:val="center"/>
            </w:pPr>
            <w:r>
              <w:rPr>
                <w:b/>
                <w:bCs/>
              </w:rPr>
              <w:t>%</w:t>
            </w:r>
          </w:p>
        </w:tc>
        <w:tc>
          <w:tcPr>
            <w:tcW w:w="1440" w:type="dxa"/>
          </w:tcPr>
          <w:p w14:paraId="2D8F6642" w14:textId="77777777" w:rsidR="00217A61" w:rsidRDefault="001C2695">
            <w:pPr>
              <w:keepNext/>
              <w:widowControl w:val="0"/>
              <w:spacing w:after="0" w:line="240" w:lineRule="auto"/>
              <w:jc w:val="center"/>
            </w:pPr>
            <w:r>
              <w:rPr>
                <w:b/>
                <w:bCs/>
              </w:rPr>
              <w:t>Number</w:t>
            </w:r>
          </w:p>
        </w:tc>
        <w:tc>
          <w:tcPr>
            <w:tcW w:w="1728" w:type="dxa"/>
          </w:tcPr>
          <w:p w14:paraId="7152C9CA" w14:textId="77777777" w:rsidR="00217A61" w:rsidRDefault="001C2695">
            <w:pPr>
              <w:keepNext/>
              <w:widowControl w:val="0"/>
              <w:spacing w:after="0" w:line="240" w:lineRule="auto"/>
              <w:jc w:val="center"/>
            </w:pPr>
            <w:r>
              <w:rPr>
                <w:b/>
                <w:bCs/>
              </w:rPr>
              <w:t>%</w:t>
            </w:r>
          </w:p>
        </w:tc>
      </w:tr>
      <w:tr w:rsidR="00217A61" w14:paraId="78780AEF" w14:textId="77777777">
        <w:trPr>
          <w:cantSplit/>
        </w:trPr>
        <w:tc>
          <w:tcPr>
            <w:tcW w:w="0" w:type="auto"/>
          </w:tcPr>
          <w:p w14:paraId="74D1B5FF" w14:textId="77777777" w:rsidR="00217A61" w:rsidRDefault="001C2695">
            <w:pPr>
              <w:spacing w:beforeAutospacing="1" w:afterAutospacing="1"/>
            </w:pPr>
            <w:r>
              <w:rPr>
                <w:color w:val="000000"/>
              </w:rPr>
              <w:t>With one selected Condition</w:t>
            </w:r>
          </w:p>
        </w:tc>
        <w:tc>
          <w:tcPr>
            <w:tcW w:w="0" w:type="auto"/>
            <w:vAlign w:val="bottom"/>
          </w:tcPr>
          <w:p w14:paraId="2C3FE914" w14:textId="77777777" w:rsidR="00217A61" w:rsidRDefault="001C2695">
            <w:pPr>
              <w:spacing w:beforeAutospacing="1" w:afterAutospacing="1"/>
              <w:jc w:val="right"/>
            </w:pPr>
            <w:r>
              <w:rPr>
                <w:color w:val="000000"/>
              </w:rPr>
              <w:t>520,737</w:t>
            </w:r>
          </w:p>
        </w:tc>
        <w:tc>
          <w:tcPr>
            <w:tcW w:w="0" w:type="auto"/>
            <w:vAlign w:val="bottom"/>
          </w:tcPr>
          <w:p w14:paraId="2ADD7E68" w14:textId="77777777" w:rsidR="00217A61" w:rsidRDefault="001C2695">
            <w:pPr>
              <w:spacing w:beforeAutospacing="1" w:afterAutospacing="1"/>
              <w:jc w:val="right"/>
            </w:pPr>
            <w:r>
              <w:rPr>
                <w:color w:val="000000"/>
              </w:rPr>
              <w:t>19%</w:t>
            </w:r>
          </w:p>
        </w:tc>
        <w:tc>
          <w:tcPr>
            <w:tcW w:w="0" w:type="auto"/>
            <w:vAlign w:val="bottom"/>
          </w:tcPr>
          <w:p w14:paraId="0E4722F7" w14:textId="77777777" w:rsidR="00217A61" w:rsidRDefault="001C2695">
            <w:pPr>
              <w:spacing w:beforeAutospacing="1" w:afterAutospacing="1"/>
              <w:jc w:val="right"/>
            </w:pPr>
            <w:r>
              <w:rPr>
                <w:color w:val="000000"/>
              </w:rPr>
              <w:t>582,920</w:t>
            </w:r>
          </w:p>
        </w:tc>
        <w:tc>
          <w:tcPr>
            <w:tcW w:w="0" w:type="auto"/>
            <w:vAlign w:val="bottom"/>
          </w:tcPr>
          <w:p w14:paraId="5A1526A2" w14:textId="77777777" w:rsidR="00217A61" w:rsidRDefault="001C2695">
            <w:pPr>
              <w:spacing w:beforeAutospacing="1" w:afterAutospacing="1"/>
              <w:jc w:val="right"/>
            </w:pPr>
            <w:r>
              <w:rPr>
                <w:color w:val="000000"/>
              </w:rPr>
              <w:t>40%</w:t>
            </w:r>
          </w:p>
        </w:tc>
      </w:tr>
      <w:tr w:rsidR="00217A61" w14:paraId="379DF922" w14:textId="77777777">
        <w:trPr>
          <w:cantSplit/>
        </w:trPr>
        <w:tc>
          <w:tcPr>
            <w:tcW w:w="0" w:type="auto"/>
          </w:tcPr>
          <w:p w14:paraId="30487D38" w14:textId="77777777" w:rsidR="00217A61" w:rsidRDefault="001C2695">
            <w:pPr>
              <w:spacing w:beforeAutospacing="1" w:afterAutospacing="1"/>
            </w:pPr>
            <w:r>
              <w:rPr>
                <w:color w:val="000000"/>
              </w:rPr>
              <w:t>With two selected Conditions</w:t>
            </w:r>
          </w:p>
        </w:tc>
        <w:tc>
          <w:tcPr>
            <w:tcW w:w="0" w:type="auto"/>
            <w:vAlign w:val="bottom"/>
          </w:tcPr>
          <w:p w14:paraId="67F893B3" w14:textId="77777777" w:rsidR="00217A61" w:rsidRDefault="001C2695">
            <w:pPr>
              <w:spacing w:beforeAutospacing="1" w:afterAutospacing="1"/>
              <w:jc w:val="right"/>
            </w:pPr>
            <w:r>
              <w:rPr>
                <w:color w:val="000000"/>
              </w:rPr>
              <w:t>9,469</w:t>
            </w:r>
          </w:p>
        </w:tc>
        <w:tc>
          <w:tcPr>
            <w:tcW w:w="0" w:type="auto"/>
            <w:vAlign w:val="bottom"/>
          </w:tcPr>
          <w:p w14:paraId="4647295F" w14:textId="77777777" w:rsidR="00217A61" w:rsidRDefault="001C2695">
            <w:pPr>
              <w:spacing w:beforeAutospacing="1" w:afterAutospacing="1"/>
              <w:jc w:val="right"/>
            </w:pPr>
            <w:r>
              <w:rPr>
                <w:color w:val="000000"/>
              </w:rPr>
              <w:t>0%</w:t>
            </w:r>
          </w:p>
        </w:tc>
        <w:tc>
          <w:tcPr>
            <w:tcW w:w="0" w:type="auto"/>
            <w:vAlign w:val="bottom"/>
          </w:tcPr>
          <w:p w14:paraId="330AF834" w14:textId="77777777" w:rsidR="00217A61" w:rsidRDefault="001C2695">
            <w:pPr>
              <w:spacing w:beforeAutospacing="1" w:afterAutospacing="1"/>
              <w:jc w:val="right"/>
            </w:pPr>
            <w:r>
              <w:rPr>
                <w:color w:val="000000"/>
              </w:rPr>
              <w:t>34,528</w:t>
            </w:r>
          </w:p>
        </w:tc>
        <w:tc>
          <w:tcPr>
            <w:tcW w:w="0" w:type="auto"/>
            <w:vAlign w:val="bottom"/>
          </w:tcPr>
          <w:p w14:paraId="46E0C2CC" w14:textId="77777777" w:rsidR="00217A61" w:rsidRDefault="001C2695">
            <w:pPr>
              <w:spacing w:beforeAutospacing="1" w:afterAutospacing="1"/>
              <w:jc w:val="right"/>
            </w:pPr>
            <w:r>
              <w:rPr>
                <w:color w:val="000000"/>
              </w:rPr>
              <w:t>2%</w:t>
            </w:r>
          </w:p>
        </w:tc>
      </w:tr>
      <w:tr w:rsidR="00217A61" w14:paraId="1515F464" w14:textId="77777777">
        <w:trPr>
          <w:cantSplit/>
        </w:trPr>
        <w:tc>
          <w:tcPr>
            <w:tcW w:w="0" w:type="auto"/>
          </w:tcPr>
          <w:p w14:paraId="426B4BD8" w14:textId="77777777" w:rsidR="00217A61" w:rsidRDefault="001C2695">
            <w:pPr>
              <w:spacing w:beforeAutospacing="1" w:afterAutospacing="1"/>
            </w:pPr>
            <w:r>
              <w:rPr>
                <w:color w:val="000000"/>
              </w:rPr>
              <w:t>With three selected Conditions</w:t>
            </w:r>
          </w:p>
        </w:tc>
        <w:tc>
          <w:tcPr>
            <w:tcW w:w="0" w:type="auto"/>
            <w:vAlign w:val="bottom"/>
          </w:tcPr>
          <w:p w14:paraId="294963AE" w14:textId="77777777" w:rsidR="00217A61" w:rsidRDefault="001C2695">
            <w:pPr>
              <w:spacing w:beforeAutospacing="1" w:afterAutospacing="1"/>
              <w:jc w:val="right"/>
            </w:pPr>
            <w:r>
              <w:rPr>
                <w:color w:val="000000"/>
              </w:rPr>
              <w:t>777</w:t>
            </w:r>
          </w:p>
        </w:tc>
        <w:tc>
          <w:tcPr>
            <w:tcW w:w="0" w:type="auto"/>
            <w:vAlign w:val="bottom"/>
          </w:tcPr>
          <w:p w14:paraId="7F81C540" w14:textId="77777777" w:rsidR="00217A61" w:rsidRDefault="001C2695">
            <w:pPr>
              <w:spacing w:beforeAutospacing="1" w:afterAutospacing="1"/>
              <w:jc w:val="right"/>
            </w:pPr>
            <w:r>
              <w:rPr>
                <w:color w:val="000000"/>
              </w:rPr>
              <w:t>0%</w:t>
            </w:r>
          </w:p>
        </w:tc>
        <w:tc>
          <w:tcPr>
            <w:tcW w:w="0" w:type="auto"/>
            <w:vAlign w:val="bottom"/>
          </w:tcPr>
          <w:p w14:paraId="30792D8C" w14:textId="77777777" w:rsidR="00217A61" w:rsidRDefault="001C2695">
            <w:pPr>
              <w:spacing w:beforeAutospacing="1" w:afterAutospacing="1"/>
              <w:jc w:val="right"/>
            </w:pPr>
            <w:r>
              <w:rPr>
                <w:color w:val="000000"/>
              </w:rPr>
              <w:t>2,066</w:t>
            </w:r>
          </w:p>
        </w:tc>
        <w:tc>
          <w:tcPr>
            <w:tcW w:w="0" w:type="auto"/>
            <w:vAlign w:val="bottom"/>
          </w:tcPr>
          <w:p w14:paraId="33D53318" w14:textId="77777777" w:rsidR="00217A61" w:rsidRDefault="001C2695">
            <w:pPr>
              <w:spacing w:beforeAutospacing="1" w:afterAutospacing="1"/>
              <w:jc w:val="right"/>
            </w:pPr>
            <w:r>
              <w:rPr>
                <w:color w:val="000000"/>
              </w:rPr>
              <w:t>0%</w:t>
            </w:r>
          </w:p>
        </w:tc>
      </w:tr>
      <w:tr w:rsidR="00217A61" w14:paraId="04758C4C" w14:textId="77777777">
        <w:trPr>
          <w:cantSplit/>
        </w:trPr>
        <w:tc>
          <w:tcPr>
            <w:tcW w:w="0" w:type="auto"/>
          </w:tcPr>
          <w:p w14:paraId="064D5D8C" w14:textId="77777777" w:rsidR="00217A61" w:rsidRDefault="001C2695">
            <w:pPr>
              <w:spacing w:beforeAutospacing="1" w:afterAutospacing="1"/>
            </w:pPr>
            <w:r>
              <w:rPr>
                <w:color w:val="000000"/>
              </w:rPr>
              <w:t>With four selected Conditions</w:t>
            </w:r>
          </w:p>
        </w:tc>
        <w:tc>
          <w:tcPr>
            <w:tcW w:w="0" w:type="auto"/>
            <w:vAlign w:val="bottom"/>
          </w:tcPr>
          <w:p w14:paraId="610A86B2" w14:textId="77777777" w:rsidR="00217A61" w:rsidRDefault="001C2695">
            <w:pPr>
              <w:spacing w:beforeAutospacing="1" w:afterAutospacing="1"/>
              <w:jc w:val="right"/>
            </w:pPr>
            <w:r>
              <w:rPr>
                <w:color w:val="000000"/>
              </w:rPr>
              <w:t>44</w:t>
            </w:r>
          </w:p>
        </w:tc>
        <w:tc>
          <w:tcPr>
            <w:tcW w:w="0" w:type="auto"/>
            <w:vAlign w:val="bottom"/>
          </w:tcPr>
          <w:p w14:paraId="6BDE3566" w14:textId="77777777" w:rsidR="00217A61" w:rsidRDefault="001C2695">
            <w:pPr>
              <w:spacing w:beforeAutospacing="1" w:afterAutospacing="1"/>
              <w:jc w:val="right"/>
            </w:pPr>
            <w:r>
              <w:rPr>
                <w:color w:val="000000"/>
              </w:rPr>
              <w:t>0%</w:t>
            </w:r>
          </w:p>
        </w:tc>
        <w:tc>
          <w:tcPr>
            <w:tcW w:w="0" w:type="auto"/>
            <w:vAlign w:val="bottom"/>
          </w:tcPr>
          <w:p w14:paraId="46B388FC" w14:textId="77777777" w:rsidR="00217A61" w:rsidRDefault="001C2695">
            <w:pPr>
              <w:spacing w:beforeAutospacing="1" w:afterAutospacing="1"/>
              <w:jc w:val="right"/>
            </w:pPr>
            <w:r>
              <w:rPr>
                <w:color w:val="000000"/>
              </w:rPr>
              <w:t>113</w:t>
            </w:r>
          </w:p>
        </w:tc>
        <w:tc>
          <w:tcPr>
            <w:tcW w:w="0" w:type="auto"/>
            <w:vAlign w:val="bottom"/>
          </w:tcPr>
          <w:p w14:paraId="709AF9FF" w14:textId="77777777" w:rsidR="00217A61" w:rsidRDefault="001C2695">
            <w:pPr>
              <w:spacing w:beforeAutospacing="1" w:afterAutospacing="1"/>
              <w:jc w:val="right"/>
            </w:pPr>
            <w:r>
              <w:rPr>
                <w:color w:val="000000"/>
              </w:rPr>
              <w:t>0%</w:t>
            </w:r>
          </w:p>
        </w:tc>
      </w:tr>
      <w:tr w:rsidR="00217A61" w14:paraId="794F107D" w14:textId="77777777">
        <w:trPr>
          <w:cantSplit/>
        </w:trPr>
        <w:tc>
          <w:tcPr>
            <w:tcW w:w="0" w:type="auto"/>
          </w:tcPr>
          <w:p w14:paraId="2C93FF60" w14:textId="77777777" w:rsidR="00217A61" w:rsidRDefault="001C2695">
            <w:pPr>
              <w:spacing w:beforeAutospacing="1" w:afterAutospacing="1"/>
            </w:pPr>
            <w:r>
              <w:rPr>
                <w:color w:val="000000"/>
              </w:rPr>
              <w:t>No selected Conditions</w:t>
            </w:r>
          </w:p>
        </w:tc>
        <w:tc>
          <w:tcPr>
            <w:tcW w:w="0" w:type="auto"/>
            <w:vAlign w:val="bottom"/>
          </w:tcPr>
          <w:p w14:paraId="44B8CF74" w14:textId="77777777" w:rsidR="00217A61" w:rsidRDefault="001C2695">
            <w:pPr>
              <w:spacing w:beforeAutospacing="1" w:afterAutospacing="1"/>
              <w:jc w:val="right"/>
            </w:pPr>
            <w:r>
              <w:rPr>
                <w:color w:val="000000"/>
              </w:rPr>
              <w:t>2,017,678</w:t>
            </w:r>
          </w:p>
        </w:tc>
        <w:tc>
          <w:tcPr>
            <w:tcW w:w="0" w:type="auto"/>
            <w:vAlign w:val="bottom"/>
          </w:tcPr>
          <w:p w14:paraId="00FB7D38" w14:textId="77777777" w:rsidR="00217A61" w:rsidRDefault="001C2695">
            <w:pPr>
              <w:spacing w:beforeAutospacing="1" w:afterAutospacing="1"/>
              <w:jc w:val="right"/>
            </w:pPr>
            <w:r>
              <w:rPr>
                <w:color w:val="000000"/>
              </w:rPr>
              <w:t>74%</w:t>
            </w:r>
          </w:p>
        </w:tc>
        <w:tc>
          <w:tcPr>
            <w:tcW w:w="0" w:type="auto"/>
            <w:vAlign w:val="bottom"/>
          </w:tcPr>
          <w:p w14:paraId="4AFF8C48" w14:textId="77777777" w:rsidR="00217A61" w:rsidRDefault="001C2695">
            <w:pPr>
              <w:spacing w:beforeAutospacing="1" w:afterAutospacing="1"/>
              <w:jc w:val="right"/>
            </w:pPr>
            <w:r>
              <w:rPr>
                <w:color w:val="000000"/>
              </w:rPr>
              <w:t>750,265</w:t>
            </w:r>
          </w:p>
        </w:tc>
        <w:tc>
          <w:tcPr>
            <w:tcW w:w="0" w:type="auto"/>
            <w:vAlign w:val="bottom"/>
          </w:tcPr>
          <w:p w14:paraId="48B5962D" w14:textId="77777777" w:rsidR="00217A61" w:rsidRDefault="001C2695">
            <w:pPr>
              <w:spacing w:beforeAutospacing="1" w:afterAutospacing="1"/>
              <w:jc w:val="right"/>
            </w:pPr>
            <w:r>
              <w:rPr>
                <w:color w:val="000000"/>
              </w:rPr>
              <w:t>51%</w:t>
            </w:r>
          </w:p>
        </w:tc>
      </w:tr>
      <w:tr w:rsidR="00217A61" w14:paraId="109BD5EF" w14:textId="77777777">
        <w:trPr>
          <w:cantSplit/>
        </w:trPr>
        <w:tc>
          <w:tcPr>
            <w:tcW w:w="0" w:type="auto"/>
          </w:tcPr>
          <w:p w14:paraId="69388AF0" w14:textId="77777777" w:rsidR="00217A61" w:rsidRDefault="001C2695">
            <w:pPr>
              <w:spacing w:beforeAutospacing="1" w:afterAutospacing="1"/>
            </w:pPr>
            <w:r>
              <w:rPr>
                <w:rFonts w:ascii="Verdana" w:hAnsi="Verdana"/>
                <w:b/>
                <w:i/>
                <w:color w:val="000000"/>
                <w:sz w:val="16"/>
              </w:rPr>
              <w:t>Total</w:t>
            </w:r>
          </w:p>
        </w:tc>
        <w:tc>
          <w:tcPr>
            <w:tcW w:w="0" w:type="auto"/>
          </w:tcPr>
          <w:p w14:paraId="3936F906" w14:textId="77777777" w:rsidR="00217A61" w:rsidRDefault="001C2695">
            <w:pPr>
              <w:spacing w:beforeAutospacing="1" w:afterAutospacing="1"/>
              <w:jc w:val="right"/>
            </w:pPr>
            <w:r>
              <w:rPr>
                <w:rFonts w:ascii="Verdana" w:hAnsi="Verdana"/>
                <w:b/>
                <w:i/>
                <w:color w:val="000000"/>
                <w:sz w:val="16"/>
              </w:rPr>
              <w:t>2,548,705</w:t>
            </w:r>
          </w:p>
        </w:tc>
        <w:tc>
          <w:tcPr>
            <w:tcW w:w="0" w:type="auto"/>
          </w:tcPr>
          <w:p w14:paraId="0CFC1ADF" w14:textId="77777777" w:rsidR="00217A61" w:rsidRDefault="001C2695">
            <w:pPr>
              <w:spacing w:beforeAutospacing="1" w:afterAutospacing="1"/>
              <w:jc w:val="right"/>
            </w:pPr>
            <w:r>
              <w:rPr>
                <w:rFonts w:ascii="Verdana" w:hAnsi="Verdana"/>
                <w:b/>
                <w:i/>
                <w:color w:val="000000"/>
                <w:sz w:val="16"/>
              </w:rPr>
              <w:t>93%</w:t>
            </w:r>
          </w:p>
        </w:tc>
        <w:tc>
          <w:tcPr>
            <w:tcW w:w="0" w:type="auto"/>
          </w:tcPr>
          <w:p w14:paraId="3E9F9FA0" w14:textId="77777777" w:rsidR="00217A61" w:rsidRDefault="001C2695">
            <w:pPr>
              <w:spacing w:beforeAutospacing="1" w:afterAutospacing="1"/>
              <w:jc w:val="right"/>
            </w:pPr>
            <w:r>
              <w:rPr>
                <w:rFonts w:ascii="Verdana" w:hAnsi="Verdana"/>
                <w:b/>
                <w:i/>
                <w:color w:val="000000"/>
                <w:sz w:val="16"/>
              </w:rPr>
              <w:t>1,369,892</w:t>
            </w:r>
          </w:p>
        </w:tc>
        <w:tc>
          <w:tcPr>
            <w:tcW w:w="0" w:type="auto"/>
          </w:tcPr>
          <w:p w14:paraId="0CBB82F6" w14:textId="77777777" w:rsidR="00217A61" w:rsidRDefault="001C2695">
            <w:pPr>
              <w:spacing w:beforeAutospacing="1" w:afterAutospacing="1"/>
              <w:jc w:val="right"/>
            </w:pPr>
            <w:r>
              <w:rPr>
                <w:rFonts w:ascii="Verdana" w:hAnsi="Verdana"/>
                <w:b/>
                <w:i/>
                <w:color w:val="000000"/>
                <w:sz w:val="16"/>
              </w:rPr>
              <w:t>93%</w:t>
            </w:r>
          </w:p>
        </w:tc>
      </w:tr>
    </w:tbl>
    <w:p w14:paraId="456AFF00"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Condition of Units</w:t>
      </w:r>
    </w:p>
    <w:p w14:paraId="34C58049" w14:textId="77777777" w:rsidR="00217A61" w:rsidRDefault="00217A61">
      <w:pPr>
        <w:rPr>
          <w:vanish/>
        </w:rPr>
      </w:pPr>
    </w:p>
    <w:tbl>
      <w:tblPr>
        <w:tblW w:w="2742" w:type="pct"/>
        <w:tblInd w:w="115" w:type="dxa"/>
        <w:tblLook w:val="01E0" w:firstRow="1" w:lastRow="1" w:firstColumn="1" w:lastColumn="1" w:noHBand="0" w:noVBand="0"/>
      </w:tblPr>
      <w:tblGrid>
        <w:gridCol w:w="5133"/>
      </w:tblGrid>
      <w:tr w:rsidR="00217A61" w14:paraId="3A1E53A7" w14:textId="77777777">
        <w:tc>
          <w:tcPr>
            <w:tcW w:w="0" w:type="auto"/>
          </w:tcPr>
          <w:p w14:paraId="17D74FD5" w14:textId="77777777" w:rsidR="00217A61" w:rsidRDefault="001C2695">
            <w:pPr>
              <w:keepNext/>
              <w:widowControl w:val="0"/>
              <w:spacing w:after="0" w:line="240" w:lineRule="auto"/>
            </w:pPr>
            <w:r>
              <w:rPr>
                <w:b/>
                <w:sz w:val="16"/>
                <w:szCs w:val="16"/>
              </w:rPr>
              <w:t>Alternate Data Source Name:</w:t>
            </w:r>
          </w:p>
        </w:tc>
      </w:tr>
      <w:tr w:rsidR="00217A61" w14:paraId="0A106E34" w14:textId="77777777">
        <w:trPr>
          <w:cantSplit/>
        </w:trPr>
        <w:tc>
          <w:tcPr>
            <w:tcW w:w="0" w:type="auto"/>
          </w:tcPr>
          <w:p w14:paraId="387C0D21" w14:textId="77777777" w:rsidR="00217A61" w:rsidRDefault="001C2695">
            <w:pPr>
              <w:spacing w:beforeAutospacing="1" w:afterAutospacing="1"/>
            </w:pPr>
            <w:r>
              <w:rPr>
                <w:color w:val="000000"/>
                <w:sz w:val="16"/>
              </w:rPr>
              <w:t>2014 - 2018 ACS</w:t>
            </w:r>
          </w:p>
        </w:tc>
      </w:tr>
    </w:tbl>
    <w:p w14:paraId="336071BF" w14:textId="77777777" w:rsidR="00217A61" w:rsidRDefault="00217A61">
      <w:pPr>
        <w:rPr>
          <w:b/>
          <w:bCs/>
          <w:vanish/>
          <w:sz w:val="16"/>
          <w:szCs w:val="16"/>
        </w:rPr>
      </w:pPr>
    </w:p>
    <w:tbl>
      <w:tblPr>
        <w:tblW w:w="5000" w:type="pct"/>
        <w:tblInd w:w="115" w:type="dxa"/>
        <w:tblLook w:val="01E0" w:firstRow="1" w:lastRow="1" w:firstColumn="1" w:lastColumn="1" w:noHBand="0" w:noVBand="0"/>
      </w:tblPr>
      <w:tblGrid>
        <w:gridCol w:w="1947"/>
        <w:gridCol w:w="7413"/>
      </w:tblGrid>
      <w:tr w:rsidR="00217A61" w14:paraId="1003FA58" w14:textId="77777777">
        <w:trPr>
          <w:cantSplit/>
        </w:trPr>
        <w:tc>
          <w:tcPr>
            <w:tcW w:w="1973" w:type="dxa"/>
          </w:tcPr>
          <w:p w14:paraId="15F87059" w14:textId="77777777" w:rsidR="00217A61" w:rsidRDefault="001C2695">
            <w:pPr>
              <w:spacing w:after="0" w:line="240" w:lineRule="auto"/>
              <w:rPr>
                <w:rFonts w:cs="Arial"/>
                <w:sz w:val="16"/>
                <w:szCs w:val="16"/>
              </w:rPr>
            </w:pPr>
            <w:r>
              <w:rPr>
                <w:b/>
                <w:bCs/>
                <w:sz w:val="16"/>
                <w:szCs w:val="16"/>
              </w:rPr>
              <w:t>Data Source Comments:</w:t>
            </w:r>
          </w:p>
        </w:tc>
        <w:tc>
          <w:tcPr>
            <w:tcW w:w="7603" w:type="dxa"/>
          </w:tcPr>
          <w:p w14:paraId="76FAD681" w14:textId="77777777" w:rsidR="00217A61" w:rsidRDefault="00217A61">
            <w:pPr>
              <w:spacing w:after="0" w:line="240" w:lineRule="auto"/>
              <w:rPr>
                <w:rFonts w:cs="Arial"/>
                <w:sz w:val="16"/>
                <w:szCs w:val="16"/>
              </w:rPr>
            </w:pPr>
          </w:p>
        </w:tc>
      </w:tr>
    </w:tbl>
    <w:p w14:paraId="03A7AF9B" w14:textId="77777777" w:rsidR="00217A61" w:rsidRDefault="00217A61">
      <w:pPr>
        <w:spacing w:after="0" w:line="240" w:lineRule="auto"/>
      </w:pPr>
    </w:p>
    <w:p w14:paraId="5308722C" w14:textId="77777777" w:rsidR="00217A61" w:rsidRDefault="00217A61">
      <w:pPr>
        <w:spacing w:after="0" w:line="240" w:lineRule="auto"/>
      </w:pPr>
    </w:p>
    <w:p w14:paraId="0610E9EA" w14:textId="77777777" w:rsidR="00217A61" w:rsidRDefault="001C2695">
      <w:pPr>
        <w:keepNext/>
        <w:widowControl w:val="0"/>
        <w:rPr>
          <w:b/>
          <w:sz w:val="24"/>
          <w:szCs w:val="24"/>
        </w:rPr>
      </w:pPr>
      <w:r>
        <w:rPr>
          <w:b/>
          <w:sz w:val="24"/>
          <w:szCs w:val="24"/>
        </w:rPr>
        <w:lastRenderedPageBreak/>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1443"/>
        <w:gridCol w:w="1601"/>
        <w:gridCol w:w="1443"/>
        <w:gridCol w:w="1700"/>
      </w:tblGrid>
      <w:tr w:rsidR="00217A61" w14:paraId="6687D454" w14:textId="77777777">
        <w:trPr>
          <w:cantSplit/>
          <w:tblHeader/>
        </w:trPr>
        <w:tc>
          <w:tcPr>
            <w:tcW w:w="3271" w:type="dxa"/>
            <w:vMerge w:val="restart"/>
          </w:tcPr>
          <w:p w14:paraId="51EA6703" w14:textId="77777777" w:rsidR="00217A61" w:rsidRDefault="001C2695">
            <w:pPr>
              <w:keepNext/>
              <w:widowControl w:val="0"/>
              <w:spacing w:after="0" w:line="240" w:lineRule="auto"/>
              <w:jc w:val="center"/>
            </w:pPr>
            <w:r>
              <w:rPr>
                <w:b/>
                <w:bCs/>
              </w:rPr>
              <w:t>Year Unit Built</w:t>
            </w:r>
          </w:p>
        </w:tc>
        <w:tc>
          <w:tcPr>
            <w:tcW w:w="3098" w:type="dxa"/>
            <w:gridSpan w:val="2"/>
          </w:tcPr>
          <w:p w14:paraId="287EAFFD" w14:textId="77777777" w:rsidR="00217A61" w:rsidRDefault="001C2695">
            <w:pPr>
              <w:keepNext/>
              <w:widowControl w:val="0"/>
              <w:spacing w:after="0" w:line="240" w:lineRule="auto"/>
              <w:jc w:val="center"/>
            </w:pPr>
            <w:r>
              <w:rPr>
                <w:b/>
                <w:bCs/>
              </w:rPr>
              <w:t>Owner-Occupied</w:t>
            </w:r>
          </w:p>
        </w:tc>
        <w:tc>
          <w:tcPr>
            <w:tcW w:w="3207" w:type="dxa"/>
            <w:gridSpan w:val="2"/>
          </w:tcPr>
          <w:p w14:paraId="1F3244D8" w14:textId="77777777" w:rsidR="00217A61" w:rsidRDefault="001C2695">
            <w:pPr>
              <w:keepNext/>
              <w:widowControl w:val="0"/>
              <w:spacing w:after="0" w:line="240" w:lineRule="auto"/>
              <w:jc w:val="center"/>
              <w:rPr>
                <w:b/>
                <w:bCs/>
              </w:rPr>
            </w:pPr>
            <w:r>
              <w:rPr>
                <w:b/>
                <w:bCs/>
              </w:rPr>
              <w:t>Renter-Occupied</w:t>
            </w:r>
          </w:p>
        </w:tc>
      </w:tr>
      <w:tr w:rsidR="00217A61" w14:paraId="7E341A88" w14:textId="77777777">
        <w:trPr>
          <w:cantSplit/>
          <w:tblHeader/>
        </w:trPr>
        <w:tc>
          <w:tcPr>
            <w:tcW w:w="3271" w:type="dxa"/>
            <w:vMerge/>
          </w:tcPr>
          <w:p w14:paraId="03E98DC2" w14:textId="77777777" w:rsidR="00217A61" w:rsidRDefault="00217A61">
            <w:pPr>
              <w:keepNext/>
              <w:widowControl w:val="0"/>
              <w:spacing w:after="0" w:line="240" w:lineRule="auto"/>
              <w:jc w:val="center"/>
            </w:pPr>
          </w:p>
        </w:tc>
        <w:tc>
          <w:tcPr>
            <w:tcW w:w="1458" w:type="dxa"/>
          </w:tcPr>
          <w:p w14:paraId="31F00CE4" w14:textId="77777777" w:rsidR="00217A61" w:rsidRDefault="001C2695">
            <w:pPr>
              <w:keepNext/>
              <w:widowControl w:val="0"/>
              <w:spacing w:after="0" w:line="240" w:lineRule="auto"/>
              <w:jc w:val="center"/>
            </w:pPr>
            <w:r>
              <w:rPr>
                <w:b/>
                <w:bCs/>
              </w:rPr>
              <w:t>Number</w:t>
            </w:r>
          </w:p>
        </w:tc>
        <w:tc>
          <w:tcPr>
            <w:tcW w:w="1640" w:type="dxa"/>
          </w:tcPr>
          <w:p w14:paraId="612B5042" w14:textId="77777777" w:rsidR="00217A61" w:rsidRDefault="001C2695">
            <w:pPr>
              <w:keepNext/>
              <w:widowControl w:val="0"/>
              <w:spacing w:after="0" w:line="240" w:lineRule="auto"/>
              <w:jc w:val="center"/>
            </w:pPr>
            <w:r>
              <w:rPr>
                <w:b/>
                <w:bCs/>
              </w:rPr>
              <w:t>%</w:t>
            </w:r>
          </w:p>
        </w:tc>
        <w:tc>
          <w:tcPr>
            <w:tcW w:w="1458" w:type="dxa"/>
          </w:tcPr>
          <w:p w14:paraId="55B2CE1D" w14:textId="77777777" w:rsidR="00217A61" w:rsidRDefault="001C2695">
            <w:pPr>
              <w:keepNext/>
              <w:widowControl w:val="0"/>
              <w:spacing w:after="0" w:line="240" w:lineRule="auto"/>
              <w:jc w:val="center"/>
            </w:pPr>
            <w:r>
              <w:rPr>
                <w:b/>
                <w:bCs/>
              </w:rPr>
              <w:t>Number</w:t>
            </w:r>
          </w:p>
        </w:tc>
        <w:tc>
          <w:tcPr>
            <w:tcW w:w="1749" w:type="dxa"/>
          </w:tcPr>
          <w:p w14:paraId="479A1C15" w14:textId="77777777" w:rsidR="00217A61" w:rsidRDefault="001C2695">
            <w:pPr>
              <w:keepNext/>
              <w:widowControl w:val="0"/>
              <w:spacing w:after="0" w:line="240" w:lineRule="auto"/>
              <w:jc w:val="center"/>
            </w:pPr>
            <w:r>
              <w:rPr>
                <w:b/>
                <w:bCs/>
              </w:rPr>
              <w:t>%</w:t>
            </w:r>
          </w:p>
        </w:tc>
      </w:tr>
      <w:tr w:rsidR="00217A61" w14:paraId="6F43240E" w14:textId="77777777">
        <w:trPr>
          <w:cantSplit/>
        </w:trPr>
        <w:tc>
          <w:tcPr>
            <w:tcW w:w="0" w:type="auto"/>
          </w:tcPr>
          <w:p w14:paraId="2FEAC97F" w14:textId="77777777" w:rsidR="00217A61" w:rsidRDefault="001C2695">
            <w:pPr>
              <w:spacing w:beforeAutospacing="1" w:afterAutospacing="1"/>
            </w:pPr>
            <w:r>
              <w:rPr>
                <w:color w:val="000000"/>
              </w:rPr>
              <w:t>2000 or later</w:t>
            </w:r>
          </w:p>
        </w:tc>
        <w:tc>
          <w:tcPr>
            <w:tcW w:w="0" w:type="auto"/>
            <w:vAlign w:val="bottom"/>
          </w:tcPr>
          <w:p w14:paraId="5D40CACD" w14:textId="77777777" w:rsidR="00217A61" w:rsidRDefault="001C2695">
            <w:pPr>
              <w:spacing w:beforeAutospacing="1" w:afterAutospacing="1"/>
              <w:jc w:val="right"/>
            </w:pPr>
            <w:r>
              <w:rPr>
                <w:color w:val="000000"/>
              </w:rPr>
              <w:t>728,044</w:t>
            </w:r>
          </w:p>
        </w:tc>
        <w:tc>
          <w:tcPr>
            <w:tcW w:w="0" w:type="auto"/>
            <w:vAlign w:val="bottom"/>
          </w:tcPr>
          <w:p w14:paraId="19B1071F" w14:textId="77777777" w:rsidR="00217A61" w:rsidRDefault="001C2695">
            <w:pPr>
              <w:spacing w:beforeAutospacing="1" w:afterAutospacing="1"/>
              <w:jc w:val="right"/>
            </w:pPr>
            <w:r>
              <w:rPr>
                <w:color w:val="000000"/>
              </w:rPr>
              <w:t>27%</w:t>
            </w:r>
          </w:p>
        </w:tc>
        <w:tc>
          <w:tcPr>
            <w:tcW w:w="0" w:type="auto"/>
            <w:vAlign w:val="bottom"/>
          </w:tcPr>
          <w:p w14:paraId="376AF246" w14:textId="77777777" w:rsidR="00217A61" w:rsidRDefault="001C2695">
            <w:pPr>
              <w:spacing w:beforeAutospacing="1" w:afterAutospacing="1"/>
              <w:jc w:val="right"/>
            </w:pPr>
            <w:r>
              <w:rPr>
                <w:color w:val="000000"/>
              </w:rPr>
              <w:t>311,273</w:t>
            </w:r>
          </w:p>
        </w:tc>
        <w:tc>
          <w:tcPr>
            <w:tcW w:w="0" w:type="auto"/>
            <w:vAlign w:val="bottom"/>
          </w:tcPr>
          <w:p w14:paraId="1CDD423F" w14:textId="77777777" w:rsidR="00217A61" w:rsidRDefault="001C2695">
            <w:pPr>
              <w:spacing w:beforeAutospacing="1" w:afterAutospacing="1"/>
              <w:jc w:val="right"/>
            </w:pPr>
            <w:r>
              <w:rPr>
                <w:color w:val="000000"/>
              </w:rPr>
              <w:t>21%</w:t>
            </w:r>
          </w:p>
        </w:tc>
      </w:tr>
      <w:tr w:rsidR="00217A61" w14:paraId="7D5B040B" w14:textId="77777777">
        <w:trPr>
          <w:cantSplit/>
        </w:trPr>
        <w:tc>
          <w:tcPr>
            <w:tcW w:w="0" w:type="auto"/>
          </w:tcPr>
          <w:p w14:paraId="7DCB1DA0" w14:textId="77777777" w:rsidR="00217A61" w:rsidRDefault="001C2695">
            <w:pPr>
              <w:spacing w:beforeAutospacing="1" w:afterAutospacing="1"/>
            </w:pPr>
            <w:r>
              <w:rPr>
                <w:color w:val="000000"/>
              </w:rPr>
              <w:t>1980-1999</w:t>
            </w:r>
          </w:p>
        </w:tc>
        <w:tc>
          <w:tcPr>
            <w:tcW w:w="0" w:type="auto"/>
            <w:vAlign w:val="bottom"/>
          </w:tcPr>
          <w:p w14:paraId="743C7CBB" w14:textId="77777777" w:rsidR="00217A61" w:rsidRDefault="001C2695">
            <w:pPr>
              <w:spacing w:beforeAutospacing="1" w:afterAutospacing="1"/>
              <w:jc w:val="right"/>
            </w:pPr>
            <w:r>
              <w:rPr>
                <w:color w:val="000000"/>
              </w:rPr>
              <w:t>902,523</w:t>
            </w:r>
          </w:p>
        </w:tc>
        <w:tc>
          <w:tcPr>
            <w:tcW w:w="0" w:type="auto"/>
            <w:vAlign w:val="bottom"/>
          </w:tcPr>
          <w:p w14:paraId="4F8A0AA4" w14:textId="77777777" w:rsidR="00217A61" w:rsidRDefault="001C2695">
            <w:pPr>
              <w:spacing w:beforeAutospacing="1" w:afterAutospacing="1"/>
              <w:jc w:val="right"/>
            </w:pPr>
            <w:r>
              <w:rPr>
                <w:color w:val="000000"/>
              </w:rPr>
              <w:t>33%</w:t>
            </w:r>
          </w:p>
        </w:tc>
        <w:tc>
          <w:tcPr>
            <w:tcW w:w="0" w:type="auto"/>
            <w:vAlign w:val="bottom"/>
          </w:tcPr>
          <w:p w14:paraId="7DC72764" w14:textId="77777777" w:rsidR="00217A61" w:rsidRDefault="001C2695">
            <w:pPr>
              <w:spacing w:beforeAutospacing="1" w:afterAutospacing="1"/>
              <w:jc w:val="right"/>
            </w:pPr>
            <w:r>
              <w:rPr>
                <w:color w:val="000000"/>
              </w:rPr>
              <w:t>502,076</w:t>
            </w:r>
          </w:p>
        </w:tc>
        <w:tc>
          <w:tcPr>
            <w:tcW w:w="0" w:type="auto"/>
            <w:vAlign w:val="bottom"/>
          </w:tcPr>
          <w:p w14:paraId="5C3F2428" w14:textId="77777777" w:rsidR="00217A61" w:rsidRDefault="001C2695">
            <w:pPr>
              <w:spacing w:beforeAutospacing="1" w:afterAutospacing="1"/>
              <w:jc w:val="right"/>
            </w:pPr>
            <w:r>
              <w:rPr>
                <w:color w:val="000000"/>
              </w:rPr>
              <w:t>34%</w:t>
            </w:r>
          </w:p>
        </w:tc>
      </w:tr>
      <w:tr w:rsidR="00217A61" w14:paraId="45FB2D12" w14:textId="77777777">
        <w:trPr>
          <w:cantSplit/>
        </w:trPr>
        <w:tc>
          <w:tcPr>
            <w:tcW w:w="0" w:type="auto"/>
          </w:tcPr>
          <w:p w14:paraId="27B72152" w14:textId="77777777" w:rsidR="00217A61" w:rsidRDefault="001C2695">
            <w:pPr>
              <w:spacing w:beforeAutospacing="1" w:afterAutospacing="1"/>
            </w:pPr>
            <w:r>
              <w:rPr>
                <w:color w:val="000000"/>
              </w:rPr>
              <w:t>1950-1979</w:t>
            </w:r>
          </w:p>
        </w:tc>
        <w:tc>
          <w:tcPr>
            <w:tcW w:w="0" w:type="auto"/>
            <w:vAlign w:val="bottom"/>
          </w:tcPr>
          <w:p w14:paraId="3785FC10" w14:textId="77777777" w:rsidR="00217A61" w:rsidRDefault="001C2695">
            <w:pPr>
              <w:spacing w:beforeAutospacing="1" w:afterAutospacing="1"/>
              <w:jc w:val="right"/>
            </w:pPr>
            <w:r>
              <w:rPr>
                <w:color w:val="000000"/>
              </w:rPr>
              <w:t>724,373</w:t>
            </w:r>
          </w:p>
        </w:tc>
        <w:tc>
          <w:tcPr>
            <w:tcW w:w="0" w:type="auto"/>
            <w:vAlign w:val="bottom"/>
          </w:tcPr>
          <w:p w14:paraId="2A23D146" w14:textId="77777777" w:rsidR="00217A61" w:rsidRDefault="001C2695">
            <w:pPr>
              <w:spacing w:beforeAutospacing="1" w:afterAutospacing="1"/>
              <w:jc w:val="right"/>
            </w:pPr>
            <w:r>
              <w:rPr>
                <w:color w:val="000000"/>
              </w:rPr>
              <w:t>27%</w:t>
            </w:r>
          </w:p>
        </w:tc>
        <w:tc>
          <w:tcPr>
            <w:tcW w:w="0" w:type="auto"/>
            <w:vAlign w:val="bottom"/>
          </w:tcPr>
          <w:p w14:paraId="3B202DA4" w14:textId="77777777" w:rsidR="00217A61" w:rsidRDefault="001C2695">
            <w:pPr>
              <w:spacing w:beforeAutospacing="1" w:afterAutospacing="1"/>
              <w:jc w:val="right"/>
            </w:pPr>
            <w:r>
              <w:rPr>
                <w:color w:val="000000"/>
              </w:rPr>
              <w:t>429,274</w:t>
            </w:r>
          </w:p>
        </w:tc>
        <w:tc>
          <w:tcPr>
            <w:tcW w:w="0" w:type="auto"/>
            <w:vAlign w:val="bottom"/>
          </w:tcPr>
          <w:p w14:paraId="5C83C3CB" w14:textId="77777777" w:rsidR="00217A61" w:rsidRDefault="001C2695">
            <w:pPr>
              <w:spacing w:beforeAutospacing="1" w:afterAutospacing="1"/>
              <w:jc w:val="right"/>
            </w:pPr>
            <w:r>
              <w:rPr>
                <w:color w:val="000000"/>
              </w:rPr>
              <w:t>29%</w:t>
            </w:r>
          </w:p>
        </w:tc>
      </w:tr>
      <w:tr w:rsidR="00217A61" w14:paraId="3055D507" w14:textId="77777777">
        <w:trPr>
          <w:cantSplit/>
        </w:trPr>
        <w:tc>
          <w:tcPr>
            <w:tcW w:w="0" w:type="auto"/>
          </w:tcPr>
          <w:p w14:paraId="4FFCDBB6" w14:textId="77777777" w:rsidR="00217A61" w:rsidRDefault="001C2695">
            <w:pPr>
              <w:spacing w:beforeAutospacing="1" w:afterAutospacing="1"/>
            </w:pPr>
            <w:r>
              <w:rPr>
                <w:color w:val="000000"/>
              </w:rPr>
              <w:t>Before 1950</w:t>
            </w:r>
          </w:p>
        </w:tc>
        <w:tc>
          <w:tcPr>
            <w:tcW w:w="0" w:type="auto"/>
            <w:vAlign w:val="bottom"/>
          </w:tcPr>
          <w:p w14:paraId="3285BC98" w14:textId="77777777" w:rsidR="00217A61" w:rsidRDefault="001C2695">
            <w:pPr>
              <w:spacing w:beforeAutospacing="1" w:afterAutospacing="1"/>
              <w:jc w:val="right"/>
            </w:pPr>
            <w:r>
              <w:rPr>
                <w:color w:val="000000"/>
              </w:rPr>
              <w:t>364,516</w:t>
            </w:r>
          </w:p>
        </w:tc>
        <w:tc>
          <w:tcPr>
            <w:tcW w:w="0" w:type="auto"/>
            <w:vAlign w:val="bottom"/>
          </w:tcPr>
          <w:p w14:paraId="4FA0E723" w14:textId="77777777" w:rsidR="00217A61" w:rsidRDefault="001C2695">
            <w:pPr>
              <w:spacing w:beforeAutospacing="1" w:afterAutospacing="1"/>
              <w:jc w:val="right"/>
            </w:pPr>
            <w:r>
              <w:rPr>
                <w:color w:val="000000"/>
              </w:rPr>
              <w:t>13%</w:t>
            </w:r>
          </w:p>
        </w:tc>
        <w:tc>
          <w:tcPr>
            <w:tcW w:w="0" w:type="auto"/>
            <w:vAlign w:val="bottom"/>
          </w:tcPr>
          <w:p w14:paraId="6AD01456" w14:textId="77777777" w:rsidR="00217A61" w:rsidRDefault="001C2695">
            <w:pPr>
              <w:spacing w:beforeAutospacing="1" w:afterAutospacing="1"/>
              <w:jc w:val="right"/>
            </w:pPr>
            <w:r>
              <w:rPr>
                <w:color w:val="000000"/>
              </w:rPr>
              <w:t>226,461</w:t>
            </w:r>
          </w:p>
        </w:tc>
        <w:tc>
          <w:tcPr>
            <w:tcW w:w="0" w:type="auto"/>
            <w:vAlign w:val="bottom"/>
          </w:tcPr>
          <w:p w14:paraId="4BA9134A" w14:textId="77777777" w:rsidR="00217A61" w:rsidRDefault="001C2695">
            <w:pPr>
              <w:spacing w:beforeAutospacing="1" w:afterAutospacing="1"/>
              <w:jc w:val="right"/>
            </w:pPr>
            <w:r>
              <w:rPr>
                <w:color w:val="000000"/>
              </w:rPr>
              <w:t>15%</w:t>
            </w:r>
          </w:p>
        </w:tc>
      </w:tr>
      <w:tr w:rsidR="00217A61" w14:paraId="53AD63C0" w14:textId="77777777">
        <w:trPr>
          <w:cantSplit/>
        </w:trPr>
        <w:tc>
          <w:tcPr>
            <w:tcW w:w="0" w:type="auto"/>
          </w:tcPr>
          <w:p w14:paraId="67DA2A88" w14:textId="77777777" w:rsidR="00217A61" w:rsidRDefault="001C2695">
            <w:pPr>
              <w:spacing w:beforeAutospacing="1" w:afterAutospacing="1"/>
            </w:pPr>
            <w:r>
              <w:rPr>
                <w:rFonts w:ascii="Verdana" w:hAnsi="Verdana"/>
                <w:b/>
                <w:i/>
                <w:color w:val="000000"/>
                <w:sz w:val="16"/>
              </w:rPr>
              <w:t>Total</w:t>
            </w:r>
          </w:p>
        </w:tc>
        <w:tc>
          <w:tcPr>
            <w:tcW w:w="0" w:type="auto"/>
          </w:tcPr>
          <w:p w14:paraId="379E9E11" w14:textId="77777777" w:rsidR="00217A61" w:rsidRDefault="001C2695">
            <w:pPr>
              <w:spacing w:beforeAutospacing="1" w:afterAutospacing="1"/>
              <w:jc w:val="right"/>
            </w:pPr>
            <w:r>
              <w:rPr>
                <w:rFonts w:ascii="Verdana" w:hAnsi="Verdana"/>
                <w:b/>
                <w:i/>
                <w:color w:val="000000"/>
                <w:sz w:val="16"/>
              </w:rPr>
              <w:t>2,719,456</w:t>
            </w:r>
          </w:p>
        </w:tc>
        <w:tc>
          <w:tcPr>
            <w:tcW w:w="0" w:type="auto"/>
          </w:tcPr>
          <w:p w14:paraId="5B22B2EA" w14:textId="77777777" w:rsidR="00217A61" w:rsidRDefault="001C2695">
            <w:pPr>
              <w:spacing w:beforeAutospacing="1" w:afterAutospacing="1"/>
              <w:jc w:val="right"/>
            </w:pPr>
            <w:r>
              <w:rPr>
                <w:rFonts w:ascii="Verdana" w:hAnsi="Verdana"/>
                <w:b/>
                <w:i/>
                <w:color w:val="000000"/>
                <w:sz w:val="16"/>
              </w:rPr>
              <w:t>100%</w:t>
            </w:r>
          </w:p>
        </w:tc>
        <w:tc>
          <w:tcPr>
            <w:tcW w:w="0" w:type="auto"/>
          </w:tcPr>
          <w:p w14:paraId="5D369273" w14:textId="77777777" w:rsidR="00217A61" w:rsidRDefault="001C2695">
            <w:pPr>
              <w:spacing w:beforeAutospacing="1" w:afterAutospacing="1"/>
              <w:jc w:val="right"/>
            </w:pPr>
            <w:r>
              <w:rPr>
                <w:rFonts w:ascii="Verdana" w:hAnsi="Verdana"/>
                <w:b/>
                <w:i/>
                <w:color w:val="000000"/>
                <w:sz w:val="16"/>
              </w:rPr>
              <w:t>1,469,084</w:t>
            </w:r>
          </w:p>
        </w:tc>
        <w:tc>
          <w:tcPr>
            <w:tcW w:w="0" w:type="auto"/>
          </w:tcPr>
          <w:p w14:paraId="119D1EA5" w14:textId="77777777" w:rsidR="00217A61" w:rsidRDefault="001C2695">
            <w:pPr>
              <w:spacing w:beforeAutospacing="1" w:afterAutospacing="1"/>
              <w:jc w:val="right"/>
            </w:pPr>
            <w:r>
              <w:rPr>
                <w:rFonts w:ascii="Verdana" w:hAnsi="Verdana"/>
                <w:b/>
                <w:i/>
                <w:color w:val="000000"/>
                <w:sz w:val="16"/>
              </w:rPr>
              <w:t>99%</w:t>
            </w:r>
          </w:p>
        </w:tc>
      </w:tr>
    </w:tbl>
    <w:p w14:paraId="3DD8A55A"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Year Unit Built</w:t>
      </w:r>
    </w:p>
    <w:p w14:paraId="3B4C370D" w14:textId="77777777" w:rsidR="00217A61" w:rsidRDefault="00217A61">
      <w:pPr>
        <w:rPr>
          <w:vanish/>
        </w:rPr>
      </w:pPr>
    </w:p>
    <w:tbl>
      <w:tblPr>
        <w:tblW w:w="2742" w:type="pct"/>
        <w:tblInd w:w="115" w:type="dxa"/>
        <w:tblLook w:val="01E0" w:firstRow="1" w:lastRow="1" w:firstColumn="1" w:lastColumn="1" w:noHBand="0" w:noVBand="0"/>
      </w:tblPr>
      <w:tblGrid>
        <w:gridCol w:w="5133"/>
      </w:tblGrid>
      <w:tr w:rsidR="00217A61" w14:paraId="7D3CDC7E" w14:textId="77777777">
        <w:tc>
          <w:tcPr>
            <w:tcW w:w="0" w:type="auto"/>
          </w:tcPr>
          <w:p w14:paraId="75E8C0E4" w14:textId="77777777" w:rsidR="00217A61" w:rsidRDefault="001C2695">
            <w:pPr>
              <w:keepNext/>
              <w:widowControl w:val="0"/>
              <w:spacing w:after="0" w:line="240" w:lineRule="auto"/>
            </w:pPr>
            <w:r>
              <w:rPr>
                <w:b/>
                <w:sz w:val="16"/>
                <w:szCs w:val="16"/>
              </w:rPr>
              <w:t>Alternate Data Source Name:</w:t>
            </w:r>
          </w:p>
        </w:tc>
      </w:tr>
      <w:tr w:rsidR="00217A61" w14:paraId="15CC9F51" w14:textId="77777777">
        <w:trPr>
          <w:cantSplit/>
        </w:trPr>
        <w:tc>
          <w:tcPr>
            <w:tcW w:w="0" w:type="auto"/>
          </w:tcPr>
          <w:p w14:paraId="22E3BCBF" w14:textId="77777777" w:rsidR="00217A61" w:rsidRDefault="001C2695">
            <w:pPr>
              <w:spacing w:beforeAutospacing="1" w:afterAutospacing="1"/>
            </w:pPr>
            <w:r>
              <w:rPr>
                <w:color w:val="000000"/>
                <w:sz w:val="16"/>
              </w:rPr>
              <w:t>2014 - 2018 ACS</w:t>
            </w:r>
          </w:p>
        </w:tc>
      </w:tr>
    </w:tbl>
    <w:p w14:paraId="6608952E" w14:textId="77777777" w:rsidR="00217A61" w:rsidRDefault="00217A61">
      <w:pPr>
        <w:rPr>
          <w:b/>
          <w:bCs/>
          <w:vanish/>
          <w:sz w:val="16"/>
          <w:szCs w:val="16"/>
        </w:rPr>
      </w:pPr>
    </w:p>
    <w:tbl>
      <w:tblPr>
        <w:tblW w:w="5000" w:type="pct"/>
        <w:tblInd w:w="115" w:type="dxa"/>
        <w:tblLook w:val="01E0" w:firstRow="1" w:lastRow="1" w:firstColumn="1" w:lastColumn="1" w:noHBand="0" w:noVBand="0"/>
      </w:tblPr>
      <w:tblGrid>
        <w:gridCol w:w="1947"/>
        <w:gridCol w:w="7413"/>
      </w:tblGrid>
      <w:tr w:rsidR="00217A61" w14:paraId="6A31F87C" w14:textId="77777777">
        <w:trPr>
          <w:cantSplit/>
        </w:trPr>
        <w:tc>
          <w:tcPr>
            <w:tcW w:w="1973" w:type="dxa"/>
          </w:tcPr>
          <w:p w14:paraId="724FECBC" w14:textId="77777777" w:rsidR="00217A61" w:rsidRDefault="001C2695">
            <w:pPr>
              <w:spacing w:after="0" w:line="240" w:lineRule="auto"/>
              <w:rPr>
                <w:rFonts w:cs="Arial"/>
                <w:sz w:val="16"/>
                <w:szCs w:val="16"/>
              </w:rPr>
            </w:pPr>
            <w:r>
              <w:rPr>
                <w:b/>
                <w:bCs/>
                <w:sz w:val="16"/>
                <w:szCs w:val="16"/>
              </w:rPr>
              <w:t xml:space="preserve">Data </w:t>
            </w:r>
            <w:r>
              <w:rPr>
                <w:b/>
                <w:bCs/>
                <w:sz w:val="16"/>
                <w:szCs w:val="16"/>
              </w:rPr>
              <w:t>Source Comments:</w:t>
            </w:r>
          </w:p>
        </w:tc>
        <w:tc>
          <w:tcPr>
            <w:tcW w:w="7603" w:type="dxa"/>
          </w:tcPr>
          <w:p w14:paraId="7F39DF21" w14:textId="77777777" w:rsidR="00217A61" w:rsidRDefault="00217A61">
            <w:pPr>
              <w:spacing w:after="0" w:line="240" w:lineRule="auto"/>
              <w:rPr>
                <w:rFonts w:cs="Arial"/>
                <w:sz w:val="16"/>
                <w:szCs w:val="16"/>
              </w:rPr>
            </w:pPr>
          </w:p>
        </w:tc>
      </w:tr>
    </w:tbl>
    <w:p w14:paraId="1A16A4DC" w14:textId="77777777" w:rsidR="00217A61" w:rsidRDefault="00217A61">
      <w:pPr>
        <w:spacing w:after="0" w:line="240" w:lineRule="auto"/>
      </w:pPr>
    </w:p>
    <w:p w14:paraId="71BF5067" w14:textId="77777777" w:rsidR="00217A61" w:rsidRDefault="00217A61">
      <w:pPr>
        <w:spacing w:after="0" w:line="240" w:lineRule="auto"/>
      </w:pPr>
    </w:p>
    <w:p w14:paraId="537C805E" w14:textId="77777777" w:rsidR="00217A61" w:rsidRDefault="001C2695">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1052"/>
        <w:gridCol w:w="1052"/>
        <w:gridCol w:w="1052"/>
        <w:gridCol w:w="1052"/>
      </w:tblGrid>
      <w:tr w:rsidR="00217A61" w14:paraId="51463279" w14:textId="77777777">
        <w:trPr>
          <w:cantSplit/>
          <w:tblHeader/>
        </w:trPr>
        <w:tc>
          <w:tcPr>
            <w:tcW w:w="5314" w:type="dxa"/>
            <w:vMerge w:val="restart"/>
          </w:tcPr>
          <w:p w14:paraId="6A558737" w14:textId="77777777" w:rsidR="00217A61" w:rsidRDefault="001C2695">
            <w:pPr>
              <w:keepNext/>
              <w:widowControl w:val="0"/>
              <w:spacing w:after="0" w:line="240" w:lineRule="auto"/>
              <w:jc w:val="center"/>
            </w:pPr>
            <w:r>
              <w:rPr>
                <w:b/>
                <w:bCs/>
              </w:rPr>
              <w:t>Risk of Lead-Based Paint Hazard</w:t>
            </w:r>
          </w:p>
        </w:tc>
        <w:tc>
          <w:tcPr>
            <w:tcW w:w="1080" w:type="dxa"/>
            <w:gridSpan w:val="2"/>
          </w:tcPr>
          <w:p w14:paraId="6E31267D" w14:textId="77777777" w:rsidR="00217A61" w:rsidRDefault="001C2695">
            <w:pPr>
              <w:keepNext/>
              <w:widowControl w:val="0"/>
              <w:spacing w:after="0" w:line="240" w:lineRule="auto"/>
              <w:jc w:val="center"/>
            </w:pPr>
            <w:r>
              <w:rPr>
                <w:b/>
                <w:bCs/>
              </w:rPr>
              <w:t>Owner-Occupied</w:t>
            </w:r>
          </w:p>
        </w:tc>
        <w:tc>
          <w:tcPr>
            <w:tcW w:w="1080" w:type="dxa"/>
            <w:gridSpan w:val="2"/>
          </w:tcPr>
          <w:p w14:paraId="6E9E7D9F" w14:textId="77777777" w:rsidR="00217A61" w:rsidRDefault="001C2695">
            <w:pPr>
              <w:keepNext/>
              <w:widowControl w:val="0"/>
              <w:spacing w:after="0" w:line="240" w:lineRule="auto"/>
              <w:jc w:val="center"/>
              <w:rPr>
                <w:b/>
                <w:bCs/>
              </w:rPr>
            </w:pPr>
            <w:r>
              <w:rPr>
                <w:b/>
                <w:bCs/>
              </w:rPr>
              <w:t>Renter-Occupied</w:t>
            </w:r>
          </w:p>
        </w:tc>
      </w:tr>
      <w:tr w:rsidR="00217A61" w14:paraId="2A0A51F3" w14:textId="77777777">
        <w:trPr>
          <w:cantSplit/>
          <w:tblHeader/>
        </w:trPr>
        <w:tc>
          <w:tcPr>
            <w:tcW w:w="5314" w:type="dxa"/>
            <w:vMerge/>
          </w:tcPr>
          <w:p w14:paraId="0D0B3396" w14:textId="77777777" w:rsidR="00217A61" w:rsidRDefault="00217A61">
            <w:pPr>
              <w:keepNext/>
              <w:widowControl w:val="0"/>
              <w:spacing w:after="0" w:line="240" w:lineRule="auto"/>
              <w:jc w:val="center"/>
            </w:pPr>
          </w:p>
        </w:tc>
        <w:tc>
          <w:tcPr>
            <w:tcW w:w="1080" w:type="dxa"/>
          </w:tcPr>
          <w:p w14:paraId="01C6BCFD" w14:textId="77777777" w:rsidR="00217A61" w:rsidRDefault="001C2695">
            <w:pPr>
              <w:keepNext/>
              <w:widowControl w:val="0"/>
              <w:spacing w:after="0" w:line="240" w:lineRule="auto"/>
              <w:jc w:val="center"/>
            </w:pPr>
            <w:r>
              <w:rPr>
                <w:b/>
                <w:bCs/>
              </w:rPr>
              <w:t>Number</w:t>
            </w:r>
          </w:p>
        </w:tc>
        <w:tc>
          <w:tcPr>
            <w:tcW w:w="1080" w:type="dxa"/>
          </w:tcPr>
          <w:p w14:paraId="404CF1EE" w14:textId="77777777" w:rsidR="00217A61" w:rsidRDefault="001C2695">
            <w:pPr>
              <w:keepNext/>
              <w:widowControl w:val="0"/>
              <w:spacing w:after="0" w:line="240" w:lineRule="auto"/>
              <w:jc w:val="center"/>
            </w:pPr>
            <w:r>
              <w:rPr>
                <w:b/>
                <w:bCs/>
              </w:rPr>
              <w:t>%</w:t>
            </w:r>
          </w:p>
        </w:tc>
        <w:tc>
          <w:tcPr>
            <w:tcW w:w="1080" w:type="dxa"/>
          </w:tcPr>
          <w:p w14:paraId="62E9FDE5" w14:textId="77777777" w:rsidR="00217A61" w:rsidRDefault="001C2695">
            <w:pPr>
              <w:keepNext/>
              <w:widowControl w:val="0"/>
              <w:spacing w:after="0" w:line="240" w:lineRule="auto"/>
              <w:jc w:val="center"/>
            </w:pPr>
            <w:r>
              <w:rPr>
                <w:b/>
                <w:bCs/>
              </w:rPr>
              <w:t>Number</w:t>
            </w:r>
          </w:p>
        </w:tc>
        <w:tc>
          <w:tcPr>
            <w:tcW w:w="1080" w:type="dxa"/>
          </w:tcPr>
          <w:p w14:paraId="45BE2125" w14:textId="77777777" w:rsidR="00217A61" w:rsidRDefault="001C2695">
            <w:pPr>
              <w:keepNext/>
              <w:widowControl w:val="0"/>
              <w:spacing w:after="0" w:line="240" w:lineRule="auto"/>
              <w:jc w:val="center"/>
            </w:pPr>
            <w:r>
              <w:rPr>
                <w:b/>
                <w:bCs/>
              </w:rPr>
              <w:t>%</w:t>
            </w:r>
          </w:p>
        </w:tc>
      </w:tr>
      <w:tr w:rsidR="00217A61" w14:paraId="566D7F9B" w14:textId="77777777">
        <w:trPr>
          <w:cantSplit/>
        </w:trPr>
        <w:tc>
          <w:tcPr>
            <w:tcW w:w="5280" w:type="dxa"/>
          </w:tcPr>
          <w:p w14:paraId="68F69205" w14:textId="77777777" w:rsidR="00217A61" w:rsidRDefault="001C2695">
            <w:pPr>
              <w:spacing w:beforeAutospacing="1" w:afterAutospacing="1"/>
            </w:pPr>
            <w:r>
              <w:rPr>
                <w:color w:val="000000"/>
              </w:rPr>
              <w:t>Total Number of Units Built Before 1980</w:t>
            </w:r>
          </w:p>
        </w:tc>
        <w:tc>
          <w:tcPr>
            <w:tcW w:w="1074" w:type="dxa"/>
            <w:vAlign w:val="bottom"/>
          </w:tcPr>
          <w:p w14:paraId="564CB33D" w14:textId="77777777" w:rsidR="00217A61" w:rsidRDefault="001C2695">
            <w:pPr>
              <w:spacing w:beforeAutospacing="1" w:afterAutospacing="1"/>
              <w:jc w:val="right"/>
            </w:pPr>
            <w:r>
              <w:rPr>
                <w:color w:val="000000"/>
              </w:rPr>
              <w:t>1,088,889</w:t>
            </w:r>
          </w:p>
        </w:tc>
        <w:tc>
          <w:tcPr>
            <w:tcW w:w="1074" w:type="dxa"/>
            <w:vAlign w:val="bottom"/>
          </w:tcPr>
          <w:p w14:paraId="57851ACD" w14:textId="77777777" w:rsidR="00217A61" w:rsidRDefault="001C2695">
            <w:pPr>
              <w:spacing w:beforeAutospacing="1" w:afterAutospacing="1"/>
              <w:jc w:val="right"/>
            </w:pPr>
            <w:r>
              <w:rPr>
                <w:color w:val="000000"/>
              </w:rPr>
              <w:t>40%</w:t>
            </w:r>
          </w:p>
        </w:tc>
        <w:tc>
          <w:tcPr>
            <w:tcW w:w="1074" w:type="dxa"/>
            <w:vAlign w:val="bottom"/>
          </w:tcPr>
          <w:p w14:paraId="28621D0A" w14:textId="77777777" w:rsidR="00217A61" w:rsidRDefault="001C2695">
            <w:pPr>
              <w:spacing w:beforeAutospacing="1" w:afterAutospacing="1"/>
              <w:jc w:val="right"/>
            </w:pPr>
            <w:r>
              <w:rPr>
                <w:color w:val="000000"/>
              </w:rPr>
              <w:t>655,735</w:t>
            </w:r>
          </w:p>
        </w:tc>
        <w:tc>
          <w:tcPr>
            <w:tcW w:w="1074" w:type="dxa"/>
            <w:vAlign w:val="bottom"/>
          </w:tcPr>
          <w:p w14:paraId="5700D80E" w14:textId="77777777" w:rsidR="00217A61" w:rsidRDefault="001C2695">
            <w:pPr>
              <w:spacing w:beforeAutospacing="1" w:afterAutospacing="1"/>
              <w:jc w:val="right"/>
            </w:pPr>
            <w:r>
              <w:rPr>
                <w:color w:val="000000"/>
              </w:rPr>
              <w:t>45%</w:t>
            </w:r>
          </w:p>
        </w:tc>
      </w:tr>
    </w:tbl>
    <w:p w14:paraId="41C53413" w14:textId="77777777" w:rsidR="00217A61" w:rsidRDefault="00217A61">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1052"/>
        <w:gridCol w:w="1052"/>
        <w:gridCol w:w="1052"/>
        <w:gridCol w:w="1052"/>
      </w:tblGrid>
      <w:tr w:rsidR="00217A61" w14:paraId="0D4F84A1" w14:textId="77777777">
        <w:trPr>
          <w:cantSplit/>
          <w:hidden/>
        </w:trPr>
        <w:tc>
          <w:tcPr>
            <w:tcW w:w="5314" w:type="dxa"/>
            <w:tcBorders>
              <w:top w:val="nil"/>
            </w:tcBorders>
          </w:tcPr>
          <w:p w14:paraId="456BA3C7" w14:textId="77777777" w:rsidR="00217A61" w:rsidRDefault="00217A61">
            <w:pPr>
              <w:keepNext/>
              <w:widowControl w:val="0"/>
              <w:spacing w:after="0" w:line="240" w:lineRule="auto"/>
              <w:rPr>
                <w:vanish/>
              </w:rPr>
            </w:pPr>
          </w:p>
        </w:tc>
        <w:tc>
          <w:tcPr>
            <w:tcW w:w="1080" w:type="dxa"/>
            <w:tcBorders>
              <w:top w:val="nil"/>
            </w:tcBorders>
          </w:tcPr>
          <w:p w14:paraId="4D76F231" w14:textId="77777777" w:rsidR="00217A61" w:rsidRDefault="00217A61">
            <w:pPr>
              <w:keepNext/>
              <w:widowControl w:val="0"/>
              <w:spacing w:after="0" w:line="240" w:lineRule="auto"/>
              <w:rPr>
                <w:vanish/>
              </w:rPr>
            </w:pPr>
          </w:p>
        </w:tc>
        <w:tc>
          <w:tcPr>
            <w:tcW w:w="1080" w:type="dxa"/>
            <w:tcBorders>
              <w:top w:val="nil"/>
            </w:tcBorders>
          </w:tcPr>
          <w:p w14:paraId="67362707" w14:textId="77777777" w:rsidR="00217A61" w:rsidRDefault="00217A61">
            <w:pPr>
              <w:keepNext/>
              <w:widowControl w:val="0"/>
              <w:spacing w:after="0" w:line="240" w:lineRule="auto"/>
              <w:rPr>
                <w:vanish/>
              </w:rPr>
            </w:pPr>
          </w:p>
        </w:tc>
        <w:tc>
          <w:tcPr>
            <w:tcW w:w="1080" w:type="dxa"/>
            <w:tcBorders>
              <w:top w:val="nil"/>
            </w:tcBorders>
          </w:tcPr>
          <w:p w14:paraId="23842098" w14:textId="77777777" w:rsidR="00217A61" w:rsidRDefault="00217A61">
            <w:pPr>
              <w:keepNext/>
              <w:widowControl w:val="0"/>
              <w:spacing w:after="0" w:line="240" w:lineRule="auto"/>
              <w:rPr>
                <w:vanish/>
              </w:rPr>
            </w:pPr>
          </w:p>
        </w:tc>
        <w:tc>
          <w:tcPr>
            <w:tcW w:w="1080" w:type="dxa"/>
            <w:tcBorders>
              <w:top w:val="nil"/>
            </w:tcBorders>
          </w:tcPr>
          <w:p w14:paraId="1EE33406" w14:textId="77777777" w:rsidR="00217A61" w:rsidRDefault="00217A61">
            <w:pPr>
              <w:keepNext/>
              <w:widowControl w:val="0"/>
              <w:spacing w:after="0" w:line="240" w:lineRule="auto"/>
              <w:rPr>
                <w:vanish/>
              </w:rPr>
            </w:pPr>
          </w:p>
        </w:tc>
      </w:tr>
      <w:tr w:rsidR="00217A61" w14:paraId="6D809C04" w14:textId="77777777">
        <w:trPr>
          <w:cantSplit/>
        </w:trPr>
        <w:tc>
          <w:tcPr>
            <w:tcW w:w="5280" w:type="dxa"/>
          </w:tcPr>
          <w:p w14:paraId="3E9FBBAD" w14:textId="77777777" w:rsidR="00217A61" w:rsidRDefault="001C2695">
            <w:pPr>
              <w:spacing w:beforeAutospacing="1" w:afterAutospacing="1"/>
            </w:pPr>
            <w:r>
              <w:rPr>
                <w:color w:val="000000"/>
              </w:rPr>
              <w:t>Housing Units build before 1980 with children present</w:t>
            </w:r>
          </w:p>
        </w:tc>
        <w:tc>
          <w:tcPr>
            <w:tcW w:w="1074" w:type="dxa"/>
            <w:vAlign w:val="bottom"/>
          </w:tcPr>
          <w:p w14:paraId="10EFB59D" w14:textId="77777777" w:rsidR="00217A61" w:rsidRDefault="001C2695">
            <w:pPr>
              <w:spacing w:beforeAutospacing="1" w:afterAutospacing="1"/>
              <w:jc w:val="right"/>
            </w:pPr>
            <w:r>
              <w:rPr>
                <w:color w:val="000000"/>
              </w:rPr>
              <w:t>397,505</w:t>
            </w:r>
          </w:p>
        </w:tc>
        <w:tc>
          <w:tcPr>
            <w:tcW w:w="1074" w:type="dxa"/>
            <w:vAlign w:val="bottom"/>
          </w:tcPr>
          <w:p w14:paraId="571712BD" w14:textId="77777777" w:rsidR="00217A61" w:rsidRDefault="001C2695">
            <w:pPr>
              <w:spacing w:beforeAutospacing="1" w:afterAutospacing="1"/>
              <w:jc w:val="right"/>
            </w:pPr>
            <w:r>
              <w:rPr>
                <w:color w:val="000000"/>
              </w:rPr>
              <w:t>15%</w:t>
            </w:r>
          </w:p>
        </w:tc>
        <w:tc>
          <w:tcPr>
            <w:tcW w:w="1074" w:type="dxa"/>
            <w:vAlign w:val="bottom"/>
          </w:tcPr>
          <w:p w14:paraId="2B36BA2C" w14:textId="77777777" w:rsidR="00217A61" w:rsidRDefault="001C2695">
            <w:pPr>
              <w:spacing w:beforeAutospacing="1" w:afterAutospacing="1"/>
              <w:jc w:val="right"/>
            </w:pPr>
            <w:r>
              <w:rPr>
                <w:color w:val="000000"/>
              </w:rPr>
              <w:t>240,155</w:t>
            </w:r>
          </w:p>
        </w:tc>
        <w:tc>
          <w:tcPr>
            <w:tcW w:w="1074" w:type="dxa"/>
            <w:vAlign w:val="bottom"/>
          </w:tcPr>
          <w:p w14:paraId="6D90F7D5" w14:textId="77777777" w:rsidR="00217A61" w:rsidRDefault="001C2695">
            <w:pPr>
              <w:spacing w:beforeAutospacing="1" w:afterAutospacing="1"/>
              <w:jc w:val="right"/>
            </w:pPr>
            <w:r>
              <w:rPr>
                <w:color w:val="000000"/>
              </w:rPr>
              <w:t>16%</w:t>
            </w:r>
          </w:p>
        </w:tc>
      </w:tr>
    </w:tbl>
    <w:p w14:paraId="79EE262F"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Risk of Lead-Based Paint</w:t>
      </w:r>
    </w:p>
    <w:tbl>
      <w:tblPr>
        <w:tblW w:w="5000" w:type="pct"/>
        <w:tblInd w:w="115" w:type="dxa"/>
        <w:tblLook w:val="01E0" w:firstRow="1" w:lastRow="1" w:firstColumn="1" w:lastColumn="1" w:noHBand="0" w:noVBand="0"/>
      </w:tblPr>
      <w:tblGrid>
        <w:gridCol w:w="1063"/>
        <w:gridCol w:w="8297"/>
      </w:tblGrid>
      <w:tr w:rsidR="00217A61" w14:paraId="2CCD8C7B" w14:textId="77777777">
        <w:trPr>
          <w:cantSplit/>
        </w:trPr>
        <w:tc>
          <w:tcPr>
            <w:tcW w:w="1073" w:type="dxa"/>
          </w:tcPr>
          <w:p w14:paraId="403BC618" w14:textId="77777777" w:rsidR="00217A61" w:rsidRDefault="001C2695">
            <w:pPr>
              <w:spacing w:after="0" w:line="240" w:lineRule="auto"/>
              <w:rPr>
                <w:rFonts w:cs="Arial"/>
                <w:sz w:val="16"/>
                <w:szCs w:val="16"/>
              </w:rPr>
            </w:pPr>
            <w:r>
              <w:rPr>
                <w:b/>
                <w:bCs/>
                <w:sz w:val="16"/>
                <w:szCs w:val="16"/>
              </w:rPr>
              <w:t>Data Source:</w:t>
            </w:r>
          </w:p>
        </w:tc>
        <w:tc>
          <w:tcPr>
            <w:tcW w:w="8503" w:type="dxa"/>
          </w:tcPr>
          <w:p w14:paraId="502B6BA6" w14:textId="77777777" w:rsidR="00217A61" w:rsidRDefault="001C2695">
            <w:pPr>
              <w:spacing w:beforeAutospacing="1" w:afterAutospacing="1"/>
              <w:rPr>
                <w:rFonts w:cs="Arial"/>
                <w:sz w:val="16"/>
                <w:szCs w:val="16"/>
              </w:rPr>
            </w:pPr>
            <w:r>
              <w:rPr>
                <w:rFonts w:cs="Arial"/>
                <w:sz w:val="16"/>
                <w:szCs w:val="16"/>
              </w:rPr>
              <w:t>2011-2015 ACS (Total Units) 2011-2015 CHAS (Units with Children present)</w:t>
            </w:r>
          </w:p>
        </w:tc>
      </w:tr>
    </w:tbl>
    <w:p w14:paraId="649327F8" w14:textId="77777777" w:rsidR="00217A61" w:rsidRDefault="00217A61">
      <w:pPr>
        <w:rPr>
          <w:vanish/>
        </w:rPr>
      </w:pPr>
    </w:p>
    <w:p w14:paraId="7C713466" w14:textId="77777777" w:rsidR="00217A61" w:rsidRDefault="00217A61">
      <w:pPr>
        <w:rPr>
          <w:b/>
          <w:bCs/>
          <w:vanish/>
          <w:sz w:val="16"/>
          <w:szCs w:val="16"/>
        </w:rPr>
      </w:pPr>
    </w:p>
    <w:p w14:paraId="1DF42F0F" w14:textId="77777777" w:rsidR="00217A61" w:rsidRDefault="00217A61">
      <w:pPr>
        <w:spacing w:after="0" w:line="240" w:lineRule="auto"/>
      </w:pPr>
    </w:p>
    <w:p w14:paraId="3BBE0B9F" w14:textId="77777777" w:rsidR="00217A61" w:rsidRDefault="00217A61">
      <w:pPr>
        <w:spacing w:after="0" w:line="240" w:lineRule="auto"/>
      </w:pPr>
    </w:p>
    <w:p w14:paraId="04D09CF2" w14:textId="77777777" w:rsidR="00217A61" w:rsidRDefault="001C2695">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2003"/>
        <w:gridCol w:w="2003"/>
        <w:gridCol w:w="1981"/>
      </w:tblGrid>
      <w:tr w:rsidR="00217A61" w14:paraId="607F17FF" w14:textId="77777777">
        <w:trPr>
          <w:cantSplit/>
          <w:tblHeader/>
        </w:trPr>
        <w:tc>
          <w:tcPr>
            <w:tcW w:w="3420" w:type="dxa"/>
          </w:tcPr>
          <w:p w14:paraId="52219CA5" w14:textId="77777777" w:rsidR="00217A61" w:rsidRDefault="00217A61">
            <w:pPr>
              <w:keepNext/>
              <w:widowControl w:val="0"/>
              <w:spacing w:after="0" w:line="240" w:lineRule="auto"/>
              <w:jc w:val="center"/>
              <w:rPr>
                <w:b/>
                <w:i/>
              </w:rPr>
            </w:pPr>
          </w:p>
        </w:tc>
        <w:tc>
          <w:tcPr>
            <w:tcW w:w="2016" w:type="dxa"/>
          </w:tcPr>
          <w:p w14:paraId="6E8350A3" w14:textId="77777777" w:rsidR="00217A61" w:rsidRDefault="001C2695">
            <w:pPr>
              <w:keepNext/>
              <w:widowControl w:val="0"/>
              <w:spacing w:after="0" w:line="240" w:lineRule="auto"/>
              <w:jc w:val="center"/>
              <w:rPr>
                <w:b/>
                <w:i/>
              </w:rPr>
            </w:pPr>
            <w:r>
              <w:rPr>
                <w:b/>
              </w:rPr>
              <w:t>Suitable for Rehabilitation</w:t>
            </w:r>
          </w:p>
        </w:tc>
        <w:tc>
          <w:tcPr>
            <w:tcW w:w="2016" w:type="dxa"/>
          </w:tcPr>
          <w:p w14:paraId="3EB9703B" w14:textId="77777777" w:rsidR="00217A61" w:rsidRDefault="001C2695">
            <w:pPr>
              <w:keepNext/>
              <w:widowControl w:val="0"/>
              <w:spacing w:after="0" w:line="240" w:lineRule="auto"/>
              <w:jc w:val="center"/>
              <w:rPr>
                <w:b/>
                <w:i/>
              </w:rPr>
            </w:pPr>
            <w:r>
              <w:rPr>
                <w:b/>
              </w:rPr>
              <w:t>Not Suitable for Rehabilitation</w:t>
            </w:r>
          </w:p>
        </w:tc>
        <w:tc>
          <w:tcPr>
            <w:tcW w:w="2016" w:type="dxa"/>
          </w:tcPr>
          <w:p w14:paraId="6B135A60" w14:textId="77777777" w:rsidR="00217A61" w:rsidRDefault="001C2695">
            <w:pPr>
              <w:keepNext/>
              <w:widowControl w:val="0"/>
              <w:spacing w:after="0" w:line="240" w:lineRule="auto"/>
              <w:jc w:val="center"/>
              <w:rPr>
                <w:b/>
                <w:i/>
              </w:rPr>
            </w:pPr>
            <w:r>
              <w:rPr>
                <w:b/>
              </w:rPr>
              <w:t>Total</w:t>
            </w:r>
          </w:p>
        </w:tc>
      </w:tr>
      <w:tr w:rsidR="00217A61" w14:paraId="02EB089D" w14:textId="77777777">
        <w:trPr>
          <w:cantSplit/>
        </w:trPr>
        <w:tc>
          <w:tcPr>
            <w:tcW w:w="0" w:type="auto"/>
          </w:tcPr>
          <w:p w14:paraId="06C88D0C" w14:textId="77777777" w:rsidR="00217A61" w:rsidRDefault="001C2695">
            <w:pPr>
              <w:spacing w:beforeAutospacing="1" w:afterAutospacing="1"/>
            </w:pPr>
            <w:r>
              <w:rPr>
                <w:color w:val="000000"/>
              </w:rPr>
              <w:t>Vacant Units</w:t>
            </w:r>
          </w:p>
        </w:tc>
        <w:tc>
          <w:tcPr>
            <w:tcW w:w="0" w:type="auto"/>
            <w:vAlign w:val="bottom"/>
          </w:tcPr>
          <w:p w14:paraId="56D7BF0E" w14:textId="77777777" w:rsidR="00217A61" w:rsidRDefault="001C2695">
            <w:pPr>
              <w:spacing w:beforeAutospacing="1" w:afterAutospacing="1"/>
              <w:jc w:val="right"/>
            </w:pPr>
            <w:r>
              <w:rPr>
                <w:color w:val="000000"/>
              </w:rPr>
              <w:t>0</w:t>
            </w:r>
          </w:p>
        </w:tc>
        <w:tc>
          <w:tcPr>
            <w:tcW w:w="0" w:type="auto"/>
            <w:vAlign w:val="bottom"/>
          </w:tcPr>
          <w:p w14:paraId="2DC950AE" w14:textId="77777777" w:rsidR="00217A61" w:rsidRDefault="001C2695">
            <w:pPr>
              <w:spacing w:beforeAutospacing="1" w:afterAutospacing="1"/>
              <w:jc w:val="right"/>
            </w:pPr>
            <w:r>
              <w:rPr>
                <w:color w:val="000000"/>
              </w:rPr>
              <w:t>0</w:t>
            </w:r>
          </w:p>
        </w:tc>
        <w:tc>
          <w:tcPr>
            <w:tcW w:w="0" w:type="auto"/>
            <w:vAlign w:val="bottom"/>
          </w:tcPr>
          <w:p w14:paraId="1F28FFD3" w14:textId="77777777" w:rsidR="00217A61" w:rsidRDefault="001C2695">
            <w:pPr>
              <w:spacing w:beforeAutospacing="1" w:afterAutospacing="1"/>
              <w:jc w:val="right"/>
            </w:pPr>
            <w:r>
              <w:rPr>
                <w:color w:val="000000"/>
              </w:rPr>
              <w:t>0</w:t>
            </w:r>
          </w:p>
        </w:tc>
      </w:tr>
      <w:tr w:rsidR="00217A61" w14:paraId="60A010A9" w14:textId="77777777">
        <w:trPr>
          <w:cantSplit/>
        </w:trPr>
        <w:tc>
          <w:tcPr>
            <w:tcW w:w="0" w:type="auto"/>
          </w:tcPr>
          <w:p w14:paraId="0DB6230A" w14:textId="77777777" w:rsidR="00217A61" w:rsidRDefault="001C2695">
            <w:pPr>
              <w:spacing w:beforeAutospacing="1" w:afterAutospacing="1"/>
            </w:pPr>
            <w:r>
              <w:rPr>
                <w:color w:val="000000"/>
              </w:rPr>
              <w:t>Abandoned Vacant Units</w:t>
            </w:r>
          </w:p>
        </w:tc>
        <w:tc>
          <w:tcPr>
            <w:tcW w:w="0" w:type="auto"/>
            <w:vAlign w:val="bottom"/>
          </w:tcPr>
          <w:p w14:paraId="1F6AEC5C" w14:textId="77777777" w:rsidR="00217A61" w:rsidRDefault="001C2695">
            <w:pPr>
              <w:spacing w:beforeAutospacing="1" w:afterAutospacing="1"/>
              <w:jc w:val="right"/>
            </w:pPr>
            <w:r>
              <w:rPr>
                <w:color w:val="000000"/>
              </w:rPr>
              <w:t>0</w:t>
            </w:r>
          </w:p>
        </w:tc>
        <w:tc>
          <w:tcPr>
            <w:tcW w:w="0" w:type="auto"/>
            <w:vAlign w:val="bottom"/>
          </w:tcPr>
          <w:p w14:paraId="63FA58F7" w14:textId="77777777" w:rsidR="00217A61" w:rsidRDefault="001C2695">
            <w:pPr>
              <w:spacing w:beforeAutospacing="1" w:afterAutospacing="1"/>
              <w:jc w:val="right"/>
            </w:pPr>
            <w:r>
              <w:rPr>
                <w:color w:val="000000"/>
              </w:rPr>
              <w:t>0</w:t>
            </w:r>
          </w:p>
        </w:tc>
        <w:tc>
          <w:tcPr>
            <w:tcW w:w="0" w:type="auto"/>
            <w:vAlign w:val="bottom"/>
          </w:tcPr>
          <w:p w14:paraId="1633E9E1" w14:textId="77777777" w:rsidR="00217A61" w:rsidRDefault="001C2695">
            <w:pPr>
              <w:spacing w:beforeAutospacing="1" w:afterAutospacing="1"/>
              <w:jc w:val="right"/>
            </w:pPr>
            <w:r>
              <w:rPr>
                <w:color w:val="000000"/>
              </w:rPr>
              <w:t>0</w:t>
            </w:r>
          </w:p>
        </w:tc>
      </w:tr>
      <w:tr w:rsidR="00217A61" w14:paraId="7A815740" w14:textId="77777777">
        <w:trPr>
          <w:cantSplit/>
        </w:trPr>
        <w:tc>
          <w:tcPr>
            <w:tcW w:w="0" w:type="auto"/>
          </w:tcPr>
          <w:p w14:paraId="77AC1EE0" w14:textId="77777777" w:rsidR="00217A61" w:rsidRDefault="001C2695">
            <w:pPr>
              <w:spacing w:beforeAutospacing="1" w:afterAutospacing="1"/>
            </w:pPr>
            <w:r>
              <w:rPr>
                <w:color w:val="000000"/>
              </w:rPr>
              <w:t>REO Properties</w:t>
            </w:r>
          </w:p>
        </w:tc>
        <w:tc>
          <w:tcPr>
            <w:tcW w:w="0" w:type="auto"/>
            <w:vAlign w:val="bottom"/>
          </w:tcPr>
          <w:p w14:paraId="21295E67" w14:textId="77777777" w:rsidR="00217A61" w:rsidRDefault="001C2695">
            <w:pPr>
              <w:spacing w:beforeAutospacing="1" w:afterAutospacing="1"/>
              <w:jc w:val="right"/>
            </w:pPr>
            <w:r>
              <w:rPr>
                <w:color w:val="000000"/>
              </w:rPr>
              <w:t>0</w:t>
            </w:r>
          </w:p>
        </w:tc>
        <w:tc>
          <w:tcPr>
            <w:tcW w:w="0" w:type="auto"/>
            <w:vAlign w:val="bottom"/>
          </w:tcPr>
          <w:p w14:paraId="4B1765F7" w14:textId="77777777" w:rsidR="00217A61" w:rsidRDefault="001C2695">
            <w:pPr>
              <w:spacing w:beforeAutospacing="1" w:afterAutospacing="1"/>
              <w:jc w:val="right"/>
            </w:pPr>
            <w:r>
              <w:rPr>
                <w:color w:val="000000"/>
              </w:rPr>
              <w:t>0</w:t>
            </w:r>
          </w:p>
        </w:tc>
        <w:tc>
          <w:tcPr>
            <w:tcW w:w="0" w:type="auto"/>
            <w:vAlign w:val="bottom"/>
          </w:tcPr>
          <w:p w14:paraId="5BAF98AF" w14:textId="77777777" w:rsidR="00217A61" w:rsidRDefault="001C2695">
            <w:pPr>
              <w:spacing w:beforeAutospacing="1" w:afterAutospacing="1"/>
              <w:jc w:val="right"/>
            </w:pPr>
            <w:r>
              <w:rPr>
                <w:color w:val="000000"/>
              </w:rPr>
              <w:t>0</w:t>
            </w:r>
          </w:p>
        </w:tc>
      </w:tr>
      <w:tr w:rsidR="00217A61" w14:paraId="1599E95C" w14:textId="77777777">
        <w:trPr>
          <w:cantSplit/>
        </w:trPr>
        <w:tc>
          <w:tcPr>
            <w:tcW w:w="0" w:type="auto"/>
          </w:tcPr>
          <w:p w14:paraId="4EFD1EBF" w14:textId="77777777" w:rsidR="00217A61" w:rsidRDefault="001C2695">
            <w:pPr>
              <w:spacing w:beforeAutospacing="1" w:afterAutospacing="1"/>
            </w:pPr>
            <w:r>
              <w:rPr>
                <w:color w:val="000000"/>
              </w:rPr>
              <w:t>Abandoned REO Properties</w:t>
            </w:r>
          </w:p>
        </w:tc>
        <w:tc>
          <w:tcPr>
            <w:tcW w:w="0" w:type="auto"/>
            <w:vAlign w:val="bottom"/>
          </w:tcPr>
          <w:p w14:paraId="5F915FD3" w14:textId="77777777" w:rsidR="00217A61" w:rsidRDefault="001C2695">
            <w:pPr>
              <w:spacing w:beforeAutospacing="1" w:afterAutospacing="1"/>
              <w:jc w:val="right"/>
            </w:pPr>
            <w:r>
              <w:rPr>
                <w:color w:val="000000"/>
              </w:rPr>
              <w:t>0</w:t>
            </w:r>
          </w:p>
        </w:tc>
        <w:tc>
          <w:tcPr>
            <w:tcW w:w="0" w:type="auto"/>
            <w:vAlign w:val="bottom"/>
          </w:tcPr>
          <w:p w14:paraId="671604B5" w14:textId="77777777" w:rsidR="00217A61" w:rsidRDefault="001C2695">
            <w:pPr>
              <w:spacing w:beforeAutospacing="1" w:afterAutospacing="1"/>
              <w:jc w:val="right"/>
            </w:pPr>
            <w:r>
              <w:rPr>
                <w:color w:val="000000"/>
              </w:rPr>
              <w:t>0</w:t>
            </w:r>
          </w:p>
        </w:tc>
        <w:tc>
          <w:tcPr>
            <w:tcW w:w="0" w:type="auto"/>
            <w:vAlign w:val="bottom"/>
          </w:tcPr>
          <w:p w14:paraId="52BF728A" w14:textId="77777777" w:rsidR="00217A61" w:rsidRDefault="001C2695">
            <w:pPr>
              <w:spacing w:beforeAutospacing="1" w:afterAutospacing="1"/>
              <w:jc w:val="right"/>
            </w:pPr>
            <w:r>
              <w:rPr>
                <w:color w:val="000000"/>
              </w:rPr>
              <w:t>0</w:t>
            </w:r>
          </w:p>
        </w:tc>
      </w:tr>
    </w:tbl>
    <w:p w14:paraId="4C9A1E00"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Vacant Units</w:t>
      </w:r>
    </w:p>
    <w:tbl>
      <w:tblPr>
        <w:tblW w:w="5000" w:type="pct"/>
        <w:tblInd w:w="115" w:type="dxa"/>
        <w:tblLook w:val="01E0" w:firstRow="1" w:lastRow="1" w:firstColumn="1" w:lastColumn="1" w:noHBand="0" w:noVBand="0"/>
      </w:tblPr>
      <w:tblGrid>
        <w:gridCol w:w="1064"/>
        <w:gridCol w:w="8296"/>
      </w:tblGrid>
      <w:tr w:rsidR="00217A61" w14:paraId="4CBD4A8C" w14:textId="77777777">
        <w:trPr>
          <w:cantSplit/>
        </w:trPr>
        <w:tc>
          <w:tcPr>
            <w:tcW w:w="1073" w:type="dxa"/>
          </w:tcPr>
          <w:p w14:paraId="4F7DCCF3" w14:textId="77777777" w:rsidR="00217A61" w:rsidRDefault="001C2695">
            <w:pPr>
              <w:spacing w:after="0" w:line="240" w:lineRule="auto"/>
              <w:rPr>
                <w:rFonts w:cs="Arial"/>
                <w:sz w:val="16"/>
                <w:szCs w:val="16"/>
              </w:rPr>
            </w:pPr>
            <w:r>
              <w:rPr>
                <w:b/>
                <w:bCs/>
                <w:sz w:val="16"/>
                <w:szCs w:val="16"/>
              </w:rPr>
              <w:t>Data Source:</w:t>
            </w:r>
          </w:p>
        </w:tc>
        <w:tc>
          <w:tcPr>
            <w:tcW w:w="8503" w:type="dxa"/>
          </w:tcPr>
          <w:p w14:paraId="282C7626" w14:textId="77777777" w:rsidR="00217A61" w:rsidRDefault="001C2695">
            <w:pPr>
              <w:spacing w:beforeAutospacing="1" w:afterAutospacing="1"/>
              <w:rPr>
                <w:rFonts w:cs="Arial"/>
                <w:sz w:val="16"/>
                <w:szCs w:val="16"/>
              </w:rPr>
            </w:pPr>
            <w:r>
              <w:rPr>
                <w:rFonts w:cs="Arial"/>
                <w:sz w:val="16"/>
                <w:szCs w:val="16"/>
              </w:rPr>
              <w:t>2005-2009 CHAS</w:t>
            </w:r>
          </w:p>
        </w:tc>
      </w:tr>
    </w:tbl>
    <w:p w14:paraId="14E1C649" w14:textId="77777777" w:rsidR="00217A61" w:rsidRDefault="00217A61">
      <w:pPr>
        <w:rPr>
          <w:vanish/>
        </w:rPr>
      </w:pPr>
    </w:p>
    <w:p w14:paraId="3480A7CD" w14:textId="77777777" w:rsidR="00217A61" w:rsidRDefault="00217A61">
      <w:pPr>
        <w:rPr>
          <w:b/>
          <w:bCs/>
          <w:vanish/>
          <w:sz w:val="16"/>
          <w:szCs w:val="16"/>
        </w:rPr>
      </w:pPr>
    </w:p>
    <w:p w14:paraId="46B22FAD" w14:textId="77777777" w:rsidR="00217A61" w:rsidRDefault="00217A61">
      <w:pPr>
        <w:spacing w:after="0" w:line="240" w:lineRule="auto"/>
      </w:pPr>
    </w:p>
    <w:p w14:paraId="3CDBCF46" w14:textId="77777777" w:rsidR="00217A61" w:rsidRDefault="00217A61">
      <w:pPr>
        <w:spacing w:after="0" w:line="240" w:lineRule="auto"/>
      </w:pPr>
    </w:p>
    <w:p w14:paraId="57AB7896" w14:textId="77777777" w:rsidR="00217A61" w:rsidRDefault="001C2695">
      <w:pPr>
        <w:rPr>
          <w:b/>
          <w:sz w:val="24"/>
          <w:szCs w:val="24"/>
        </w:rPr>
      </w:pPr>
      <w:r>
        <w:rPr>
          <w:b/>
          <w:sz w:val="24"/>
          <w:szCs w:val="24"/>
        </w:rPr>
        <w:t>Need for Owner and Rental Rehabilitation</w:t>
      </w:r>
    </w:p>
    <w:p w14:paraId="683DE942" w14:textId="77777777" w:rsidR="00217A61" w:rsidRDefault="001C2695">
      <w:pPr>
        <w:spacing w:beforeAutospacing="1" w:afterAutospacing="1"/>
        <w:rPr>
          <w:rFonts w:cs="Arial"/>
          <w:szCs w:val="26"/>
        </w:rPr>
      </w:pPr>
      <w:r>
        <w:rPr>
          <w:rFonts w:cs="Arial"/>
        </w:rPr>
        <w:t>Owner and rental rehabilitation are necessary to improve accessibility, enhance residential stability, and remove health hazards. Almost a third of housing units in North Carolina have at least one problem - incomplete kitchen facilities, incomplete plumbi</w:t>
      </w:r>
      <w:r>
        <w:rPr>
          <w:rFonts w:cs="Arial"/>
        </w:rPr>
        <w:t>ng facilities, overcrowding or cost-burden. Renter-occupied housing in particular needs rehabilitation – 40% of rental units have at least one problem and 46% were built before 1980. Lower-income households are more likely to live in a unit with housing pr</w:t>
      </w:r>
      <w:r>
        <w:rPr>
          <w:rFonts w:cs="Arial"/>
        </w:rPr>
        <w:t xml:space="preserve">oblems. According to CHAS data, 75% of owners and renters earning 30% of area median income or </w:t>
      </w:r>
      <w:r>
        <w:rPr>
          <w:rFonts w:cs="Arial"/>
        </w:rPr>
        <w:lastRenderedPageBreak/>
        <w:t>less have at least one housing problem. It is likely owners and landlords may not have enough financial resources to make repairs.</w:t>
      </w:r>
    </w:p>
    <w:p w14:paraId="2A2A6FDB" w14:textId="77777777" w:rsidR="00217A61" w:rsidRDefault="001C2695">
      <w:pPr>
        <w:spacing w:beforeAutospacing="1" w:afterAutospacing="1"/>
        <w:rPr>
          <w:rFonts w:cs="Arial"/>
          <w:szCs w:val="26"/>
        </w:rPr>
      </w:pPr>
      <w:r>
        <w:rPr>
          <w:rFonts w:cs="Arial"/>
        </w:rPr>
        <w:t>The physical and financial bur</w:t>
      </w:r>
      <w:r>
        <w:rPr>
          <w:rFonts w:cs="Arial"/>
        </w:rPr>
        <w:t>dens of home maintenance can be overwhelming for seniors, particularly those with limited income. Rehabilitation allows elderly residents to age in place, deferring the costs of institutional care. The population of North Carolina is aging with 50% of home</w:t>
      </w:r>
      <w:r>
        <w:rPr>
          <w:rFonts w:cs="Arial"/>
        </w:rPr>
        <w:t>owners and 25% of renters aged 55 or older. Thus, the need for rehabilitation will only increase across the state.</w:t>
      </w:r>
    </w:p>
    <w:p w14:paraId="3911E718" w14:textId="77777777" w:rsidR="00217A61" w:rsidRDefault="001C2695">
      <w:pPr>
        <w:rPr>
          <w:b/>
          <w:sz w:val="24"/>
          <w:szCs w:val="24"/>
        </w:rPr>
      </w:pPr>
      <w:r>
        <w:rPr>
          <w:b/>
          <w:sz w:val="24"/>
          <w:szCs w:val="24"/>
        </w:rPr>
        <w:t xml:space="preserve">Estimated Number of Housing Units Occupied by </w:t>
      </w:r>
      <w:proofErr w:type="gramStart"/>
      <w:r>
        <w:rPr>
          <w:b/>
          <w:sz w:val="24"/>
          <w:szCs w:val="24"/>
        </w:rPr>
        <w:t>Low or Moderate Income</w:t>
      </w:r>
      <w:proofErr w:type="gramEnd"/>
      <w:r>
        <w:rPr>
          <w:b/>
          <w:sz w:val="24"/>
          <w:szCs w:val="24"/>
        </w:rPr>
        <w:t xml:space="preserve"> Families with LBP Hazards</w:t>
      </w:r>
    </w:p>
    <w:p w14:paraId="7EDB68F2" w14:textId="77777777" w:rsidR="00217A61" w:rsidRDefault="001C2695">
      <w:pPr>
        <w:spacing w:beforeAutospacing="1" w:afterAutospacing="1"/>
        <w:rPr>
          <w:rFonts w:cs="Arial"/>
        </w:rPr>
      </w:pPr>
      <w:r>
        <w:rPr>
          <w:rFonts w:cs="Arial"/>
        </w:rPr>
        <w:t>Approximately 1.7 million homes in North Carol</w:t>
      </w:r>
      <w:r>
        <w:rPr>
          <w:rFonts w:cs="Arial"/>
        </w:rPr>
        <w:t>ina are at risk for lead-based paint hazards. Of those homes built before 1980, 31% have children present. The American Healthy Homes Survey that low-income households had a higher rate of lead-based paint risks (29%) than higher-income households (18%); g</w:t>
      </w:r>
      <w:r>
        <w:rPr>
          <w:rFonts w:cs="Arial"/>
        </w:rPr>
        <w:t xml:space="preserve">overnment-assisted households had a lower occurrence of LBP hazards (12%) compared to those not receiving subsidies (22%), and </w:t>
      </w:r>
      <w:proofErr w:type="gramStart"/>
      <w:r>
        <w:rPr>
          <w:rFonts w:cs="Arial"/>
        </w:rPr>
        <w:t>African-American</w:t>
      </w:r>
      <w:proofErr w:type="gramEnd"/>
      <w:r>
        <w:rPr>
          <w:rFonts w:cs="Arial"/>
        </w:rPr>
        <w:t xml:space="preserve"> households are more likely than white households to have lead-based paint hazards. Approximately, 1,640,000 Nort</w:t>
      </w:r>
      <w:r>
        <w:rPr>
          <w:rFonts w:cs="Arial"/>
        </w:rPr>
        <w:t xml:space="preserve">h Carolina households earn less than 80% </w:t>
      </w:r>
      <w:proofErr w:type="gramStart"/>
      <w:r>
        <w:rPr>
          <w:rFonts w:cs="Arial"/>
        </w:rPr>
        <w:t>AMI</w:t>
      </w:r>
      <w:proofErr w:type="gramEnd"/>
      <w:r>
        <w:rPr>
          <w:rFonts w:cs="Arial"/>
        </w:rPr>
        <w:t xml:space="preserve"> and it is likely that many are living in units with LBP hazards.</w:t>
      </w:r>
    </w:p>
    <w:p w14:paraId="4255F4F7" w14:textId="77777777" w:rsidR="00217A61" w:rsidRDefault="001C2695">
      <w:pPr>
        <w:spacing w:line="204" w:lineRule="auto"/>
        <w:rPr>
          <w:b/>
          <w:sz w:val="24"/>
          <w:szCs w:val="24"/>
        </w:rPr>
      </w:pPr>
      <w:r>
        <w:rPr>
          <w:b/>
          <w:sz w:val="24"/>
          <w:szCs w:val="24"/>
        </w:rPr>
        <w:t xml:space="preserve">Discussion: </w:t>
      </w:r>
    </w:p>
    <w:p w14:paraId="76A374AE" w14:textId="77777777" w:rsidR="00217A61" w:rsidRDefault="00217A61">
      <w:pPr>
        <w:spacing w:line="204" w:lineRule="auto"/>
        <w:rPr>
          <w:b/>
          <w:sz w:val="24"/>
          <w:szCs w:val="24"/>
        </w:rPr>
      </w:pPr>
    </w:p>
    <w:p w14:paraId="77C025F4" w14:textId="77777777" w:rsidR="00217A61" w:rsidRDefault="00217A61">
      <w:pPr>
        <w:rPr>
          <w:rFonts w:cs="Arial"/>
        </w:rPr>
      </w:pPr>
    </w:p>
    <w:p w14:paraId="217CED77" w14:textId="77777777" w:rsidR="00217A61" w:rsidRDefault="00217A61">
      <w:pPr>
        <w:pStyle w:val="Heading2"/>
        <w:pageBreakBefore/>
        <w:rPr>
          <w:rFonts w:ascii="Calibri" w:hAnsi="Calibri"/>
          <w:i w:val="0"/>
        </w:rPr>
        <w:sectPr w:rsidR="00217A61">
          <w:headerReference w:type="even" r:id="rId19"/>
          <w:headerReference w:type="default" r:id="rId20"/>
          <w:footerReference w:type="even" r:id="rId21"/>
          <w:headerReference w:type="first" r:id="rId22"/>
          <w:footerReference w:type="first" r:id="rId23"/>
          <w:pgSz w:w="12240" w:h="15840"/>
          <w:pgMar w:top="1440" w:right="1440" w:bottom="1440" w:left="1440" w:header="720" w:footer="720" w:gutter="0"/>
          <w:cols w:space="720"/>
          <w:docGrid w:linePitch="360"/>
        </w:sectPr>
      </w:pPr>
    </w:p>
    <w:p w14:paraId="50AEB064" w14:textId="77777777" w:rsidR="00217A61" w:rsidRDefault="001C2695">
      <w:pPr>
        <w:pStyle w:val="Heading2"/>
        <w:pageBreakBefore/>
        <w:rPr>
          <w:rFonts w:ascii="Calibri" w:hAnsi="Calibri"/>
          <w:i w:val="0"/>
        </w:rPr>
      </w:pPr>
      <w:r>
        <w:rPr>
          <w:rFonts w:ascii="Calibri" w:hAnsi="Calibri"/>
          <w:i w:val="0"/>
        </w:rPr>
        <w:lastRenderedPageBreak/>
        <w:t>MA-25 Public and Assisted Housing – (Optional)</w:t>
      </w:r>
    </w:p>
    <w:p w14:paraId="58B1D514" w14:textId="77777777" w:rsidR="00217A61" w:rsidRDefault="001C2695">
      <w:pPr>
        <w:spacing w:line="204" w:lineRule="auto"/>
        <w:rPr>
          <w:b/>
          <w:sz w:val="24"/>
          <w:szCs w:val="24"/>
        </w:rPr>
      </w:pPr>
      <w:r>
        <w:rPr>
          <w:b/>
          <w:sz w:val="24"/>
          <w:szCs w:val="24"/>
        </w:rPr>
        <w:t xml:space="preserve">Introduction: </w:t>
      </w:r>
    </w:p>
    <w:p w14:paraId="3948378F" w14:textId="77777777" w:rsidR="00217A61" w:rsidRDefault="001C2695">
      <w:pPr>
        <w:spacing w:beforeAutospacing="1" w:afterAutospacing="1"/>
        <w:rPr>
          <w:b/>
          <w:sz w:val="24"/>
          <w:szCs w:val="24"/>
        </w:rPr>
      </w:pPr>
      <w:r>
        <w:rPr>
          <w:rFonts w:cs="Arial"/>
        </w:rPr>
        <w:t>Not required in state-wide plan</w:t>
      </w:r>
    </w:p>
    <w:p w14:paraId="228833E1" w14:textId="77777777" w:rsidR="00217A61" w:rsidRDefault="001C2695">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921"/>
        <w:gridCol w:w="680"/>
        <w:gridCol w:w="831"/>
        <w:gridCol w:w="829"/>
        <w:gridCol w:w="760"/>
        <w:gridCol w:w="829"/>
        <w:gridCol w:w="974"/>
        <w:gridCol w:w="961"/>
        <w:gridCol w:w="812"/>
      </w:tblGrid>
      <w:tr w:rsidR="00217A61" w14:paraId="1A19CF3C" w14:textId="77777777">
        <w:trPr>
          <w:cantSplit/>
          <w:tblHeader/>
        </w:trPr>
        <w:tc>
          <w:tcPr>
            <w:tcW w:w="9576" w:type="dxa"/>
            <w:gridSpan w:val="10"/>
          </w:tcPr>
          <w:p w14:paraId="5E3B0ACA" w14:textId="77777777" w:rsidR="00217A61" w:rsidRDefault="001C2695">
            <w:pPr>
              <w:keepNext/>
              <w:widowControl w:val="0"/>
              <w:spacing w:after="0" w:line="240" w:lineRule="auto"/>
              <w:jc w:val="center"/>
              <w:rPr>
                <w:sz w:val="16"/>
                <w:szCs w:val="16"/>
              </w:rPr>
            </w:pPr>
            <w:r>
              <w:rPr>
                <w:rFonts w:cs="Arial"/>
                <w:b/>
                <w:sz w:val="16"/>
                <w:szCs w:val="16"/>
              </w:rPr>
              <w:t>Program Type</w:t>
            </w:r>
          </w:p>
        </w:tc>
      </w:tr>
      <w:tr w:rsidR="00217A61" w14:paraId="5C1A93B2" w14:textId="77777777">
        <w:trPr>
          <w:cantSplit/>
          <w:tblHeader/>
        </w:trPr>
        <w:tc>
          <w:tcPr>
            <w:tcW w:w="1830" w:type="dxa"/>
            <w:vMerge w:val="restart"/>
          </w:tcPr>
          <w:p w14:paraId="6B300131" w14:textId="77777777" w:rsidR="00217A61" w:rsidRDefault="00217A61">
            <w:pPr>
              <w:keepNext/>
              <w:widowControl w:val="0"/>
              <w:spacing w:after="0" w:line="240" w:lineRule="auto"/>
              <w:jc w:val="center"/>
              <w:rPr>
                <w:sz w:val="16"/>
                <w:szCs w:val="16"/>
              </w:rPr>
            </w:pPr>
          </w:p>
        </w:tc>
        <w:tc>
          <w:tcPr>
            <w:tcW w:w="947" w:type="dxa"/>
            <w:vMerge w:val="restart"/>
          </w:tcPr>
          <w:p w14:paraId="2BAAB12F" w14:textId="77777777" w:rsidR="00217A61" w:rsidRDefault="001C2695">
            <w:pPr>
              <w:keepNext/>
              <w:widowControl w:val="0"/>
              <w:spacing w:after="0" w:line="240" w:lineRule="auto"/>
              <w:jc w:val="center"/>
              <w:rPr>
                <w:sz w:val="16"/>
                <w:szCs w:val="16"/>
              </w:rPr>
            </w:pPr>
            <w:r>
              <w:rPr>
                <w:rFonts w:cs="Arial"/>
                <w:b/>
                <w:sz w:val="16"/>
                <w:szCs w:val="16"/>
              </w:rPr>
              <w:t>Certificate</w:t>
            </w:r>
          </w:p>
        </w:tc>
        <w:tc>
          <w:tcPr>
            <w:tcW w:w="745" w:type="dxa"/>
            <w:vMerge w:val="restart"/>
          </w:tcPr>
          <w:p w14:paraId="4E5C1FA1" w14:textId="77777777" w:rsidR="00217A61" w:rsidRDefault="001C2695">
            <w:pPr>
              <w:keepNext/>
              <w:widowControl w:val="0"/>
              <w:spacing w:after="0" w:line="240" w:lineRule="auto"/>
              <w:jc w:val="center"/>
              <w:rPr>
                <w:sz w:val="16"/>
                <w:szCs w:val="16"/>
              </w:rPr>
            </w:pPr>
            <w:r>
              <w:rPr>
                <w:rFonts w:cs="Arial"/>
                <w:b/>
                <w:sz w:val="16"/>
                <w:szCs w:val="16"/>
              </w:rPr>
              <w:t>Mod-Rehab</w:t>
            </w:r>
          </w:p>
        </w:tc>
        <w:tc>
          <w:tcPr>
            <w:tcW w:w="833" w:type="dxa"/>
            <w:vMerge w:val="restart"/>
          </w:tcPr>
          <w:p w14:paraId="3F364F3C" w14:textId="77777777" w:rsidR="00217A61" w:rsidRDefault="001C2695">
            <w:pPr>
              <w:keepNext/>
              <w:widowControl w:val="0"/>
              <w:spacing w:after="0" w:line="240" w:lineRule="auto"/>
              <w:jc w:val="center"/>
              <w:rPr>
                <w:sz w:val="16"/>
                <w:szCs w:val="16"/>
              </w:rPr>
            </w:pPr>
            <w:r>
              <w:rPr>
                <w:rFonts w:cs="Arial"/>
                <w:b/>
                <w:sz w:val="16"/>
                <w:szCs w:val="16"/>
              </w:rPr>
              <w:t>Public Housing</w:t>
            </w:r>
          </w:p>
        </w:tc>
        <w:tc>
          <w:tcPr>
            <w:tcW w:w="5221" w:type="dxa"/>
            <w:gridSpan w:val="6"/>
          </w:tcPr>
          <w:p w14:paraId="218A9248" w14:textId="77777777" w:rsidR="00217A61" w:rsidRDefault="001C2695">
            <w:pPr>
              <w:keepNext/>
              <w:widowControl w:val="0"/>
              <w:spacing w:after="0" w:line="240" w:lineRule="auto"/>
              <w:jc w:val="center"/>
              <w:rPr>
                <w:sz w:val="16"/>
                <w:szCs w:val="16"/>
              </w:rPr>
            </w:pPr>
            <w:r>
              <w:rPr>
                <w:rFonts w:cs="Arial"/>
                <w:b/>
                <w:sz w:val="16"/>
                <w:szCs w:val="16"/>
              </w:rPr>
              <w:t>Vouchers</w:t>
            </w:r>
          </w:p>
        </w:tc>
      </w:tr>
      <w:tr w:rsidR="00217A61" w14:paraId="5B33D5C8" w14:textId="77777777">
        <w:trPr>
          <w:cantSplit/>
          <w:tblHeader/>
        </w:trPr>
        <w:tc>
          <w:tcPr>
            <w:tcW w:w="1830" w:type="dxa"/>
            <w:vMerge/>
          </w:tcPr>
          <w:p w14:paraId="02A0EEB5" w14:textId="77777777" w:rsidR="00217A61" w:rsidRDefault="00217A61">
            <w:pPr>
              <w:keepNext/>
              <w:widowControl w:val="0"/>
              <w:spacing w:after="0" w:line="240" w:lineRule="auto"/>
              <w:jc w:val="center"/>
              <w:rPr>
                <w:sz w:val="16"/>
                <w:szCs w:val="16"/>
              </w:rPr>
            </w:pPr>
          </w:p>
        </w:tc>
        <w:tc>
          <w:tcPr>
            <w:tcW w:w="947" w:type="dxa"/>
            <w:vMerge/>
          </w:tcPr>
          <w:p w14:paraId="72F23D77" w14:textId="77777777" w:rsidR="00217A61" w:rsidRDefault="00217A61">
            <w:pPr>
              <w:keepNext/>
              <w:widowControl w:val="0"/>
              <w:spacing w:after="0" w:line="240" w:lineRule="auto"/>
              <w:jc w:val="center"/>
              <w:rPr>
                <w:sz w:val="16"/>
                <w:szCs w:val="16"/>
              </w:rPr>
            </w:pPr>
          </w:p>
        </w:tc>
        <w:tc>
          <w:tcPr>
            <w:tcW w:w="745" w:type="dxa"/>
            <w:vMerge/>
          </w:tcPr>
          <w:p w14:paraId="522CE269" w14:textId="77777777" w:rsidR="00217A61" w:rsidRDefault="00217A61">
            <w:pPr>
              <w:keepNext/>
              <w:widowControl w:val="0"/>
              <w:spacing w:after="0" w:line="240" w:lineRule="auto"/>
              <w:jc w:val="center"/>
              <w:rPr>
                <w:sz w:val="16"/>
                <w:szCs w:val="16"/>
              </w:rPr>
            </w:pPr>
          </w:p>
        </w:tc>
        <w:tc>
          <w:tcPr>
            <w:tcW w:w="833" w:type="dxa"/>
            <w:vMerge/>
          </w:tcPr>
          <w:p w14:paraId="1EF6C15F" w14:textId="77777777" w:rsidR="00217A61" w:rsidRDefault="00217A61">
            <w:pPr>
              <w:keepNext/>
              <w:widowControl w:val="0"/>
              <w:spacing w:after="0" w:line="240" w:lineRule="auto"/>
              <w:jc w:val="center"/>
              <w:rPr>
                <w:sz w:val="16"/>
                <w:szCs w:val="16"/>
              </w:rPr>
            </w:pPr>
          </w:p>
        </w:tc>
        <w:tc>
          <w:tcPr>
            <w:tcW w:w="726" w:type="dxa"/>
            <w:vMerge w:val="restart"/>
          </w:tcPr>
          <w:p w14:paraId="7B650A36" w14:textId="77777777" w:rsidR="00217A61" w:rsidRDefault="001C2695">
            <w:pPr>
              <w:keepNext/>
              <w:widowControl w:val="0"/>
              <w:spacing w:after="0" w:line="240" w:lineRule="auto"/>
              <w:jc w:val="center"/>
              <w:rPr>
                <w:sz w:val="16"/>
                <w:szCs w:val="16"/>
              </w:rPr>
            </w:pPr>
            <w:r>
              <w:rPr>
                <w:rFonts w:cs="Arial"/>
                <w:b/>
                <w:sz w:val="16"/>
                <w:szCs w:val="16"/>
              </w:rPr>
              <w:t>Total</w:t>
            </w:r>
          </w:p>
        </w:tc>
        <w:tc>
          <w:tcPr>
            <w:tcW w:w="827" w:type="dxa"/>
            <w:vMerge w:val="restart"/>
          </w:tcPr>
          <w:p w14:paraId="6E45BC5D" w14:textId="77777777" w:rsidR="00217A61" w:rsidRDefault="001C2695">
            <w:pPr>
              <w:keepNext/>
              <w:widowControl w:val="0"/>
              <w:spacing w:after="0" w:line="240" w:lineRule="auto"/>
              <w:jc w:val="center"/>
              <w:rPr>
                <w:sz w:val="16"/>
                <w:szCs w:val="16"/>
              </w:rPr>
            </w:pPr>
            <w:r>
              <w:rPr>
                <w:rFonts w:cs="Arial"/>
                <w:b/>
                <w:sz w:val="16"/>
                <w:szCs w:val="16"/>
              </w:rPr>
              <w:t>Project -based</w:t>
            </w:r>
          </w:p>
        </w:tc>
        <w:tc>
          <w:tcPr>
            <w:tcW w:w="822" w:type="dxa"/>
            <w:vMerge w:val="restart"/>
          </w:tcPr>
          <w:p w14:paraId="04583AA5" w14:textId="77777777" w:rsidR="00217A61" w:rsidRDefault="001C2695">
            <w:pPr>
              <w:keepNext/>
              <w:widowControl w:val="0"/>
              <w:spacing w:after="0" w:line="240" w:lineRule="auto"/>
              <w:jc w:val="center"/>
              <w:rPr>
                <w:rFonts w:cs="Arial"/>
                <w:b/>
                <w:sz w:val="16"/>
                <w:szCs w:val="16"/>
              </w:rPr>
            </w:pPr>
            <w:r>
              <w:rPr>
                <w:rFonts w:cs="Arial"/>
                <w:b/>
                <w:sz w:val="16"/>
                <w:szCs w:val="16"/>
              </w:rPr>
              <w:t>Tenant -</w:t>
            </w:r>
            <w:proofErr w:type="gramStart"/>
            <w:r>
              <w:rPr>
                <w:rFonts w:cs="Arial"/>
                <w:b/>
                <w:sz w:val="16"/>
                <w:szCs w:val="16"/>
              </w:rPr>
              <w:t>based</w:t>
            </w:r>
            <w:proofErr w:type="gramEnd"/>
          </w:p>
          <w:p w14:paraId="47CE6CFC" w14:textId="77777777" w:rsidR="00217A61" w:rsidRDefault="00217A61">
            <w:pPr>
              <w:keepNext/>
              <w:widowControl w:val="0"/>
              <w:spacing w:after="0" w:line="240" w:lineRule="auto"/>
              <w:jc w:val="center"/>
              <w:rPr>
                <w:sz w:val="16"/>
                <w:szCs w:val="16"/>
              </w:rPr>
            </w:pPr>
          </w:p>
        </w:tc>
        <w:tc>
          <w:tcPr>
            <w:tcW w:w="2846" w:type="dxa"/>
            <w:gridSpan w:val="3"/>
          </w:tcPr>
          <w:p w14:paraId="5537DD5B" w14:textId="77777777" w:rsidR="00217A61" w:rsidRDefault="001C2695">
            <w:pPr>
              <w:keepNext/>
              <w:widowControl w:val="0"/>
              <w:spacing w:after="0" w:line="240" w:lineRule="auto"/>
              <w:jc w:val="center"/>
              <w:rPr>
                <w:sz w:val="16"/>
                <w:szCs w:val="16"/>
              </w:rPr>
            </w:pPr>
            <w:r>
              <w:rPr>
                <w:rFonts w:cs="Arial"/>
                <w:b/>
                <w:sz w:val="16"/>
                <w:szCs w:val="16"/>
              </w:rPr>
              <w:t>Special Purpose Voucher</w:t>
            </w:r>
          </w:p>
        </w:tc>
      </w:tr>
      <w:tr w:rsidR="00217A61" w14:paraId="26A84517" w14:textId="77777777">
        <w:trPr>
          <w:cantSplit/>
          <w:tblHeader/>
        </w:trPr>
        <w:tc>
          <w:tcPr>
            <w:tcW w:w="1830" w:type="dxa"/>
            <w:vMerge/>
          </w:tcPr>
          <w:p w14:paraId="6E9D3ECF" w14:textId="77777777" w:rsidR="00217A61" w:rsidRDefault="00217A61">
            <w:pPr>
              <w:keepNext/>
              <w:widowControl w:val="0"/>
              <w:spacing w:after="0" w:line="240" w:lineRule="auto"/>
              <w:jc w:val="center"/>
              <w:rPr>
                <w:sz w:val="16"/>
                <w:szCs w:val="16"/>
              </w:rPr>
            </w:pPr>
          </w:p>
        </w:tc>
        <w:tc>
          <w:tcPr>
            <w:tcW w:w="947" w:type="dxa"/>
            <w:vMerge/>
          </w:tcPr>
          <w:p w14:paraId="217F6D48" w14:textId="77777777" w:rsidR="00217A61" w:rsidRDefault="00217A61">
            <w:pPr>
              <w:keepNext/>
              <w:widowControl w:val="0"/>
              <w:spacing w:after="0" w:line="240" w:lineRule="auto"/>
              <w:jc w:val="center"/>
              <w:rPr>
                <w:sz w:val="16"/>
                <w:szCs w:val="16"/>
              </w:rPr>
            </w:pPr>
          </w:p>
        </w:tc>
        <w:tc>
          <w:tcPr>
            <w:tcW w:w="745" w:type="dxa"/>
            <w:vMerge/>
          </w:tcPr>
          <w:p w14:paraId="30903428" w14:textId="77777777" w:rsidR="00217A61" w:rsidRDefault="00217A61">
            <w:pPr>
              <w:keepNext/>
              <w:widowControl w:val="0"/>
              <w:spacing w:after="0" w:line="240" w:lineRule="auto"/>
              <w:jc w:val="center"/>
              <w:rPr>
                <w:sz w:val="16"/>
                <w:szCs w:val="16"/>
              </w:rPr>
            </w:pPr>
          </w:p>
        </w:tc>
        <w:tc>
          <w:tcPr>
            <w:tcW w:w="833" w:type="dxa"/>
            <w:vMerge/>
          </w:tcPr>
          <w:p w14:paraId="272DA392" w14:textId="77777777" w:rsidR="00217A61" w:rsidRDefault="00217A61">
            <w:pPr>
              <w:keepNext/>
              <w:widowControl w:val="0"/>
              <w:spacing w:after="0" w:line="240" w:lineRule="auto"/>
              <w:jc w:val="center"/>
              <w:rPr>
                <w:sz w:val="16"/>
                <w:szCs w:val="16"/>
              </w:rPr>
            </w:pPr>
          </w:p>
        </w:tc>
        <w:tc>
          <w:tcPr>
            <w:tcW w:w="726" w:type="dxa"/>
            <w:vMerge/>
          </w:tcPr>
          <w:p w14:paraId="1CE8E4FE" w14:textId="77777777" w:rsidR="00217A61" w:rsidRDefault="00217A61">
            <w:pPr>
              <w:keepNext/>
              <w:widowControl w:val="0"/>
              <w:spacing w:after="0" w:line="240" w:lineRule="auto"/>
              <w:jc w:val="center"/>
              <w:rPr>
                <w:sz w:val="16"/>
                <w:szCs w:val="16"/>
              </w:rPr>
            </w:pPr>
          </w:p>
        </w:tc>
        <w:tc>
          <w:tcPr>
            <w:tcW w:w="827" w:type="dxa"/>
            <w:vMerge/>
          </w:tcPr>
          <w:p w14:paraId="2DA5ACA8" w14:textId="77777777" w:rsidR="00217A61" w:rsidRDefault="00217A61">
            <w:pPr>
              <w:keepNext/>
              <w:widowControl w:val="0"/>
              <w:spacing w:after="0" w:line="240" w:lineRule="auto"/>
              <w:jc w:val="center"/>
              <w:rPr>
                <w:sz w:val="16"/>
                <w:szCs w:val="16"/>
              </w:rPr>
            </w:pPr>
          </w:p>
        </w:tc>
        <w:tc>
          <w:tcPr>
            <w:tcW w:w="822" w:type="dxa"/>
            <w:vMerge/>
          </w:tcPr>
          <w:p w14:paraId="47DD6E57" w14:textId="77777777" w:rsidR="00217A61" w:rsidRDefault="00217A61">
            <w:pPr>
              <w:keepNext/>
              <w:widowControl w:val="0"/>
              <w:spacing w:after="0" w:line="240" w:lineRule="auto"/>
              <w:jc w:val="center"/>
              <w:rPr>
                <w:sz w:val="16"/>
                <w:szCs w:val="16"/>
              </w:rPr>
            </w:pPr>
          </w:p>
        </w:tc>
        <w:tc>
          <w:tcPr>
            <w:tcW w:w="1021" w:type="dxa"/>
          </w:tcPr>
          <w:p w14:paraId="14DEDA1F" w14:textId="77777777" w:rsidR="00217A61" w:rsidRDefault="001C2695">
            <w:pPr>
              <w:keepNext/>
              <w:widowControl w:val="0"/>
              <w:spacing w:after="0" w:line="240" w:lineRule="auto"/>
              <w:jc w:val="center"/>
              <w:rPr>
                <w:sz w:val="16"/>
                <w:szCs w:val="16"/>
              </w:rPr>
            </w:pPr>
            <w:r>
              <w:rPr>
                <w:rFonts w:cs="Arial"/>
                <w:b/>
                <w:sz w:val="16"/>
                <w:szCs w:val="16"/>
              </w:rPr>
              <w:t>Veterans Affairs Supportive Housing</w:t>
            </w:r>
          </w:p>
        </w:tc>
        <w:tc>
          <w:tcPr>
            <w:tcW w:w="981" w:type="dxa"/>
          </w:tcPr>
          <w:p w14:paraId="44629AEC" w14:textId="77777777" w:rsidR="00217A61" w:rsidRDefault="001C2695">
            <w:pPr>
              <w:keepNext/>
              <w:widowControl w:val="0"/>
              <w:spacing w:after="0" w:line="240" w:lineRule="auto"/>
              <w:jc w:val="center"/>
              <w:rPr>
                <w:sz w:val="16"/>
                <w:szCs w:val="16"/>
              </w:rPr>
            </w:pPr>
            <w:r>
              <w:rPr>
                <w:rFonts w:cs="Arial"/>
                <w:b/>
                <w:sz w:val="16"/>
                <w:szCs w:val="16"/>
              </w:rPr>
              <w:t xml:space="preserve">Family Unification </w:t>
            </w:r>
            <w:r>
              <w:rPr>
                <w:rFonts w:cs="Arial"/>
                <w:b/>
                <w:sz w:val="16"/>
                <w:szCs w:val="16"/>
              </w:rPr>
              <w:t>Program</w:t>
            </w:r>
          </w:p>
        </w:tc>
        <w:tc>
          <w:tcPr>
            <w:tcW w:w="844" w:type="dxa"/>
          </w:tcPr>
          <w:p w14:paraId="15DE2A67" w14:textId="77777777" w:rsidR="00217A61" w:rsidRDefault="001C2695">
            <w:pPr>
              <w:keepNext/>
              <w:widowControl w:val="0"/>
              <w:spacing w:after="0" w:line="240" w:lineRule="auto"/>
              <w:jc w:val="center"/>
              <w:rPr>
                <w:rFonts w:cs="Arial"/>
                <w:b/>
                <w:sz w:val="16"/>
                <w:szCs w:val="16"/>
              </w:rPr>
            </w:pPr>
            <w:r>
              <w:rPr>
                <w:rFonts w:cs="Arial"/>
                <w:b/>
                <w:sz w:val="16"/>
                <w:szCs w:val="16"/>
              </w:rPr>
              <w:t>Disabled</w:t>
            </w:r>
          </w:p>
          <w:p w14:paraId="070D5CA8" w14:textId="77777777" w:rsidR="00217A61" w:rsidRDefault="001C2695">
            <w:pPr>
              <w:keepNext/>
              <w:widowControl w:val="0"/>
              <w:spacing w:after="0" w:line="240" w:lineRule="auto"/>
              <w:jc w:val="center"/>
              <w:rPr>
                <w:sz w:val="16"/>
                <w:szCs w:val="16"/>
              </w:rPr>
            </w:pPr>
            <w:r>
              <w:rPr>
                <w:sz w:val="16"/>
                <w:szCs w:val="16"/>
              </w:rPr>
              <w:t>*</w:t>
            </w:r>
          </w:p>
        </w:tc>
      </w:tr>
      <w:tr w:rsidR="00217A61" w14:paraId="286DC21F" w14:textId="77777777">
        <w:trPr>
          <w:cantSplit/>
        </w:trPr>
        <w:tc>
          <w:tcPr>
            <w:tcW w:w="0" w:type="auto"/>
          </w:tcPr>
          <w:p w14:paraId="206F55B4" w14:textId="77777777" w:rsidR="00217A61" w:rsidRDefault="001C2695">
            <w:pPr>
              <w:spacing w:beforeAutospacing="1" w:afterAutospacing="1"/>
            </w:pPr>
            <w:r>
              <w:rPr>
                <w:color w:val="000000"/>
              </w:rPr>
              <w:t># of units vouchers available</w:t>
            </w:r>
          </w:p>
        </w:tc>
        <w:tc>
          <w:tcPr>
            <w:tcW w:w="0" w:type="auto"/>
            <w:vAlign w:val="bottom"/>
          </w:tcPr>
          <w:p w14:paraId="6A37A5C4" w14:textId="77777777" w:rsidR="00217A61" w:rsidRDefault="001C2695">
            <w:pPr>
              <w:spacing w:beforeAutospacing="1" w:afterAutospacing="1"/>
              <w:jc w:val="right"/>
            </w:pPr>
            <w:r>
              <w:rPr>
                <w:color w:val="000000"/>
              </w:rPr>
              <w:t>61</w:t>
            </w:r>
          </w:p>
        </w:tc>
        <w:tc>
          <w:tcPr>
            <w:tcW w:w="0" w:type="auto"/>
            <w:vAlign w:val="bottom"/>
          </w:tcPr>
          <w:p w14:paraId="73DF4610" w14:textId="77777777" w:rsidR="00217A61" w:rsidRDefault="001C2695">
            <w:pPr>
              <w:spacing w:beforeAutospacing="1" w:afterAutospacing="1"/>
              <w:jc w:val="right"/>
            </w:pPr>
            <w:r>
              <w:rPr>
                <w:color w:val="000000"/>
              </w:rPr>
              <w:t>173</w:t>
            </w:r>
          </w:p>
        </w:tc>
        <w:tc>
          <w:tcPr>
            <w:tcW w:w="0" w:type="auto"/>
            <w:vAlign w:val="bottom"/>
          </w:tcPr>
          <w:p w14:paraId="578FC94D" w14:textId="77777777" w:rsidR="00217A61" w:rsidRDefault="001C2695">
            <w:pPr>
              <w:spacing w:beforeAutospacing="1" w:afterAutospacing="1"/>
              <w:jc w:val="right"/>
            </w:pPr>
            <w:r>
              <w:rPr>
                <w:color w:val="000000"/>
              </w:rPr>
              <w:t>35,800</w:t>
            </w:r>
          </w:p>
        </w:tc>
        <w:tc>
          <w:tcPr>
            <w:tcW w:w="0" w:type="auto"/>
            <w:vAlign w:val="bottom"/>
          </w:tcPr>
          <w:p w14:paraId="422A619E" w14:textId="77777777" w:rsidR="00217A61" w:rsidRDefault="001C2695">
            <w:pPr>
              <w:spacing w:beforeAutospacing="1" w:afterAutospacing="1"/>
              <w:jc w:val="right"/>
            </w:pPr>
            <w:r>
              <w:rPr>
                <w:color w:val="000000"/>
              </w:rPr>
              <w:t>57,906</w:t>
            </w:r>
          </w:p>
        </w:tc>
        <w:tc>
          <w:tcPr>
            <w:tcW w:w="0" w:type="auto"/>
            <w:vAlign w:val="bottom"/>
          </w:tcPr>
          <w:p w14:paraId="6EEFD1A6" w14:textId="77777777" w:rsidR="00217A61" w:rsidRDefault="001C2695">
            <w:pPr>
              <w:spacing w:beforeAutospacing="1" w:afterAutospacing="1"/>
              <w:jc w:val="right"/>
            </w:pPr>
            <w:r>
              <w:rPr>
                <w:color w:val="000000"/>
              </w:rPr>
              <w:t>1,399</w:t>
            </w:r>
          </w:p>
        </w:tc>
        <w:tc>
          <w:tcPr>
            <w:tcW w:w="0" w:type="auto"/>
            <w:vAlign w:val="bottom"/>
          </w:tcPr>
          <w:p w14:paraId="014AB2B0" w14:textId="77777777" w:rsidR="00217A61" w:rsidRDefault="001C2695">
            <w:pPr>
              <w:spacing w:beforeAutospacing="1" w:afterAutospacing="1"/>
              <w:jc w:val="right"/>
            </w:pPr>
            <w:r>
              <w:rPr>
                <w:color w:val="000000"/>
              </w:rPr>
              <w:t>28,929</w:t>
            </w:r>
          </w:p>
        </w:tc>
        <w:tc>
          <w:tcPr>
            <w:tcW w:w="0" w:type="auto"/>
            <w:vAlign w:val="bottom"/>
          </w:tcPr>
          <w:p w14:paraId="29B5B446" w14:textId="77777777" w:rsidR="00217A61" w:rsidRDefault="001C2695">
            <w:pPr>
              <w:spacing w:beforeAutospacing="1" w:afterAutospacing="1"/>
              <w:jc w:val="right"/>
            </w:pPr>
            <w:r>
              <w:rPr>
                <w:color w:val="000000"/>
              </w:rPr>
              <w:t>3,615</w:t>
            </w:r>
          </w:p>
        </w:tc>
        <w:tc>
          <w:tcPr>
            <w:tcW w:w="0" w:type="auto"/>
            <w:vAlign w:val="bottom"/>
          </w:tcPr>
          <w:p w14:paraId="3AD1ACF6" w14:textId="77777777" w:rsidR="00217A61" w:rsidRDefault="001C2695">
            <w:pPr>
              <w:spacing w:beforeAutospacing="1" w:afterAutospacing="1"/>
              <w:jc w:val="right"/>
            </w:pPr>
            <w:r>
              <w:rPr>
                <w:color w:val="000000"/>
              </w:rPr>
              <w:t>4,514</w:t>
            </w:r>
          </w:p>
        </w:tc>
        <w:tc>
          <w:tcPr>
            <w:tcW w:w="0" w:type="auto"/>
            <w:vAlign w:val="bottom"/>
          </w:tcPr>
          <w:p w14:paraId="18E51BF2" w14:textId="77777777" w:rsidR="00217A61" w:rsidRDefault="001C2695">
            <w:pPr>
              <w:spacing w:beforeAutospacing="1" w:afterAutospacing="1"/>
              <w:jc w:val="right"/>
            </w:pPr>
            <w:r>
              <w:rPr>
                <w:color w:val="000000"/>
              </w:rPr>
              <w:t>9,019</w:t>
            </w:r>
          </w:p>
        </w:tc>
      </w:tr>
      <w:tr w:rsidR="00217A61" w14:paraId="3CDE50B8" w14:textId="77777777">
        <w:trPr>
          <w:cantSplit/>
        </w:trPr>
        <w:tc>
          <w:tcPr>
            <w:tcW w:w="0" w:type="auto"/>
          </w:tcPr>
          <w:p w14:paraId="15BCE360" w14:textId="77777777" w:rsidR="00217A61" w:rsidRDefault="001C2695">
            <w:pPr>
              <w:spacing w:beforeAutospacing="1" w:afterAutospacing="1"/>
            </w:pPr>
            <w:r>
              <w:rPr>
                <w:color w:val="000000"/>
              </w:rPr>
              <w:t># of accessible units</w:t>
            </w:r>
          </w:p>
        </w:tc>
        <w:tc>
          <w:tcPr>
            <w:tcW w:w="0" w:type="auto"/>
            <w:vAlign w:val="bottom"/>
          </w:tcPr>
          <w:p w14:paraId="0A6B91A0" w14:textId="77777777" w:rsidR="00217A61" w:rsidRDefault="001C2695">
            <w:pPr>
              <w:spacing w:beforeAutospacing="1" w:afterAutospacing="1"/>
              <w:jc w:val="right"/>
            </w:pPr>
            <w:r>
              <w:rPr>
                <w:color w:val="000000"/>
              </w:rPr>
              <w:t xml:space="preserve"> </w:t>
            </w:r>
          </w:p>
        </w:tc>
        <w:tc>
          <w:tcPr>
            <w:tcW w:w="0" w:type="auto"/>
            <w:vAlign w:val="bottom"/>
          </w:tcPr>
          <w:p w14:paraId="5BBE5FFF" w14:textId="77777777" w:rsidR="00217A61" w:rsidRDefault="001C2695">
            <w:pPr>
              <w:spacing w:beforeAutospacing="1" w:afterAutospacing="1"/>
              <w:jc w:val="right"/>
            </w:pPr>
            <w:r>
              <w:rPr>
                <w:color w:val="000000"/>
              </w:rPr>
              <w:t xml:space="preserve"> </w:t>
            </w:r>
          </w:p>
        </w:tc>
        <w:tc>
          <w:tcPr>
            <w:tcW w:w="0" w:type="auto"/>
            <w:vAlign w:val="bottom"/>
          </w:tcPr>
          <w:p w14:paraId="31758E4F" w14:textId="77777777" w:rsidR="00217A61" w:rsidRDefault="001C2695">
            <w:pPr>
              <w:spacing w:beforeAutospacing="1" w:afterAutospacing="1"/>
              <w:jc w:val="right"/>
            </w:pPr>
            <w:r>
              <w:rPr>
                <w:color w:val="000000"/>
              </w:rPr>
              <w:t>116</w:t>
            </w:r>
          </w:p>
        </w:tc>
        <w:tc>
          <w:tcPr>
            <w:tcW w:w="0" w:type="auto"/>
            <w:vAlign w:val="bottom"/>
          </w:tcPr>
          <w:p w14:paraId="05E129EB" w14:textId="77777777" w:rsidR="00217A61" w:rsidRDefault="001C2695">
            <w:pPr>
              <w:spacing w:beforeAutospacing="1" w:afterAutospacing="1"/>
              <w:jc w:val="right"/>
            </w:pPr>
            <w:r>
              <w:rPr>
                <w:color w:val="000000"/>
              </w:rPr>
              <w:t xml:space="preserve"> </w:t>
            </w:r>
          </w:p>
        </w:tc>
        <w:tc>
          <w:tcPr>
            <w:tcW w:w="0" w:type="auto"/>
            <w:vAlign w:val="bottom"/>
          </w:tcPr>
          <w:p w14:paraId="2A11DF35" w14:textId="77777777" w:rsidR="00217A61" w:rsidRDefault="001C2695">
            <w:pPr>
              <w:spacing w:beforeAutospacing="1" w:afterAutospacing="1"/>
              <w:jc w:val="right"/>
            </w:pPr>
            <w:r>
              <w:rPr>
                <w:color w:val="000000"/>
              </w:rPr>
              <w:t xml:space="preserve"> </w:t>
            </w:r>
          </w:p>
        </w:tc>
        <w:tc>
          <w:tcPr>
            <w:tcW w:w="0" w:type="auto"/>
            <w:vAlign w:val="bottom"/>
          </w:tcPr>
          <w:p w14:paraId="0AACCEFF" w14:textId="77777777" w:rsidR="00217A61" w:rsidRDefault="001C2695">
            <w:pPr>
              <w:spacing w:beforeAutospacing="1" w:afterAutospacing="1"/>
              <w:jc w:val="right"/>
            </w:pPr>
            <w:r>
              <w:rPr>
                <w:color w:val="000000"/>
              </w:rPr>
              <w:t xml:space="preserve"> </w:t>
            </w:r>
          </w:p>
        </w:tc>
        <w:tc>
          <w:tcPr>
            <w:tcW w:w="0" w:type="auto"/>
            <w:vAlign w:val="bottom"/>
          </w:tcPr>
          <w:p w14:paraId="228DBED7" w14:textId="77777777" w:rsidR="00217A61" w:rsidRDefault="001C2695">
            <w:pPr>
              <w:spacing w:beforeAutospacing="1" w:afterAutospacing="1"/>
              <w:jc w:val="right"/>
            </w:pPr>
            <w:r>
              <w:rPr>
                <w:color w:val="000000"/>
              </w:rPr>
              <w:t xml:space="preserve"> </w:t>
            </w:r>
          </w:p>
        </w:tc>
        <w:tc>
          <w:tcPr>
            <w:tcW w:w="0" w:type="auto"/>
            <w:vAlign w:val="bottom"/>
          </w:tcPr>
          <w:p w14:paraId="32DF0C68" w14:textId="77777777" w:rsidR="00217A61" w:rsidRDefault="001C2695">
            <w:pPr>
              <w:spacing w:beforeAutospacing="1" w:afterAutospacing="1"/>
              <w:jc w:val="right"/>
            </w:pPr>
            <w:r>
              <w:rPr>
                <w:color w:val="000000"/>
              </w:rPr>
              <w:t xml:space="preserve"> </w:t>
            </w:r>
          </w:p>
        </w:tc>
        <w:tc>
          <w:tcPr>
            <w:tcW w:w="0" w:type="auto"/>
            <w:vAlign w:val="bottom"/>
          </w:tcPr>
          <w:p w14:paraId="31EBC481" w14:textId="77777777" w:rsidR="00217A61" w:rsidRDefault="001C2695">
            <w:pPr>
              <w:spacing w:beforeAutospacing="1" w:afterAutospacing="1"/>
              <w:jc w:val="right"/>
            </w:pPr>
            <w:r>
              <w:rPr>
                <w:color w:val="000000"/>
              </w:rPr>
              <w:t xml:space="preserve"> </w:t>
            </w:r>
          </w:p>
        </w:tc>
      </w:tr>
    </w:tbl>
    <w:p w14:paraId="37CB841A" w14:textId="77777777" w:rsidR="00217A61" w:rsidRDefault="00217A61">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17A61" w14:paraId="76729873" w14:textId="77777777">
        <w:tc>
          <w:tcPr>
            <w:tcW w:w="13176" w:type="dxa"/>
          </w:tcPr>
          <w:p w14:paraId="1597AA72" w14:textId="77777777" w:rsidR="00217A61" w:rsidRDefault="001C2695">
            <w:pPr>
              <w:keepNext/>
              <w:widowControl w:val="0"/>
              <w:spacing w:after="0" w:line="240" w:lineRule="auto"/>
              <w:rPr>
                <w:b/>
                <w:sz w:val="16"/>
                <w:szCs w:val="16"/>
              </w:rPr>
            </w:pPr>
            <w:r>
              <w:rPr>
                <w:rFonts w:cs="Arial"/>
                <w:b/>
                <w:sz w:val="20"/>
                <w:szCs w:val="20"/>
              </w:rPr>
              <w:t xml:space="preserve">*includes Non-Elderly Disabled, Mainstream One-Year, Mainstream Five-year, and Nursing Home </w:t>
            </w:r>
            <w:r>
              <w:rPr>
                <w:rFonts w:cs="Arial"/>
                <w:b/>
                <w:sz w:val="20"/>
                <w:szCs w:val="20"/>
              </w:rPr>
              <w:t>Transition</w:t>
            </w:r>
          </w:p>
        </w:tc>
      </w:tr>
    </w:tbl>
    <w:p w14:paraId="254F6718"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Total Number of Units by Program Type</w:t>
      </w:r>
    </w:p>
    <w:tbl>
      <w:tblPr>
        <w:tblW w:w="5000" w:type="pct"/>
        <w:tblInd w:w="115" w:type="dxa"/>
        <w:tblLook w:val="01E0" w:firstRow="1" w:lastRow="1" w:firstColumn="1" w:lastColumn="1" w:noHBand="0" w:noVBand="0"/>
      </w:tblPr>
      <w:tblGrid>
        <w:gridCol w:w="953"/>
        <w:gridCol w:w="8407"/>
      </w:tblGrid>
      <w:tr w:rsidR="00217A61" w14:paraId="36381EAB" w14:textId="77777777">
        <w:trPr>
          <w:cantSplit/>
        </w:trPr>
        <w:tc>
          <w:tcPr>
            <w:tcW w:w="1073" w:type="dxa"/>
          </w:tcPr>
          <w:p w14:paraId="7232CC2C" w14:textId="77777777" w:rsidR="00217A61" w:rsidRDefault="001C2695">
            <w:pPr>
              <w:spacing w:after="0" w:line="240" w:lineRule="auto"/>
              <w:rPr>
                <w:rFonts w:cs="Arial"/>
                <w:sz w:val="16"/>
                <w:szCs w:val="16"/>
              </w:rPr>
            </w:pPr>
            <w:r>
              <w:rPr>
                <w:b/>
                <w:bCs/>
                <w:sz w:val="16"/>
                <w:szCs w:val="16"/>
              </w:rPr>
              <w:t>Data Source:</w:t>
            </w:r>
          </w:p>
        </w:tc>
        <w:tc>
          <w:tcPr>
            <w:tcW w:w="12103" w:type="dxa"/>
          </w:tcPr>
          <w:p w14:paraId="21CFA6A0" w14:textId="77777777" w:rsidR="00217A61" w:rsidRDefault="001C2695">
            <w:pPr>
              <w:spacing w:beforeAutospacing="1" w:afterAutospacing="1"/>
              <w:rPr>
                <w:rFonts w:cs="Arial"/>
                <w:sz w:val="16"/>
                <w:szCs w:val="16"/>
              </w:rPr>
            </w:pPr>
            <w:r>
              <w:rPr>
                <w:rFonts w:cs="Arial"/>
                <w:sz w:val="16"/>
                <w:szCs w:val="16"/>
              </w:rPr>
              <w:t>PIC (PIH Information Center)</w:t>
            </w:r>
          </w:p>
        </w:tc>
      </w:tr>
    </w:tbl>
    <w:p w14:paraId="21FD5818" w14:textId="77777777" w:rsidR="00217A61" w:rsidRDefault="00217A61">
      <w:pPr>
        <w:keepNext/>
        <w:widowControl w:val="0"/>
        <w:spacing w:after="0" w:line="240" w:lineRule="auto"/>
        <w:jc w:val="center"/>
        <w:rPr>
          <w:b/>
          <w:bCs/>
          <w:vanish/>
          <w:sz w:val="20"/>
          <w:szCs w:val="20"/>
        </w:rPr>
      </w:pPr>
    </w:p>
    <w:p w14:paraId="0F295F9F" w14:textId="77777777" w:rsidR="00217A61" w:rsidRDefault="00217A61">
      <w:pPr>
        <w:rPr>
          <w:b/>
          <w:bCs/>
          <w:vanish/>
          <w:sz w:val="16"/>
          <w:szCs w:val="16"/>
        </w:rPr>
      </w:pPr>
    </w:p>
    <w:p w14:paraId="41461481" w14:textId="77777777" w:rsidR="00217A61" w:rsidRDefault="00217A61"/>
    <w:p w14:paraId="388D661D" w14:textId="77777777" w:rsidR="00217A61" w:rsidRDefault="001C2695">
      <w:pPr>
        <w:rPr>
          <w:b/>
          <w:sz w:val="24"/>
          <w:szCs w:val="24"/>
        </w:rPr>
      </w:pPr>
      <w:r>
        <w:rPr>
          <w:b/>
          <w:sz w:val="24"/>
          <w:szCs w:val="24"/>
        </w:rPr>
        <w:t>Describe the supply of public housing developments:</w:t>
      </w:r>
    </w:p>
    <w:p w14:paraId="23934ACB" w14:textId="77777777" w:rsidR="00217A61" w:rsidRDefault="001C2695">
      <w:pPr>
        <w:rPr>
          <w:b/>
          <w:sz w:val="24"/>
          <w:szCs w:val="24"/>
        </w:rPr>
      </w:pPr>
      <w:r>
        <w:rPr>
          <w:b/>
          <w:sz w:val="24"/>
          <w:szCs w:val="24"/>
        </w:rPr>
        <w:t xml:space="preserve">Describe the number and physical condition of public housing units in </w:t>
      </w:r>
      <w:r>
        <w:rPr>
          <w:b/>
          <w:sz w:val="24"/>
          <w:szCs w:val="24"/>
        </w:rPr>
        <w:t>the jurisdiction, including those that are participating in an approved Public Housing Agency Plan:</w:t>
      </w:r>
    </w:p>
    <w:p w14:paraId="64A90292" w14:textId="77777777" w:rsidR="00217A61" w:rsidRDefault="001C2695">
      <w:pPr>
        <w:spacing w:beforeAutospacing="1" w:afterAutospacing="1"/>
        <w:rPr>
          <w:rFonts w:cs="Arial"/>
        </w:rPr>
      </w:pPr>
      <w:r>
        <w:rPr>
          <w:rFonts w:cs="Arial"/>
        </w:rPr>
        <w:t>There are 35,800 units of public housing across the state that are managed by their local or regional public housing authority (PHA). The State of North Car</w:t>
      </w:r>
      <w:r>
        <w:rPr>
          <w:rFonts w:cs="Arial"/>
        </w:rPr>
        <w:t>olina does not operate, own, or manage any public housing units. In North Carolina, PHAs in the larger suburban and metropolitan areas traditionally own and manage public housing developments.</w:t>
      </w:r>
    </w:p>
    <w:p w14:paraId="42D4770D" w14:textId="77777777" w:rsidR="00217A61" w:rsidRDefault="001C2695">
      <w:pPr>
        <w:rPr>
          <w:b/>
          <w:sz w:val="24"/>
          <w:szCs w:val="24"/>
        </w:rPr>
      </w:pPr>
      <w:r>
        <w:rPr>
          <w:b/>
          <w:sz w:val="24"/>
          <w:szCs w:val="24"/>
        </w:rPr>
        <w:t>Describe the Restoration and Revitalization Needs of public hou</w:t>
      </w:r>
      <w:r>
        <w:rPr>
          <w:b/>
          <w:sz w:val="24"/>
          <w:szCs w:val="24"/>
        </w:rPr>
        <w:t>sing units in the jurisdiction:</w:t>
      </w:r>
    </w:p>
    <w:p w14:paraId="6BE809A8" w14:textId="77777777" w:rsidR="00217A61" w:rsidRDefault="001C2695">
      <w:pPr>
        <w:spacing w:beforeAutospacing="1" w:afterAutospacing="1"/>
      </w:pPr>
      <w:r>
        <w:t>As noted above, the state does not oversee or track public housing units. </w:t>
      </w:r>
    </w:p>
    <w:p w14:paraId="3FC76D5D" w14:textId="77777777" w:rsidR="00217A61" w:rsidRDefault="001C2695">
      <w:pPr>
        <w:rPr>
          <w:b/>
          <w:sz w:val="24"/>
          <w:szCs w:val="24"/>
        </w:rPr>
      </w:pPr>
      <w:r>
        <w:rPr>
          <w:b/>
          <w:sz w:val="24"/>
          <w:szCs w:val="24"/>
        </w:rPr>
        <w:t>Describe the public housing agency's strategy for improving the living environment of low- and moderate-income families residing in public housing:</w:t>
      </w:r>
    </w:p>
    <w:p w14:paraId="60BB6206" w14:textId="77777777" w:rsidR="00217A61" w:rsidRDefault="001C2695">
      <w:pPr>
        <w:spacing w:beforeAutospacing="1" w:afterAutospacing="1"/>
        <w:rPr>
          <w:rFonts w:cs="Arial"/>
        </w:rPr>
      </w:pPr>
      <w:r>
        <w:rPr>
          <w:rFonts w:cs="Arial"/>
        </w:rPr>
        <w:t>A</w:t>
      </w:r>
      <w:r>
        <w:rPr>
          <w:rFonts w:cs="Arial"/>
        </w:rPr>
        <w:t xml:space="preserve">s </w:t>
      </w:r>
      <w:proofErr w:type="gramStart"/>
      <w:r>
        <w:rPr>
          <w:rFonts w:cs="Arial"/>
        </w:rPr>
        <w:t>stated</w:t>
      </w:r>
      <w:proofErr w:type="gramEnd"/>
      <w:r>
        <w:rPr>
          <w:rFonts w:cs="Arial"/>
        </w:rPr>
        <w:t xml:space="preserve"> prior, the state specifically does not have direct oversight over local PHAs.</w:t>
      </w:r>
    </w:p>
    <w:p w14:paraId="0FAC66D6" w14:textId="77777777" w:rsidR="00217A61" w:rsidRDefault="001C2695">
      <w:pPr>
        <w:spacing w:line="204" w:lineRule="auto"/>
        <w:rPr>
          <w:b/>
          <w:sz w:val="24"/>
          <w:szCs w:val="24"/>
        </w:rPr>
      </w:pPr>
      <w:r>
        <w:rPr>
          <w:b/>
          <w:sz w:val="24"/>
          <w:szCs w:val="24"/>
        </w:rPr>
        <w:t xml:space="preserve">Discussion: </w:t>
      </w:r>
    </w:p>
    <w:p w14:paraId="63F1CD5F" w14:textId="77777777" w:rsidR="00217A61" w:rsidRDefault="001C2695">
      <w:pPr>
        <w:spacing w:beforeAutospacing="1" w:afterAutospacing="1"/>
        <w:rPr>
          <w:b/>
          <w:sz w:val="24"/>
          <w:szCs w:val="24"/>
        </w:rPr>
      </w:pPr>
      <w:r>
        <w:rPr>
          <w:rFonts w:cs="Arial"/>
        </w:rPr>
        <w:lastRenderedPageBreak/>
        <w:t> </w:t>
      </w:r>
    </w:p>
    <w:p w14:paraId="4E60A71A" w14:textId="77777777" w:rsidR="00217A61" w:rsidRDefault="00217A61">
      <w:pPr>
        <w:pStyle w:val="Heading2"/>
        <w:pageBreakBefore/>
        <w:rPr>
          <w:rFonts w:ascii="Calibri" w:hAnsi="Calibri"/>
          <w:i w:val="0"/>
        </w:rPr>
        <w:sectPr w:rsidR="00217A61">
          <w:pgSz w:w="12240" w:h="15840"/>
          <w:pgMar w:top="1440" w:right="1440" w:bottom="1440" w:left="1440" w:header="720" w:footer="720" w:gutter="0"/>
          <w:cols w:space="720"/>
          <w:docGrid w:linePitch="360"/>
        </w:sectPr>
      </w:pPr>
      <w:bookmarkStart w:id="7" w:name="_Toc309810479"/>
    </w:p>
    <w:p w14:paraId="6CF7785E" w14:textId="77777777" w:rsidR="00217A61" w:rsidRDefault="001C2695">
      <w:pPr>
        <w:pStyle w:val="Heading2"/>
        <w:pageBreakBefore/>
        <w:rPr>
          <w:rFonts w:ascii="Calibri" w:hAnsi="Calibri"/>
          <w:i w:val="0"/>
        </w:rPr>
      </w:pPr>
      <w:r>
        <w:rPr>
          <w:rFonts w:ascii="Calibri" w:hAnsi="Calibri"/>
          <w:i w:val="0"/>
        </w:rPr>
        <w:lastRenderedPageBreak/>
        <w:t xml:space="preserve">MA-30 Homeless Facilities </w:t>
      </w:r>
      <w:bookmarkEnd w:id="7"/>
      <w:r>
        <w:rPr>
          <w:rFonts w:ascii="Calibri" w:hAnsi="Calibri"/>
          <w:i w:val="0"/>
        </w:rPr>
        <w:t>– 91.310(b)</w:t>
      </w:r>
    </w:p>
    <w:p w14:paraId="6CD1ABE0" w14:textId="77777777" w:rsidR="00217A61" w:rsidRDefault="001C2695">
      <w:pPr>
        <w:spacing w:line="204" w:lineRule="auto"/>
        <w:rPr>
          <w:b/>
        </w:rPr>
      </w:pPr>
      <w:r>
        <w:rPr>
          <w:b/>
          <w:sz w:val="24"/>
          <w:szCs w:val="24"/>
        </w:rPr>
        <w:t>Introduction</w:t>
      </w:r>
    </w:p>
    <w:p w14:paraId="42BBA8C9" w14:textId="77777777" w:rsidR="00217A61" w:rsidRDefault="00217A61">
      <w:pPr>
        <w:spacing w:line="204" w:lineRule="auto"/>
        <w:rPr>
          <w:b/>
        </w:rPr>
      </w:pPr>
    </w:p>
    <w:p w14:paraId="3446FCF7" w14:textId="77777777" w:rsidR="00217A61" w:rsidRDefault="001C2695">
      <w:pPr>
        <w:keepNext/>
        <w:widowControl w:val="0"/>
        <w:rPr>
          <w:b/>
          <w:sz w:val="24"/>
          <w:szCs w:val="24"/>
        </w:rPr>
      </w:pPr>
      <w:r>
        <w:rPr>
          <w:b/>
          <w:sz w:val="24"/>
          <w:szCs w:val="24"/>
        </w:rPr>
        <w:t>Facilities Targeted to Homeless Persons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2102"/>
        <w:gridCol w:w="1937"/>
        <w:gridCol w:w="1783"/>
        <w:gridCol w:w="1758"/>
        <w:gridCol w:w="1724"/>
      </w:tblGrid>
      <w:tr w:rsidR="00217A61" w14:paraId="247BB98B" w14:textId="77777777">
        <w:trPr>
          <w:cantSplit/>
          <w:tblHeader/>
        </w:trPr>
        <w:tc>
          <w:tcPr>
            <w:tcW w:w="3625" w:type="dxa"/>
            <w:vMerge w:val="restart"/>
          </w:tcPr>
          <w:p w14:paraId="22635052" w14:textId="77777777" w:rsidR="00217A61" w:rsidRDefault="00217A61">
            <w:pPr>
              <w:keepNext/>
              <w:widowControl w:val="0"/>
              <w:spacing w:after="0" w:line="240" w:lineRule="auto"/>
              <w:jc w:val="center"/>
              <w:rPr>
                <w:b/>
              </w:rPr>
            </w:pPr>
          </w:p>
        </w:tc>
        <w:tc>
          <w:tcPr>
            <w:tcW w:w="4176" w:type="dxa"/>
            <w:gridSpan w:val="2"/>
          </w:tcPr>
          <w:p w14:paraId="570D234B" w14:textId="77777777" w:rsidR="00217A61" w:rsidRDefault="001C2695">
            <w:pPr>
              <w:keepNext/>
              <w:widowControl w:val="0"/>
              <w:spacing w:after="0" w:line="240" w:lineRule="auto"/>
              <w:jc w:val="center"/>
              <w:rPr>
                <w:b/>
              </w:rPr>
            </w:pPr>
            <w:r>
              <w:rPr>
                <w:b/>
                <w:szCs w:val="26"/>
              </w:rPr>
              <w:t>Emergency Shelter Beds</w:t>
            </w:r>
          </w:p>
        </w:tc>
        <w:tc>
          <w:tcPr>
            <w:tcW w:w="1816" w:type="dxa"/>
          </w:tcPr>
          <w:p w14:paraId="2E0FD55B" w14:textId="77777777" w:rsidR="00217A61" w:rsidRDefault="001C2695">
            <w:pPr>
              <w:keepNext/>
              <w:widowControl w:val="0"/>
              <w:spacing w:after="0" w:line="240" w:lineRule="auto"/>
              <w:jc w:val="center"/>
              <w:rPr>
                <w:b/>
              </w:rPr>
            </w:pPr>
            <w:r>
              <w:rPr>
                <w:b/>
                <w:szCs w:val="26"/>
              </w:rPr>
              <w:t>Transitional Housing Beds</w:t>
            </w:r>
          </w:p>
        </w:tc>
        <w:tc>
          <w:tcPr>
            <w:tcW w:w="3559" w:type="dxa"/>
            <w:gridSpan w:val="2"/>
          </w:tcPr>
          <w:p w14:paraId="3078C71F" w14:textId="77777777" w:rsidR="00217A61" w:rsidRDefault="001C2695">
            <w:pPr>
              <w:keepNext/>
              <w:widowControl w:val="0"/>
              <w:spacing w:after="0" w:line="240" w:lineRule="auto"/>
              <w:jc w:val="center"/>
              <w:rPr>
                <w:b/>
                <w:szCs w:val="26"/>
              </w:rPr>
            </w:pPr>
            <w:r>
              <w:rPr>
                <w:b/>
                <w:szCs w:val="26"/>
              </w:rPr>
              <w:t>Permanent Supportive Housing Beds</w:t>
            </w:r>
          </w:p>
        </w:tc>
      </w:tr>
      <w:tr w:rsidR="00217A61" w14:paraId="7939CFBB" w14:textId="77777777">
        <w:trPr>
          <w:cantSplit/>
          <w:tblHeader/>
        </w:trPr>
        <w:tc>
          <w:tcPr>
            <w:tcW w:w="3625" w:type="dxa"/>
            <w:vMerge/>
          </w:tcPr>
          <w:p w14:paraId="3989D5B3" w14:textId="77777777" w:rsidR="00217A61" w:rsidRDefault="00217A61">
            <w:pPr>
              <w:keepNext/>
              <w:widowControl w:val="0"/>
              <w:spacing w:after="0" w:line="240" w:lineRule="auto"/>
              <w:jc w:val="center"/>
              <w:rPr>
                <w:b/>
              </w:rPr>
            </w:pPr>
          </w:p>
        </w:tc>
        <w:tc>
          <w:tcPr>
            <w:tcW w:w="2179" w:type="dxa"/>
          </w:tcPr>
          <w:p w14:paraId="77D80373" w14:textId="77777777" w:rsidR="00217A61" w:rsidRDefault="001C2695">
            <w:pPr>
              <w:keepNext/>
              <w:widowControl w:val="0"/>
              <w:spacing w:after="0" w:line="240" w:lineRule="auto"/>
              <w:jc w:val="center"/>
              <w:rPr>
                <w:b/>
              </w:rPr>
            </w:pPr>
            <w:proofErr w:type="gramStart"/>
            <w:r>
              <w:rPr>
                <w:b/>
                <w:szCs w:val="26"/>
              </w:rPr>
              <w:t>Year Round</w:t>
            </w:r>
            <w:proofErr w:type="gramEnd"/>
            <w:r>
              <w:rPr>
                <w:b/>
                <w:szCs w:val="26"/>
              </w:rPr>
              <w:t xml:space="preserve"> Beds (Current &amp; New)</w:t>
            </w:r>
          </w:p>
        </w:tc>
        <w:tc>
          <w:tcPr>
            <w:tcW w:w="1997" w:type="dxa"/>
          </w:tcPr>
          <w:p w14:paraId="3509414C" w14:textId="77777777" w:rsidR="00217A61" w:rsidRDefault="001C2695">
            <w:pPr>
              <w:keepNext/>
              <w:widowControl w:val="0"/>
              <w:spacing w:after="0" w:line="240" w:lineRule="auto"/>
              <w:jc w:val="center"/>
              <w:rPr>
                <w:b/>
              </w:rPr>
            </w:pPr>
            <w:r>
              <w:rPr>
                <w:b/>
                <w:szCs w:val="26"/>
              </w:rPr>
              <w:t>Voucher / Seasonal / Overflow Beds</w:t>
            </w:r>
          </w:p>
        </w:tc>
        <w:tc>
          <w:tcPr>
            <w:tcW w:w="1816" w:type="dxa"/>
          </w:tcPr>
          <w:p w14:paraId="3F1AD774" w14:textId="77777777" w:rsidR="00217A61" w:rsidRDefault="001C2695">
            <w:pPr>
              <w:keepNext/>
              <w:widowControl w:val="0"/>
              <w:spacing w:after="0" w:line="240" w:lineRule="auto"/>
              <w:jc w:val="center"/>
              <w:rPr>
                <w:b/>
              </w:rPr>
            </w:pPr>
            <w:r>
              <w:rPr>
                <w:b/>
                <w:szCs w:val="26"/>
              </w:rPr>
              <w:t>Current &amp; New</w:t>
            </w:r>
          </w:p>
        </w:tc>
        <w:tc>
          <w:tcPr>
            <w:tcW w:w="1816" w:type="dxa"/>
          </w:tcPr>
          <w:p w14:paraId="03C844A0" w14:textId="77777777" w:rsidR="00217A61" w:rsidRDefault="001C2695">
            <w:pPr>
              <w:keepNext/>
              <w:widowControl w:val="0"/>
              <w:spacing w:after="0" w:line="240" w:lineRule="auto"/>
              <w:jc w:val="center"/>
              <w:rPr>
                <w:b/>
              </w:rPr>
            </w:pPr>
            <w:r>
              <w:rPr>
                <w:b/>
                <w:szCs w:val="26"/>
              </w:rPr>
              <w:t>Current &amp; New</w:t>
            </w:r>
          </w:p>
        </w:tc>
        <w:tc>
          <w:tcPr>
            <w:tcW w:w="1743" w:type="dxa"/>
          </w:tcPr>
          <w:p w14:paraId="34FD6C8B" w14:textId="77777777" w:rsidR="00217A61" w:rsidRDefault="001C2695">
            <w:pPr>
              <w:keepNext/>
              <w:widowControl w:val="0"/>
              <w:spacing w:after="0" w:line="240" w:lineRule="auto"/>
              <w:jc w:val="center"/>
              <w:rPr>
                <w:b/>
              </w:rPr>
            </w:pPr>
            <w:r>
              <w:rPr>
                <w:b/>
                <w:szCs w:val="26"/>
              </w:rPr>
              <w:t>Under Development</w:t>
            </w:r>
          </w:p>
        </w:tc>
      </w:tr>
      <w:tr w:rsidR="00217A61" w14:paraId="4DAA67AA" w14:textId="77777777">
        <w:trPr>
          <w:cantSplit/>
        </w:trPr>
        <w:tc>
          <w:tcPr>
            <w:tcW w:w="0" w:type="auto"/>
          </w:tcPr>
          <w:p w14:paraId="39E344D3" w14:textId="77777777" w:rsidR="00217A61" w:rsidRDefault="001C2695">
            <w:pPr>
              <w:spacing w:beforeAutospacing="1" w:afterAutospacing="1"/>
            </w:pPr>
            <w:r>
              <w:rPr>
                <w:color w:val="000000"/>
              </w:rPr>
              <w:t>Households with Adult(s) and Child(ren)</w:t>
            </w:r>
          </w:p>
        </w:tc>
        <w:tc>
          <w:tcPr>
            <w:tcW w:w="0" w:type="auto"/>
            <w:vAlign w:val="bottom"/>
          </w:tcPr>
          <w:p w14:paraId="5ED43149" w14:textId="77777777" w:rsidR="00217A61" w:rsidRDefault="001C2695">
            <w:pPr>
              <w:spacing w:beforeAutospacing="1" w:afterAutospacing="1"/>
              <w:jc w:val="right"/>
            </w:pPr>
            <w:r>
              <w:rPr>
                <w:color w:val="000000"/>
              </w:rPr>
              <w:t>2,184</w:t>
            </w:r>
          </w:p>
        </w:tc>
        <w:tc>
          <w:tcPr>
            <w:tcW w:w="0" w:type="auto"/>
            <w:vAlign w:val="bottom"/>
          </w:tcPr>
          <w:p w14:paraId="0D73A72C" w14:textId="77777777" w:rsidR="00217A61" w:rsidRDefault="001C2695">
            <w:pPr>
              <w:spacing w:beforeAutospacing="1" w:afterAutospacing="1"/>
              <w:jc w:val="right"/>
            </w:pPr>
            <w:r>
              <w:rPr>
                <w:color w:val="000000"/>
              </w:rPr>
              <w:t>952</w:t>
            </w:r>
          </w:p>
        </w:tc>
        <w:tc>
          <w:tcPr>
            <w:tcW w:w="0" w:type="auto"/>
            <w:vAlign w:val="bottom"/>
          </w:tcPr>
          <w:p w14:paraId="28E0FACF" w14:textId="77777777" w:rsidR="00217A61" w:rsidRDefault="001C2695">
            <w:pPr>
              <w:spacing w:beforeAutospacing="1" w:afterAutospacing="1"/>
              <w:jc w:val="right"/>
            </w:pPr>
            <w:r>
              <w:rPr>
                <w:color w:val="000000"/>
              </w:rPr>
              <w:t>843</w:t>
            </w:r>
          </w:p>
        </w:tc>
        <w:tc>
          <w:tcPr>
            <w:tcW w:w="0" w:type="auto"/>
            <w:vAlign w:val="bottom"/>
          </w:tcPr>
          <w:p w14:paraId="5A029709" w14:textId="77777777" w:rsidR="00217A61" w:rsidRDefault="001C2695">
            <w:pPr>
              <w:spacing w:beforeAutospacing="1" w:afterAutospacing="1"/>
              <w:jc w:val="right"/>
            </w:pPr>
            <w:r>
              <w:rPr>
                <w:color w:val="000000"/>
              </w:rPr>
              <w:t>2,304</w:t>
            </w:r>
          </w:p>
        </w:tc>
        <w:tc>
          <w:tcPr>
            <w:tcW w:w="0" w:type="auto"/>
            <w:vAlign w:val="bottom"/>
          </w:tcPr>
          <w:p w14:paraId="30692B2F" w14:textId="77777777" w:rsidR="00217A61" w:rsidRDefault="001C2695">
            <w:pPr>
              <w:spacing w:beforeAutospacing="1" w:afterAutospacing="1"/>
              <w:jc w:val="right"/>
            </w:pPr>
            <w:r>
              <w:rPr>
                <w:color w:val="000000"/>
              </w:rPr>
              <w:t>0</w:t>
            </w:r>
          </w:p>
        </w:tc>
      </w:tr>
      <w:tr w:rsidR="00217A61" w14:paraId="3C8C8D97" w14:textId="77777777">
        <w:trPr>
          <w:cantSplit/>
        </w:trPr>
        <w:tc>
          <w:tcPr>
            <w:tcW w:w="0" w:type="auto"/>
          </w:tcPr>
          <w:p w14:paraId="1D57CA70" w14:textId="77777777" w:rsidR="00217A61" w:rsidRDefault="001C2695">
            <w:pPr>
              <w:spacing w:beforeAutospacing="1" w:afterAutospacing="1"/>
            </w:pPr>
            <w:r>
              <w:rPr>
                <w:color w:val="000000"/>
              </w:rPr>
              <w:t>Households with Only Adults</w:t>
            </w:r>
          </w:p>
        </w:tc>
        <w:tc>
          <w:tcPr>
            <w:tcW w:w="0" w:type="auto"/>
            <w:vAlign w:val="bottom"/>
          </w:tcPr>
          <w:p w14:paraId="4BFDF0D2" w14:textId="77777777" w:rsidR="00217A61" w:rsidRDefault="001C2695">
            <w:pPr>
              <w:spacing w:beforeAutospacing="1" w:afterAutospacing="1"/>
              <w:jc w:val="right"/>
            </w:pPr>
            <w:r>
              <w:rPr>
                <w:color w:val="000000"/>
              </w:rPr>
              <w:t>3,770</w:t>
            </w:r>
          </w:p>
        </w:tc>
        <w:tc>
          <w:tcPr>
            <w:tcW w:w="0" w:type="auto"/>
            <w:vAlign w:val="bottom"/>
          </w:tcPr>
          <w:p w14:paraId="680C82BA" w14:textId="77777777" w:rsidR="00217A61" w:rsidRDefault="001C2695">
            <w:pPr>
              <w:spacing w:beforeAutospacing="1" w:afterAutospacing="1"/>
              <w:jc w:val="right"/>
            </w:pPr>
            <w:r>
              <w:rPr>
                <w:color w:val="000000"/>
              </w:rPr>
              <w:t>0</w:t>
            </w:r>
          </w:p>
        </w:tc>
        <w:tc>
          <w:tcPr>
            <w:tcW w:w="0" w:type="auto"/>
            <w:vAlign w:val="bottom"/>
          </w:tcPr>
          <w:p w14:paraId="42FFFCA0" w14:textId="77777777" w:rsidR="00217A61" w:rsidRDefault="001C2695">
            <w:pPr>
              <w:spacing w:beforeAutospacing="1" w:afterAutospacing="1"/>
              <w:jc w:val="right"/>
            </w:pPr>
            <w:r>
              <w:rPr>
                <w:color w:val="000000"/>
              </w:rPr>
              <w:t>1,136</w:t>
            </w:r>
          </w:p>
        </w:tc>
        <w:tc>
          <w:tcPr>
            <w:tcW w:w="0" w:type="auto"/>
            <w:vAlign w:val="bottom"/>
          </w:tcPr>
          <w:p w14:paraId="718B64E8" w14:textId="77777777" w:rsidR="00217A61" w:rsidRDefault="001C2695">
            <w:pPr>
              <w:spacing w:beforeAutospacing="1" w:afterAutospacing="1"/>
              <w:jc w:val="right"/>
            </w:pPr>
            <w:r>
              <w:rPr>
                <w:color w:val="000000"/>
              </w:rPr>
              <w:t>3,494</w:t>
            </w:r>
          </w:p>
        </w:tc>
        <w:tc>
          <w:tcPr>
            <w:tcW w:w="0" w:type="auto"/>
            <w:vAlign w:val="bottom"/>
          </w:tcPr>
          <w:p w14:paraId="0BAB0FDF" w14:textId="77777777" w:rsidR="00217A61" w:rsidRDefault="001C2695">
            <w:pPr>
              <w:spacing w:beforeAutospacing="1" w:afterAutospacing="1"/>
              <w:jc w:val="right"/>
            </w:pPr>
            <w:r>
              <w:rPr>
                <w:color w:val="000000"/>
              </w:rPr>
              <w:t>0</w:t>
            </w:r>
          </w:p>
        </w:tc>
      </w:tr>
      <w:tr w:rsidR="00217A61" w14:paraId="3D5246F9" w14:textId="77777777">
        <w:trPr>
          <w:cantSplit/>
        </w:trPr>
        <w:tc>
          <w:tcPr>
            <w:tcW w:w="0" w:type="auto"/>
          </w:tcPr>
          <w:p w14:paraId="7720C0CE" w14:textId="77777777" w:rsidR="00217A61" w:rsidRDefault="001C2695">
            <w:pPr>
              <w:spacing w:beforeAutospacing="1" w:afterAutospacing="1"/>
            </w:pPr>
            <w:r>
              <w:rPr>
                <w:color w:val="000000"/>
              </w:rPr>
              <w:t>Chronically Homeless Households</w:t>
            </w:r>
          </w:p>
        </w:tc>
        <w:tc>
          <w:tcPr>
            <w:tcW w:w="0" w:type="auto"/>
            <w:vAlign w:val="bottom"/>
          </w:tcPr>
          <w:p w14:paraId="3E918EB4" w14:textId="77777777" w:rsidR="00217A61" w:rsidRDefault="001C2695">
            <w:pPr>
              <w:spacing w:beforeAutospacing="1" w:afterAutospacing="1"/>
              <w:jc w:val="right"/>
            </w:pPr>
            <w:r>
              <w:rPr>
                <w:color w:val="000000"/>
              </w:rPr>
              <w:t>0</w:t>
            </w:r>
          </w:p>
        </w:tc>
        <w:tc>
          <w:tcPr>
            <w:tcW w:w="0" w:type="auto"/>
            <w:vAlign w:val="bottom"/>
          </w:tcPr>
          <w:p w14:paraId="711C7092" w14:textId="77777777" w:rsidR="00217A61" w:rsidRDefault="001C2695">
            <w:pPr>
              <w:spacing w:beforeAutospacing="1" w:afterAutospacing="1"/>
              <w:jc w:val="right"/>
            </w:pPr>
            <w:r>
              <w:rPr>
                <w:color w:val="000000"/>
              </w:rPr>
              <w:t>0</w:t>
            </w:r>
          </w:p>
        </w:tc>
        <w:tc>
          <w:tcPr>
            <w:tcW w:w="0" w:type="auto"/>
            <w:vAlign w:val="bottom"/>
          </w:tcPr>
          <w:p w14:paraId="6B17816E" w14:textId="77777777" w:rsidR="00217A61" w:rsidRDefault="001C2695">
            <w:pPr>
              <w:spacing w:beforeAutospacing="1" w:afterAutospacing="1"/>
              <w:jc w:val="right"/>
            </w:pPr>
            <w:r>
              <w:rPr>
                <w:color w:val="000000"/>
              </w:rPr>
              <w:t>0</w:t>
            </w:r>
          </w:p>
        </w:tc>
        <w:tc>
          <w:tcPr>
            <w:tcW w:w="0" w:type="auto"/>
            <w:vAlign w:val="bottom"/>
          </w:tcPr>
          <w:p w14:paraId="7FCD447B" w14:textId="77777777" w:rsidR="00217A61" w:rsidRDefault="001C2695">
            <w:pPr>
              <w:spacing w:beforeAutospacing="1" w:afterAutospacing="1"/>
              <w:jc w:val="right"/>
            </w:pPr>
            <w:r>
              <w:rPr>
                <w:color w:val="000000"/>
              </w:rPr>
              <w:t>2,922</w:t>
            </w:r>
          </w:p>
        </w:tc>
        <w:tc>
          <w:tcPr>
            <w:tcW w:w="0" w:type="auto"/>
            <w:vAlign w:val="bottom"/>
          </w:tcPr>
          <w:p w14:paraId="00C915B4" w14:textId="77777777" w:rsidR="00217A61" w:rsidRDefault="001C2695">
            <w:pPr>
              <w:spacing w:beforeAutospacing="1" w:afterAutospacing="1"/>
              <w:jc w:val="right"/>
            </w:pPr>
            <w:r>
              <w:rPr>
                <w:color w:val="000000"/>
              </w:rPr>
              <w:t>0</w:t>
            </w:r>
          </w:p>
        </w:tc>
      </w:tr>
      <w:tr w:rsidR="00217A61" w14:paraId="1033EA61" w14:textId="77777777">
        <w:trPr>
          <w:cantSplit/>
        </w:trPr>
        <w:tc>
          <w:tcPr>
            <w:tcW w:w="0" w:type="auto"/>
          </w:tcPr>
          <w:p w14:paraId="18799B39" w14:textId="77777777" w:rsidR="00217A61" w:rsidRDefault="001C2695">
            <w:pPr>
              <w:spacing w:beforeAutospacing="1" w:afterAutospacing="1"/>
            </w:pPr>
            <w:r>
              <w:rPr>
                <w:color w:val="000000"/>
              </w:rPr>
              <w:t>Veterans</w:t>
            </w:r>
          </w:p>
        </w:tc>
        <w:tc>
          <w:tcPr>
            <w:tcW w:w="0" w:type="auto"/>
            <w:vAlign w:val="bottom"/>
          </w:tcPr>
          <w:p w14:paraId="0C4493B4" w14:textId="77777777" w:rsidR="00217A61" w:rsidRDefault="001C2695">
            <w:pPr>
              <w:spacing w:beforeAutospacing="1" w:afterAutospacing="1"/>
              <w:jc w:val="right"/>
            </w:pPr>
            <w:r>
              <w:rPr>
                <w:color w:val="000000"/>
              </w:rPr>
              <w:t>125</w:t>
            </w:r>
          </w:p>
        </w:tc>
        <w:tc>
          <w:tcPr>
            <w:tcW w:w="0" w:type="auto"/>
            <w:vAlign w:val="bottom"/>
          </w:tcPr>
          <w:p w14:paraId="3DE32A7F" w14:textId="77777777" w:rsidR="00217A61" w:rsidRDefault="001C2695">
            <w:pPr>
              <w:spacing w:beforeAutospacing="1" w:afterAutospacing="1"/>
              <w:jc w:val="right"/>
            </w:pPr>
            <w:r>
              <w:rPr>
                <w:color w:val="000000"/>
              </w:rPr>
              <w:t>0</w:t>
            </w:r>
          </w:p>
        </w:tc>
        <w:tc>
          <w:tcPr>
            <w:tcW w:w="0" w:type="auto"/>
            <w:vAlign w:val="bottom"/>
          </w:tcPr>
          <w:p w14:paraId="4EE21643" w14:textId="77777777" w:rsidR="00217A61" w:rsidRDefault="001C2695">
            <w:pPr>
              <w:spacing w:beforeAutospacing="1" w:afterAutospacing="1"/>
              <w:jc w:val="right"/>
            </w:pPr>
            <w:r>
              <w:rPr>
                <w:color w:val="000000"/>
              </w:rPr>
              <w:t>367</w:t>
            </w:r>
          </w:p>
        </w:tc>
        <w:tc>
          <w:tcPr>
            <w:tcW w:w="0" w:type="auto"/>
            <w:vAlign w:val="bottom"/>
          </w:tcPr>
          <w:p w14:paraId="527CF728" w14:textId="77777777" w:rsidR="00217A61" w:rsidRDefault="001C2695">
            <w:pPr>
              <w:spacing w:beforeAutospacing="1" w:afterAutospacing="1"/>
              <w:jc w:val="right"/>
            </w:pPr>
            <w:r>
              <w:rPr>
                <w:color w:val="000000"/>
              </w:rPr>
              <w:t>1,872</w:t>
            </w:r>
          </w:p>
        </w:tc>
        <w:tc>
          <w:tcPr>
            <w:tcW w:w="0" w:type="auto"/>
            <w:vAlign w:val="bottom"/>
          </w:tcPr>
          <w:p w14:paraId="1F22AC2D" w14:textId="77777777" w:rsidR="00217A61" w:rsidRDefault="001C2695">
            <w:pPr>
              <w:spacing w:beforeAutospacing="1" w:afterAutospacing="1"/>
              <w:jc w:val="right"/>
            </w:pPr>
            <w:r>
              <w:rPr>
                <w:color w:val="000000"/>
              </w:rPr>
              <w:t>0</w:t>
            </w:r>
          </w:p>
        </w:tc>
      </w:tr>
      <w:tr w:rsidR="00217A61" w14:paraId="6C45BA40" w14:textId="77777777">
        <w:trPr>
          <w:cantSplit/>
        </w:trPr>
        <w:tc>
          <w:tcPr>
            <w:tcW w:w="0" w:type="auto"/>
          </w:tcPr>
          <w:p w14:paraId="32B34F46" w14:textId="77777777" w:rsidR="00217A61" w:rsidRDefault="001C2695">
            <w:pPr>
              <w:spacing w:beforeAutospacing="1" w:afterAutospacing="1"/>
            </w:pPr>
            <w:r>
              <w:rPr>
                <w:color w:val="000000"/>
              </w:rPr>
              <w:t>Unaccompanied Youth</w:t>
            </w:r>
          </w:p>
        </w:tc>
        <w:tc>
          <w:tcPr>
            <w:tcW w:w="0" w:type="auto"/>
            <w:vAlign w:val="bottom"/>
          </w:tcPr>
          <w:p w14:paraId="23F50793" w14:textId="77777777" w:rsidR="00217A61" w:rsidRDefault="001C2695">
            <w:pPr>
              <w:spacing w:beforeAutospacing="1" w:afterAutospacing="1"/>
              <w:jc w:val="right"/>
            </w:pPr>
            <w:r>
              <w:rPr>
                <w:color w:val="000000"/>
              </w:rPr>
              <w:t>62</w:t>
            </w:r>
          </w:p>
        </w:tc>
        <w:tc>
          <w:tcPr>
            <w:tcW w:w="0" w:type="auto"/>
            <w:vAlign w:val="bottom"/>
          </w:tcPr>
          <w:p w14:paraId="0A304F66" w14:textId="77777777" w:rsidR="00217A61" w:rsidRDefault="001C2695">
            <w:pPr>
              <w:spacing w:beforeAutospacing="1" w:afterAutospacing="1"/>
              <w:jc w:val="right"/>
            </w:pPr>
            <w:r>
              <w:rPr>
                <w:color w:val="000000"/>
              </w:rPr>
              <w:t>0</w:t>
            </w:r>
          </w:p>
        </w:tc>
        <w:tc>
          <w:tcPr>
            <w:tcW w:w="0" w:type="auto"/>
            <w:vAlign w:val="bottom"/>
          </w:tcPr>
          <w:p w14:paraId="7A62A9FC" w14:textId="77777777" w:rsidR="00217A61" w:rsidRDefault="001C2695">
            <w:pPr>
              <w:spacing w:beforeAutospacing="1" w:afterAutospacing="1"/>
              <w:jc w:val="right"/>
            </w:pPr>
            <w:r>
              <w:rPr>
                <w:color w:val="000000"/>
              </w:rPr>
              <w:t>69</w:t>
            </w:r>
          </w:p>
        </w:tc>
        <w:tc>
          <w:tcPr>
            <w:tcW w:w="0" w:type="auto"/>
            <w:vAlign w:val="bottom"/>
          </w:tcPr>
          <w:p w14:paraId="36200FA6" w14:textId="77777777" w:rsidR="00217A61" w:rsidRDefault="001C2695">
            <w:pPr>
              <w:spacing w:beforeAutospacing="1" w:afterAutospacing="1"/>
              <w:jc w:val="right"/>
            </w:pPr>
            <w:r>
              <w:rPr>
                <w:color w:val="000000"/>
              </w:rPr>
              <w:t>2</w:t>
            </w:r>
          </w:p>
        </w:tc>
        <w:tc>
          <w:tcPr>
            <w:tcW w:w="0" w:type="auto"/>
            <w:vAlign w:val="bottom"/>
          </w:tcPr>
          <w:p w14:paraId="07052AC0" w14:textId="77777777" w:rsidR="00217A61" w:rsidRDefault="001C2695">
            <w:pPr>
              <w:spacing w:beforeAutospacing="1" w:afterAutospacing="1"/>
              <w:jc w:val="right"/>
            </w:pPr>
            <w:r>
              <w:rPr>
                <w:color w:val="000000"/>
              </w:rPr>
              <w:t>0</w:t>
            </w:r>
          </w:p>
        </w:tc>
      </w:tr>
    </w:tbl>
    <w:p w14:paraId="4A07136C"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 Facilities Targeted to Homeless Persons</w:t>
      </w:r>
    </w:p>
    <w:p w14:paraId="0C80FEEA" w14:textId="77777777" w:rsidR="00217A61" w:rsidRDefault="00217A61">
      <w:pPr>
        <w:keepNext/>
        <w:widowControl w:val="0"/>
        <w:spacing w:after="0" w:line="240" w:lineRule="auto"/>
        <w:jc w:val="center"/>
        <w:rPr>
          <w:b/>
          <w:bCs/>
          <w:vanish/>
          <w:sz w:val="20"/>
          <w:szCs w:val="20"/>
        </w:rPr>
      </w:pPr>
    </w:p>
    <w:tbl>
      <w:tblPr>
        <w:tblW w:w="2458" w:type="pct"/>
        <w:tblInd w:w="115" w:type="dxa"/>
        <w:tblLook w:val="01E0" w:firstRow="1" w:lastRow="1" w:firstColumn="1" w:lastColumn="1" w:noHBand="0" w:noVBand="0"/>
      </w:tblPr>
      <w:tblGrid>
        <w:gridCol w:w="6371"/>
      </w:tblGrid>
      <w:tr w:rsidR="00217A61" w14:paraId="1FF1F925" w14:textId="77777777">
        <w:tc>
          <w:tcPr>
            <w:tcW w:w="0" w:type="auto"/>
          </w:tcPr>
          <w:p w14:paraId="4BC000F8" w14:textId="77777777" w:rsidR="00217A61" w:rsidRDefault="001C2695">
            <w:pPr>
              <w:keepNext/>
              <w:widowControl w:val="0"/>
              <w:spacing w:after="0" w:line="240" w:lineRule="auto"/>
            </w:pPr>
            <w:r>
              <w:rPr>
                <w:b/>
                <w:sz w:val="16"/>
                <w:szCs w:val="16"/>
              </w:rPr>
              <w:t>Alternate Data Source Name:</w:t>
            </w:r>
          </w:p>
        </w:tc>
      </w:tr>
      <w:tr w:rsidR="00217A61" w14:paraId="2A768646" w14:textId="77777777">
        <w:trPr>
          <w:cantSplit/>
        </w:trPr>
        <w:tc>
          <w:tcPr>
            <w:tcW w:w="0" w:type="auto"/>
          </w:tcPr>
          <w:p w14:paraId="20EFCC1F" w14:textId="77777777" w:rsidR="00217A61" w:rsidRDefault="001C2695">
            <w:pPr>
              <w:spacing w:beforeAutospacing="1" w:afterAutospacing="1"/>
            </w:pPr>
            <w:r>
              <w:rPr>
                <w:color w:val="000000"/>
                <w:sz w:val="16"/>
              </w:rPr>
              <w:t>2019 Housing Inventory Count Report</w:t>
            </w:r>
          </w:p>
        </w:tc>
      </w:tr>
    </w:tbl>
    <w:p w14:paraId="2009EA12" w14:textId="77777777" w:rsidR="00217A61" w:rsidRDefault="00217A61">
      <w:pPr>
        <w:spacing w:after="0" w:line="240" w:lineRule="auto"/>
        <w:rPr>
          <w:b/>
          <w:bCs/>
          <w:vanish/>
          <w:sz w:val="16"/>
          <w:szCs w:val="16"/>
        </w:rPr>
      </w:pPr>
    </w:p>
    <w:tbl>
      <w:tblPr>
        <w:tblW w:w="5000" w:type="pct"/>
        <w:tblInd w:w="115" w:type="dxa"/>
        <w:tblLook w:val="01E0" w:firstRow="1" w:lastRow="1" w:firstColumn="1" w:lastColumn="1" w:noHBand="0" w:noVBand="0"/>
      </w:tblPr>
      <w:tblGrid>
        <w:gridCol w:w="1954"/>
        <w:gridCol w:w="11006"/>
      </w:tblGrid>
      <w:tr w:rsidR="00217A61" w14:paraId="31268458" w14:textId="77777777">
        <w:trPr>
          <w:cantSplit/>
        </w:trPr>
        <w:tc>
          <w:tcPr>
            <w:tcW w:w="1973" w:type="dxa"/>
          </w:tcPr>
          <w:p w14:paraId="376588AF" w14:textId="77777777" w:rsidR="00217A61" w:rsidRDefault="001C2695">
            <w:pPr>
              <w:spacing w:after="0" w:line="240" w:lineRule="auto"/>
              <w:rPr>
                <w:rFonts w:cs="Arial"/>
                <w:sz w:val="16"/>
                <w:szCs w:val="16"/>
              </w:rPr>
            </w:pPr>
            <w:r>
              <w:rPr>
                <w:b/>
                <w:bCs/>
                <w:sz w:val="16"/>
                <w:szCs w:val="16"/>
              </w:rPr>
              <w:t>Data Source Comments:</w:t>
            </w:r>
          </w:p>
        </w:tc>
        <w:tc>
          <w:tcPr>
            <w:tcW w:w="11203" w:type="dxa"/>
          </w:tcPr>
          <w:p w14:paraId="4D397ABD" w14:textId="77777777" w:rsidR="00217A61" w:rsidRDefault="001C2695">
            <w:pPr>
              <w:spacing w:beforeAutospacing="1" w:afterAutospacing="1"/>
              <w:rPr>
                <w:rFonts w:cs="Arial"/>
                <w:sz w:val="16"/>
                <w:szCs w:val="16"/>
              </w:rPr>
            </w:pPr>
            <w:r>
              <w:rPr>
                <w:rFonts w:cs="Arial"/>
                <w:sz w:val="16"/>
                <w:szCs w:val="16"/>
              </w:rPr>
              <w:t xml:space="preserve">952 is the total number of seasonal plus overflow beds. The rest of the 0's should be marked "n/a." Seasonal and overflow beds are not counted by whom they serve, </w:t>
            </w:r>
            <w:proofErr w:type="gramStart"/>
            <w:r>
              <w:rPr>
                <w:rFonts w:cs="Arial"/>
                <w:sz w:val="16"/>
                <w:szCs w:val="16"/>
              </w:rPr>
              <w:t>i.e.</w:t>
            </w:r>
            <w:proofErr w:type="gramEnd"/>
            <w:r>
              <w:rPr>
                <w:rFonts w:cs="Arial"/>
                <w:sz w:val="16"/>
                <w:szCs w:val="16"/>
              </w:rPr>
              <w:t xml:space="preserve"> adult-only households, chronically homeless households.</w:t>
            </w:r>
          </w:p>
        </w:tc>
      </w:tr>
    </w:tbl>
    <w:p w14:paraId="2DAFFC16" w14:textId="77777777" w:rsidR="00217A61" w:rsidRDefault="00217A61">
      <w:pPr>
        <w:spacing w:line="240" w:lineRule="auto"/>
      </w:pPr>
    </w:p>
    <w:p w14:paraId="5366A2D8" w14:textId="77777777" w:rsidR="00217A61" w:rsidRDefault="00217A61">
      <w:pPr>
        <w:sectPr w:rsidR="00217A61">
          <w:pgSz w:w="15840" w:h="12240" w:orient="landscape"/>
          <w:pgMar w:top="1440" w:right="1440" w:bottom="1440" w:left="1440" w:header="720" w:footer="720" w:gutter="0"/>
          <w:cols w:space="720"/>
          <w:docGrid w:linePitch="360"/>
        </w:sectPr>
      </w:pPr>
    </w:p>
    <w:p w14:paraId="238223EB" w14:textId="77777777" w:rsidR="00217A61" w:rsidRDefault="001C2695">
      <w:pPr>
        <w:spacing w:line="204" w:lineRule="auto"/>
        <w:rPr>
          <w:b/>
          <w:sz w:val="24"/>
          <w:szCs w:val="24"/>
          <w:highlight w:val="cyan"/>
        </w:rPr>
      </w:pPr>
      <w:r>
        <w:rPr>
          <w:b/>
          <w:sz w:val="24"/>
          <w:szCs w:val="24"/>
        </w:rPr>
        <w:lastRenderedPageBreak/>
        <w:t xml:space="preserve">Describe </w:t>
      </w:r>
      <w:r>
        <w:rPr>
          <w:b/>
          <w:sz w:val="24"/>
          <w:szCs w:val="24"/>
        </w:rPr>
        <w:t xml:space="preserve">mainstream services, such as health, mental health, and employment services to the extent those services are </w:t>
      </w:r>
      <w:proofErr w:type="spellStart"/>
      <w:proofErr w:type="gramStart"/>
      <w:r>
        <w:rPr>
          <w:b/>
          <w:sz w:val="24"/>
          <w:szCs w:val="24"/>
        </w:rPr>
        <w:t>use</w:t>
      </w:r>
      <w:proofErr w:type="spellEnd"/>
      <w:proofErr w:type="gramEnd"/>
      <w:r>
        <w:rPr>
          <w:b/>
          <w:sz w:val="24"/>
          <w:szCs w:val="24"/>
        </w:rPr>
        <w:t xml:space="preserve"> to complement services targeted to homeless persons</w:t>
      </w:r>
    </w:p>
    <w:p w14:paraId="52A8B3FB" w14:textId="77777777" w:rsidR="00217A61" w:rsidRDefault="001C2695">
      <w:pPr>
        <w:spacing w:beforeAutospacing="1" w:afterAutospacing="1"/>
        <w:rPr>
          <w:rFonts w:cs="Arial"/>
        </w:rPr>
      </w:pPr>
      <w:r>
        <w:rPr>
          <w:rFonts w:cs="Arial"/>
        </w:rPr>
        <w:t xml:space="preserve">The Emergency Solutions Grant, administered by NCDHHHS, is responsible for ensuring that </w:t>
      </w:r>
      <w:proofErr w:type="spellStart"/>
      <w:r>
        <w:rPr>
          <w:rFonts w:cs="Arial"/>
        </w:rPr>
        <w:t>Co</w:t>
      </w:r>
      <w:r>
        <w:rPr>
          <w:rFonts w:cs="Arial"/>
        </w:rPr>
        <w:t>Cs</w:t>
      </w:r>
      <w:proofErr w:type="spellEnd"/>
      <w:r>
        <w:rPr>
          <w:rFonts w:cs="Arial"/>
        </w:rPr>
        <w:t xml:space="preserve"> coordinate mainstream services to assist homeless individuals and families achieve housing stability as listed in 24 CFR 576.400(c). The </w:t>
      </w:r>
      <w:proofErr w:type="spellStart"/>
      <w:r>
        <w:rPr>
          <w:rFonts w:cs="Arial"/>
        </w:rPr>
        <w:t>CoCs</w:t>
      </w:r>
      <w:proofErr w:type="spellEnd"/>
      <w:r>
        <w:rPr>
          <w:rFonts w:cs="Arial"/>
        </w:rPr>
        <w:t xml:space="preserve"> are made up of coalitions of supportive housing and homelessness stakeholders including providers of housing as</w:t>
      </w:r>
      <w:r>
        <w:rPr>
          <w:rFonts w:cs="Arial"/>
        </w:rPr>
        <w:t xml:space="preserve"> well as providers of services for individuals and families experiencing homelessness. These groups are made up of public and private housing providers, state-supported Managed Care Organization/Local Management Entities (MCO/LMEs) representatives providin</w:t>
      </w:r>
      <w:r>
        <w:rPr>
          <w:rFonts w:cs="Arial"/>
        </w:rPr>
        <w:t>g mental and behavioral health services, vocational rehabilitation staff providing employment services, Social Security offices engaged in SAMHSA's SSI/SSDI Outreach, Access, and Recovery (SOAR) program, local Department of Social Services staff, as well a</w:t>
      </w:r>
      <w:r>
        <w:rPr>
          <w:rFonts w:cs="Arial"/>
        </w:rPr>
        <w:t xml:space="preserve">s organizations providing health care and coordination of care services to people experiencing homelessness. </w:t>
      </w:r>
      <w:proofErr w:type="spellStart"/>
      <w:r>
        <w:rPr>
          <w:rFonts w:cs="Arial"/>
        </w:rPr>
        <w:t>CoCs</w:t>
      </w:r>
      <w:proofErr w:type="spellEnd"/>
      <w:r>
        <w:rPr>
          <w:rFonts w:cs="Arial"/>
        </w:rPr>
        <w:t xml:space="preserve"> are also required to use coordinated entry, which is an important process through which people experiencing homelessness can access the crisis</w:t>
      </w:r>
      <w:r>
        <w:rPr>
          <w:rFonts w:cs="Arial"/>
        </w:rPr>
        <w:t xml:space="preserve"> response system in a streamlined way, have their strengths and needs assessed, and quickly connect to appropriate mainstream services in the community. The coordinated entry process provides individuals with a choice, rather than being evaluated for a sin</w:t>
      </w:r>
      <w:r>
        <w:rPr>
          <w:rFonts w:cs="Arial"/>
        </w:rPr>
        <w:t>gle program within the system.</w:t>
      </w:r>
    </w:p>
    <w:p w14:paraId="2D0D7435" w14:textId="77777777" w:rsidR="00217A61" w:rsidRDefault="001C2695">
      <w:pPr>
        <w:spacing w:line="204" w:lineRule="auto"/>
        <w:rPr>
          <w:b/>
          <w:sz w:val="24"/>
          <w:szCs w:val="24"/>
        </w:rPr>
      </w:pPr>
      <w:r>
        <w:rPr>
          <w:b/>
          <w:sz w:val="24"/>
          <w:szCs w:val="24"/>
        </w:rPr>
        <w:t xml:space="preserve">List and describe services and facilities that meet the needs of homeless persons, particularly chronically homeless individuals and families, families with children, veterans and their families, and </w:t>
      </w:r>
      <w:r>
        <w:rPr>
          <w:b/>
          <w:sz w:val="24"/>
          <w:szCs w:val="24"/>
        </w:rPr>
        <w:t>unaccompanied youth. If the services and facilities are listed on screen SP-40 Institutional Delivery Structure or screen MA-35 Special Needs Facilities and Services, describe how these facilities and services specifically address the needs of these popula</w:t>
      </w:r>
      <w:r>
        <w:rPr>
          <w:b/>
          <w:sz w:val="24"/>
          <w:szCs w:val="24"/>
        </w:rPr>
        <w:t>tions.</w:t>
      </w:r>
    </w:p>
    <w:p w14:paraId="782FEECA" w14:textId="77777777" w:rsidR="00217A61" w:rsidRDefault="00217A61">
      <w:pPr>
        <w:spacing w:line="204" w:lineRule="auto"/>
        <w:rPr>
          <w:b/>
          <w:sz w:val="24"/>
          <w:szCs w:val="24"/>
        </w:rPr>
      </w:pPr>
    </w:p>
    <w:p w14:paraId="61E8BDE8" w14:textId="77777777" w:rsidR="00217A61" w:rsidRDefault="001C2695">
      <w:pPr>
        <w:pStyle w:val="Heading2"/>
        <w:pageBreakBefore/>
        <w:rPr>
          <w:rFonts w:ascii="Calibri" w:hAnsi="Calibri"/>
          <w:i w:val="0"/>
        </w:rPr>
      </w:pPr>
      <w:r>
        <w:rPr>
          <w:rFonts w:ascii="Calibri" w:hAnsi="Calibri"/>
          <w:i w:val="0"/>
        </w:rPr>
        <w:lastRenderedPageBreak/>
        <w:t>MA-35 Special Needs Facilities and Services – 91.310(c)</w:t>
      </w:r>
    </w:p>
    <w:p w14:paraId="38CA574E" w14:textId="77777777" w:rsidR="00217A61" w:rsidRDefault="001C2695">
      <w:pPr>
        <w:spacing w:line="204" w:lineRule="auto"/>
        <w:rPr>
          <w:b/>
          <w:sz w:val="24"/>
          <w:szCs w:val="24"/>
        </w:rPr>
      </w:pPr>
      <w:r>
        <w:rPr>
          <w:b/>
          <w:sz w:val="24"/>
          <w:szCs w:val="24"/>
        </w:rPr>
        <w:t>Introduction</w:t>
      </w:r>
    </w:p>
    <w:p w14:paraId="45842600" w14:textId="77777777" w:rsidR="00217A61" w:rsidRDefault="00217A61">
      <w:pPr>
        <w:spacing w:line="204" w:lineRule="auto"/>
        <w:rPr>
          <w:b/>
          <w:sz w:val="24"/>
          <w:szCs w:val="24"/>
        </w:rPr>
      </w:pPr>
    </w:p>
    <w:p w14:paraId="79B29F98" w14:textId="77777777" w:rsidR="00217A61" w:rsidRDefault="001C2695">
      <w:pPr>
        <w:keepNext/>
        <w:widowControl w:val="0"/>
        <w:rPr>
          <w:b/>
          <w:i/>
          <w:sz w:val="24"/>
          <w:szCs w:val="24"/>
        </w:rPr>
      </w:pPr>
      <w:r>
        <w:rPr>
          <w:b/>
          <w:sz w:val="24"/>
          <w:szCs w:val="24"/>
        </w:rPr>
        <w:t>HOPWA Assistance Baseline Table</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5787"/>
      </w:tblGrid>
      <w:tr w:rsidR="00217A61" w14:paraId="4935047F" w14:textId="77777777">
        <w:trPr>
          <w:cantSplit/>
          <w:tblHeader/>
        </w:trPr>
        <w:tc>
          <w:tcPr>
            <w:tcW w:w="3641" w:type="dxa"/>
          </w:tcPr>
          <w:p w14:paraId="54A18301" w14:textId="77777777" w:rsidR="00217A61" w:rsidRDefault="001C2695">
            <w:pPr>
              <w:keepNext/>
              <w:widowControl w:val="0"/>
              <w:spacing w:after="0" w:line="240" w:lineRule="auto"/>
              <w:rPr>
                <w:b/>
              </w:rPr>
            </w:pPr>
            <w:r>
              <w:rPr>
                <w:b/>
              </w:rPr>
              <w:t>Type of HOWA Assistance</w:t>
            </w:r>
          </w:p>
        </w:tc>
        <w:tc>
          <w:tcPr>
            <w:tcW w:w="5935" w:type="dxa"/>
          </w:tcPr>
          <w:p w14:paraId="532B8FB5" w14:textId="77777777" w:rsidR="00217A61" w:rsidRDefault="001C2695">
            <w:pPr>
              <w:keepNext/>
              <w:widowControl w:val="0"/>
              <w:spacing w:after="0" w:line="240" w:lineRule="auto"/>
              <w:jc w:val="center"/>
              <w:rPr>
                <w:b/>
              </w:rPr>
            </w:pPr>
            <w:r>
              <w:rPr>
                <w:b/>
              </w:rPr>
              <w:t>Number of Units Designated or Available for People with HIV/AIDS and their families</w:t>
            </w:r>
          </w:p>
        </w:tc>
      </w:tr>
      <w:tr w:rsidR="00217A61" w14:paraId="5A6C8B40" w14:textId="77777777">
        <w:trPr>
          <w:cantSplit/>
        </w:trPr>
        <w:tc>
          <w:tcPr>
            <w:tcW w:w="0" w:type="auto"/>
          </w:tcPr>
          <w:p w14:paraId="11FA4BA4" w14:textId="77777777" w:rsidR="00217A61" w:rsidRDefault="001C2695">
            <w:pPr>
              <w:spacing w:beforeAutospacing="1" w:afterAutospacing="1"/>
            </w:pPr>
            <w:r>
              <w:rPr>
                <w:color w:val="000000"/>
              </w:rPr>
              <w:t>TBRA</w:t>
            </w:r>
          </w:p>
        </w:tc>
        <w:tc>
          <w:tcPr>
            <w:tcW w:w="0" w:type="auto"/>
            <w:vAlign w:val="bottom"/>
          </w:tcPr>
          <w:p w14:paraId="4A347B57" w14:textId="77777777" w:rsidR="00217A61" w:rsidRDefault="001C2695">
            <w:pPr>
              <w:spacing w:beforeAutospacing="1" w:afterAutospacing="1"/>
              <w:jc w:val="right"/>
            </w:pPr>
            <w:r>
              <w:rPr>
                <w:color w:val="000000"/>
              </w:rPr>
              <w:t>0</w:t>
            </w:r>
          </w:p>
        </w:tc>
      </w:tr>
      <w:tr w:rsidR="00217A61" w14:paraId="3C0D145D" w14:textId="77777777">
        <w:trPr>
          <w:cantSplit/>
        </w:trPr>
        <w:tc>
          <w:tcPr>
            <w:tcW w:w="0" w:type="auto"/>
          </w:tcPr>
          <w:p w14:paraId="1126FD81" w14:textId="77777777" w:rsidR="00217A61" w:rsidRDefault="001C2695">
            <w:pPr>
              <w:spacing w:beforeAutospacing="1" w:afterAutospacing="1"/>
            </w:pPr>
            <w:r>
              <w:rPr>
                <w:color w:val="000000"/>
              </w:rPr>
              <w:t>PH in facilities</w:t>
            </w:r>
          </w:p>
        </w:tc>
        <w:tc>
          <w:tcPr>
            <w:tcW w:w="0" w:type="auto"/>
            <w:vAlign w:val="bottom"/>
          </w:tcPr>
          <w:p w14:paraId="1FD7FCE1" w14:textId="77777777" w:rsidR="00217A61" w:rsidRDefault="001C2695">
            <w:pPr>
              <w:spacing w:beforeAutospacing="1" w:afterAutospacing="1"/>
              <w:jc w:val="right"/>
            </w:pPr>
            <w:r>
              <w:rPr>
                <w:color w:val="000000"/>
              </w:rPr>
              <w:t>0</w:t>
            </w:r>
          </w:p>
        </w:tc>
      </w:tr>
      <w:tr w:rsidR="00217A61" w14:paraId="7CDBE68C" w14:textId="77777777">
        <w:trPr>
          <w:cantSplit/>
        </w:trPr>
        <w:tc>
          <w:tcPr>
            <w:tcW w:w="0" w:type="auto"/>
          </w:tcPr>
          <w:p w14:paraId="5CD2F858" w14:textId="77777777" w:rsidR="00217A61" w:rsidRDefault="001C2695">
            <w:pPr>
              <w:spacing w:beforeAutospacing="1" w:afterAutospacing="1"/>
            </w:pPr>
            <w:r>
              <w:rPr>
                <w:color w:val="000000"/>
              </w:rPr>
              <w:t>STRMU</w:t>
            </w:r>
          </w:p>
        </w:tc>
        <w:tc>
          <w:tcPr>
            <w:tcW w:w="0" w:type="auto"/>
            <w:vAlign w:val="bottom"/>
          </w:tcPr>
          <w:p w14:paraId="248E2987" w14:textId="77777777" w:rsidR="00217A61" w:rsidRDefault="001C2695">
            <w:pPr>
              <w:spacing w:beforeAutospacing="1" w:afterAutospacing="1"/>
              <w:jc w:val="right"/>
            </w:pPr>
            <w:r>
              <w:rPr>
                <w:color w:val="000000"/>
              </w:rPr>
              <w:t>0</w:t>
            </w:r>
          </w:p>
        </w:tc>
      </w:tr>
      <w:tr w:rsidR="00217A61" w14:paraId="5C0ED8B3" w14:textId="77777777">
        <w:trPr>
          <w:cantSplit/>
        </w:trPr>
        <w:tc>
          <w:tcPr>
            <w:tcW w:w="0" w:type="auto"/>
          </w:tcPr>
          <w:p w14:paraId="1B288624" w14:textId="77777777" w:rsidR="00217A61" w:rsidRDefault="001C2695">
            <w:pPr>
              <w:spacing w:beforeAutospacing="1" w:afterAutospacing="1"/>
            </w:pPr>
            <w:r>
              <w:rPr>
                <w:color w:val="000000"/>
              </w:rPr>
              <w:t>ST or TH facilities</w:t>
            </w:r>
          </w:p>
        </w:tc>
        <w:tc>
          <w:tcPr>
            <w:tcW w:w="0" w:type="auto"/>
            <w:vAlign w:val="bottom"/>
          </w:tcPr>
          <w:p w14:paraId="7CAEE186" w14:textId="77777777" w:rsidR="00217A61" w:rsidRDefault="001C2695">
            <w:pPr>
              <w:spacing w:beforeAutospacing="1" w:afterAutospacing="1"/>
              <w:jc w:val="right"/>
            </w:pPr>
            <w:r>
              <w:rPr>
                <w:color w:val="000000"/>
              </w:rPr>
              <w:t>0</w:t>
            </w:r>
          </w:p>
        </w:tc>
      </w:tr>
      <w:tr w:rsidR="00217A61" w14:paraId="54633B3F" w14:textId="77777777">
        <w:trPr>
          <w:cantSplit/>
        </w:trPr>
        <w:tc>
          <w:tcPr>
            <w:tcW w:w="0" w:type="auto"/>
          </w:tcPr>
          <w:p w14:paraId="409C3128" w14:textId="77777777" w:rsidR="00217A61" w:rsidRDefault="001C2695">
            <w:pPr>
              <w:spacing w:beforeAutospacing="1" w:afterAutospacing="1"/>
            </w:pPr>
            <w:r>
              <w:rPr>
                <w:color w:val="000000"/>
              </w:rPr>
              <w:t>PH placement</w:t>
            </w:r>
          </w:p>
        </w:tc>
        <w:tc>
          <w:tcPr>
            <w:tcW w:w="0" w:type="auto"/>
            <w:vAlign w:val="bottom"/>
          </w:tcPr>
          <w:p w14:paraId="4316951C" w14:textId="77777777" w:rsidR="00217A61" w:rsidRDefault="001C2695">
            <w:pPr>
              <w:spacing w:beforeAutospacing="1" w:afterAutospacing="1"/>
              <w:jc w:val="right"/>
            </w:pPr>
            <w:r>
              <w:rPr>
                <w:color w:val="000000"/>
              </w:rPr>
              <w:t>0</w:t>
            </w:r>
          </w:p>
        </w:tc>
      </w:tr>
    </w:tbl>
    <w:p w14:paraId="7DE4C530" w14:textId="77777777" w:rsidR="00217A61" w:rsidRDefault="001C269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 HOPWA Assistance Baseline</w:t>
      </w:r>
    </w:p>
    <w:tbl>
      <w:tblPr>
        <w:tblW w:w="5000" w:type="pct"/>
        <w:tblInd w:w="115" w:type="dxa"/>
        <w:tblLook w:val="01E0" w:firstRow="1" w:lastRow="1" w:firstColumn="1" w:lastColumn="1" w:noHBand="0" w:noVBand="0"/>
      </w:tblPr>
      <w:tblGrid>
        <w:gridCol w:w="1063"/>
        <w:gridCol w:w="8297"/>
      </w:tblGrid>
      <w:tr w:rsidR="00217A61" w14:paraId="2763FB43" w14:textId="77777777">
        <w:trPr>
          <w:cantSplit/>
        </w:trPr>
        <w:tc>
          <w:tcPr>
            <w:tcW w:w="9576" w:type="dxa"/>
            <w:gridSpan w:val="2"/>
          </w:tcPr>
          <w:p w14:paraId="4C6DB274" w14:textId="77777777" w:rsidR="00217A61" w:rsidRDefault="00217A61">
            <w:pPr>
              <w:spacing w:after="0" w:line="240" w:lineRule="auto"/>
              <w:rPr>
                <w:rFonts w:cs="Arial"/>
                <w:sz w:val="16"/>
                <w:szCs w:val="16"/>
              </w:rPr>
            </w:pPr>
          </w:p>
        </w:tc>
      </w:tr>
      <w:tr w:rsidR="00217A61" w14:paraId="2156CB17" w14:textId="77777777">
        <w:trPr>
          <w:cantSplit/>
        </w:trPr>
        <w:tc>
          <w:tcPr>
            <w:tcW w:w="1073" w:type="dxa"/>
          </w:tcPr>
          <w:p w14:paraId="41AAFB21" w14:textId="77777777" w:rsidR="00217A61" w:rsidRDefault="001C2695">
            <w:pPr>
              <w:spacing w:after="0" w:line="240" w:lineRule="auto"/>
              <w:rPr>
                <w:rFonts w:cs="Arial"/>
                <w:sz w:val="16"/>
                <w:szCs w:val="16"/>
              </w:rPr>
            </w:pPr>
            <w:r>
              <w:rPr>
                <w:b/>
                <w:bCs/>
                <w:sz w:val="16"/>
                <w:szCs w:val="16"/>
              </w:rPr>
              <w:t>Data Source:</w:t>
            </w:r>
          </w:p>
        </w:tc>
        <w:tc>
          <w:tcPr>
            <w:tcW w:w="8503" w:type="dxa"/>
          </w:tcPr>
          <w:p w14:paraId="5770E6E5" w14:textId="77777777" w:rsidR="00217A61" w:rsidRDefault="001C2695">
            <w:pPr>
              <w:spacing w:beforeAutospacing="1" w:afterAutospacing="1"/>
              <w:rPr>
                <w:rFonts w:cs="Arial"/>
                <w:sz w:val="16"/>
                <w:szCs w:val="16"/>
              </w:rPr>
            </w:pPr>
            <w:r>
              <w:rPr>
                <w:rFonts w:cs="Arial"/>
                <w:sz w:val="16"/>
                <w:szCs w:val="16"/>
              </w:rPr>
              <w:t>HOPWA CAPER and HOPWA Beneficiary Verification Worksheet</w:t>
            </w:r>
          </w:p>
        </w:tc>
      </w:tr>
    </w:tbl>
    <w:p w14:paraId="19B9FA6A" w14:textId="77777777" w:rsidR="00217A61" w:rsidRDefault="00217A61">
      <w:pPr>
        <w:keepNext/>
        <w:widowControl w:val="0"/>
        <w:spacing w:after="0" w:line="240" w:lineRule="auto"/>
        <w:jc w:val="center"/>
        <w:rPr>
          <w:b/>
          <w:bCs/>
          <w:vanish/>
          <w:sz w:val="20"/>
          <w:szCs w:val="20"/>
        </w:rPr>
      </w:pPr>
    </w:p>
    <w:p w14:paraId="0EC86BCF" w14:textId="77777777" w:rsidR="00217A61" w:rsidRDefault="00217A61">
      <w:pPr>
        <w:rPr>
          <w:b/>
          <w:bCs/>
          <w:vanish/>
          <w:sz w:val="16"/>
          <w:szCs w:val="16"/>
        </w:rPr>
      </w:pPr>
    </w:p>
    <w:p w14:paraId="39DC99A0" w14:textId="77777777" w:rsidR="00217A61" w:rsidRDefault="00217A61"/>
    <w:p w14:paraId="5EFE5628" w14:textId="77777777" w:rsidR="00217A61" w:rsidRDefault="001C2695">
      <w:pPr>
        <w:spacing w:line="240" w:lineRule="auto"/>
        <w:rPr>
          <w:b/>
          <w:sz w:val="24"/>
          <w:szCs w:val="24"/>
        </w:rPr>
      </w:pPr>
      <w:r>
        <w:rPr>
          <w:b/>
          <w:sz w:val="24"/>
          <w:szCs w:val="24"/>
        </w:rPr>
        <w:t xml:space="preserve">To the extent information is available, </w:t>
      </w:r>
      <w:r>
        <w:rPr>
          <w:b/>
          <w:sz w:val="24"/>
          <w:szCs w:val="24"/>
        </w:rPr>
        <w:t xml:space="preserve">describe the facilities and services that assist persons who are not homeless but who require supportive housing, and programs for ensuring that persons returning from mental and physical health institutions receive appropriate supportive </w:t>
      </w:r>
      <w:proofErr w:type="gramStart"/>
      <w:r>
        <w:rPr>
          <w:b/>
          <w:sz w:val="24"/>
          <w:szCs w:val="24"/>
        </w:rPr>
        <w:t>housing</w:t>
      </w:r>
      <w:proofErr w:type="gramEnd"/>
    </w:p>
    <w:p w14:paraId="5E3C1DDD" w14:textId="77777777" w:rsidR="00217A61" w:rsidRDefault="001C2695">
      <w:pPr>
        <w:spacing w:beforeAutospacing="1" w:afterAutospacing="1"/>
        <w:rPr>
          <w:rFonts w:cs="Arial"/>
        </w:rPr>
      </w:pPr>
      <w:r>
        <w:rPr>
          <w:rFonts w:cs="Arial"/>
        </w:rPr>
        <w:t>The state</w:t>
      </w:r>
      <w:r>
        <w:rPr>
          <w:rFonts w:cs="Arial"/>
        </w:rPr>
        <w:t xml:space="preserve"> addresses the needs of non-homeless persons who require supportive housing through a multitude of programs offered in partnership through multiple state agencies.</w:t>
      </w:r>
    </w:p>
    <w:p w14:paraId="43527F40" w14:textId="77777777" w:rsidR="00217A61" w:rsidRDefault="001C2695">
      <w:pPr>
        <w:spacing w:beforeAutospacing="1" w:afterAutospacing="1"/>
        <w:rPr>
          <w:rFonts w:cs="Arial"/>
        </w:rPr>
      </w:pPr>
      <w:r>
        <w:rPr>
          <w:rFonts w:cs="Arial"/>
        </w:rPr>
        <w:t>North Carolina Division of Mental Health, Developmental Disabilities, and Substance Abuse Se</w:t>
      </w:r>
      <w:r>
        <w:rPr>
          <w:rFonts w:cs="Arial"/>
        </w:rPr>
        <w:t>rvices</w:t>
      </w:r>
    </w:p>
    <w:p w14:paraId="4EE89D88" w14:textId="77777777" w:rsidR="00217A61" w:rsidRDefault="001C2695">
      <w:pPr>
        <w:spacing w:beforeAutospacing="1" w:afterAutospacing="1"/>
        <w:rPr>
          <w:rFonts w:cs="Arial"/>
        </w:rPr>
      </w:pPr>
      <w:r>
        <w:rPr>
          <w:rFonts w:cs="Arial"/>
        </w:rPr>
        <w:t xml:space="preserve">The North Carolina Division of Mental Health, Developmental Disabilities, and Substance Abuse Services (DMH/DD/SAS) provides </w:t>
      </w:r>
      <w:proofErr w:type="gramStart"/>
      <w:r>
        <w:rPr>
          <w:rFonts w:cs="Arial"/>
        </w:rPr>
        <w:t>a large number of</w:t>
      </w:r>
      <w:proofErr w:type="gramEnd"/>
      <w:r>
        <w:rPr>
          <w:rFonts w:cs="Arial"/>
        </w:rPr>
        <w:t xml:space="preserve"> health services to consumers in need. Persons with mental illness are linked with services in their commun</w:t>
      </w:r>
      <w:r>
        <w:rPr>
          <w:rFonts w:cs="Arial"/>
        </w:rPr>
        <w:t xml:space="preserve">ity through their Local Management Entities/Managed Care Organizations (LME/MCOs), which serve the entire state. LME/MCOs are agencies of local government-area authorities or county programs that are responsible for managing, coordinating, </w:t>
      </w:r>
      <w:proofErr w:type="gramStart"/>
      <w:r>
        <w:rPr>
          <w:rFonts w:cs="Arial"/>
        </w:rPr>
        <w:t>facilitating</w:t>
      </w:r>
      <w:proofErr w:type="gramEnd"/>
      <w:r>
        <w:rPr>
          <w:rFonts w:cs="Arial"/>
        </w:rPr>
        <w:t xml:space="preserve"> and</w:t>
      </w:r>
      <w:r>
        <w:rPr>
          <w:rFonts w:cs="Arial"/>
        </w:rPr>
        <w:t xml:space="preserve"> monitoring the provision of mental health, developmental disabilities, and substance abuse services in the catchment area served. LME/MCO’s responsibilities include offering consumers daily access to services, developing and overseeing providers, and hand</w:t>
      </w:r>
      <w:r>
        <w:rPr>
          <w:rFonts w:cs="Arial"/>
        </w:rPr>
        <w:t>ling consumer complaints and grievances. The Division provides technical assistance to state-funded LME/MCOs Housing Specialists and coordinates statewide meetings of the Housing Specialists. DMH/DD/SAS maintains collaborative relationships to develop hous</w:t>
      </w:r>
      <w:r>
        <w:rPr>
          <w:rFonts w:cs="Arial"/>
        </w:rPr>
        <w:t>ing resources and residential options with linkage to community-based supportive services.</w:t>
      </w:r>
    </w:p>
    <w:p w14:paraId="4CF037BB" w14:textId="77777777" w:rsidR="00217A61" w:rsidRDefault="001C2695">
      <w:pPr>
        <w:spacing w:beforeAutospacing="1" w:afterAutospacing="1"/>
        <w:rPr>
          <w:rFonts w:cs="Arial"/>
        </w:rPr>
      </w:pPr>
      <w:r>
        <w:rPr>
          <w:rFonts w:cs="Arial"/>
        </w:rPr>
        <w:t>For persons with intellectual and other developmental disabilities, crisis services, day treatment, employment services, and personal assistance services may be avai</w:t>
      </w:r>
      <w:r>
        <w:rPr>
          <w:rFonts w:cs="Arial"/>
        </w:rPr>
        <w:t xml:space="preserve">lable. North Carolina has two Home </w:t>
      </w:r>
      <w:r>
        <w:rPr>
          <w:rFonts w:cs="Arial"/>
        </w:rPr>
        <w:lastRenderedPageBreak/>
        <w:t>and Community Based Medicaid waivers - the Community Alternatives Program (CAP) for individuals with intellectual/developmental disabilities that provides consumers with even more options and enhances their ability to liv</w:t>
      </w:r>
      <w:r>
        <w:rPr>
          <w:rFonts w:cs="Arial"/>
        </w:rPr>
        <w:t>e in the community of their choice, and the Community Alternatives Program for Disabled Adults and Children (CAP DA/C) that serves individuals with disabilities and older adults who require long term supports.</w:t>
      </w:r>
    </w:p>
    <w:p w14:paraId="3696EC28" w14:textId="77777777" w:rsidR="00217A61" w:rsidRDefault="001C2695">
      <w:pPr>
        <w:spacing w:beforeAutospacing="1" w:afterAutospacing="1"/>
        <w:rPr>
          <w:rFonts w:cs="Arial"/>
        </w:rPr>
      </w:pPr>
      <w:r>
        <w:rPr>
          <w:rFonts w:cs="Arial"/>
        </w:rPr>
        <w:t>Division of Public Health</w:t>
      </w:r>
    </w:p>
    <w:p w14:paraId="56EE9199" w14:textId="77777777" w:rsidR="00217A61" w:rsidRDefault="001C2695">
      <w:pPr>
        <w:spacing w:beforeAutospacing="1" w:afterAutospacing="1"/>
        <w:rPr>
          <w:rFonts w:cs="Arial"/>
        </w:rPr>
      </w:pPr>
      <w:r>
        <w:rPr>
          <w:rFonts w:cs="Arial"/>
        </w:rPr>
        <w:t xml:space="preserve">The HOPWA program is administered by the AIDS Care Program in the Division of Public Health, North Carolina Department of Health and Human Services (NC DHHS). HOPWA funds housing and housing-related supportive services for low-income persons with HIV/AIDS </w:t>
      </w:r>
      <w:r>
        <w:rPr>
          <w:rFonts w:cs="Arial"/>
        </w:rPr>
        <w:t>and their families. As mandated by HUD, the percentage of HOPWA clients in permanent housing who maintain housing stability will be maintained at 90% or higher. Improved drug therapies have reduced the number of AIDS deaths, so persons living with HIV/AIDS</w:t>
      </w:r>
      <w:r>
        <w:rPr>
          <w:rFonts w:cs="Arial"/>
        </w:rPr>
        <w:t xml:space="preserve"> are living longer, resulting in the need for more stable and affordable housing in North Carolina.</w:t>
      </w:r>
    </w:p>
    <w:p w14:paraId="195476F9" w14:textId="77777777" w:rsidR="00217A61" w:rsidRDefault="001C2695">
      <w:pPr>
        <w:spacing w:beforeAutospacing="1" w:afterAutospacing="1"/>
        <w:rPr>
          <w:rFonts w:cs="Arial"/>
        </w:rPr>
      </w:pPr>
      <w:r>
        <w:rPr>
          <w:rFonts w:cs="Arial"/>
        </w:rPr>
        <w:t> </w:t>
      </w:r>
    </w:p>
    <w:p w14:paraId="5864E082" w14:textId="77777777" w:rsidR="00217A61" w:rsidRDefault="001C2695">
      <w:pPr>
        <w:spacing w:beforeAutospacing="1" w:afterAutospacing="1"/>
        <w:rPr>
          <w:rFonts w:cs="Arial"/>
        </w:rPr>
      </w:pPr>
      <w:r>
        <w:rPr>
          <w:rFonts w:cs="Arial"/>
        </w:rPr>
        <w:t>North Carolina Housing Finance Agency</w:t>
      </w:r>
    </w:p>
    <w:p w14:paraId="3105C1F4" w14:textId="77777777" w:rsidR="00217A61" w:rsidRDefault="001C2695">
      <w:pPr>
        <w:spacing w:beforeAutospacing="1" w:afterAutospacing="1"/>
        <w:rPr>
          <w:rFonts w:cs="Arial"/>
        </w:rPr>
      </w:pPr>
      <w:r>
        <w:rPr>
          <w:rFonts w:cs="Arial"/>
        </w:rPr>
        <w:t>NCHFA has a Supportive Housing Development Program that helps fund the development of emergency, transitional, and p</w:t>
      </w:r>
      <w:r>
        <w:rPr>
          <w:rFonts w:cs="Arial"/>
        </w:rPr>
        <w:t xml:space="preserve">ermanent housing for persons who are homeless and/or with special needs, including disabilities. Eligible populations include non-homeless households that require supportive services, including persons with mental, physical, or developmental disabilities; </w:t>
      </w:r>
      <w:r>
        <w:rPr>
          <w:rFonts w:cs="Arial"/>
        </w:rPr>
        <w:t>persons with substance use disorders; persons diagnosed with AIDS and related diseases; and special populations on a case-by-case basis.</w:t>
      </w:r>
    </w:p>
    <w:p w14:paraId="44EE889B" w14:textId="77777777" w:rsidR="00217A61" w:rsidRDefault="001C2695">
      <w:pPr>
        <w:spacing w:beforeAutospacing="1" w:afterAutospacing="1"/>
        <w:rPr>
          <w:rFonts w:cs="Arial"/>
        </w:rPr>
      </w:pPr>
      <w:r>
        <w:rPr>
          <w:rFonts w:cs="Arial"/>
        </w:rPr>
        <w:t xml:space="preserve">NCHFA and NC DHHS have partnered to provide operating assistance and to coordinate services to very low-income persons </w:t>
      </w:r>
      <w:r>
        <w:rPr>
          <w:rFonts w:cs="Arial"/>
        </w:rPr>
        <w:t>with disabilities, including people experiencing homelessness and exiting institutions, live in targeted rental units. NCHFA and NC DHHS created a program to set aside 10% of the total number of Housing Credit apartments to serve the above groups, which ar</w:t>
      </w:r>
      <w:r>
        <w:rPr>
          <w:rFonts w:cs="Arial"/>
        </w:rPr>
        <w:t>e called targeted units. The 10% targeted units qualify for operating assistance (Key), which is provided by NCHFA under agreement with NC DHHS. The supportive services are coordinated through NC DHHS and provided locally.</w:t>
      </w:r>
    </w:p>
    <w:p w14:paraId="0DFB696B" w14:textId="77777777" w:rsidR="00217A61" w:rsidRDefault="001C2695">
      <w:pPr>
        <w:rPr>
          <w:b/>
          <w:sz w:val="24"/>
          <w:szCs w:val="24"/>
        </w:rPr>
      </w:pPr>
      <w:r>
        <w:rPr>
          <w:b/>
          <w:sz w:val="24"/>
          <w:szCs w:val="24"/>
        </w:rPr>
        <w:t>Describe programs for ensuring th</w:t>
      </w:r>
      <w:r>
        <w:rPr>
          <w:b/>
          <w:sz w:val="24"/>
          <w:szCs w:val="24"/>
        </w:rPr>
        <w:t xml:space="preserve">at persons returning from mental and physical health institutions receive appropriate supportive </w:t>
      </w:r>
      <w:proofErr w:type="gramStart"/>
      <w:r>
        <w:rPr>
          <w:b/>
          <w:sz w:val="24"/>
          <w:szCs w:val="24"/>
        </w:rPr>
        <w:t>housing</w:t>
      </w:r>
      <w:proofErr w:type="gramEnd"/>
    </w:p>
    <w:p w14:paraId="0107EFD0" w14:textId="77777777" w:rsidR="00217A61" w:rsidRDefault="001C2695">
      <w:pPr>
        <w:spacing w:beforeAutospacing="1" w:afterAutospacing="1"/>
        <w:rPr>
          <w:rFonts w:cs="Arial"/>
        </w:rPr>
      </w:pPr>
      <w:r>
        <w:rPr>
          <w:rFonts w:cs="Arial"/>
        </w:rPr>
        <w:t>North Carolina has two state-supported programs that ensure that people returning from mental and physical health institutions receive appropriate supp</w:t>
      </w:r>
      <w:r>
        <w:rPr>
          <w:rFonts w:cs="Arial"/>
        </w:rPr>
        <w:t>ortive housing.</w:t>
      </w:r>
    </w:p>
    <w:p w14:paraId="2887AC0C" w14:textId="77777777" w:rsidR="00217A61" w:rsidRDefault="00217A61">
      <w:pPr>
        <w:spacing w:beforeAutospacing="1" w:afterAutospacing="1"/>
        <w:rPr>
          <w:rFonts w:cs="Arial"/>
        </w:rPr>
      </w:pPr>
    </w:p>
    <w:p w14:paraId="77E005A6" w14:textId="77777777" w:rsidR="00217A61" w:rsidRDefault="001C2695">
      <w:pPr>
        <w:spacing w:beforeAutospacing="1" w:afterAutospacing="1"/>
        <w:rPr>
          <w:rFonts w:cs="Arial"/>
        </w:rPr>
      </w:pPr>
      <w:r>
        <w:rPr>
          <w:rFonts w:cs="Arial"/>
          <w:u w:val="single"/>
        </w:rPr>
        <w:lastRenderedPageBreak/>
        <w:t>Transitions to Community Living initiative</w:t>
      </w:r>
    </w:p>
    <w:p w14:paraId="6845ACF9" w14:textId="77777777" w:rsidR="00217A61" w:rsidRDefault="001C2695">
      <w:pPr>
        <w:spacing w:beforeAutospacing="1" w:afterAutospacing="1"/>
        <w:rPr>
          <w:rFonts w:cs="Arial"/>
        </w:rPr>
      </w:pPr>
      <w:r>
        <w:rPr>
          <w:rFonts w:cs="Arial"/>
        </w:rPr>
        <w:t>The State of North Carolina entered into a settlement agreement with the United States Department of Justice in 2012. The purpose of this agreement was to make sure that persons with mental illnes</w:t>
      </w:r>
      <w:r>
        <w:rPr>
          <w:rFonts w:cs="Arial"/>
        </w:rPr>
        <w:t>s can live in their communities in the least restrictive settings of their choice. The NC Department of Health and Human Services is implementing the agreement through the Transition to Community Living Initiative (TCLI).</w:t>
      </w:r>
    </w:p>
    <w:p w14:paraId="5409B1D6" w14:textId="77777777" w:rsidR="00217A61" w:rsidRDefault="001C2695">
      <w:pPr>
        <w:spacing w:beforeAutospacing="1" w:afterAutospacing="1"/>
        <w:rPr>
          <w:rFonts w:cs="Arial"/>
        </w:rPr>
      </w:pPr>
      <w:r>
        <w:rPr>
          <w:rFonts w:cs="Arial"/>
        </w:rPr>
        <w:t>The Transition to Community Living</w:t>
      </w:r>
      <w:r>
        <w:rPr>
          <w:rFonts w:cs="Arial"/>
        </w:rPr>
        <w:t xml:space="preserve"> Initiative has six primary components:</w:t>
      </w:r>
    </w:p>
    <w:p w14:paraId="12F82F5E" w14:textId="77777777" w:rsidR="00217A61" w:rsidRDefault="001C2695">
      <w:pPr>
        <w:numPr>
          <w:ilvl w:val="0"/>
          <w:numId w:val="3"/>
        </w:numPr>
        <w:spacing w:beforeAutospacing="1" w:afterAutospacing="1"/>
        <w:rPr>
          <w:rFonts w:cs="Arial"/>
        </w:rPr>
      </w:pPr>
      <w:r>
        <w:rPr>
          <w:rFonts w:cs="Arial"/>
        </w:rPr>
        <w:t>In-Reach and Transition - Providing or arranging for frequent education efforts and discharge planning targeted to individuals in adult care homes and state psychiatric hospitals.</w:t>
      </w:r>
    </w:p>
    <w:p w14:paraId="563DEDB5" w14:textId="77777777" w:rsidR="00217A61" w:rsidRDefault="001C2695">
      <w:pPr>
        <w:numPr>
          <w:ilvl w:val="0"/>
          <w:numId w:val="3"/>
        </w:numPr>
        <w:spacing w:beforeAutospacing="1" w:afterAutospacing="1"/>
        <w:rPr>
          <w:rFonts w:cs="Arial"/>
        </w:rPr>
      </w:pPr>
      <w:r>
        <w:rPr>
          <w:rFonts w:cs="Arial"/>
        </w:rPr>
        <w:t>Diversion – Diverting individuals fr</w:t>
      </w:r>
      <w:r>
        <w:rPr>
          <w:rFonts w:cs="Arial"/>
        </w:rPr>
        <w:t>om being admitted to adult care homes.</w:t>
      </w:r>
    </w:p>
    <w:p w14:paraId="20D51A50" w14:textId="77777777" w:rsidR="00217A61" w:rsidRDefault="001C2695">
      <w:pPr>
        <w:numPr>
          <w:ilvl w:val="0"/>
          <w:numId w:val="3"/>
        </w:numPr>
        <w:spacing w:beforeAutospacing="1" w:afterAutospacing="1"/>
        <w:rPr>
          <w:rFonts w:cs="Arial"/>
        </w:rPr>
      </w:pPr>
      <w:r>
        <w:rPr>
          <w:rFonts w:cs="Arial"/>
        </w:rPr>
        <w:t>Housing – Providing community-based supportive housing with tenancy supports.</w:t>
      </w:r>
    </w:p>
    <w:p w14:paraId="2A5F3592" w14:textId="77777777" w:rsidR="00217A61" w:rsidRDefault="001C2695">
      <w:pPr>
        <w:numPr>
          <w:ilvl w:val="0"/>
          <w:numId w:val="3"/>
        </w:numPr>
        <w:spacing w:beforeAutospacing="1" w:afterAutospacing="1"/>
        <w:rPr>
          <w:rFonts w:cs="Arial"/>
        </w:rPr>
      </w:pPr>
      <w:r>
        <w:rPr>
          <w:rFonts w:cs="Arial"/>
        </w:rPr>
        <w:t>Supported Employment – An evidence-based service assisting individuals in preparing for, identifying, and maintaining integrated, paid, com</w:t>
      </w:r>
      <w:r>
        <w:rPr>
          <w:rFonts w:cs="Arial"/>
        </w:rPr>
        <w:t>petitive employment.</w:t>
      </w:r>
    </w:p>
    <w:p w14:paraId="2196F8F5" w14:textId="77777777" w:rsidR="00217A61" w:rsidRDefault="001C2695">
      <w:pPr>
        <w:numPr>
          <w:ilvl w:val="0"/>
          <w:numId w:val="3"/>
        </w:numPr>
        <w:spacing w:beforeAutospacing="1" w:afterAutospacing="1"/>
        <w:rPr>
          <w:rFonts w:cs="Arial"/>
        </w:rPr>
      </w:pPr>
      <w:r>
        <w:rPr>
          <w:rFonts w:cs="Arial"/>
        </w:rPr>
        <w:t>Assertive Community Treatment – An evidence-based treatment and support model of services offering intensive customized, community-based services for people with mental illness.</w:t>
      </w:r>
    </w:p>
    <w:p w14:paraId="37D99D74" w14:textId="77777777" w:rsidR="00217A61" w:rsidRDefault="001C2695">
      <w:pPr>
        <w:numPr>
          <w:ilvl w:val="0"/>
          <w:numId w:val="3"/>
        </w:numPr>
        <w:spacing w:beforeAutospacing="1" w:afterAutospacing="1"/>
        <w:rPr>
          <w:rFonts w:cs="Arial"/>
        </w:rPr>
      </w:pPr>
      <w:r>
        <w:rPr>
          <w:rFonts w:cs="Arial"/>
        </w:rPr>
        <w:t xml:space="preserve">Quality Management – Using data to evaluate progress and </w:t>
      </w:r>
      <w:r>
        <w:rPr>
          <w:rFonts w:cs="Arial"/>
        </w:rPr>
        <w:t>outcomes.</w:t>
      </w:r>
    </w:p>
    <w:p w14:paraId="327A4BCD" w14:textId="77777777" w:rsidR="00217A61" w:rsidRDefault="001C2695">
      <w:pPr>
        <w:spacing w:beforeAutospacing="1" w:afterAutospacing="1"/>
        <w:rPr>
          <w:rFonts w:cs="Arial"/>
        </w:rPr>
      </w:pPr>
      <w:r>
        <w:rPr>
          <w:rFonts w:cs="Arial"/>
          <w:u w:val="single"/>
        </w:rPr>
        <w:t>Money Follows the Person</w:t>
      </w:r>
    </w:p>
    <w:p w14:paraId="18BAB717" w14:textId="77777777" w:rsidR="00217A61" w:rsidRDefault="001C2695">
      <w:pPr>
        <w:spacing w:beforeAutospacing="1" w:afterAutospacing="1"/>
        <w:rPr>
          <w:rFonts w:cs="Arial"/>
        </w:rPr>
      </w:pPr>
      <w:r>
        <w:rPr>
          <w:rFonts w:cs="Arial"/>
        </w:rPr>
        <w:t>Money Follows the Person is a state demonstration project that assists Medicaid-eligible North Carolinians living in inpatient facilities move into their own homes and communities with supports.</w:t>
      </w:r>
    </w:p>
    <w:p w14:paraId="4E0EA8FF" w14:textId="77777777" w:rsidR="00217A61" w:rsidRDefault="001C2695">
      <w:pPr>
        <w:spacing w:beforeAutospacing="1" w:afterAutospacing="1"/>
        <w:rPr>
          <w:rFonts w:cs="Arial"/>
        </w:rPr>
      </w:pPr>
      <w:r>
        <w:rPr>
          <w:rFonts w:cs="Arial"/>
        </w:rPr>
        <w:t>MFP Program Goals:</w:t>
      </w:r>
    </w:p>
    <w:p w14:paraId="23762EF5" w14:textId="77777777" w:rsidR="00217A61" w:rsidRDefault="001C2695">
      <w:pPr>
        <w:numPr>
          <w:ilvl w:val="0"/>
          <w:numId w:val="3"/>
        </w:numPr>
        <w:spacing w:beforeAutospacing="1" w:afterAutospacing="1"/>
        <w:rPr>
          <w:rFonts w:cs="Arial"/>
        </w:rPr>
      </w:pPr>
      <w:r>
        <w:rPr>
          <w:rFonts w:cs="Arial"/>
        </w:rPr>
        <w:t>Increas</w:t>
      </w:r>
      <w:r>
        <w:rPr>
          <w:rFonts w:cs="Arial"/>
        </w:rPr>
        <w:t xml:space="preserve">e the use of home and community-based services (HCBS) and reduce the use of institutionally based </w:t>
      </w:r>
      <w:proofErr w:type="gramStart"/>
      <w:r>
        <w:rPr>
          <w:rFonts w:cs="Arial"/>
        </w:rPr>
        <w:t>services</w:t>
      </w:r>
      <w:proofErr w:type="gramEnd"/>
    </w:p>
    <w:p w14:paraId="07F42B33" w14:textId="77777777" w:rsidR="00217A61" w:rsidRDefault="001C2695">
      <w:pPr>
        <w:numPr>
          <w:ilvl w:val="0"/>
          <w:numId w:val="3"/>
        </w:numPr>
        <w:spacing w:beforeAutospacing="1" w:afterAutospacing="1"/>
        <w:rPr>
          <w:rFonts w:cs="Arial"/>
        </w:rPr>
      </w:pPr>
      <w:r>
        <w:rPr>
          <w:rFonts w:cs="Arial"/>
        </w:rPr>
        <w:t xml:space="preserve">Eliminate barriers in state law, state Medicaid plans, and state budgets that restrict the use of Medicaid funds to let people get long-term care in </w:t>
      </w:r>
      <w:r>
        <w:rPr>
          <w:rFonts w:cs="Arial"/>
        </w:rPr>
        <w:t xml:space="preserve">the settings of their </w:t>
      </w:r>
      <w:proofErr w:type="gramStart"/>
      <w:r>
        <w:rPr>
          <w:rFonts w:cs="Arial"/>
        </w:rPr>
        <w:t>choice</w:t>
      </w:r>
      <w:proofErr w:type="gramEnd"/>
    </w:p>
    <w:p w14:paraId="3D29EDDD" w14:textId="77777777" w:rsidR="00217A61" w:rsidRDefault="001C2695">
      <w:pPr>
        <w:numPr>
          <w:ilvl w:val="0"/>
          <w:numId w:val="3"/>
        </w:numPr>
        <w:spacing w:beforeAutospacing="1" w:afterAutospacing="1"/>
        <w:rPr>
          <w:rFonts w:cs="Arial"/>
        </w:rPr>
      </w:pPr>
      <w:r>
        <w:rPr>
          <w:rFonts w:cs="Arial"/>
        </w:rPr>
        <w:t xml:space="preserve">Strengthen the ability of Medicaid programs to provide HCBS to people who choose to transition out of </w:t>
      </w:r>
      <w:proofErr w:type="gramStart"/>
      <w:r>
        <w:rPr>
          <w:rFonts w:cs="Arial"/>
        </w:rPr>
        <w:t>institutions</w:t>
      </w:r>
      <w:proofErr w:type="gramEnd"/>
    </w:p>
    <w:p w14:paraId="0C9702D1" w14:textId="77777777" w:rsidR="00217A61" w:rsidRDefault="001C2695">
      <w:pPr>
        <w:numPr>
          <w:ilvl w:val="0"/>
          <w:numId w:val="3"/>
        </w:numPr>
        <w:spacing w:beforeAutospacing="1" w:afterAutospacing="1"/>
        <w:rPr>
          <w:rFonts w:cs="Arial"/>
        </w:rPr>
      </w:pPr>
      <w:r>
        <w:rPr>
          <w:rFonts w:cs="Arial"/>
        </w:rPr>
        <w:t xml:space="preserve">Put procedures in place to provide quality assurance and improvement of </w:t>
      </w:r>
      <w:proofErr w:type="gramStart"/>
      <w:r>
        <w:rPr>
          <w:rFonts w:cs="Arial"/>
        </w:rPr>
        <w:t>HCBS</w:t>
      </w:r>
      <w:proofErr w:type="gramEnd"/>
    </w:p>
    <w:p w14:paraId="1853C300" w14:textId="77777777" w:rsidR="00217A61" w:rsidRDefault="001C2695">
      <w:pPr>
        <w:spacing w:beforeAutospacing="1" w:afterAutospacing="1"/>
        <w:rPr>
          <w:rFonts w:cs="Arial"/>
        </w:rPr>
      </w:pPr>
      <w:r>
        <w:rPr>
          <w:rFonts w:cs="Arial"/>
        </w:rPr>
        <w:t>Currently, North Carolina demonstra</w:t>
      </w:r>
      <w:r>
        <w:rPr>
          <w:rFonts w:cs="Arial"/>
        </w:rPr>
        <w:t>tes an overreliance on institutional services for people with intellectual and developmental disabilities. Other states have fostered the provision of services in living arrangements that are owned or rented by people with intellectual and developmental di</w:t>
      </w:r>
      <w:r>
        <w:rPr>
          <w:rFonts w:cs="Arial"/>
        </w:rPr>
        <w:t>sabilities rather than in facilities or sites that are controlled by provider agencies. Nationally 27% of those receiving [Medicaid-funded] residential services own or lease their own home, compared to 16% in North Carolina.</w:t>
      </w:r>
    </w:p>
    <w:p w14:paraId="606C9DE1" w14:textId="77777777" w:rsidR="00217A61" w:rsidRDefault="001C2695">
      <w:pPr>
        <w:spacing w:beforeAutospacing="1" w:afterAutospacing="1"/>
        <w:rPr>
          <w:rFonts w:cs="Arial"/>
        </w:rPr>
      </w:pPr>
      <w:r>
        <w:rPr>
          <w:rFonts w:cs="Arial"/>
        </w:rPr>
        <w:lastRenderedPageBreak/>
        <w:t>As the state moves forward in i</w:t>
      </w:r>
      <w:r>
        <w:rPr>
          <w:rFonts w:cs="Arial"/>
        </w:rPr>
        <w:t>ts deinstitutionalization efforts, even more affordable accessible housing will be needed. People with intellectual and developmental disabilities and their families continue to be interested in exploring creative community housing options such as particip</w:t>
      </w:r>
      <w:r>
        <w:rPr>
          <w:rFonts w:cs="Arial"/>
        </w:rPr>
        <w:t xml:space="preserve">ating in the Homeownership Voucher Program and shared living. For these options to be viable, Public Housing Authorities, state regulators and Federal administrators </w:t>
      </w:r>
      <w:proofErr w:type="gramStart"/>
      <w:r>
        <w:rPr>
          <w:rFonts w:cs="Arial"/>
        </w:rPr>
        <w:t>have to</w:t>
      </w:r>
      <w:proofErr w:type="gramEnd"/>
      <w:r>
        <w:rPr>
          <w:rFonts w:cs="Arial"/>
        </w:rPr>
        <w:t xml:space="preserve"> demonstrate their support.</w:t>
      </w:r>
    </w:p>
    <w:p w14:paraId="41F1BA7F" w14:textId="77777777" w:rsidR="00217A61" w:rsidRDefault="001C2695">
      <w:pPr>
        <w:rPr>
          <w:b/>
          <w:sz w:val="24"/>
          <w:szCs w:val="24"/>
        </w:rPr>
      </w:pPr>
      <w:r>
        <w:rPr>
          <w:b/>
          <w:sz w:val="24"/>
          <w:szCs w:val="24"/>
        </w:rPr>
        <w:t>Specify the activities that the jurisdiction plans to u</w:t>
      </w:r>
      <w:r>
        <w:rPr>
          <w:b/>
          <w:sz w:val="24"/>
          <w:szCs w:val="24"/>
        </w:rPr>
        <w:t>ndertake during the next year to address the housing and supportive services needs identified in accordance with 91.215(e) with respect to persons who are not homeless but have other special needs.  Link to one-year goals. 91.315(e)</w:t>
      </w:r>
    </w:p>
    <w:p w14:paraId="718C7A58" w14:textId="77777777" w:rsidR="00217A61" w:rsidRDefault="00217A61">
      <w:pPr>
        <w:rPr>
          <w:rFonts w:cs="Arial"/>
        </w:rPr>
      </w:pPr>
    </w:p>
    <w:p w14:paraId="353E6480" w14:textId="77777777" w:rsidR="00217A61" w:rsidRDefault="001C2695">
      <w:pPr>
        <w:spacing w:line="204" w:lineRule="auto"/>
        <w:rPr>
          <w:b/>
          <w:sz w:val="24"/>
          <w:szCs w:val="24"/>
        </w:rPr>
      </w:pPr>
      <w:r>
        <w:rPr>
          <w:b/>
          <w:sz w:val="24"/>
          <w:szCs w:val="24"/>
        </w:rPr>
        <w:t xml:space="preserve">For </w:t>
      </w:r>
      <w:r>
        <w:rPr>
          <w:b/>
          <w:sz w:val="24"/>
          <w:szCs w:val="24"/>
        </w:rPr>
        <w:t>entitlement/consortia grantees: Specify the activities that the jurisdiction plans to undertake during the next year to address the housing and supportive services needs identified in accordance with 91.215(e) with respect to persons who are not homeless b</w:t>
      </w:r>
      <w:r>
        <w:rPr>
          <w:b/>
          <w:sz w:val="24"/>
          <w:szCs w:val="24"/>
        </w:rPr>
        <w:t>ut have other special needs.  Link to one-year goals. (91.220(2))</w:t>
      </w:r>
    </w:p>
    <w:p w14:paraId="35A256F2" w14:textId="77777777" w:rsidR="00217A61" w:rsidRDefault="00217A61">
      <w:pPr>
        <w:spacing w:line="204" w:lineRule="auto"/>
        <w:rPr>
          <w:b/>
          <w:sz w:val="24"/>
          <w:szCs w:val="24"/>
        </w:rPr>
      </w:pPr>
    </w:p>
    <w:p w14:paraId="2FEE5097" w14:textId="77777777" w:rsidR="00217A61" w:rsidRDefault="00217A61">
      <w:pPr>
        <w:rPr>
          <w:rFonts w:cs="Arial"/>
        </w:rPr>
      </w:pPr>
    </w:p>
    <w:p w14:paraId="6496800E" w14:textId="77777777" w:rsidR="00217A61" w:rsidRDefault="001C2695">
      <w:pPr>
        <w:pStyle w:val="Heading2"/>
        <w:pageBreakBefore/>
        <w:rPr>
          <w:rFonts w:ascii="Calibri" w:hAnsi="Calibri"/>
          <w:i w:val="0"/>
        </w:rPr>
      </w:pPr>
      <w:r>
        <w:rPr>
          <w:rFonts w:ascii="Calibri" w:hAnsi="Calibri"/>
          <w:i w:val="0"/>
        </w:rPr>
        <w:lastRenderedPageBreak/>
        <w:t>MA-40 Barriers to Affordable Housing – 91.310(d)</w:t>
      </w:r>
    </w:p>
    <w:p w14:paraId="7CBB72B2" w14:textId="77777777" w:rsidR="00217A61" w:rsidRDefault="001C2695">
      <w:pPr>
        <w:rPr>
          <w:b/>
          <w:sz w:val="24"/>
          <w:szCs w:val="24"/>
        </w:rPr>
      </w:pPr>
      <w:r>
        <w:rPr>
          <w:b/>
          <w:sz w:val="24"/>
          <w:szCs w:val="24"/>
        </w:rPr>
        <w:t>Negative Effects of Public Policies on Affordable Housing and Residential Investment</w:t>
      </w:r>
    </w:p>
    <w:p w14:paraId="3E2C2028" w14:textId="77777777" w:rsidR="00217A61" w:rsidRDefault="001C2695">
      <w:pPr>
        <w:spacing w:beforeAutospacing="1" w:afterAutospacing="1"/>
        <w:rPr>
          <w:rFonts w:cs="Arial"/>
        </w:rPr>
      </w:pPr>
      <w:r>
        <w:rPr>
          <w:rFonts w:cs="Arial"/>
        </w:rPr>
        <w:t>The State of North Carolina recently updated its Analy</w:t>
      </w:r>
      <w:r>
        <w:rPr>
          <w:rFonts w:cs="Arial"/>
        </w:rPr>
        <w:t>sis to Impediments to Fair Housing (AI). This process involves a thorough examination of the laws and regulations that impact the construction of affordable housing as well as a review of industry practices and conditions that limit fair housing choice. Pr</w:t>
      </w:r>
      <w:r>
        <w:rPr>
          <w:rFonts w:cs="Arial"/>
        </w:rPr>
        <w:t>evious analysis from 2015 highlighted patterns in mortgage lending, discrimination in the housing market, and policies and practices of individuals and businesses in the housing market. In the latest version, the AI evaluated residential segregation patter</w:t>
      </w:r>
      <w:r>
        <w:rPr>
          <w:rFonts w:cs="Arial"/>
        </w:rPr>
        <w:t>ns, how private and public sectors policies expand or restrict housing choice for the protected classes and identified barriers to fair housing choice.</w:t>
      </w:r>
    </w:p>
    <w:p w14:paraId="3DDA845C" w14:textId="77777777" w:rsidR="00217A61" w:rsidRDefault="001C2695">
      <w:pPr>
        <w:spacing w:beforeAutospacing="1" w:afterAutospacing="1"/>
        <w:rPr>
          <w:rFonts w:cs="Arial"/>
        </w:rPr>
      </w:pPr>
      <w:r>
        <w:rPr>
          <w:rFonts w:cs="Arial"/>
        </w:rPr>
        <w:br/>
        <w:t>Key findings included:</w:t>
      </w:r>
      <w:r>
        <w:rPr>
          <w:rFonts w:cs="Arial"/>
        </w:rPr>
        <w:br/>
      </w:r>
      <w:r>
        <w:rPr>
          <w:rFonts w:cs="Arial"/>
        </w:rPr>
        <w:t>• Residential segregation across the state is decreasing overall, with only three counties showing indicators of high levels of segregation.</w:t>
      </w:r>
      <w:r>
        <w:rPr>
          <w:rFonts w:cs="Arial"/>
        </w:rPr>
        <w:br/>
        <w:t>• North Carolina has 67 racially and ethnically concentrated areas of poverty, primarily located in urban metropoli</w:t>
      </w:r>
      <w:r>
        <w:rPr>
          <w:rFonts w:cs="Arial"/>
        </w:rPr>
        <w:t>tan counties.</w:t>
      </w:r>
      <w:r>
        <w:rPr>
          <w:rFonts w:cs="Arial"/>
        </w:rPr>
        <w:br/>
        <w:t>• Almost 40% of the inventory of assisted housing is found in the seven largest counties near their urban centers.</w:t>
      </w:r>
      <w:r>
        <w:rPr>
          <w:rFonts w:cs="Arial"/>
        </w:rPr>
        <w:br/>
        <w:t>• Discrimination in the rental housing market persists with disability and race as the two most often cited alleged bases of di</w:t>
      </w:r>
      <w:r>
        <w:rPr>
          <w:rFonts w:cs="Arial"/>
        </w:rPr>
        <w:t>scrimination.</w:t>
      </w:r>
      <w:r>
        <w:rPr>
          <w:rFonts w:cs="Arial"/>
        </w:rPr>
        <w:br/>
        <w:t>• The most commonly cited issues in housing discrimination complaints were discriminatory terms, conditions and privileges; failure to make reasonable accommodation; discrimination in the terms, conditions and privileges related to renting; d</w:t>
      </w:r>
      <w:r>
        <w:rPr>
          <w:rFonts w:cs="Arial"/>
        </w:rPr>
        <w:t>enying or making housing unavailable; refusing to rent; coercive acts; and discriminatory advertising.</w:t>
      </w:r>
      <w:r>
        <w:rPr>
          <w:rFonts w:cs="Arial"/>
        </w:rPr>
        <w:br/>
        <w:t>• A lack of knowledge of fair housing laws among consumers and providers restricts housing choice where enforcement resources are the most limited but wh</w:t>
      </w:r>
      <w:r>
        <w:rPr>
          <w:rFonts w:cs="Arial"/>
        </w:rPr>
        <w:t xml:space="preserve">ere housing is more affordable. </w:t>
      </w:r>
      <w:r>
        <w:rPr>
          <w:rFonts w:cs="Arial"/>
        </w:rPr>
        <w:br/>
        <w:t xml:space="preserve">• An inadequate supply of rental housing that is affordable, as well as persons with disabilities, severely limits housing choices. </w:t>
      </w:r>
      <w:r>
        <w:rPr>
          <w:rFonts w:cs="Arial"/>
        </w:rPr>
        <w:br/>
        <w:t>• Most North Carolina residents are homeowners, but Black and Hispanic households showed l</w:t>
      </w:r>
      <w:r>
        <w:rPr>
          <w:rFonts w:cs="Arial"/>
        </w:rPr>
        <w:t>ower homeownership rates than White or Asian Households.</w:t>
      </w:r>
      <w:r>
        <w:rPr>
          <w:rFonts w:cs="Arial"/>
        </w:rPr>
        <w:br/>
        <w:t xml:space="preserve">• Black applicants faced higher denial rates and lower origination rates (approvals) than White applicants; denial rates for Blacks and Whites were 35.0% and 18.4%, respectively. Hispanic applicants </w:t>
      </w:r>
      <w:r>
        <w:rPr>
          <w:rFonts w:cs="Arial"/>
        </w:rPr>
        <w:t>also showed above average loan denial rates (21.6%)</w:t>
      </w:r>
    </w:p>
    <w:p w14:paraId="0314917F" w14:textId="77777777" w:rsidR="00217A61" w:rsidRDefault="001C2695">
      <w:pPr>
        <w:spacing w:beforeAutospacing="1" w:afterAutospacing="1"/>
        <w:rPr>
          <w:rFonts w:cs="Arial"/>
        </w:rPr>
      </w:pPr>
      <w:r>
        <w:rPr>
          <w:rFonts w:cs="Arial"/>
        </w:rPr>
        <w:t>The Consolidated Plan partners will enhance outreach and education efforts targeting consumers, housing providers and other stakeholders focused on rights and obligations under state and federal fair hous</w:t>
      </w:r>
      <w:r>
        <w:rPr>
          <w:rFonts w:cs="Arial"/>
        </w:rPr>
        <w:t>ing laws.</w:t>
      </w:r>
    </w:p>
    <w:p w14:paraId="471E60F8" w14:textId="77777777" w:rsidR="00217A61" w:rsidRDefault="00217A61">
      <w:pPr>
        <w:rPr>
          <w:rFonts w:cs="Arial"/>
        </w:rPr>
      </w:pPr>
    </w:p>
    <w:p w14:paraId="737AEDE6" w14:textId="77777777" w:rsidR="00217A61" w:rsidRDefault="00217A61">
      <w:pPr>
        <w:rPr>
          <w:rFonts w:cs="Arial"/>
        </w:rPr>
      </w:pPr>
    </w:p>
    <w:p w14:paraId="4E057F4C" w14:textId="77777777" w:rsidR="00217A61" w:rsidRDefault="00217A61">
      <w:pPr>
        <w:pStyle w:val="Heading2"/>
        <w:pageBreakBefore/>
        <w:rPr>
          <w:rFonts w:ascii="Calibri" w:hAnsi="Calibri"/>
          <w:i w:val="0"/>
        </w:rPr>
        <w:sectPr w:rsidR="00217A61">
          <w:pgSz w:w="12240" w:h="15840"/>
          <w:pgMar w:top="1440" w:right="1440" w:bottom="1440" w:left="1440" w:header="720" w:footer="720" w:gutter="0"/>
          <w:cols w:space="720"/>
          <w:docGrid w:linePitch="360"/>
        </w:sectPr>
      </w:pPr>
    </w:p>
    <w:p w14:paraId="43F1726E" w14:textId="77777777" w:rsidR="00217A61" w:rsidRDefault="001C2695">
      <w:pPr>
        <w:pStyle w:val="Heading2"/>
        <w:pageBreakBefore/>
        <w:rPr>
          <w:rFonts w:ascii="Calibri" w:hAnsi="Calibri"/>
          <w:i w:val="0"/>
        </w:rPr>
      </w:pPr>
      <w:r>
        <w:rPr>
          <w:rFonts w:ascii="Calibri" w:hAnsi="Calibri"/>
          <w:i w:val="0"/>
        </w:rPr>
        <w:lastRenderedPageBreak/>
        <w:t xml:space="preserve">MA-45 Non-Housing Community Development Assets -91.315(f) </w:t>
      </w:r>
    </w:p>
    <w:p w14:paraId="20BFCE6A" w14:textId="77777777" w:rsidR="00217A61" w:rsidRDefault="001C2695">
      <w:pPr>
        <w:spacing w:line="204" w:lineRule="auto"/>
        <w:rPr>
          <w:b/>
          <w:sz w:val="24"/>
          <w:szCs w:val="24"/>
        </w:rPr>
      </w:pPr>
      <w:r>
        <w:rPr>
          <w:b/>
          <w:sz w:val="24"/>
          <w:szCs w:val="24"/>
        </w:rPr>
        <w:t>Introduction</w:t>
      </w:r>
    </w:p>
    <w:p w14:paraId="795E73EC" w14:textId="77777777" w:rsidR="00217A61" w:rsidRDefault="00217A61">
      <w:pPr>
        <w:spacing w:line="204" w:lineRule="auto"/>
        <w:rPr>
          <w:b/>
          <w:sz w:val="24"/>
          <w:szCs w:val="24"/>
        </w:rPr>
      </w:pPr>
    </w:p>
    <w:p w14:paraId="37922683" w14:textId="77777777" w:rsidR="00217A61" w:rsidRDefault="001C2695">
      <w:pPr>
        <w:keepNext/>
        <w:widowControl w:val="0"/>
        <w:rPr>
          <w:b/>
          <w:sz w:val="24"/>
          <w:szCs w:val="24"/>
        </w:rPr>
      </w:pPr>
      <w:r>
        <w:rPr>
          <w:b/>
          <w:sz w:val="24"/>
          <w:szCs w:val="24"/>
        </w:rPr>
        <w:t>Economic Development Market Analysis</w:t>
      </w:r>
    </w:p>
    <w:p w14:paraId="7CDC3A24" w14:textId="77777777" w:rsidR="00217A61" w:rsidRDefault="001C2695">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1472"/>
        <w:gridCol w:w="1473"/>
        <w:gridCol w:w="1473"/>
        <w:gridCol w:w="1473"/>
        <w:gridCol w:w="1473"/>
      </w:tblGrid>
      <w:tr w:rsidR="00217A61" w14:paraId="2AD6CB93" w14:textId="77777777">
        <w:trPr>
          <w:cantSplit/>
          <w:tblHeader/>
        </w:trPr>
        <w:tc>
          <w:tcPr>
            <w:tcW w:w="3907" w:type="dxa"/>
          </w:tcPr>
          <w:p w14:paraId="27AF6D04" w14:textId="77777777" w:rsidR="00217A61" w:rsidRDefault="001C2695">
            <w:pPr>
              <w:keepNext/>
              <w:widowControl w:val="0"/>
              <w:spacing w:after="0" w:line="240" w:lineRule="auto"/>
              <w:jc w:val="center"/>
            </w:pPr>
            <w:r>
              <w:rPr>
                <w:b/>
                <w:sz w:val="16"/>
                <w:szCs w:val="16"/>
              </w:rPr>
              <w:t>Business by Sector</w:t>
            </w:r>
          </w:p>
        </w:tc>
        <w:tc>
          <w:tcPr>
            <w:tcW w:w="1133" w:type="dxa"/>
          </w:tcPr>
          <w:p w14:paraId="0FF608B3" w14:textId="77777777" w:rsidR="00217A61" w:rsidRDefault="001C2695">
            <w:pPr>
              <w:keepNext/>
              <w:widowControl w:val="0"/>
              <w:spacing w:after="0" w:line="240" w:lineRule="auto"/>
              <w:jc w:val="center"/>
            </w:pPr>
            <w:r>
              <w:rPr>
                <w:b/>
                <w:sz w:val="16"/>
                <w:szCs w:val="16"/>
              </w:rPr>
              <w:t>Number of Workers</w:t>
            </w:r>
          </w:p>
        </w:tc>
        <w:tc>
          <w:tcPr>
            <w:tcW w:w="1134" w:type="dxa"/>
          </w:tcPr>
          <w:p w14:paraId="6CB87120" w14:textId="77777777" w:rsidR="00217A61" w:rsidRDefault="001C2695">
            <w:pPr>
              <w:keepNext/>
              <w:widowControl w:val="0"/>
              <w:spacing w:after="0" w:line="240" w:lineRule="auto"/>
              <w:jc w:val="center"/>
            </w:pPr>
            <w:r>
              <w:rPr>
                <w:b/>
                <w:sz w:val="16"/>
                <w:szCs w:val="16"/>
              </w:rPr>
              <w:t>Number of Jobs</w:t>
            </w:r>
          </w:p>
        </w:tc>
        <w:tc>
          <w:tcPr>
            <w:tcW w:w="1134" w:type="dxa"/>
          </w:tcPr>
          <w:p w14:paraId="7AD8B801" w14:textId="77777777" w:rsidR="00217A61" w:rsidRDefault="001C2695">
            <w:pPr>
              <w:keepNext/>
              <w:widowControl w:val="0"/>
              <w:spacing w:after="0" w:line="240" w:lineRule="auto"/>
              <w:jc w:val="center"/>
              <w:rPr>
                <w:b/>
                <w:sz w:val="16"/>
                <w:szCs w:val="16"/>
              </w:rPr>
            </w:pPr>
            <w:r>
              <w:rPr>
                <w:b/>
                <w:sz w:val="16"/>
                <w:szCs w:val="16"/>
              </w:rPr>
              <w:t xml:space="preserve">Share of </w:t>
            </w:r>
            <w:proofErr w:type="gramStart"/>
            <w:r>
              <w:rPr>
                <w:b/>
                <w:sz w:val="16"/>
                <w:szCs w:val="16"/>
              </w:rPr>
              <w:t>Workers</w:t>
            </w:r>
            <w:proofErr w:type="gramEnd"/>
          </w:p>
          <w:p w14:paraId="67180768" w14:textId="77777777" w:rsidR="00217A61" w:rsidRDefault="001C2695">
            <w:pPr>
              <w:keepNext/>
              <w:widowControl w:val="0"/>
              <w:spacing w:after="0" w:line="240" w:lineRule="auto"/>
              <w:jc w:val="center"/>
            </w:pPr>
            <w:r>
              <w:rPr>
                <w:b/>
                <w:sz w:val="16"/>
                <w:szCs w:val="16"/>
              </w:rPr>
              <w:t>%</w:t>
            </w:r>
          </w:p>
        </w:tc>
        <w:tc>
          <w:tcPr>
            <w:tcW w:w="1134" w:type="dxa"/>
          </w:tcPr>
          <w:p w14:paraId="1FE1032A" w14:textId="77777777" w:rsidR="00217A61" w:rsidRDefault="001C2695">
            <w:pPr>
              <w:keepNext/>
              <w:widowControl w:val="0"/>
              <w:spacing w:after="0" w:line="240" w:lineRule="auto"/>
              <w:jc w:val="center"/>
              <w:rPr>
                <w:b/>
                <w:sz w:val="16"/>
                <w:szCs w:val="16"/>
              </w:rPr>
            </w:pPr>
            <w:r>
              <w:rPr>
                <w:b/>
                <w:sz w:val="16"/>
                <w:szCs w:val="16"/>
              </w:rPr>
              <w:t xml:space="preserve">Share of </w:t>
            </w:r>
            <w:proofErr w:type="gramStart"/>
            <w:r>
              <w:rPr>
                <w:b/>
                <w:sz w:val="16"/>
                <w:szCs w:val="16"/>
              </w:rPr>
              <w:t>Jobs</w:t>
            </w:r>
            <w:proofErr w:type="gramEnd"/>
          </w:p>
          <w:p w14:paraId="164328B1" w14:textId="77777777" w:rsidR="00217A61" w:rsidRDefault="001C2695">
            <w:pPr>
              <w:keepNext/>
              <w:widowControl w:val="0"/>
              <w:spacing w:after="0" w:line="240" w:lineRule="auto"/>
              <w:jc w:val="center"/>
            </w:pPr>
            <w:r>
              <w:rPr>
                <w:b/>
                <w:sz w:val="16"/>
                <w:szCs w:val="16"/>
              </w:rPr>
              <w:t>%</w:t>
            </w:r>
          </w:p>
        </w:tc>
        <w:tc>
          <w:tcPr>
            <w:tcW w:w="1134" w:type="dxa"/>
          </w:tcPr>
          <w:p w14:paraId="297CDE40" w14:textId="77777777" w:rsidR="00217A61" w:rsidRDefault="001C2695">
            <w:pPr>
              <w:keepNext/>
              <w:widowControl w:val="0"/>
              <w:spacing w:after="0" w:line="240" w:lineRule="auto"/>
              <w:jc w:val="center"/>
              <w:rPr>
                <w:b/>
                <w:sz w:val="16"/>
                <w:szCs w:val="16"/>
              </w:rPr>
            </w:pPr>
            <w:r>
              <w:rPr>
                <w:b/>
                <w:sz w:val="16"/>
                <w:szCs w:val="16"/>
              </w:rPr>
              <w:t>Jobs less workers</w:t>
            </w:r>
          </w:p>
          <w:p w14:paraId="36670FD2" w14:textId="77777777" w:rsidR="00217A61" w:rsidRDefault="001C2695">
            <w:pPr>
              <w:keepNext/>
              <w:widowControl w:val="0"/>
              <w:spacing w:after="0" w:line="240" w:lineRule="auto"/>
              <w:jc w:val="center"/>
            </w:pPr>
            <w:r>
              <w:rPr>
                <w:b/>
                <w:sz w:val="16"/>
                <w:szCs w:val="16"/>
              </w:rPr>
              <w:t>%</w:t>
            </w:r>
          </w:p>
        </w:tc>
      </w:tr>
      <w:tr w:rsidR="00217A61" w14:paraId="35279F93" w14:textId="77777777">
        <w:trPr>
          <w:cantSplit/>
        </w:trPr>
        <w:tc>
          <w:tcPr>
            <w:tcW w:w="0" w:type="auto"/>
          </w:tcPr>
          <w:p w14:paraId="0D4C898B" w14:textId="77777777" w:rsidR="00217A61" w:rsidRDefault="001C2695">
            <w:pPr>
              <w:spacing w:beforeAutospacing="1" w:afterAutospacing="1"/>
            </w:pPr>
            <w:r>
              <w:rPr>
                <w:color w:val="000000"/>
              </w:rPr>
              <w:t>Agriculture, Mining, Oil &amp; Gas Extraction</w:t>
            </w:r>
          </w:p>
        </w:tc>
        <w:tc>
          <w:tcPr>
            <w:tcW w:w="0" w:type="auto"/>
            <w:vAlign w:val="bottom"/>
          </w:tcPr>
          <w:p w14:paraId="4C454361" w14:textId="77777777" w:rsidR="00217A61" w:rsidRDefault="001C2695">
            <w:pPr>
              <w:spacing w:beforeAutospacing="1" w:afterAutospacing="1"/>
              <w:jc w:val="right"/>
            </w:pPr>
            <w:r>
              <w:rPr>
                <w:color w:val="000000"/>
              </w:rPr>
              <w:t>23,910</w:t>
            </w:r>
          </w:p>
        </w:tc>
        <w:tc>
          <w:tcPr>
            <w:tcW w:w="0" w:type="auto"/>
            <w:vAlign w:val="bottom"/>
          </w:tcPr>
          <w:p w14:paraId="1836CEAF" w14:textId="77777777" w:rsidR="00217A61" w:rsidRDefault="001C2695">
            <w:pPr>
              <w:spacing w:beforeAutospacing="1" w:afterAutospacing="1"/>
              <w:jc w:val="right"/>
            </w:pPr>
            <w:r>
              <w:rPr>
                <w:color w:val="000000"/>
              </w:rPr>
              <w:t>25,313</w:t>
            </w:r>
          </w:p>
        </w:tc>
        <w:tc>
          <w:tcPr>
            <w:tcW w:w="0" w:type="auto"/>
            <w:vAlign w:val="bottom"/>
          </w:tcPr>
          <w:p w14:paraId="09A3DF60" w14:textId="77777777" w:rsidR="00217A61" w:rsidRDefault="001C2695">
            <w:pPr>
              <w:spacing w:beforeAutospacing="1" w:afterAutospacing="1"/>
              <w:jc w:val="right"/>
            </w:pPr>
            <w:r>
              <w:rPr>
                <w:color w:val="000000"/>
              </w:rPr>
              <w:t>1</w:t>
            </w:r>
          </w:p>
        </w:tc>
        <w:tc>
          <w:tcPr>
            <w:tcW w:w="0" w:type="auto"/>
            <w:vAlign w:val="bottom"/>
          </w:tcPr>
          <w:p w14:paraId="6EBD2A82" w14:textId="77777777" w:rsidR="00217A61" w:rsidRDefault="001C2695">
            <w:pPr>
              <w:spacing w:beforeAutospacing="1" w:afterAutospacing="1"/>
              <w:jc w:val="right"/>
            </w:pPr>
            <w:r>
              <w:rPr>
                <w:color w:val="000000"/>
              </w:rPr>
              <w:t>2</w:t>
            </w:r>
          </w:p>
        </w:tc>
        <w:tc>
          <w:tcPr>
            <w:tcW w:w="0" w:type="auto"/>
            <w:vAlign w:val="bottom"/>
          </w:tcPr>
          <w:p w14:paraId="6A14A5C0" w14:textId="77777777" w:rsidR="00217A61" w:rsidRDefault="001C2695">
            <w:pPr>
              <w:spacing w:beforeAutospacing="1" w:afterAutospacing="1"/>
              <w:jc w:val="right"/>
            </w:pPr>
            <w:r>
              <w:rPr>
                <w:color w:val="000000"/>
              </w:rPr>
              <w:t>1</w:t>
            </w:r>
          </w:p>
        </w:tc>
      </w:tr>
      <w:tr w:rsidR="00217A61" w14:paraId="0A8CBB6B" w14:textId="77777777">
        <w:trPr>
          <w:cantSplit/>
        </w:trPr>
        <w:tc>
          <w:tcPr>
            <w:tcW w:w="0" w:type="auto"/>
          </w:tcPr>
          <w:p w14:paraId="4C21A8A9" w14:textId="77777777" w:rsidR="00217A61" w:rsidRDefault="001C2695">
            <w:pPr>
              <w:spacing w:beforeAutospacing="1" w:afterAutospacing="1"/>
            </w:pPr>
            <w:r>
              <w:rPr>
                <w:color w:val="000000"/>
              </w:rPr>
              <w:t>Arts, Entertainment, Accommodations</w:t>
            </w:r>
          </w:p>
        </w:tc>
        <w:tc>
          <w:tcPr>
            <w:tcW w:w="0" w:type="auto"/>
            <w:vAlign w:val="bottom"/>
          </w:tcPr>
          <w:p w14:paraId="42504891" w14:textId="77777777" w:rsidR="00217A61" w:rsidRDefault="001C2695">
            <w:pPr>
              <w:spacing w:beforeAutospacing="1" w:afterAutospacing="1"/>
              <w:jc w:val="right"/>
            </w:pPr>
            <w:r>
              <w:rPr>
                <w:color w:val="000000"/>
              </w:rPr>
              <w:t>235,336</w:t>
            </w:r>
          </w:p>
        </w:tc>
        <w:tc>
          <w:tcPr>
            <w:tcW w:w="0" w:type="auto"/>
            <w:vAlign w:val="bottom"/>
          </w:tcPr>
          <w:p w14:paraId="1CFCAF1B" w14:textId="77777777" w:rsidR="00217A61" w:rsidRDefault="001C2695">
            <w:pPr>
              <w:spacing w:beforeAutospacing="1" w:afterAutospacing="1"/>
              <w:jc w:val="right"/>
            </w:pPr>
            <w:r>
              <w:rPr>
                <w:color w:val="000000"/>
              </w:rPr>
              <w:t>159,677</w:t>
            </w:r>
          </w:p>
        </w:tc>
        <w:tc>
          <w:tcPr>
            <w:tcW w:w="0" w:type="auto"/>
            <w:vAlign w:val="bottom"/>
          </w:tcPr>
          <w:p w14:paraId="24D65CC7" w14:textId="77777777" w:rsidR="00217A61" w:rsidRDefault="001C2695">
            <w:pPr>
              <w:spacing w:beforeAutospacing="1" w:afterAutospacing="1"/>
              <w:jc w:val="right"/>
            </w:pPr>
            <w:r>
              <w:rPr>
                <w:color w:val="000000"/>
              </w:rPr>
              <w:t>14</w:t>
            </w:r>
          </w:p>
        </w:tc>
        <w:tc>
          <w:tcPr>
            <w:tcW w:w="0" w:type="auto"/>
            <w:vAlign w:val="bottom"/>
          </w:tcPr>
          <w:p w14:paraId="4EB1FA16" w14:textId="77777777" w:rsidR="00217A61" w:rsidRDefault="001C2695">
            <w:pPr>
              <w:spacing w:beforeAutospacing="1" w:afterAutospacing="1"/>
              <w:jc w:val="right"/>
            </w:pPr>
            <w:r>
              <w:rPr>
                <w:color w:val="000000"/>
              </w:rPr>
              <w:t>13</w:t>
            </w:r>
          </w:p>
        </w:tc>
        <w:tc>
          <w:tcPr>
            <w:tcW w:w="0" w:type="auto"/>
            <w:vAlign w:val="bottom"/>
          </w:tcPr>
          <w:p w14:paraId="1CD3F5E3" w14:textId="77777777" w:rsidR="00217A61" w:rsidRDefault="001C2695">
            <w:pPr>
              <w:spacing w:beforeAutospacing="1" w:afterAutospacing="1"/>
              <w:jc w:val="right"/>
            </w:pPr>
            <w:r>
              <w:rPr>
                <w:color w:val="000000"/>
              </w:rPr>
              <w:t>-1</w:t>
            </w:r>
          </w:p>
        </w:tc>
      </w:tr>
      <w:tr w:rsidR="00217A61" w14:paraId="631302A3" w14:textId="77777777">
        <w:trPr>
          <w:cantSplit/>
        </w:trPr>
        <w:tc>
          <w:tcPr>
            <w:tcW w:w="0" w:type="auto"/>
          </w:tcPr>
          <w:p w14:paraId="53FEA2F4" w14:textId="77777777" w:rsidR="00217A61" w:rsidRDefault="001C2695">
            <w:pPr>
              <w:spacing w:beforeAutospacing="1" w:afterAutospacing="1"/>
            </w:pPr>
            <w:r>
              <w:rPr>
                <w:color w:val="000000"/>
              </w:rPr>
              <w:t>Construction</w:t>
            </w:r>
          </w:p>
        </w:tc>
        <w:tc>
          <w:tcPr>
            <w:tcW w:w="0" w:type="auto"/>
            <w:vAlign w:val="bottom"/>
          </w:tcPr>
          <w:p w14:paraId="6ABE557C" w14:textId="77777777" w:rsidR="00217A61" w:rsidRDefault="001C2695">
            <w:pPr>
              <w:spacing w:beforeAutospacing="1" w:afterAutospacing="1"/>
              <w:jc w:val="right"/>
            </w:pPr>
            <w:r>
              <w:rPr>
                <w:color w:val="000000"/>
              </w:rPr>
              <w:t>116,263</w:t>
            </w:r>
          </w:p>
        </w:tc>
        <w:tc>
          <w:tcPr>
            <w:tcW w:w="0" w:type="auto"/>
            <w:vAlign w:val="bottom"/>
          </w:tcPr>
          <w:p w14:paraId="22E27700" w14:textId="77777777" w:rsidR="00217A61" w:rsidRDefault="001C2695">
            <w:pPr>
              <w:spacing w:beforeAutospacing="1" w:afterAutospacing="1"/>
              <w:jc w:val="right"/>
            </w:pPr>
            <w:r>
              <w:rPr>
                <w:color w:val="000000"/>
              </w:rPr>
              <w:t>89,520</w:t>
            </w:r>
          </w:p>
        </w:tc>
        <w:tc>
          <w:tcPr>
            <w:tcW w:w="0" w:type="auto"/>
            <w:vAlign w:val="bottom"/>
          </w:tcPr>
          <w:p w14:paraId="64FC05A0" w14:textId="77777777" w:rsidR="00217A61" w:rsidRDefault="001C2695">
            <w:pPr>
              <w:spacing w:beforeAutospacing="1" w:afterAutospacing="1"/>
              <w:jc w:val="right"/>
            </w:pPr>
            <w:r>
              <w:rPr>
                <w:color w:val="000000"/>
              </w:rPr>
              <w:t>7</w:t>
            </w:r>
          </w:p>
        </w:tc>
        <w:tc>
          <w:tcPr>
            <w:tcW w:w="0" w:type="auto"/>
            <w:vAlign w:val="bottom"/>
          </w:tcPr>
          <w:p w14:paraId="3370C808" w14:textId="77777777" w:rsidR="00217A61" w:rsidRDefault="001C2695">
            <w:pPr>
              <w:spacing w:beforeAutospacing="1" w:afterAutospacing="1"/>
              <w:jc w:val="right"/>
            </w:pPr>
            <w:r>
              <w:rPr>
                <w:color w:val="000000"/>
              </w:rPr>
              <w:t>7</w:t>
            </w:r>
          </w:p>
        </w:tc>
        <w:tc>
          <w:tcPr>
            <w:tcW w:w="0" w:type="auto"/>
            <w:vAlign w:val="bottom"/>
          </w:tcPr>
          <w:p w14:paraId="08B6ACE2" w14:textId="77777777" w:rsidR="00217A61" w:rsidRDefault="001C2695">
            <w:pPr>
              <w:spacing w:beforeAutospacing="1" w:afterAutospacing="1"/>
              <w:jc w:val="right"/>
            </w:pPr>
            <w:r>
              <w:rPr>
                <w:color w:val="000000"/>
              </w:rPr>
              <w:t>0</w:t>
            </w:r>
          </w:p>
        </w:tc>
      </w:tr>
      <w:tr w:rsidR="00217A61" w14:paraId="11612F25" w14:textId="77777777">
        <w:trPr>
          <w:cantSplit/>
        </w:trPr>
        <w:tc>
          <w:tcPr>
            <w:tcW w:w="0" w:type="auto"/>
          </w:tcPr>
          <w:p w14:paraId="6B590B51" w14:textId="77777777" w:rsidR="00217A61" w:rsidRDefault="001C2695">
            <w:pPr>
              <w:spacing w:beforeAutospacing="1" w:afterAutospacing="1"/>
            </w:pPr>
            <w:r>
              <w:rPr>
                <w:color w:val="000000"/>
              </w:rPr>
              <w:t>Education and Health Care Services</w:t>
            </w:r>
          </w:p>
        </w:tc>
        <w:tc>
          <w:tcPr>
            <w:tcW w:w="0" w:type="auto"/>
            <w:vAlign w:val="bottom"/>
          </w:tcPr>
          <w:p w14:paraId="5214160A" w14:textId="77777777" w:rsidR="00217A61" w:rsidRDefault="001C2695">
            <w:pPr>
              <w:spacing w:beforeAutospacing="1" w:afterAutospacing="1"/>
              <w:jc w:val="right"/>
            </w:pPr>
            <w:r>
              <w:rPr>
                <w:color w:val="000000"/>
              </w:rPr>
              <w:t>304,269</w:t>
            </w:r>
          </w:p>
        </w:tc>
        <w:tc>
          <w:tcPr>
            <w:tcW w:w="0" w:type="auto"/>
            <w:vAlign w:val="bottom"/>
          </w:tcPr>
          <w:p w14:paraId="679E61F6" w14:textId="77777777" w:rsidR="00217A61" w:rsidRDefault="001C2695">
            <w:pPr>
              <w:spacing w:beforeAutospacing="1" w:afterAutospacing="1"/>
              <w:jc w:val="right"/>
            </w:pPr>
            <w:r>
              <w:rPr>
                <w:color w:val="000000"/>
              </w:rPr>
              <w:t>190,825</w:t>
            </w:r>
          </w:p>
        </w:tc>
        <w:tc>
          <w:tcPr>
            <w:tcW w:w="0" w:type="auto"/>
            <w:vAlign w:val="bottom"/>
          </w:tcPr>
          <w:p w14:paraId="4220FC86" w14:textId="77777777" w:rsidR="00217A61" w:rsidRDefault="001C2695">
            <w:pPr>
              <w:spacing w:beforeAutospacing="1" w:afterAutospacing="1"/>
              <w:jc w:val="right"/>
            </w:pPr>
            <w:r>
              <w:rPr>
                <w:color w:val="000000"/>
              </w:rPr>
              <w:t>18</w:t>
            </w:r>
          </w:p>
        </w:tc>
        <w:tc>
          <w:tcPr>
            <w:tcW w:w="0" w:type="auto"/>
            <w:vAlign w:val="bottom"/>
          </w:tcPr>
          <w:p w14:paraId="06847893" w14:textId="77777777" w:rsidR="00217A61" w:rsidRDefault="001C2695">
            <w:pPr>
              <w:spacing w:beforeAutospacing="1" w:afterAutospacing="1"/>
              <w:jc w:val="right"/>
            </w:pPr>
            <w:r>
              <w:rPr>
                <w:color w:val="000000"/>
              </w:rPr>
              <w:t>16</w:t>
            </w:r>
          </w:p>
        </w:tc>
        <w:tc>
          <w:tcPr>
            <w:tcW w:w="0" w:type="auto"/>
            <w:vAlign w:val="bottom"/>
          </w:tcPr>
          <w:p w14:paraId="2312555A" w14:textId="77777777" w:rsidR="00217A61" w:rsidRDefault="001C2695">
            <w:pPr>
              <w:spacing w:beforeAutospacing="1" w:afterAutospacing="1"/>
              <w:jc w:val="right"/>
            </w:pPr>
            <w:r>
              <w:rPr>
                <w:color w:val="000000"/>
              </w:rPr>
              <w:t>-2</w:t>
            </w:r>
          </w:p>
        </w:tc>
      </w:tr>
      <w:tr w:rsidR="00217A61" w14:paraId="25B15B42" w14:textId="77777777">
        <w:trPr>
          <w:cantSplit/>
        </w:trPr>
        <w:tc>
          <w:tcPr>
            <w:tcW w:w="0" w:type="auto"/>
          </w:tcPr>
          <w:p w14:paraId="585A62ED" w14:textId="77777777" w:rsidR="00217A61" w:rsidRDefault="001C2695">
            <w:pPr>
              <w:spacing w:beforeAutospacing="1" w:afterAutospacing="1"/>
            </w:pPr>
            <w:r>
              <w:rPr>
                <w:color w:val="000000"/>
              </w:rPr>
              <w:t>Finance, Insurance, and Real Estate</w:t>
            </w:r>
          </w:p>
        </w:tc>
        <w:tc>
          <w:tcPr>
            <w:tcW w:w="0" w:type="auto"/>
            <w:vAlign w:val="bottom"/>
          </w:tcPr>
          <w:p w14:paraId="1E91F8B0" w14:textId="77777777" w:rsidR="00217A61" w:rsidRDefault="001C2695">
            <w:pPr>
              <w:spacing w:beforeAutospacing="1" w:afterAutospacing="1"/>
              <w:jc w:val="right"/>
            </w:pPr>
            <w:r>
              <w:rPr>
                <w:color w:val="000000"/>
              </w:rPr>
              <w:t>86,785</w:t>
            </w:r>
          </w:p>
        </w:tc>
        <w:tc>
          <w:tcPr>
            <w:tcW w:w="0" w:type="auto"/>
            <w:vAlign w:val="bottom"/>
          </w:tcPr>
          <w:p w14:paraId="60FE4290" w14:textId="77777777" w:rsidR="00217A61" w:rsidRDefault="001C2695">
            <w:pPr>
              <w:spacing w:beforeAutospacing="1" w:afterAutospacing="1"/>
              <w:jc w:val="right"/>
            </w:pPr>
            <w:r>
              <w:rPr>
                <w:color w:val="000000"/>
              </w:rPr>
              <w:t>45,043</w:t>
            </w:r>
          </w:p>
        </w:tc>
        <w:tc>
          <w:tcPr>
            <w:tcW w:w="0" w:type="auto"/>
            <w:vAlign w:val="bottom"/>
          </w:tcPr>
          <w:p w14:paraId="154C8B39" w14:textId="77777777" w:rsidR="00217A61" w:rsidRDefault="001C2695">
            <w:pPr>
              <w:spacing w:beforeAutospacing="1" w:afterAutospacing="1"/>
              <w:jc w:val="right"/>
            </w:pPr>
            <w:r>
              <w:rPr>
                <w:color w:val="000000"/>
              </w:rPr>
              <w:t>5</w:t>
            </w:r>
          </w:p>
        </w:tc>
        <w:tc>
          <w:tcPr>
            <w:tcW w:w="0" w:type="auto"/>
            <w:vAlign w:val="bottom"/>
          </w:tcPr>
          <w:p w14:paraId="3485B551" w14:textId="77777777" w:rsidR="00217A61" w:rsidRDefault="001C2695">
            <w:pPr>
              <w:spacing w:beforeAutospacing="1" w:afterAutospacing="1"/>
              <w:jc w:val="right"/>
            </w:pPr>
            <w:r>
              <w:rPr>
                <w:color w:val="000000"/>
              </w:rPr>
              <w:t>4</w:t>
            </w:r>
          </w:p>
        </w:tc>
        <w:tc>
          <w:tcPr>
            <w:tcW w:w="0" w:type="auto"/>
            <w:vAlign w:val="bottom"/>
          </w:tcPr>
          <w:p w14:paraId="0889B354" w14:textId="77777777" w:rsidR="00217A61" w:rsidRDefault="001C2695">
            <w:pPr>
              <w:spacing w:beforeAutospacing="1" w:afterAutospacing="1"/>
              <w:jc w:val="right"/>
            </w:pPr>
            <w:r>
              <w:rPr>
                <w:color w:val="000000"/>
              </w:rPr>
              <w:t>-1</w:t>
            </w:r>
          </w:p>
        </w:tc>
      </w:tr>
      <w:tr w:rsidR="00217A61" w14:paraId="01DDBEB6" w14:textId="77777777">
        <w:trPr>
          <w:cantSplit/>
        </w:trPr>
        <w:tc>
          <w:tcPr>
            <w:tcW w:w="0" w:type="auto"/>
          </w:tcPr>
          <w:p w14:paraId="2006C03B" w14:textId="77777777" w:rsidR="00217A61" w:rsidRDefault="001C2695">
            <w:pPr>
              <w:spacing w:beforeAutospacing="1" w:afterAutospacing="1"/>
            </w:pPr>
            <w:r>
              <w:rPr>
                <w:color w:val="000000"/>
              </w:rPr>
              <w:t>Information</w:t>
            </w:r>
          </w:p>
        </w:tc>
        <w:tc>
          <w:tcPr>
            <w:tcW w:w="0" w:type="auto"/>
            <w:vAlign w:val="bottom"/>
          </w:tcPr>
          <w:p w14:paraId="3E095553" w14:textId="77777777" w:rsidR="00217A61" w:rsidRDefault="001C2695">
            <w:pPr>
              <w:spacing w:beforeAutospacing="1" w:afterAutospacing="1"/>
              <w:jc w:val="right"/>
            </w:pPr>
            <w:r>
              <w:rPr>
                <w:color w:val="000000"/>
              </w:rPr>
              <w:t>28,221</w:t>
            </w:r>
          </w:p>
        </w:tc>
        <w:tc>
          <w:tcPr>
            <w:tcW w:w="0" w:type="auto"/>
            <w:vAlign w:val="bottom"/>
          </w:tcPr>
          <w:p w14:paraId="071B2C58" w14:textId="77777777" w:rsidR="00217A61" w:rsidRDefault="001C2695">
            <w:pPr>
              <w:spacing w:beforeAutospacing="1" w:afterAutospacing="1"/>
              <w:jc w:val="right"/>
            </w:pPr>
            <w:r>
              <w:rPr>
                <w:color w:val="000000"/>
              </w:rPr>
              <w:t>12,402</w:t>
            </w:r>
          </w:p>
        </w:tc>
        <w:tc>
          <w:tcPr>
            <w:tcW w:w="0" w:type="auto"/>
            <w:vAlign w:val="bottom"/>
          </w:tcPr>
          <w:p w14:paraId="3880E19E" w14:textId="77777777" w:rsidR="00217A61" w:rsidRDefault="001C2695">
            <w:pPr>
              <w:spacing w:beforeAutospacing="1" w:afterAutospacing="1"/>
              <w:jc w:val="right"/>
            </w:pPr>
            <w:r>
              <w:rPr>
                <w:color w:val="000000"/>
              </w:rPr>
              <w:t>2</w:t>
            </w:r>
          </w:p>
        </w:tc>
        <w:tc>
          <w:tcPr>
            <w:tcW w:w="0" w:type="auto"/>
            <w:vAlign w:val="bottom"/>
          </w:tcPr>
          <w:p w14:paraId="435C4656" w14:textId="77777777" w:rsidR="00217A61" w:rsidRDefault="001C2695">
            <w:pPr>
              <w:spacing w:beforeAutospacing="1" w:afterAutospacing="1"/>
              <w:jc w:val="right"/>
            </w:pPr>
            <w:r>
              <w:rPr>
                <w:color w:val="000000"/>
              </w:rPr>
              <w:t>1</w:t>
            </w:r>
          </w:p>
        </w:tc>
        <w:tc>
          <w:tcPr>
            <w:tcW w:w="0" w:type="auto"/>
            <w:vAlign w:val="bottom"/>
          </w:tcPr>
          <w:p w14:paraId="46032636" w14:textId="77777777" w:rsidR="00217A61" w:rsidRDefault="001C2695">
            <w:pPr>
              <w:spacing w:beforeAutospacing="1" w:afterAutospacing="1"/>
              <w:jc w:val="right"/>
            </w:pPr>
            <w:r>
              <w:rPr>
                <w:color w:val="000000"/>
              </w:rPr>
              <w:t>-1</w:t>
            </w:r>
          </w:p>
        </w:tc>
      </w:tr>
      <w:tr w:rsidR="00217A61" w14:paraId="6AFB820D" w14:textId="77777777">
        <w:trPr>
          <w:cantSplit/>
        </w:trPr>
        <w:tc>
          <w:tcPr>
            <w:tcW w:w="0" w:type="auto"/>
          </w:tcPr>
          <w:p w14:paraId="32E9FE78" w14:textId="77777777" w:rsidR="00217A61" w:rsidRDefault="001C2695">
            <w:pPr>
              <w:spacing w:beforeAutospacing="1" w:afterAutospacing="1"/>
            </w:pPr>
            <w:r>
              <w:rPr>
                <w:color w:val="000000"/>
              </w:rPr>
              <w:t>Manufacturing</w:t>
            </w:r>
          </w:p>
        </w:tc>
        <w:tc>
          <w:tcPr>
            <w:tcW w:w="0" w:type="auto"/>
            <w:vAlign w:val="bottom"/>
          </w:tcPr>
          <w:p w14:paraId="55D41DD5" w14:textId="77777777" w:rsidR="00217A61" w:rsidRDefault="001C2695">
            <w:pPr>
              <w:spacing w:beforeAutospacing="1" w:afterAutospacing="1"/>
              <w:jc w:val="right"/>
            </w:pPr>
            <w:r>
              <w:rPr>
                <w:color w:val="000000"/>
              </w:rPr>
              <w:t>313,653</w:t>
            </w:r>
          </w:p>
        </w:tc>
        <w:tc>
          <w:tcPr>
            <w:tcW w:w="0" w:type="auto"/>
            <w:vAlign w:val="bottom"/>
          </w:tcPr>
          <w:p w14:paraId="458955DC" w14:textId="77777777" w:rsidR="00217A61" w:rsidRDefault="001C2695">
            <w:pPr>
              <w:spacing w:beforeAutospacing="1" w:afterAutospacing="1"/>
              <w:jc w:val="right"/>
            </w:pPr>
            <w:r>
              <w:rPr>
                <w:color w:val="000000"/>
              </w:rPr>
              <w:t>295,138</w:t>
            </w:r>
          </w:p>
        </w:tc>
        <w:tc>
          <w:tcPr>
            <w:tcW w:w="0" w:type="auto"/>
            <w:vAlign w:val="bottom"/>
          </w:tcPr>
          <w:p w14:paraId="40AFBED3" w14:textId="77777777" w:rsidR="00217A61" w:rsidRDefault="001C2695">
            <w:pPr>
              <w:spacing w:beforeAutospacing="1" w:afterAutospacing="1"/>
              <w:jc w:val="right"/>
            </w:pPr>
            <w:r>
              <w:rPr>
                <w:color w:val="000000"/>
              </w:rPr>
              <w:t>18</w:t>
            </w:r>
          </w:p>
        </w:tc>
        <w:tc>
          <w:tcPr>
            <w:tcW w:w="0" w:type="auto"/>
            <w:vAlign w:val="bottom"/>
          </w:tcPr>
          <w:p w14:paraId="31387FB1" w14:textId="77777777" w:rsidR="00217A61" w:rsidRDefault="001C2695">
            <w:pPr>
              <w:spacing w:beforeAutospacing="1" w:afterAutospacing="1"/>
              <w:jc w:val="right"/>
            </w:pPr>
            <w:r>
              <w:rPr>
                <w:color w:val="000000"/>
              </w:rPr>
              <w:t>24</w:t>
            </w:r>
          </w:p>
        </w:tc>
        <w:tc>
          <w:tcPr>
            <w:tcW w:w="0" w:type="auto"/>
            <w:vAlign w:val="bottom"/>
          </w:tcPr>
          <w:p w14:paraId="5F877760" w14:textId="77777777" w:rsidR="00217A61" w:rsidRDefault="001C2695">
            <w:pPr>
              <w:spacing w:beforeAutospacing="1" w:afterAutospacing="1"/>
              <w:jc w:val="right"/>
            </w:pPr>
            <w:r>
              <w:rPr>
                <w:color w:val="000000"/>
              </w:rPr>
              <w:t>6</w:t>
            </w:r>
          </w:p>
        </w:tc>
      </w:tr>
      <w:tr w:rsidR="00217A61" w14:paraId="5B75AFE1" w14:textId="77777777">
        <w:trPr>
          <w:cantSplit/>
        </w:trPr>
        <w:tc>
          <w:tcPr>
            <w:tcW w:w="0" w:type="auto"/>
          </w:tcPr>
          <w:p w14:paraId="4DB9274E" w14:textId="77777777" w:rsidR="00217A61" w:rsidRDefault="001C2695">
            <w:pPr>
              <w:spacing w:beforeAutospacing="1" w:afterAutospacing="1"/>
            </w:pPr>
            <w:r>
              <w:rPr>
                <w:color w:val="000000"/>
              </w:rPr>
              <w:t>Other Services</w:t>
            </w:r>
          </w:p>
        </w:tc>
        <w:tc>
          <w:tcPr>
            <w:tcW w:w="0" w:type="auto"/>
            <w:vAlign w:val="bottom"/>
          </w:tcPr>
          <w:p w14:paraId="5325BB78" w14:textId="77777777" w:rsidR="00217A61" w:rsidRDefault="001C2695">
            <w:pPr>
              <w:spacing w:beforeAutospacing="1" w:afterAutospacing="1"/>
              <w:jc w:val="right"/>
            </w:pPr>
            <w:r>
              <w:rPr>
                <w:color w:val="000000"/>
              </w:rPr>
              <w:t>57,513</w:t>
            </w:r>
          </w:p>
        </w:tc>
        <w:tc>
          <w:tcPr>
            <w:tcW w:w="0" w:type="auto"/>
            <w:vAlign w:val="bottom"/>
          </w:tcPr>
          <w:p w14:paraId="6995C627" w14:textId="77777777" w:rsidR="00217A61" w:rsidRDefault="001C2695">
            <w:pPr>
              <w:spacing w:beforeAutospacing="1" w:afterAutospacing="1"/>
              <w:jc w:val="right"/>
            </w:pPr>
            <w:r>
              <w:rPr>
                <w:color w:val="000000"/>
              </w:rPr>
              <w:t>40,273</w:t>
            </w:r>
          </w:p>
        </w:tc>
        <w:tc>
          <w:tcPr>
            <w:tcW w:w="0" w:type="auto"/>
            <w:vAlign w:val="bottom"/>
          </w:tcPr>
          <w:p w14:paraId="31DFC506" w14:textId="77777777" w:rsidR="00217A61" w:rsidRDefault="001C2695">
            <w:pPr>
              <w:spacing w:beforeAutospacing="1" w:afterAutospacing="1"/>
              <w:jc w:val="right"/>
            </w:pPr>
            <w:r>
              <w:rPr>
                <w:color w:val="000000"/>
              </w:rPr>
              <w:t>3</w:t>
            </w:r>
          </w:p>
        </w:tc>
        <w:tc>
          <w:tcPr>
            <w:tcW w:w="0" w:type="auto"/>
            <w:vAlign w:val="bottom"/>
          </w:tcPr>
          <w:p w14:paraId="70963E82" w14:textId="77777777" w:rsidR="00217A61" w:rsidRDefault="001C2695">
            <w:pPr>
              <w:spacing w:beforeAutospacing="1" w:afterAutospacing="1"/>
              <w:jc w:val="right"/>
            </w:pPr>
            <w:r>
              <w:rPr>
                <w:color w:val="000000"/>
              </w:rPr>
              <w:t>3</w:t>
            </w:r>
          </w:p>
        </w:tc>
        <w:tc>
          <w:tcPr>
            <w:tcW w:w="0" w:type="auto"/>
            <w:vAlign w:val="bottom"/>
          </w:tcPr>
          <w:p w14:paraId="4EE8FE6E" w14:textId="77777777" w:rsidR="00217A61" w:rsidRDefault="001C2695">
            <w:pPr>
              <w:spacing w:beforeAutospacing="1" w:afterAutospacing="1"/>
              <w:jc w:val="right"/>
            </w:pPr>
            <w:r>
              <w:rPr>
                <w:color w:val="000000"/>
              </w:rPr>
              <w:t>0</w:t>
            </w:r>
          </w:p>
        </w:tc>
      </w:tr>
      <w:tr w:rsidR="00217A61" w14:paraId="63D9A981" w14:textId="77777777">
        <w:trPr>
          <w:cantSplit/>
        </w:trPr>
        <w:tc>
          <w:tcPr>
            <w:tcW w:w="0" w:type="auto"/>
          </w:tcPr>
          <w:p w14:paraId="4CE9367C" w14:textId="77777777" w:rsidR="00217A61" w:rsidRDefault="001C2695">
            <w:pPr>
              <w:spacing w:beforeAutospacing="1" w:afterAutospacing="1"/>
            </w:pPr>
            <w:r>
              <w:rPr>
                <w:color w:val="000000"/>
              </w:rPr>
              <w:t>Professional, Scientific, Management Services</w:t>
            </w:r>
          </w:p>
        </w:tc>
        <w:tc>
          <w:tcPr>
            <w:tcW w:w="0" w:type="auto"/>
            <w:vAlign w:val="bottom"/>
          </w:tcPr>
          <w:p w14:paraId="29DC1488" w14:textId="77777777" w:rsidR="00217A61" w:rsidRDefault="001C2695">
            <w:pPr>
              <w:spacing w:beforeAutospacing="1" w:afterAutospacing="1"/>
              <w:jc w:val="right"/>
            </w:pPr>
            <w:r>
              <w:rPr>
                <w:color w:val="000000"/>
              </w:rPr>
              <w:t>128,601</w:t>
            </w:r>
          </w:p>
        </w:tc>
        <w:tc>
          <w:tcPr>
            <w:tcW w:w="0" w:type="auto"/>
            <w:vAlign w:val="bottom"/>
          </w:tcPr>
          <w:p w14:paraId="7B0C64F1" w14:textId="77777777" w:rsidR="00217A61" w:rsidRDefault="001C2695">
            <w:pPr>
              <w:spacing w:beforeAutospacing="1" w:afterAutospacing="1"/>
              <w:jc w:val="right"/>
            </w:pPr>
            <w:r>
              <w:rPr>
                <w:color w:val="000000"/>
              </w:rPr>
              <w:t>72,238</w:t>
            </w:r>
          </w:p>
        </w:tc>
        <w:tc>
          <w:tcPr>
            <w:tcW w:w="0" w:type="auto"/>
            <w:vAlign w:val="bottom"/>
          </w:tcPr>
          <w:p w14:paraId="258972F4" w14:textId="77777777" w:rsidR="00217A61" w:rsidRDefault="001C2695">
            <w:pPr>
              <w:spacing w:beforeAutospacing="1" w:afterAutospacing="1"/>
              <w:jc w:val="right"/>
            </w:pPr>
            <w:r>
              <w:rPr>
                <w:color w:val="000000"/>
              </w:rPr>
              <w:t>7</w:t>
            </w:r>
          </w:p>
        </w:tc>
        <w:tc>
          <w:tcPr>
            <w:tcW w:w="0" w:type="auto"/>
            <w:vAlign w:val="bottom"/>
          </w:tcPr>
          <w:p w14:paraId="250BC8CB" w14:textId="77777777" w:rsidR="00217A61" w:rsidRDefault="001C2695">
            <w:pPr>
              <w:spacing w:beforeAutospacing="1" w:afterAutospacing="1"/>
              <w:jc w:val="right"/>
            </w:pPr>
            <w:r>
              <w:rPr>
                <w:color w:val="000000"/>
              </w:rPr>
              <w:t>6</w:t>
            </w:r>
          </w:p>
        </w:tc>
        <w:tc>
          <w:tcPr>
            <w:tcW w:w="0" w:type="auto"/>
            <w:vAlign w:val="bottom"/>
          </w:tcPr>
          <w:p w14:paraId="5022D888" w14:textId="77777777" w:rsidR="00217A61" w:rsidRDefault="001C2695">
            <w:pPr>
              <w:spacing w:beforeAutospacing="1" w:afterAutospacing="1"/>
              <w:jc w:val="right"/>
            </w:pPr>
            <w:r>
              <w:rPr>
                <w:color w:val="000000"/>
              </w:rPr>
              <w:t>-1</w:t>
            </w:r>
          </w:p>
        </w:tc>
      </w:tr>
      <w:tr w:rsidR="00217A61" w14:paraId="583F22FA" w14:textId="77777777">
        <w:trPr>
          <w:cantSplit/>
        </w:trPr>
        <w:tc>
          <w:tcPr>
            <w:tcW w:w="0" w:type="auto"/>
          </w:tcPr>
          <w:p w14:paraId="30489A5F" w14:textId="77777777" w:rsidR="00217A61" w:rsidRDefault="001C2695">
            <w:pPr>
              <w:spacing w:beforeAutospacing="1" w:afterAutospacing="1"/>
            </w:pPr>
            <w:r>
              <w:rPr>
                <w:color w:val="000000"/>
              </w:rPr>
              <w:t>Public Administration</w:t>
            </w:r>
          </w:p>
        </w:tc>
        <w:tc>
          <w:tcPr>
            <w:tcW w:w="0" w:type="auto"/>
            <w:vAlign w:val="bottom"/>
          </w:tcPr>
          <w:p w14:paraId="6C57068D" w14:textId="77777777" w:rsidR="00217A61" w:rsidRDefault="001C2695">
            <w:pPr>
              <w:spacing w:beforeAutospacing="1" w:afterAutospacing="1"/>
              <w:jc w:val="right"/>
            </w:pPr>
            <w:r>
              <w:rPr>
                <w:color w:val="000000"/>
              </w:rPr>
              <w:t>14</w:t>
            </w:r>
          </w:p>
        </w:tc>
        <w:tc>
          <w:tcPr>
            <w:tcW w:w="0" w:type="auto"/>
            <w:vAlign w:val="bottom"/>
          </w:tcPr>
          <w:p w14:paraId="61A33978" w14:textId="77777777" w:rsidR="00217A61" w:rsidRDefault="001C2695">
            <w:pPr>
              <w:spacing w:beforeAutospacing="1" w:afterAutospacing="1"/>
              <w:jc w:val="right"/>
            </w:pPr>
            <w:r>
              <w:rPr>
                <w:color w:val="000000"/>
              </w:rPr>
              <w:t>0</w:t>
            </w:r>
          </w:p>
        </w:tc>
        <w:tc>
          <w:tcPr>
            <w:tcW w:w="0" w:type="auto"/>
            <w:vAlign w:val="bottom"/>
          </w:tcPr>
          <w:p w14:paraId="4DE0A050" w14:textId="77777777" w:rsidR="00217A61" w:rsidRDefault="001C2695">
            <w:pPr>
              <w:spacing w:beforeAutospacing="1" w:afterAutospacing="1"/>
              <w:jc w:val="right"/>
            </w:pPr>
            <w:r>
              <w:rPr>
                <w:color w:val="000000"/>
              </w:rPr>
              <w:t>0</w:t>
            </w:r>
          </w:p>
        </w:tc>
        <w:tc>
          <w:tcPr>
            <w:tcW w:w="0" w:type="auto"/>
            <w:vAlign w:val="bottom"/>
          </w:tcPr>
          <w:p w14:paraId="3D72F03C" w14:textId="77777777" w:rsidR="00217A61" w:rsidRDefault="001C2695">
            <w:pPr>
              <w:spacing w:beforeAutospacing="1" w:afterAutospacing="1"/>
              <w:jc w:val="right"/>
            </w:pPr>
            <w:r>
              <w:rPr>
                <w:color w:val="000000"/>
              </w:rPr>
              <w:t>0</w:t>
            </w:r>
          </w:p>
        </w:tc>
        <w:tc>
          <w:tcPr>
            <w:tcW w:w="0" w:type="auto"/>
            <w:vAlign w:val="bottom"/>
          </w:tcPr>
          <w:p w14:paraId="7D76F919" w14:textId="77777777" w:rsidR="00217A61" w:rsidRDefault="001C2695">
            <w:pPr>
              <w:spacing w:beforeAutospacing="1" w:afterAutospacing="1"/>
              <w:jc w:val="right"/>
            </w:pPr>
            <w:r>
              <w:rPr>
                <w:color w:val="000000"/>
              </w:rPr>
              <w:t>0</w:t>
            </w:r>
          </w:p>
        </w:tc>
      </w:tr>
      <w:tr w:rsidR="00217A61" w14:paraId="329CF529" w14:textId="77777777">
        <w:trPr>
          <w:cantSplit/>
        </w:trPr>
        <w:tc>
          <w:tcPr>
            <w:tcW w:w="0" w:type="auto"/>
          </w:tcPr>
          <w:p w14:paraId="092DA412" w14:textId="77777777" w:rsidR="00217A61" w:rsidRDefault="001C2695">
            <w:pPr>
              <w:spacing w:beforeAutospacing="1" w:afterAutospacing="1"/>
            </w:pPr>
            <w:r>
              <w:rPr>
                <w:color w:val="000000"/>
              </w:rPr>
              <w:t>Retail Trade</w:t>
            </w:r>
          </w:p>
        </w:tc>
        <w:tc>
          <w:tcPr>
            <w:tcW w:w="0" w:type="auto"/>
            <w:vAlign w:val="bottom"/>
          </w:tcPr>
          <w:p w14:paraId="36FBF273" w14:textId="77777777" w:rsidR="00217A61" w:rsidRDefault="001C2695">
            <w:pPr>
              <w:spacing w:beforeAutospacing="1" w:afterAutospacing="1"/>
              <w:jc w:val="right"/>
            </w:pPr>
            <w:r>
              <w:rPr>
                <w:color w:val="000000"/>
              </w:rPr>
              <w:t>277,472</w:t>
            </w:r>
          </w:p>
        </w:tc>
        <w:tc>
          <w:tcPr>
            <w:tcW w:w="0" w:type="auto"/>
            <w:vAlign w:val="bottom"/>
          </w:tcPr>
          <w:p w14:paraId="7A90EA2F" w14:textId="77777777" w:rsidR="00217A61" w:rsidRDefault="001C2695">
            <w:pPr>
              <w:spacing w:beforeAutospacing="1" w:afterAutospacing="1"/>
              <w:jc w:val="right"/>
            </w:pPr>
            <w:r>
              <w:rPr>
                <w:color w:val="000000"/>
              </w:rPr>
              <w:t>190,142</w:t>
            </w:r>
          </w:p>
        </w:tc>
        <w:tc>
          <w:tcPr>
            <w:tcW w:w="0" w:type="auto"/>
            <w:vAlign w:val="bottom"/>
          </w:tcPr>
          <w:p w14:paraId="2475070F" w14:textId="77777777" w:rsidR="00217A61" w:rsidRDefault="001C2695">
            <w:pPr>
              <w:spacing w:beforeAutospacing="1" w:afterAutospacing="1"/>
              <w:jc w:val="right"/>
            </w:pPr>
            <w:r>
              <w:rPr>
                <w:color w:val="000000"/>
              </w:rPr>
              <w:t>16</w:t>
            </w:r>
          </w:p>
        </w:tc>
        <w:tc>
          <w:tcPr>
            <w:tcW w:w="0" w:type="auto"/>
            <w:vAlign w:val="bottom"/>
          </w:tcPr>
          <w:p w14:paraId="389C9933" w14:textId="77777777" w:rsidR="00217A61" w:rsidRDefault="001C2695">
            <w:pPr>
              <w:spacing w:beforeAutospacing="1" w:afterAutospacing="1"/>
              <w:jc w:val="right"/>
            </w:pPr>
            <w:r>
              <w:rPr>
                <w:color w:val="000000"/>
              </w:rPr>
              <w:t>15</w:t>
            </w:r>
          </w:p>
        </w:tc>
        <w:tc>
          <w:tcPr>
            <w:tcW w:w="0" w:type="auto"/>
            <w:vAlign w:val="bottom"/>
          </w:tcPr>
          <w:p w14:paraId="6AAE0FB1" w14:textId="77777777" w:rsidR="00217A61" w:rsidRDefault="001C2695">
            <w:pPr>
              <w:spacing w:beforeAutospacing="1" w:afterAutospacing="1"/>
              <w:jc w:val="right"/>
            </w:pPr>
            <w:r>
              <w:rPr>
                <w:color w:val="000000"/>
              </w:rPr>
              <w:t>-1</w:t>
            </w:r>
          </w:p>
        </w:tc>
      </w:tr>
      <w:tr w:rsidR="00217A61" w14:paraId="59C24686" w14:textId="77777777">
        <w:trPr>
          <w:cantSplit/>
        </w:trPr>
        <w:tc>
          <w:tcPr>
            <w:tcW w:w="0" w:type="auto"/>
          </w:tcPr>
          <w:p w14:paraId="4A75E309" w14:textId="77777777" w:rsidR="00217A61" w:rsidRDefault="001C2695">
            <w:pPr>
              <w:spacing w:beforeAutospacing="1" w:afterAutospacing="1"/>
            </w:pPr>
            <w:r>
              <w:rPr>
                <w:color w:val="000000"/>
              </w:rPr>
              <w:t>Transportation and Warehousing</w:t>
            </w:r>
          </w:p>
        </w:tc>
        <w:tc>
          <w:tcPr>
            <w:tcW w:w="0" w:type="auto"/>
            <w:vAlign w:val="bottom"/>
          </w:tcPr>
          <w:p w14:paraId="2793B281" w14:textId="77777777" w:rsidR="00217A61" w:rsidRDefault="001C2695">
            <w:pPr>
              <w:spacing w:beforeAutospacing="1" w:afterAutospacing="1"/>
              <w:jc w:val="right"/>
            </w:pPr>
            <w:r>
              <w:rPr>
                <w:color w:val="000000"/>
              </w:rPr>
              <w:t>64,588</w:t>
            </w:r>
          </w:p>
        </w:tc>
        <w:tc>
          <w:tcPr>
            <w:tcW w:w="0" w:type="auto"/>
            <w:vAlign w:val="bottom"/>
          </w:tcPr>
          <w:p w14:paraId="6833B75B" w14:textId="77777777" w:rsidR="00217A61" w:rsidRDefault="001C2695">
            <w:pPr>
              <w:spacing w:beforeAutospacing="1" w:afterAutospacing="1"/>
              <w:jc w:val="right"/>
            </w:pPr>
            <w:r>
              <w:rPr>
                <w:color w:val="000000"/>
              </w:rPr>
              <w:t>47,549</w:t>
            </w:r>
          </w:p>
        </w:tc>
        <w:tc>
          <w:tcPr>
            <w:tcW w:w="0" w:type="auto"/>
            <w:vAlign w:val="bottom"/>
          </w:tcPr>
          <w:p w14:paraId="230E1C9D" w14:textId="77777777" w:rsidR="00217A61" w:rsidRDefault="001C2695">
            <w:pPr>
              <w:spacing w:beforeAutospacing="1" w:afterAutospacing="1"/>
              <w:jc w:val="right"/>
            </w:pPr>
            <w:r>
              <w:rPr>
                <w:color w:val="000000"/>
              </w:rPr>
              <w:t>4</w:t>
            </w:r>
          </w:p>
        </w:tc>
        <w:tc>
          <w:tcPr>
            <w:tcW w:w="0" w:type="auto"/>
            <w:vAlign w:val="bottom"/>
          </w:tcPr>
          <w:p w14:paraId="6F6C84DB" w14:textId="77777777" w:rsidR="00217A61" w:rsidRDefault="001C2695">
            <w:pPr>
              <w:spacing w:beforeAutospacing="1" w:afterAutospacing="1"/>
              <w:jc w:val="right"/>
            </w:pPr>
            <w:r>
              <w:rPr>
                <w:color w:val="000000"/>
              </w:rPr>
              <w:t>4</w:t>
            </w:r>
          </w:p>
        </w:tc>
        <w:tc>
          <w:tcPr>
            <w:tcW w:w="0" w:type="auto"/>
            <w:vAlign w:val="bottom"/>
          </w:tcPr>
          <w:p w14:paraId="3131ACE3" w14:textId="77777777" w:rsidR="00217A61" w:rsidRDefault="001C2695">
            <w:pPr>
              <w:spacing w:beforeAutospacing="1" w:afterAutospacing="1"/>
              <w:jc w:val="right"/>
            </w:pPr>
            <w:r>
              <w:rPr>
                <w:color w:val="000000"/>
              </w:rPr>
              <w:t>0</w:t>
            </w:r>
          </w:p>
        </w:tc>
      </w:tr>
      <w:tr w:rsidR="00217A61" w14:paraId="6D95541A" w14:textId="77777777">
        <w:trPr>
          <w:cantSplit/>
        </w:trPr>
        <w:tc>
          <w:tcPr>
            <w:tcW w:w="0" w:type="auto"/>
          </w:tcPr>
          <w:p w14:paraId="0D185627" w14:textId="77777777" w:rsidR="00217A61" w:rsidRDefault="001C2695">
            <w:pPr>
              <w:spacing w:beforeAutospacing="1" w:afterAutospacing="1"/>
            </w:pPr>
            <w:r>
              <w:rPr>
                <w:color w:val="000000"/>
              </w:rPr>
              <w:t>Wholesale Trade</w:t>
            </w:r>
          </w:p>
        </w:tc>
        <w:tc>
          <w:tcPr>
            <w:tcW w:w="0" w:type="auto"/>
            <w:vAlign w:val="bottom"/>
          </w:tcPr>
          <w:p w14:paraId="79ADD6FA" w14:textId="77777777" w:rsidR="00217A61" w:rsidRDefault="001C2695">
            <w:pPr>
              <w:spacing w:beforeAutospacing="1" w:afterAutospacing="1"/>
              <w:jc w:val="right"/>
            </w:pPr>
            <w:r>
              <w:rPr>
                <w:color w:val="000000"/>
              </w:rPr>
              <w:t>94,629</w:t>
            </w:r>
          </w:p>
        </w:tc>
        <w:tc>
          <w:tcPr>
            <w:tcW w:w="0" w:type="auto"/>
            <w:vAlign w:val="bottom"/>
          </w:tcPr>
          <w:p w14:paraId="1D1D3998" w14:textId="77777777" w:rsidR="00217A61" w:rsidRDefault="001C2695">
            <w:pPr>
              <w:spacing w:beforeAutospacing="1" w:afterAutospacing="1"/>
              <w:jc w:val="right"/>
            </w:pPr>
            <w:r>
              <w:rPr>
                <w:color w:val="000000"/>
              </w:rPr>
              <w:t>61,796</w:t>
            </w:r>
          </w:p>
        </w:tc>
        <w:tc>
          <w:tcPr>
            <w:tcW w:w="0" w:type="auto"/>
            <w:vAlign w:val="bottom"/>
          </w:tcPr>
          <w:p w14:paraId="053750F7" w14:textId="77777777" w:rsidR="00217A61" w:rsidRDefault="001C2695">
            <w:pPr>
              <w:spacing w:beforeAutospacing="1" w:afterAutospacing="1"/>
              <w:jc w:val="right"/>
            </w:pPr>
            <w:r>
              <w:rPr>
                <w:color w:val="000000"/>
              </w:rPr>
              <w:t>5</w:t>
            </w:r>
          </w:p>
        </w:tc>
        <w:tc>
          <w:tcPr>
            <w:tcW w:w="0" w:type="auto"/>
            <w:vAlign w:val="bottom"/>
          </w:tcPr>
          <w:p w14:paraId="3629D7EB" w14:textId="77777777" w:rsidR="00217A61" w:rsidRDefault="001C2695">
            <w:pPr>
              <w:spacing w:beforeAutospacing="1" w:afterAutospacing="1"/>
              <w:jc w:val="right"/>
            </w:pPr>
            <w:r>
              <w:rPr>
                <w:color w:val="000000"/>
              </w:rPr>
              <w:t>5</w:t>
            </w:r>
          </w:p>
        </w:tc>
        <w:tc>
          <w:tcPr>
            <w:tcW w:w="0" w:type="auto"/>
            <w:vAlign w:val="bottom"/>
          </w:tcPr>
          <w:p w14:paraId="7E4D1115" w14:textId="77777777" w:rsidR="00217A61" w:rsidRDefault="001C2695">
            <w:pPr>
              <w:spacing w:beforeAutospacing="1" w:afterAutospacing="1"/>
              <w:jc w:val="right"/>
            </w:pPr>
            <w:r>
              <w:rPr>
                <w:color w:val="000000"/>
              </w:rPr>
              <w:t>0</w:t>
            </w:r>
          </w:p>
        </w:tc>
      </w:tr>
      <w:tr w:rsidR="00217A61" w14:paraId="37B0727B" w14:textId="77777777">
        <w:trPr>
          <w:cantSplit/>
        </w:trPr>
        <w:tc>
          <w:tcPr>
            <w:tcW w:w="0" w:type="auto"/>
          </w:tcPr>
          <w:p w14:paraId="14C864DB" w14:textId="77777777" w:rsidR="00217A61" w:rsidRDefault="001C2695">
            <w:pPr>
              <w:spacing w:beforeAutospacing="1" w:afterAutospacing="1"/>
            </w:pPr>
            <w:r>
              <w:rPr>
                <w:color w:val="000000"/>
              </w:rPr>
              <w:t>Total</w:t>
            </w:r>
          </w:p>
        </w:tc>
        <w:tc>
          <w:tcPr>
            <w:tcW w:w="0" w:type="auto"/>
            <w:vAlign w:val="bottom"/>
          </w:tcPr>
          <w:p w14:paraId="66D1DF54" w14:textId="77777777" w:rsidR="00217A61" w:rsidRDefault="001C2695">
            <w:pPr>
              <w:spacing w:beforeAutospacing="1" w:afterAutospacing="1"/>
              <w:jc w:val="right"/>
            </w:pPr>
            <w:r>
              <w:rPr>
                <w:color w:val="000000"/>
              </w:rPr>
              <w:t>1,731,254</w:t>
            </w:r>
          </w:p>
        </w:tc>
        <w:tc>
          <w:tcPr>
            <w:tcW w:w="0" w:type="auto"/>
            <w:vAlign w:val="bottom"/>
          </w:tcPr>
          <w:p w14:paraId="1C717515" w14:textId="77777777" w:rsidR="00217A61" w:rsidRDefault="001C2695">
            <w:pPr>
              <w:spacing w:beforeAutospacing="1" w:afterAutospacing="1"/>
              <w:jc w:val="right"/>
            </w:pPr>
            <w:r>
              <w:rPr>
                <w:color w:val="000000"/>
              </w:rPr>
              <w:t>1,229,916</w:t>
            </w:r>
          </w:p>
        </w:tc>
        <w:tc>
          <w:tcPr>
            <w:tcW w:w="0" w:type="auto"/>
            <w:vAlign w:val="bottom"/>
          </w:tcPr>
          <w:p w14:paraId="47A558C1" w14:textId="77777777" w:rsidR="00217A61" w:rsidRDefault="001C2695">
            <w:pPr>
              <w:spacing w:beforeAutospacing="1" w:afterAutospacing="1"/>
              <w:jc w:val="right"/>
            </w:pPr>
            <w:r>
              <w:rPr>
                <w:color w:val="000000"/>
              </w:rPr>
              <w:t>--</w:t>
            </w:r>
          </w:p>
        </w:tc>
        <w:tc>
          <w:tcPr>
            <w:tcW w:w="0" w:type="auto"/>
            <w:vAlign w:val="bottom"/>
          </w:tcPr>
          <w:p w14:paraId="2D4AD1CF" w14:textId="77777777" w:rsidR="00217A61" w:rsidRDefault="001C2695">
            <w:pPr>
              <w:spacing w:beforeAutospacing="1" w:afterAutospacing="1"/>
              <w:jc w:val="right"/>
            </w:pPr>
            <w:r>
              <w:rPr>
                <w:color w:val="000000"/>
              </w:rPr>
              <w:t>--</w:t>
            </w:r>
          </w:p>
        </w:tc>
        <w:tc>
          <w:tcPr>
            <w:tcW w:w="0" w:type="auto"/>
            <w:vAlign w:val="bottom"/>
          </w:tcPr>
          <w:p w14:paraId="2A5FC90B" w14:textId="77777777" w:rsidR="00217A61" w:rsidRDefault="001C2695">
            <w:pPr>
              <w:spacing w:beforeAutospacing="1" w:afterAutospacing="1"/>
              <w:jc w:val="right"/>
            </w:pPr>
            <w:r>
              <w:rPr>
                <w:color w:val="000000"/>
              </w:rPr>
              <w:t>--</w:t>
            </w:r>
          </w:p>
        </w:tc>
      </w:tr>
    </w:tbl>
    <w:p w14:paraId="0724971A"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Business Activity</w:t>
      </w:r>
    </w:p>
    <w:tbl>
      <w:tblPr>
        <w:tblW w:w="5000" w:type="pct"/>
        <w:tblInd w:w="115" w:type="dxa"/>
        <w:tblLook w:val="01E0" w:firstRow="1" w:lastRow="1" w:firstColumn="1" w:lastColumn="1" w:noHBand="0" w:noVBand="0"/>
      </w:tblPr>
      <w:tblGrid>
        <w:gridCol w:w="1066"/>
        <w:gridCol w:w="11894"/>
      </w:tblGrid>
      <w:tr w:rsidR="00217A61" w14:paraId="5AB4BE01" w14:textId="77777777">
        <w:trPr>
          <w:cantSplit/>
        </w:trPr>
        <w:tc>
          <w:tcPr>
            <w:tcW w:w="1073" w:type="dxa"/>
          </w:tcPr>
          <w:p w14:paraId="21C57FB0" w14:textId="77777777" w:rsidR="00217A61" w:rsidRDefault="001C2695">
            <w:pPr>
              <w:spacing w:after="0" w:line="240" w:lineRule="auto"/>
              <w:rPr>
                <w:rFonts w:cs="Arial"/>
                <w:sz w:val="16"/>
                <w:szCs w:val="16"/>
              </w:rPr>
            </w:pPr>
            <w:r>
              <w:rPr>
                <w:b/>
                <w:bCs/>
                <w:sz w:val="16"/>
                <w:szCs w:val="16"/>
              </w:rPr>
              <w:t>Data Source:</w:t>
            </w:r>
          </w:p>
        </w:tc>
        <w:tc>
          <w:tcPr>
            <w:tcW w:w="12103" w:type="dxa"/>
          </w:tcPr>
          <w:p w14:paraId="30C0421A" w14:textId="77777777" w:rsidR="00217A61" w:rsidRDefault="001C2695">
            <w:pPr>
              <w:spacing w:beforeAutospacing="1" w:afterAutospacing="1"/>
              <w:rPr>
                <w:rFonts w:cs="Arial"/>
                <w:sz w:val="16"/>
                <w:szCs w:val="16"/>
              </w:rPr>
            </w:pPr>
            <w:r>
              <w:rPr>
                <w:rFonts w:cs="Arial"/>
                <w:sz w:val="16"/>
                <w:szCs w:val="16"/>
              </w:rPr>
              <w:t>2011-2015 ACS (Workers), 2015 Longitudinal Employer-Household Dynamics (Jobs)</w:t>
            </w:r>
          </w:p>
        </w:tc>
      </w:tr>
    </w:tbl>
    <w:p w14:paraId="62EA0F0B" w14:textId="77777777" w:rsidR="00217A61" w:rsidRDefault="00217A61">
      <w:pPr>
        <w:keepNext/>
        <w:widowControl w:val="0"/>
        <w:spacing w:after="0" w:line="240" w:lineRule="auto"/>
        <w:jc w:val="center"/>
        <w:rPr>
          <w:b/>
          <w:bCs/>
          <w:vanish/>
          <w:sz w:val="20"/>
          <w:szCs w:val="20"/>
        </w:rPr>
      </w:pPr>
    </w:p>
    <w:p w14:paraId="484FFB4D" w14:textId="77777777" w:rsidR="00217A61" w:rsidRDefault="00217A61">
      <w:pPr>
        <w:rPr>
          <w:b/>
          <w:bCs/>
          <w:vanish/>
          <w:sz w:val="16"/>
          <w:szCs w:val="16"/>
        </w:rPr>
      </w:pPr>
    </w:p>
    <w:p w14:paraId="3F689ECD" w14:textId="77777777" w:rsidR="00217A61" w:rsidRDefault="00217A61">
      <w:pPr>
        <w:keepNext/>
        <w:widowControl w:val="0"/>
      </w:pPr>
    </w:p>
    <w:p w14:paraId="2BA0F28B" w14:textId="77777777" w:rsidR="00217A61" w:rsidRDefault="00217A61">
      <w:pPr>
        <w:keepNext/>
        <w:widowControl w:val="0"/>
        <w:rPr>
          <w:szCs w:val="26"/>
        </w:rPr>
        <w:sectPr w:rsidR="00217A61">
          <w:pgSz w:w="15840" w:h="12240" w:orient="landscape"/>
          <w:pgMar w:top="1440" w:right="1440" w:bottom="1440" w:left="1440" w:header="720" w:footer="720" w:gutter="0"/>
          <w:cols w:space="720"/>
          <w:docGrid w:linePitch="360"/>
        </w:sectPr>
      </w:pPr>
    </w:p>
    <w:p w14:paraId="588590B1" w14:textId="77777777" w:rsidR="00217A61" w:rsidRDefault="001C2695">
      <w:pPr>
        <w:keepNext/>
        <w:widowControl w:val="0"/>
        <w:rPr>
          <w:b/>
          <w:sz w:val="24"/>
          <w:szCs w:val="24"/>
        </w:rPr>
      </w:pPr>
      <w:r>
        <w:rPr>
          <w:b/>
          <w:sz w:val="24"/>
          <w:szCs w:val="24"/>
        </w:rPr>
        <w:lastRenderedPageBreak/>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4897"/>
      </w:tblGrid>
      <w:tr w:rsidR="00217A61" w14:paraId="36467099" w14:textId="77777777">
        <w:trPr>
          <w:cantSplit/>
          <w:hidden/>
        </w:trPr>
        <w:tc>
          <w:tcPr>
            <w:tcW w:w="4500" w:type="dxa"/>
            <w:tcBorders>
              <w:right w:val="nil"/>
            </w:tcBorders>
          </w:tcPr>
          <w:p w14:paraId="170CBA1C" w14:textId="77777777" w:rsidR="00217A61" w:rsidRDefault="00217A61">
            <w:pPr>
              <w:keepNext/>
              <w:widowControl w:val="0"/>
              <w:spacing w:after="0" w:line="240" w:lineRule="auto"/>
              <w:rPr>
                <w:vanish/>
                <w:sz w:val="4"/>
                <w:szCs w:val="4"/>
              </w:rPr>
            </w:pPr>
          </w:p>
        </w:tc>
        <w:tc>
          <w:tcPr>
            <w:tcW w:w="4968" w:type="dxa"/>
            <w:tcBorders>
              <w:left w:val="nil"/>
            </w:tcBorders>
          </w:tcPr>
          <w:p w14:paraId="5E4C758C" w14:textId="77777777" w:rsidR="00217A61" w:rsidRDefault="00217A61">
            <w:pPr>
              <w:keepNext/>
              <w:widowControl w:val="0"/>
              <w:spacing w:after="0" w:line="240" w:lineRule="auto"/>
              <w:jc w:val="center"/>
              <w:rPr>
                <w:vanish/>
                <w:sz w:val="4"/>
                <w:szCs w:val="4"/>
              </w:rPr>
            </w:pPr>
          </w:p>
        </w:tc>
      </w:tr>
      <w:tr w:rsidR="00217A61" w14:paraId="7F0E38E3" w14:textId="77777777">
        <w:trPr>
          <w:cantSplit/>
        </w:trPr>
        <w:tc>
          <w:tcPr>
            <w:tcW w:w="0" w:type="auto"/>
          </w:tcPr>
          <w:p w14:paraId="475A7745" w14:textId="77777777" w:rsidR="00217A61" w:rsidRDefault="001C2695">
            <w:pPr>
              <w:spacing w:beforeAutospacing="1" w:afterAutospacing="1"/>
            </w:pPr>
            <w:r>
              <w:rPr>
                <w:color w:val="000000"/>
              </w:rPr>
              <w:t>Total Population in the Civilian Labor Force</w:t>
            </w:r>
          </w:p>
        </w:tc>
        <w:tc>
          <w:tcPr>
            <w:tcW w:w="0" w:type="auto"/>
            <w:vAlign w:val="bottom"/>
          </w:tcPr>
          <w:p w14:paraId="749E7C29" w14:textId="77777777" w:rsidR="00217A61" w:rsidRDefault="001C2695">
            <w:pPr>
              <w:spacing w:beforeAutospacing="1" w:afterAutospacing="1"/>
              <w:jc w:val="right"/>
            </w:pPr>
            <w:r>
              <w:rPr>
                <w:color w:val="000000"/>
              </w:rPr>
              <w:t>0</w:t>
            </w:r>
          </w:p>
        </w:tc>
      </w:tr>
      <w:tr w:rsidR="00217A61" w14:paraId="50B497F0" w14:textId="77777777">
        <w:trPr>
          <w:cantSplit/>
        </w:trPr>
        <w:tc>
          <w:tcPr>
            <w:tcW w:w="0" w:type="auto"/>
          </w:tcPr>
          <w:p w14:paraId="5FA95061" w14:textId="77777777" w:rsidR="00217A61" w:rsidRDefault="001C2695">
            <w:pPr>
              <w:spacing w:beforeAutospacing="1" w:afterAutospacing="1"/>
            </w:pPr>
            <w:r>
              <w:rPr>
                <w:color w:val="000000"/>
              </w:rPr>
              <w:t>Civilian Employed Population 16 years and over</w:t>
            </w:r>
          </w:p>
        </w:tc>
        <w:tc>
          <w:tcPr>
            <w:tcW w:w="0" w:type="auto"/>
            <w:vAlign w:val="bottom"/>
          </w:tcPr>
          <w:p w14:paraId="7D7D7313" w14:textId="77777777" w:rsidR="00217A61" w:rsidRDefault="001C2695">
            <w:pPr>
              <w:spacing w:beforeAutospacing="1" w:afterAutospacing="1"/>
              <w:jc w:val="right"/>
            </w:pPr>
            <w:r>
              <w:rPr>
                <w:color w:val="000000"/>
              </w:rPr>
              <w:t>0</w:t>
            </w:r>
          </w:p>
        </w:tc>
      </w:tr>
      <w:tr w:rsidR="00217A61" w14:paraId="361921CF" w14:textId="77777777">
        <w:trPr>
          <w:cantSplit/>
        </w:trPr>
        <w:tc>
          <w:tcPr>
            <w:tcW w:w="0" w:type="auto"/>
          </w:tcPr>
          <w:p w14:paraId="3B35ABBA" w14:textId="77777777" w:rsidR="00217A61" w:rsidRDefault="001C2695">
            <w:pPr>
              <w:spacing w:beforeAutospacing="1" w:afterAutospacing="1"/>
            </w:pPr>
            <w:r>
              <w:rPr>
                <w:color w:val="000000"/>
              </w:rPr>
              <w:t>Unemployment Rate</w:t>
            </w:r>
          </w:p>
        </w:tc>
        <w:tc>
          <w:tcPr>
            <w:tcW w:w="0" w:type="auto"/>
            <w:vAlign w:val="bottom"/>
          </w:tcPr>
          <w:p w14:paraId="1509DABC" w14:textId="77777777" w:rsidR="00217A61" w:rsidRDefault="001C2695">
            <w:pPr>
              <w:spacing w:beforeAutospacing="1" w:afterAutospacing="1"/>
              <w:jc w:val="right"/>
            </w:pPr>
            <w:r>
              <w:rPr>
                <w:color w:val="000000"/>
              </w:rPr>
              <w:t>0.00</w:t>
            </w:r>
          </w:p>
        </w:tc>
      </w:tr>
      <w:tr w:rsidR="00217A61" w14:paraId="2A8A4FF0" w14:textId="77777777">
        <w:trPr>
          <w:cantSplit/>
        </w:trPr>
        <w:tc>
          <w:tcPr>
            <w:tcW w:w="0" w:type="auto"/>
          </w:tcPr>
          <w:p w14:paraId="7D32CEEC" w14:textId="77777777" w:rsidR="00217A61" w:rsidRDefault="001C2695">
            <w:pPr>
              <w:spacing w:beforeAutospacing="1" w:afterAutospacing="1"/>
            </w:pPr>
            <w:r>
              <w:rPr>
                <w:color w:val="000000"/>
              </w:rPr>
              <w:t>Unemployment Rate for Ages 16-24</w:t>
            </w:r>
          </w:p>
        </w:tc>
        <w:tc>
          <w:tcPr>
            <w:tcW w:w="0" w:type="auto"/>
            <w:vAlign w:val="bottom"/>
          </w:tcPr>
          <w:p w14:paraId="213933F0" w14:textId="77777777" w:rsidR="00217A61" w:rsidRDefault="001C2695">
            <w:pPr>
              <w:spacing w:beforeAutospacing="1" w:afterAutospacing="1"/>
              <w:jc w:val="right"/>
            </w:pPr>
            <w:r>
              <w:rPr>
                <w:color w:val="000000"/>
              </w:rPr>
              <w:t>0.00</w:t>
            </w:r>
          </w:p>
        </w:tc>
      </w:tr>
      <w:tr w:rsidR="00217A61" w14:paraId="3D3995D7" w14:textId="77777777">
        <w:trPr>
          <w:cantSplit/>
        </w:trPr>
        <w:tc>
          <w:tcPr>
            <w:tcW w:w="0" w:type="auto"/>
          </w:tcPr>
          <w:p w14:paraId="1729642F" w14:textId="77777777" w:rsidR="00217A61" w:rsidRDefault="001C2695">
            <w:pPr>
              <w:spacing w:beforeAutospacing="1" w:afterAutospacing="1"/>
            </w:pPr>
            <w:r>
              <w:rPr>
                <w:color w:val="000000"/>
              </w:rPr>
              <w:t>Unemployment Rate for Ages 25-65</w:t>
            </w:r>
          </w:p>
        </w:tc>
        <w:tc>
          <w:tcPr>
            <w:tcW w:w="0" w:type="auto"/>
            <w:vAlign w:val="bottom"/>
          </w:tcPr>
          <w:p w14:paraId="29F5292E" w14:textId="77777777" w:rsidR="00217A61" w:rsidRDefault="001C2695">
            <w:pPr>
              <w:spacing w:beforeAutospacing="1" w:afterAutospacing="1"/>
              <w:jc w:val="right"/>
            </w:pPr>
            <w:r>
              <w:rPr>
                <w:color w:val="000000"/>
              </w:rPr>
              <w:t>0.00</w:t>
            </w:r>
          </w:p>
        </w:tc>
      </w:tr>
    </w:tbl>
    <w:p w14:paraId="6536218F"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44</w:t>
      </w:r>
      <w:r>
        <w:rPr>
          <w:rFonts w:asciiTheme="minorHAnsi" w:hAnsiTheme="minorHAnsi"/>
        </w:rPr>
        <w:fldChar w:fldCharType="end"/>
      </w:r>
      <w:r>
        <w:rPr>
          <w:rFonts w:asciiTheme="minorHAnsi" w:hAnsiTheme="minorHAnsi"/>
        </w:rPr>
        <w:t xml:space="preserve"> - Labor Force</w:t>
      </w:r>
    </w:p>
    <w:p w14:paraId="68B25D96" w14:textId="77777777" w:rsidR="00217A61" w:rsidRDefault="00217A61">
      <w:pPr>
        <w:keepNext/>
        <w:widowControl w:val="0"/>
        <w:spacing w:after="0" w:line="240" w:lineRule="auto"/>
        <w:jc w:val="center"/>
        <w:rPr>
          <w:b/>
          <w:bCs/>
          <w:vanish/>
          <w:sz w:val="20"/>
          <w:szCs w:val="20"/>
        </w:rPr>
      </w:pPr>
    </w:p>
    <w:p w14:paraId="1DBD4040" w14:textId="77777777" w:rsidR="00217A61" w:rsidRDefault="00217A61">
      <w:pPr>
        <w:rPr>
          <w:b/>
          <w:bCs/>
          <w:vanish/>
          <w:sz w:val="16"/>
          <w:szCs w:val="16"/>
        </w:rPr>
      </w:pPr>
    </w:p>
    <w:tbl>
      <w:tblPr>
        <w:tblW w:w="5000" w:type="pct"/>
        <w:tblInd w:w="115" w:type="dxa"/>
        <w:tblLook w:val="01E0" w:firstRow="1" w:lastRow="1" w:firstColumn="1" w:lastColumn="1" w:noHBand="0" w:noVBand="0"/>
      </w:tblPr>
      <w:tblGrid>
        <w:gridCol w:w="1947"/>
        <w:gridCol w:w="7413"/>
      </w:tblGrid>
      <w:tr w:rsidR="00217A61" w14:paraId="53C234C0" w14:textId="77777777">
        <w:trPr>
          <w:cantSplit/>
        </w:trPr>
        <w:tc>
          <w:tcPr>
            <w:tcW w:w="1973" w:type="dxa"/>
          </w:tcPr>
          <w:p w14:paraId="00569B4A" w14:textId="77777777" w:rsidR="00217A61" w:rsidRDefault="001C2695">
            <w:pPr>
              <w:spacing w:after="0" w:line="240" w:lineRule="auto"/>
              <w:rPr>
                <w:rFonts w:cs="Arial"/>
                <w:sz w:val="16"/>
                <w:szCs w:val="16"/>
              </w:rPr>
            </w:pPr>
            <w:r>
              <w:rPr>
                <w:b/>
                <w:bCs/>
                <w:sz w:val="16"/>
                <w:szCs w:val="16"/>
              </w:rPr>
              <w:t>Data Source Comments:</w:t>
            </w:r>
          </w:p>
        </w:tc>
        <w:tc>
          <w:tcPr>
            <w:tcW w:w="7603" w:type="dxa"/>
          </w:tcPr>
          <w:p w14:paraId="159016AA" w14:textId="77777777" w:rsidR="00217A61" w:rsidRDefault="00217A61">
            <w:pPr>
              <w:spacing w:after="0" w:line="240" w:lineRule="auto"/>
              <w:rPr>
                <w:rFonts w:cs="Arial"/>
                <w:sz w:val="16"/>
                <w:szCs w:val="16"/>
              </w:rPr>
            </w:pPr>
          </w:p>
        </w:tc>
      </w:tr>
    </w:tbl>
    <w:p w14:paraId="5C6E8C69" w14:textId="77777777" w:rsidR="00217A61" w:rsidRDefault="00217A61">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44"/>
        <w:gridCol w:w="4906"/>
      </w:tblGrid>
      <w:tr w:rsidR="00217A61" w14:paraId="048443E7" w14:textId="77777777">
        <w:trPr>
          <w:cantSplit/>
          <w:tblHeader/>
        </w:trPr>
        <w:tc>
          <w:tcPr>
            <w:tcW w:w="4558" w:type="dxa"/>
            <w:tcBorders>
              <w:right w:val="nil"/>
            </w:tcBorders>
          </w:tcPr>
          <w:p w14:paraId="180D8252" w14:textId="77777777" w:rsidR="00217A61" w:rsidRDefault="001C2695">
            <w:pPr>
              <w:keepNext/>
              <w:widowControl w:val="0"/>
              <w:rPr>
                <w:b/>
              </w:rPr>
            </w:pPr>
            <w:r>
              <w:rPr>
                <w:b/>
              </w:rPr>
              <w:t>Occupations by Sector</w:t>
            </w:r>
          </w:p>
        </w:tc>
        <w:tc>
          <w:tcPr>
            <w:tcW w:w="5032" w:type="dxa"/>
            <w:tcBorders>
              <w:left w:val="nil"/>
            </w:tcBorders>
          </w:tcPr>
          <w:p w14:paraId="594D4606" w14:textId="77777777" w:rsidR="00217A61" w:rsidRDefault="001C2695">
            <w:pPr>
              <w:keepNext/>
              <w:widowControl w:val="0"/>
              <w:spacing w:after="0" w:line="240" w:lineRule="auto"/>
              <w:jc w:val="center"/>
              <w:rPr>
                <w:b/>
                <w:vanish/>
              </w:rPr>
            </w:pPr>
            <w:r>
              <w:rPr>
                <w:b/>
              </w:rPr>
              <w:t>Number of People</w:t>
            </w:r>
            <w:r>
              <w:rPr>
                <w:b/>
                <w:vanish/>
              </w:rPr>
              <w:t>Median Income</w:t>
            </w:r>
          </w:p>
        </w:tc>
      </w:tr>
      <w:tr w:rsidR="00217A61" w14:paraId="1DE084E8" w14:textId="77777777">
        <w:trPr>
          <w:cantSplit/>
        </w:trPr>
        <w:tc>
          <w:tcPr>
            <w:tcW w:w="4558" w:type="dxa"/>
          </w:tcPr>
          <w:p w14:paraId="612DA1B9" w14:textId="77777777" w:rsidR="00217A61" w:rsidRDefault="001C2695">
            <w:pPr>
              <w:spacing w:beforeAutospacing="1" w:afterAutospacing="1"/>
            </w:pPr>
            <w:r>
              <w:rPr>
                <w:color w:val="000000"/>
              </w:rPr>
              <w:t>Management, business and financial</w:t>
            </w:r>
          </w:p>
        </w:tc>
        <w:tc>
          <w:tcPr>
            <w:tcW w:w="5032" w:type="dxa"/>
            <w:vAlign w:val="bottom"/>
          </w:tcPr>
          <w:p w14:paraId="2EA227E0" w14:textId="77777777" w:rsidR="00217A61" w:rsidRDefault="001C2695">
            <w:pPr>
              <w:spacing w:beforeAutospacing="1" w:afterAutospacing="1"/>
              <w:jc w:val="right"/>
            </w:pPr>
            <w:r>
              <w:rPr>
                <w:color w:val="000000"/>
              </w:rPr>
              <w:t>0</w:t>
            </w:r>
          </w:p>
        </w:tc>
      </w:tr>
      <w:tr w:rsidR="00217A61" w14:paraId="4A63C3D6" w14:textId="77777777">
        <w:trPr>
          <w:cantSplit/>
        </w:trPr>
        <w:tc>
          <w:tcPr>
            <w:tcW w:w="4558" w:type="dxa"/>
          </w:tcPr>
          <w:p w14:paraId="49578B87" w14:textId="77777777" w:rsidR="00217A61" w:rsidRDefault="001C2695">
            <w:pPr>
              <w:spacing w:beforeAutospacing="1" w:afterAutospacing="1"/>
            </w:pPr>
            <w:r>
              <w:rPr>
                <w:color w:val="000000"/>
              </w:rPr>
              <w:t xml:space="preserve">Farming, </w:t>
            </w:r>
            <w:proofErr w:type="gramStart"/>
            <w:r>
              <w:rPr>
                <w:color w:val="000000"/>
              </w:rPr>
              <w:t>fisheries</w:t>
            </w:r>
            <w:proofErr w:type="gramEnd"/>
            <w:r>
              <w:rPr>
                <w:color w:val="000000"/>
              </w:rPr>
              <w:t xml:space="preserve"> and forestry occupations</w:t>
            </w:r>
          </w:p>
        </w:tc>
        <w:tc>
          <w:tcPr>
            <w:tcW w:w="5032" w:type="dxa"/>
            <w:vAlign w:val="bottom"/>
          </w:tcPr>
          <w:p w14:paraId="3E908C51" w14:textId="77777777" w:rsidR="00217A61" w:rsidRDefault="001C2695">
            <w:pPr>
              <w:spacing w:beforeAutospacing="1" w:afterAutospacing="1"/>
              <w:jc w:val="right"/>
            </w:pPr>
            <w:r>
              <w:rPr>
                <w:color w:val="000000"/>
              </w:rPr>
              <w:t>0</w:t>
            </w:r>
          </w:p>
        </w:tc>
      </w:tr>
      <w:tr w:rsidR="00217A61" w14:paraId="5FA80003" w14:textId="77777777">
        <w:trPr>
          <w:cantSplit/>
        </w:trPr>
        <w:tc>
          <w:tcPr>
            <w:tcW w:w="4558" w:type="dxa"/>
          </w:tcPr>
          <w:p w14:paraId="705CBC5C" w14:textId="77777777" w:rsidR="00217A61" w:rsidRDefault="001C2695">
            <w:pPr>
              <w:spacing w:beforeAutospacing="1" w:afterAutospacing="1"/>
            </w:pPr>
            <w:r>
              <w:rPr>
                <w:color w:val="000000"/>
              </w:rPr>
              <w:t>Service</w:t>
            </w:r>
          </w:p>
        </w:tc>
        <w:tc>
          <w:tcPr>
            <w:tcW w:w="5032" w:type="dxa"/>
            <w:vAlign w:val="bottom"/>
          </w:tcPr>
          <w:p w14:paraId="30B30A89" w14:textId="77777777" w:rsidR="00217A61" w:rsidRDefault="001C2695">
            <w:pPr>
              <w:spacing w:beforeAutospacing="1" w:afterAutospacing="1"/>
              <w:jc w:val="right"/>
            </w:pPr>
            <w:r>
              <w:rPr>
                <w:color w:val="000000"/>
              </w:rPr>
              <w:t>0</w:t>
            </w:r>
          </w:p>
        </w:tc>
      </w:tr>
      <w:tr w:rsidR="00217A61" w14:paraId="228C23EB" w14:textId="77777777">
        <w:trPr>
          <w:cantSplit/>
        </w:trPr>
        <w:tc>
          <w:tcPr>
            <w:tcW w:w="4558" w:type="dxa"/>
          </w:tcPr>
          <w:p w14:paraId="4B154F8D" w14:textId="77777777" w:rsidR="00217A61" w:rsidRDefault="001C2695">
            <w:pPr>
              <w:spacing w:beforeAutospacing="1" w:afterAutospacing="1"/>
            </w:pPr>
            <w:r>
              <w:rPr>
                <w:color w:val="000000"/>
              </w:rPr>
              <w:t>Sales and office</w:t>
            </w:r>
          </w:p>
        </w:tc>
        <w:tc>
          <w:tcPr>
            <w:tcW w:w="5032" w:type="dxa"/>
            <w:vAlign w:val="bottom"/>
          </w:tcPr>
          <w:p w14:paraId="0B99B39C" w14:textId="77777777" w:rsidR="00217A61" w:rsidRDefault="001C2695">
            <w:pPr>
              <w:spacing w:beforeAutospacing="1" w:afterAutospacing="1"/>
              <w:jc w:val="right"/>
            </w:pPr>
            <w:r>
              <w:rPr>
                <w:color w:val="000000"/>
              </w:rPr>
              <w:t>0</w:t>
            </w:r>
          </w:p>
        </w:tc>
      </w:tr>
      <w:tr w:rsidR="00217A61" w14:paraId="22521B38" w14:textId="77777777">
        <w:trPr>
          <w:cantSplit/>
        </w:trPr>
        <w:tc>
          <w:tcPr>
            <w:tcW w:w="4558" w:type="dxa"/>
          </w:tcPr>
          <w:p w14:paraId="754AA358" w14:textId="77777777" w:rsidR="00217A61" w:rsidRDefault="001C2695">
            <w:pPr>
              <w:spacing w:beforeAutospacing="1" w:afterAutospacing="1"/>
            </w:pPr>
            <w:r>
              <w:rPr>
                <w:color w:val="000000"/>
              </w:rPr>
              <w:t xml:space="preserve">Construction, extraction, </w:t>
            </w:r>
            <w:proofErr w:type="gramStart"/>
            <w:r>
              <w:rPr>
                <w:color w:val="000000"/>
              </w:rPr>
              <w:t>maintenance</w:t>
            </w:r>
            <w:proofErr w:type="gramEnd"/>
            <w:r>
              <w:rPr>
                <w:color w:val="000000"/>
              </w:rPr>
              <w:t xml:space="preserve"> and repair</w:t>
            </w:r>
          </w:p>
        </w:tc>
        <w:tc>
          <w:tcPr>
            <w:tcW w:w="5032" w:type="dxa"/>
            <w:vAlign w:val="bottom"/>
          </w:tcPr>
          <w:p w14:paraId="4B6950EB" w14:textId="77777777" w:rsidR="00217A61" w:rsidRDefault="001C2695">
            <w:pPr>
              <w:spacing w:beforeAutospacing="1" w:afterAutospacing="1"/>
              <w:jc w:val="right"/>
            </w:pPr>
            <w:r>
              <w:rPr>
                <w:color w:val="000000"/>
              </w:rPr>
              <w:t>0</w:t>
            </w:r>
          </w:p>
        </w:tc>
      </w:tr>
      <w:tr w:rsidR="00217A61" w14:paraId="0B630170" w14:textId="77777777">
        <w:trPr>
          <w:cantSplit/>
        </w:trPr>
        <w:tc>
          <w:tcPr>
            <w:tcW w:w="4558" w:type="dxa"/>
          </w:tcPr>
          <w:p w14:paraId="42EAF0A3" w14:textId="77777777" w:rsidR="00217A61" w:rsidRDefault="001C2695">
            <w:pPr>
              <w:spacing w:beforeAutospacing="1" w:afterAutospacing="1"/>
            </w:pPr>
            <w:r>
              <w:rPr>
                <w:color w:val="000000"/>
              </w:rPr>
              <w:t xml:space="preserve">Production, </w:t>
            </w:r>
            <w:proofErr w:type="gramStart"/>
            <w:r>
              <w:rPr>
                <w:color w:val="000000"/>
              </w:rPr>
              <w:t>transportation</w:t>
            </w:r>
            <w:proofErr w:type="gramEnd"/>
            <w:r>
              <w:rPr>
                <w:color w:val="000000"/>
              </w:rPr>
              <w:t xml:space="preserve"> and material moving</w:t>
            </w:r>
          </w:p>
        </w:tc>
        <w:tc>
          <w:tcPr>
            <w:tcW w:w="5032" w:type="dxa"/>
            <w:vAlign w:val="bottom"/>
          </w:tcPr>
          <w:p w14:paraId="4A1E6705" w14:textId="77777777" w:rsidR="00217A61" w:rsidRDefault="001C2695">
            <w:pPr>
              <w:spacing w:beforeAutospacing="1" w:afterAutospacing="1"/>
              <w:jc w:val="right"/>
            </w:pPr>
            <w:r>
              <w:rPr>
                <w:color w:val="000000"/>
              </w:rPr>
              <w:t>0</w:t>
            </w:r>
          </w:p>
        </w:tc>
      </w:tr>
    </w:tbl>
    <w:p w14:paraId="703AD843"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 Occupations by Sector</w:t>
      </w:r>
    </w:p>
    <w:p w14:paraId="1C87737C" w14:textId="77777777" w:rsidR="00217A61" w:rsidRDefault="00217A61">
      <w:pPr>
        <w:keepNext/>
        <w:widowControl w:val="0"/>
        <w:spacing w:after="0" w:line="240" w:lineRule="auto"/>
        <w:jc w:val="center"/>
        <w:rPr>
          <w:b/>
          <w:bCs/>
          <w:vanish/>
          <w:sz w:val="20"/>
          <w:szCs w:val="20"/>
        </w:rPr>
      </w:pPr>
    </w:p>
    <w:p w14:paraId="13661A51" w14:textId="77777777" w:rsidR="00217A61" w:rsidRDefault="00217A61">
      <w:pPr>
        <w:rPr>
          <w:b/>
          <w:bCs/>
          <w:vanish/>
          <w:sz w:val="16"/>
          <w:szCs w:val="16"/>
        </w:rPr>
      </w:pPr>
    </w:p>
    <w:tbl>
      <w:tblPr>
        <w:tblW w:w="5000" w:type="pct"/>
        <w:tblInd w:w="115" w:type="dxa"/>
        <w:tblLook w:val="01E0" w:firstRow="1" w:lastRow="1" w:firstColumn="1" w:lastColumn="1" w:noHBand="0" w:noVBand="0"/>
      </w:tblPr>
      <w:tblGrid>
        <w:gridCol w:w="1947"/>
        <w:gridCol w:w="7413"/>
      </w:tblGrid>
      <w:tr w:rsidR="00217A61" w14:paraId="61AB566A" w14:textId="77777777">
        <w:trPr>
          <w:cantSplit/>
        </w:trPr>
        <w:tc>
          <w:tcPr>
            <w:tcW w:w="1973" w:type="dxa"/>
          </w:tcPr>
          <w:p w14:paraId="4F0C46BA" w14:textId="77777777" w:rsidR="00217A61" w:rsidRDefault="001C2695">
            <w:pPr>
              <w:spacing w:after="0" w:line="240" w:lineRule="auto"/>
              <w:rPr>
                <w:rFonts w:cs="Arial"/>
                <w:sz w:val="16"/>
                <w:szCs w:val="16"/>
              </w:rPr>
            </w:pPr>
            <w:r>
              <w:rPr>
                <w:b/>
                <w:bCs/>
                <w:sz w:val="16"/>
                <w:szCs w:val="16"/>
              </w:rPr>
              <w:t>Data Source Comments:</w:t>
            </w:r>
          </w:p>
        </w:tc>
        <w:tc>
          <w:tcPr>
            <w:tcW w:w="7603" w:type="dxa"/>
          </w:tcPr>
          <w:p w14:paraId="25023B58" w14:textId="77777777" w:rsidR="00217A61" w:rsidRDefault="00217A61">
            <w:pPr>
              <w:spacing w:after="0" w:line="240" w:lineRule="auto"/>
              <w:rPr>
                <w:rFonts w:cs="Arial"/>
                <w:sz w:val="16"/>
                <w:szCs w:val="16"/>
              </w:rPr>
            </w:pPr>
          </w:p>
        </w:tc>
      </w:tr>
    </w:tbl>
    <w:p w14:paraId="051F0A3C" w14:textId="77777777" w:rsidR="00217A61" w:rsidRDefault="00217A61">
      <w:pPr>
        <w:rPr>
          <w:b/>
          <w:bCs/>
          <w:sz w:val="20"/>
          <w:szCs w:val="20"/>
        </w:rPr>
      </w:pPr>
    </w:p>
    <w:p w14:paraId="12D85E97" w14:textId="77777777" w:rsidR="00217A61" w:rsidRDefault="001C2695">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150"/>
        <w:gridCol w:w="3156"/>
      </w:tblGrid>
      <w:tr w:rsidR="00217A61" w14:paraId="11107D91" w14:textId="77777777">
        <w:trPr>
          <w:cantSplit/>
          <w:tblHeader/>
        </w:trPr>
        <w:tc>
          <w:tcPr>
            <w:tcW w:w="3084" w:type="dxa"/>
          </w:tcPr>
          <w:p w14:paraId="11B18294" w14:textId="77777777" w:rsidR="00217A61" w:rsidRDefault="001C2695">
            <w:pPr>
              <w:keepNext/>
              <w:widowControl w:val="0"/>
              <w:spacing w:after="0" w:line="240" w:lineRule="auto"/>
              <w:rPr>
                <w:b/>
              </w:rPr>
            </w:pPr>
            <w:r>
              <w:rPr>
                <w:b/>
              </w:rPr>
              <w:t>Travel Time</w:t>
            </w:r>
          </w:p>
        </w:tc>
        <w:tc>
          <w:tcPr>
            <w:tcW w:w="3192" w:type="dxa"/>
          </w:tcPr>
          <w:p w14:paraId="61EB1253" w14:textId="77777777" w:rsidR="00217A61" w:rsidRDefault="001C2695">
            <w:pPr>
              <w:keepNext/>
              <w:widowControl w:val="0"/>
              <w:spacing w:after="0" w:line="240" w:lineRule="auto"/>
              <w:jc w:val="center"/>
              <w:rPr>
                <w:b/>
              </w:rPr>
            </w:pPr>
            <w:r>
              <w:rPr>
                <w:b/>
              </w:rPr>
              <w:t>Number</w:t>
            </w:r>
          </w:p>
        </w:tc>
        <w:tc>
          <w:tcPr>
            <w:tcW w:w="3192" w:type="dxa"/>
          </w:tcPr>
          <w:p w14:paraId="122ADA97" w14:textId="77777777" w:rsidR="00217A61" w:rsidRDefault="001C2695">
            <w:pPr>
              <w:keepNext/>
              <w:widowControl w:val="0"/>
              <w:spacing w:after="0" w:line="240" w:lineRule="auto"/>
              <w:jc w:val="center"/>
              <w:rPr>
                <w:b/>
              </w:rPr>
            </w:pPr>
            <w:r>
              <w:rPr>
                <w:b/>
              </w:rPr>
              <w:t>Percentage</w:t>
            </w:r>
          </w:p>
        </w:tc>
      </w:tr>
      <w:tr w:rsidR="00217A61" w14:paraId="1A7BBEFF" w14:textId="77777777">
        <w:trPr>
          <w:cantSplit/>
        </w:trPr>
        <w:tc>
          <w:tcPr>
            <w:tcW w:w="0" w:type="auto"/>
          </w:tcPr>
          <w:p w14:paraId="40ADEBAF" w14:textId="77777777" w:rsidR="00217A61" w:rsidRDefault="001C2695">
            <w:pPr>
              <w:spacing w:beforeAutospacing="1" w:afterAutospacing="1"/>
            </w:pPr>
            <w:r>
              <w:rPr>
                <w:color w:val="000000"/>
              </w:rPr>
              <w:t>&lt; 30 Minutes</w:t>
            </w:r>
          </w:p>
        </w:tc>
        <w:tc>
          <w:tcPr>
            <w:tcW w:w="0" w:type="auto"/>
            <w:vAlign w:val="bottom"/>
          </w:tcPr>
          <w:p w14:paraId="6B376167" w14:textId="77777777" w:rsidR="00217A61" w:rsidRDefault="001C2695">
            <w:pPr>
              <w:spacing w:beforeAutospacing="1" w:afterAutospacing="1"/>
              <w:jc w:val="right"/>
            </w:pPr>
            <w:r>
              <w:rPr>
                <w:color w:val="000000"/>
              </w:rPr>
              <w:t>0</w:t>
            </w:r>
          </w:p>
        </w:tc>
        <w:tc>
          <w:tcPr>
            <w:tcW w:w="0" w:type="auto"/>
            <w:vAlign w:val="bottom"/>
          </w:tcPr>
          <w:p w14:paraId="46A09B89" w14:textId="77777777" w:rsidR="00217A61" w:rsidRDefault="001C2695">
            <w:pPr>
              <w:spacing w:beforeAutospacing="1" w:afterAutospacing="1"/>
              <w:jc w:val="right"/>
            </w:pPr>
            <w:r>
              <w:rPr>
                <w:color w:val="000000"/>
              </w:rPr>
              <w:t>0%</w:t>
            </w:r>
          </w:p>
        </w:tc>
      </w:tr>
      <w:tr w:rsidR="00217A61" w14:paraId="7D7FC8E7" w14:textId="77777777">
        <w:trPr>
          <w:cantSplit/>
        </w:trPr>
        <w:tc>
          <w:tcPr>
            <w:tcW w:w="0" w:type="auto"/>
          </w:tcPr>
          <w:p w14:paraId="185B0984" w14:textId="77777777" w:rsidR="00217A61" w:rsidRDefault="001C2695">
            <w:pPr>
              <w:spacing w:beforeAutospacing="1" w:afterAutospacing="1"/>
            </w:pPr>
            <w:r>
              <w:rPr>
                <w:color w:val="000000"/>
              </w:rPr>
              <w:t>30-59 Minutes</w:t>
            </w:r>
          </w:p>
        </w:tc>
        <w:tc>
          <w:tcPr>
            <w:tcW w:w="0" w:type="auto"/>
            <w:vAlign w:val="bottom"/>
          </w:tcPr>
          <w:p w14:paraId="7788CE5D" w14:textId="77777777" w:rsidR="00217A61" w:rsidRDefault="001C2695">
            <w:pPr>
              <w:spacing w:beforeAutospacing="1" w:afterAutospacing="1"/>
              <w:jc w:val="right"/>
            </w:pPr>
            <w:r>
              <w:rPr>
                <w:color w:val="000000"/>
              </w:rPr>
              <w:t>0</w:t>
            </w:r>
          </w:p>
        </w:tc>
        <w:tc>
          <w:tcPr>
            <w:tcW w:w="0" w:type="auto"/>
            <w:vAlign w:val="bottom"/>
          </w:tcPr>
          <w:p w14:paraId="5661B594" w14:textId="77777777" w:rsidR="00217A61" w:rsidRDefault="001C2695">
            <w:pPr>
              <w:spacing w:beforeAutospacing="1" w:afterAutospacing="1"/>
              <w:jc w:val="right"/>
            </w:pPr>
            <w:r>
              <w:rPr>
                <w:color w:val="000000"/>
              </w:rPr>
              <w:t>0%</w:t>
            </w:r>
          </w:p>
        </w:tc>
      </w:tr>
      <w:tr w:rsidR="00217A61" w14:paraId="5F4DA37F" w14:textId="77777777">
        <w:trPr>
          <w:cantSplit/>
        </w:trPr>
        <w:tc>
          <w:tcPr>
            <w:tcW w:w="0" w:type="auto"/>
          </w:tcPr>
          <w:p w14:paraId="2A4B3377" w14:textId="77777777" w:rsidR="00217A61" w:rsidRDefault="001C2695">
            <w:pPr>
              <w:spacing w:beforeAutospacing="1" w:afterAutospacing="1"/>
            </w:pPr>
            <w:r>
              <w:rPr>
                <w:color w:val="000000"/>
              </w:rPr>
              <w:t>60 or More Minutes</w:t>
            </w:r>
          </w:p>
        </w:tc>
        <w:tc>
          <w:tcPr>
            <w:tcW w:w="0" w:type="auto"/>
            <w:vAlign w:val="bottom"/>
          </w:tcPr>
          <w:p w14:paraId="2202254A" w14:textId="77777777" w:rsidR="00217A61" w:rsidRDefault="001C2695">
            <w:pPr>
              <w:spacing w:beforeAutospacing="1" w:afterAutospacing="1"/>
              <w:jc w:val="right"/>
            </w:pPr>
            <w:r>
              <w:rPr>
                <w:color w:val="000000"/>
              </w:rPr>
              <w:t>0</w:t>
            </w:r>
          </w:p>
        </w:tc>
        <w:tc>
          <w:tcPr>
            <w:tcW w:w="0" w:type="auto"/>
            <w:vAlign w:val="bottom"/>
          </w:tcPr>
          <w:p w14:paraId="475D3F2E" w14:textId="77777777" w:rsidR="00217A61" w:rsidRDefault="001C2695">
            <w:pPr>
              <w:spacing w:beforeAutospacing="1" w:afterAutospacing="1"/>
              <w:jc w:val="right"/>
            </w:pPr>
            <w:r>
              <w:rPr>
                <w:color w:val="000000"/>
              </w:rPr>
              <w:t>0%</w:t>
            </w:r>
          </w:p>
        </w:tc>
      </w:tr>
      <w:tr w:rsidR="00217A61" w14:paraId="072ACD8F" w14:textId="77777777">
        <w:trPr>
          <w:cantSplit/>
        </w:trPr>
        <w:tc>
          <w:tcPr>
            <w:tcW w:w="0" w:type="auto"/>
          </w:tcPr>
          <w:p w14:paraId="40862C88" w14:textId="77777777" w:rsidR="00217A61" w:rsidRDefault="001C2695">
            <w:pPr>
              <w:spacing w:beforeAutospacing="1" w:afterAutospacing="1"/>
            </w:pPr>
            <w:r>
              <w:rPr>
                <w:rFonts w:ascii="Verdana" w:hAnsi="Verdana"/>
                <w:b/>
                <w:i/>
                <w:color w:val="000000"/>
                <w:sz w:val="16"/>
              </w:rPr>
              <w:t>Total</w:t>
            </w:r>
          </w:p>
        </w:tc>
        <w:tc>
          <w:tcPr>
            <w:tcW w:w="0" w:type="auto"/>
          </w:tcPr>
          <w:p w14:paraId="76673EBC" w14:textId="77777777" w:rsidR="00217A61" w:rsidRDefault="001C2695">
            <w:pPr>
              <w:spacing w:beforeAutospacing="1" w:afterAutospacing="1"/>
              <w:jc w:val="right"/>
            </w:pPr>
            <w:r>
              <w:rPr>
                <w:rFonts w:ascii="Verdana" w:hAnsi="Verdana"/>
                <w:b/>
                <w:i/>
                <w:color w:val="000000"/>
                <w:sz w:val="16"/>
              </w:rPr>
              <w:t>0</w:t>
            </w:r>
          </w:p>
        </w:tc>
        <w:tc>
          <w:tcPr>
            <w:tcW w:w="0" w:type="auto"/>
          </w:tcPr>
          <w:p w14:paraId="71DEB0A0" w14:textId="77777777" w:rsidR="00217A61" w:rsidRDefault="001C2695">
            <w:pPr>
              <w:spacing w:beforeAutospacing="1" w:afterAutospacing="1"/>
              <w:jc w:val="right"/>
            </w:pPr>
            <w:r>
              <w:rPr>
                <w:rFonts w:ascii="Verdana" w:hAnsi="Verdana"/>
                <w:b/>
                <w:i/>
                <w:color w:val="000000"/>
                <w:sz w:val="16"/>
              </w:rPr>
              <w:t>0%</w:t>
            </w:r>
          </w:p>
        </w:tc>
      </w:tr>
    </w:tbl>
    <w:p w14:paraId="101C9BED"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 Travel Time</w:t>
      </w:r>
    </w:p>
    <w:p w14:paraId="349696AF" w14:textId="77777777" w:rsidR="00217A61" w:rsidRDefault="00217A61">
      <w:pPr>
        <w:keepNext/>
        <w:widowControl w:val="0"/>
        <w:spacing w:after="0" w:line="240" w:lineRule="auto"/>
        <w:jc w:val="center"/>
        <w:rPr>
          <w:b/>
          <w:bCs/>
          <w:vanish/>
          <w:sz w:val="20"/>
          <w:szCs w:val="20"/>
        </w:rPr>
      </w:pPr>
    </w:p>
    <w:p w14:paraId="101F8B46" w14:textId="77777777" w:rsidR="00217A61" w:rsidRDefault="00217A61">
      <w:pPr>
        <w:rPr>
          <w:b/>
          <w:bCs/>
          <w:vanish/>
          <w:sz w:val="16"/>
          <w:szCs w:val="16"/>
        </w:rPr>
      </w:pPr>
    </w:p>
    <w:tbl>
      <w:tblPr>
        <w:tblW w:w="5000" w:type="pct"/>
        <w:tblInd w:w="115" w:type="dxa"/>
        <w:tblLook w:val="01E0" w:firstRow="1" w:lastRow="1" w:firstColumn="1" w:lastColumn="1" w:noHBand="0" w:noVBand="0"/>
      </w:tblPr>
      <w:tblGrid>
        <w:gridCol w:w="1947"/>
        <w:gridCol w:w="7413"/>
      </w:tblGrid>
      <w:tr w:rsidR="00217A61" w14:paraId="1452320C" w14:textId="77777777">
        <w:trPr>
          <w:cantSplit/>
        </w:trPr>
        <w:tc>
          <w:tcPr>
            <w:tcW w:w="1973" w:type="dxa"/>
          </w:tcPr>
          <w:p w14:paraId="252EABC9" w14:textId="77777777" w:rsidR="00217A61" w:rsidRDefault="001C2695">
            <w:pPr>
              <w:spacing w:after="0" w:line="240" w:lineRule="auto"/>
              <w:rPr>
                <w:rFonts w:cs="Arial"/>
                <w:sz w:val="16"/>
                <w:szCs w:val="16"/>
              </w:rPr>
            </w:pPr>
            <w:r>
              <w:rPr>
                <w:b/>
                <w:bCs/>
                <w:sz w:val="16"/>
                <w:szCs w:val="16"/>
              </w:rPr>
              <w:t>Data Source Comments:</w:t>
            </w:r>
          </w:p>
        </w:tc>
        <w:tc>
          <w:tcPr>
            <w:tcW w:w="7603" w:type="dxa"/>
          </w:tcPr>
          <w:p w14:paraId="0A811012" w14:textId="77777777" w:rsidR="00217A61" w:rsidRDefault="00217A61">
            <w:pPr>
              <w:spacing w:after="0" w:line="240" w:lineRule="auto"/>
              <w:rPr>
                <w:rFonts w:cs="Arial"/>
                <w:sz w:val="16"/>
                <w:szCs w:val="16"/>
              </w:rPr>
            </w:pPr>
          </w:p>
        </w:tc>
      </w:tr>
    </w:tbl>
    <w:p w14:paraId="3056AFFB" w14:textId="77777777" w:rsidR="00217A61" w:rsidRDefault="00217A61">
      <w:pPr>
        <w:rPr>
          <w:bCs/>
        </w:rPr>
      </w:pPr>
    </w:p>
    <w:p w14:paraId="08A9FDD0" w14:textId="77777777" w:rsidR="00217A61" w:rsidRDefault="001C2695">
      <w:pPr>
        <w:keepNext/>
        <w:widowControl w:val="0"/>
        <w:rPr>
          <w:b/>
          <w:sz w:val="24"/>
          <w:szCs w:val="24"/>
        </w:rPr>
      </w:pPr>
      <w:r>
        <w:rPr>
          <w:b/>
          <w:sz w:val="24"/>
          <w:szCs w:val="24"/>
        </w:rPr>
        <w:t>Education:</w:t>
      </w:r>
    </w:p>
    <w:p w14:paraId="7C7ACEEE" w14:textId="77777777" w:rsidR="00217A61" w:rsidRDefault="001C2695">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1904"/>
        <w:gridCol w:w="1950"/>
        <w:gridCol w:w="1849"/>
      </w:tblGrid>
      <w:tr w:rsidR="00217A61" w14:paraId="5BA7DE97" w14:textId="77777777">
        <w:trPr>
          <w:cantSplit/>
          <w:tblHeader/>
        </w:trPr>
        <w:tc>
          <w:tcPr>
            <w:tcW w:w="3233" w:type="dxa"/>
            <w:vMerge w:val="restart"/>
          </w:tcPr>
          <w:p w14:paraId="0E616D69" w14:textId="77777777" w:rsidR="00217A61" w:rsidRDefault="001C2695">
            <w:pPr>
              <w:keepNext/>
              <w:widowControl w:val="0"/>
              <w:spacing w:after="0" w:line="240" w:lineRule="auto"/>
              <w:jc w:val="center"/>
            </w:pPr>
            <w:r>
              <w:rPr>
                <w:b/>
              </w:rPr>
              <w:t>Educational Attainment</w:t>
            </w:r>
          </w:p>
        </w:tc>
        <w:tc>
          <w:tcPr>
            <w:tcW w:w="4140" w:type="dxa"/>
            <w:gridSpan w:val="2"/>
          </w:tcPr>
          <w:p w14:paraId="4AAF0CD1" w14:textId="77777777" w:rsidR="00217A61" w:rsidRDefault="001C2695">
            <w:pPr>
              <w:keepNext/>
              <w:widowControl w:val="0"/>
              <w:spacing w:after="0" w:line="240" w:lineRule="auto"/>
              <w:jc w:val="center"/>
            </w:pPr>
            <w:r>
              <w:rPr>
                <w:b/>
              </w:rPr>
              <w:t>In Labor Force</w:t>
            </w:r>
          </w:p>
        </w:tc>
        <w:tc>
          <w:tcPr>
            <w:tcW w:w="2088" w:type="dxa"/>
          </w:tcPr>
          <w:p w14:paraId="388B8631" w14:textId="77777777" w:rsidR="00217A61" w:rsidRDefault="00217A61">
            <w:pPr>
              <w:keepNext/>
              <w:widowControl w:val="0"/>
              <w:spacing w:after="0" w:line="240" w:lineRule="auto"/>
              <w:jc w:val="center"/>
            </w:pPr>
          </w:p>
        </w:tc>
      </w:tr>
      <w:tr w:rsidR="00217A61" w14:paraId="2FE2C725" w14:textId="77777777">
        <w:trPr>
          <w:cantSplit/>
          <w:tblHeader/>
        </w:trPr>
        <w:tc>
          <w:tcPr>
            <w:tcW w:w="3233" w:type="dxa"/>
            <w:vMerge/>
          </w:tcPr>
          <w:p w14:paraId="52132A0F" w14:textId="77777777" w:rsidR="00217A61" w:rsidRDefault="00217A61">
            <w:pPr>
              <w:keepNext/>
              <w:widowControl w:val="0"/>
              <w:spacing w:after="0" w:line="240" w:lineRule="auto"/>
              <w:jc w:val="center"/>
            </w:pPr>
          </w:p>
        </w:tc>
        <w:tc>
          <w:tcPr>
            <w:tcW w:w="2070" w:type="dxa"/>
          </w:tcPr>
          <w:p w14:paraId="44416E2C" w14:textId="77777777" w:rsidR="00217A61" w:rsidRDefault="001C2695">
            <w:pPr>
              <w:keepNext/>
              <w:widowControl w:val="0"/>
              <w:spacing w:after="0" w:line="240" w:lineRule="auto"/>
              <w:jc w:val="center"/>
            </w:pPr>
            <w:r>
              <w:rPr>
                <w:b/>
              </w:rPr>
              <w:t>Civilian Employed</w:t>
            </w:r>
          </w:p>
        </w:tc>
        <w:tc>
          <w:tcPr>
            <w:tcW w:w="2070" w:type="dxa"/>
          </w:tcPr>
          <w:p w14:paraId="1D2C56F8" w14:textId="77777777" w:rsidR="00217A61" w:rsidRDefault="001C2695">
            <w:pPr>
              <w:keepNext/>
              <w:widowControl w:val="0"/>
              <w:spacing w:after="0" w:line="240" w:lineRule="auto"/>
              <w:jc w:val="center"/>
            </w:pPr>
            <w:r>
              <w:rPr>
                <w:b/>
              </w:rPr>
              <w:t>Unemployed</w:t>
            </w:r>
          </w:p>
        </w:tc>
        <w:tc>
          <w:tcPr>
            <w:tcW w:w="2088" w:type="dxa"/>
          </w:tcPr>
          <w:p w14:paraId="4911186C" w14:textId="77777777" w:rsidR="00217A61" w:rsidRDefault="001C2695">
            <w:pPr>
              <w:keepNext/>
              <w:widowControl w:val="0"/>
              <w:spacing w:after="0" w:line="240" w:lineRule="auto"/>
              <w:jc w:val="center"/>
            </w:pPr>
            <w:r>
              <w:rPr>
                <w:b/>
              </w:rPr>
              <w:t>Not in Labor Force</w:t>
            </w:r>
          </w:p>
        </w:tc>
      </w:tr>
      <w:tr w:rsidR="00217A61" w14:paraId="2E57D305" w14:textId="77777777">
        <w:trPr>
          <w:cantSplit/>
        </w:trPr>
        <w:tc>
          <w:tcPr>
            <w:tcW w:w="0" w:type="auto"/>
          </w:tcPr>
          <w:p w14:paraId="29FE9D1A" w14:textId="77777777" w:rsidR="00217A61" w:rsidRDefault="001C2695">
            <w:pPr>
              <w:spacing w:beforeAutospacing="1" w:afterAutospacing="1"/>
            </w:pPr>
            <w:r>
              <w:rPr>
                <w:color w:val="000000"/>
              </w:rPr>
              <w:t>Less than high school graduate</w:t>
            </w:r>
          </w:p>
        </w:tc>
        <w:tc>
          <w:tcPr>
            <w:tcW w:w="0" w:type="auto"/>
            <w:vAlign w:val="bottom"/>
          </w:tcPr>
          <w:p w14:paraId="27DDACF0" w14:textId="77777777" w:rsidR="00217A61" w:rsidRDefault="001C2695">
            <w:pPr>
              <w:spacing w:beforeAutospacing="1" w:afterAutospacing="1"/>
              <w:jc w:val="right"/>
            </w:pPr>
            <w:r>
              <w:rPr>
                <w:color w:val="000000"/>
              </w:rPr>
              <w:t>0</w:t>
            </w:r>
          </w:p>
        </w:tc>
        <w:tc>
          <w:tcPr>
            <w:tcW w:w="0" w:type="auto"/>
            <w:vAlign w:val="bottom"/>
          </w:tcPr>
          <w:p w14:paraId="7E403964" w14:textId="77777777" w:rsidR="00217A61" w:rsidRDefault="001C2695">
            <w:pPr>
              <w:spacing w:beforeAutospacing="1" w:afterAutospacing="1"/>
              <w:jc w:val="right"/>
            </w:pPr>
            <w:r>
              <w:rPr>
                <w:color w:val="000000"/>
              </w:rPr>
              <w:t>0</w:t>
            </w:r>
          </w:p>
        </w:tc>
        <w:tc>
          <w:tcPr>
            <w:tcW w:w="0" w:type="auto"/>
            <w:vAlign w:val="bottom"/>
          </w:tcPr>
          <w:p w14:paraId="00E6B91A" w14:textId="77777777" w:rsidR="00217A61" w:rsidRDefault="001C2695">
            <w:pPr>
              <w:spacing w:beforeAutospacing="1" w:afterAutospacing="1"/>
              <w:jc w:val="right"/>
            </w:pPr>
            <w:r>
              <w:rPr>
                <w:color w:val="000000"/>
              </w:rPr>
              <w:t>0</w:t>
            </w:r>
          </w:p>
        </w:tc>
      </w:tr>
      <w:tr w:rsidR="00217A61" w14:paraId="3D1C6417" w14:textId="77777777">
        <w:trPr>
          <w:cantSplit/>
        </w:trPr>
        <w:tc>
          <w:tcPr>
            <w:tcW w:w="0" w:type="auto"/>
          </w:tcPr>
          <w:p w14:paraId="7A471F9C" w14:textId="77777777" w:rsidR="00217A61" w:rsidRDefault="001C2695">
            <w:pPr>
              <w:spacing w:beforeAutospacing="1" w:afterAutospacing="1"/>
            </w:pPr>
            <w:r>
              <w:rPr>
                <w:color w:val="000000"/>
              </w:rPr>
              <w:lastRenderedPageBreak/>
              <w:t>High school graduate (includes equivalency)</w:t>
            </w:r>
          </w:p>
        </w:tc>
        <w:tc>
          <w:tcPr>
            <w:tcW w:w="0" w:type="auto"/>
            <w:vAlign w:val="bottom"/>
          </w:tcPr>
          <w:p w14:paraId="1594A33D" w14:textId="77777777" w:rsidR="00217A61" w:rsidRDefault="001C2695">
            <w:pPr>
              <w:spacing w:beforeAutospacing="1" w:afterAutospacing="1"/>
              <w:jc w:val="right"/>
            </w:pPr>
            <w:r>
              <w:rPr>
                <w:color w:val="000000"/>
              </w:rPr>
              <w:t>0</w:t>
            </w:r>
          </w:p>
        </w:tc>
        <w:tc>
          <w:tcPr>
            <w:tcW w:w="0" w:type="auto"/>
            <w:vAlign w:val="bottom"/>
          </w:tcPr>
          <w:p w14:paraId="02472B43" w14:textId="77777777" w:rsidR="00217A61" w:rsidRDefault="001C2695">
            <w:pPr>
              <w:spacing w:beforeAutospacing="1" w:afterAutospacing="1"/>
              <w:jc w:val="right"/>
            </w:pPr>
            <w:r>
              <w:rPr>
                <w:color w:val="000000"/>
              </w:rPr>
              <w:t>0</w:t>
            </w:r>
          </w:p>
        </w:tc>
        <w:tc>
          <w:tcPr>
            <w:tcW w:w="0" w:type="auto"/>
            <w:vAlign w:val="bottom"/>
          </w:tcPr>
          <w:p w14:paraId="7F53637B" w14:textId="77777777" w:rsidR="00217A61" w:rsidRDefault="001C2695">
            <w:pPr>
              <w:spacing w:beforeAutospacing="1" w:afterAutospacing="1"/>
              <w:jc w:val="right"/>
            </w:pPr>
            <w:r>
              <w:rPr>
                <w:color w:val="000000"/>
              </w:rPr>
              <w:t>0</w:t>
            </w:r>
          </w:p>
        </w:tc>
      </w:tr>
      <w:tr w:rsidR="00217A61" w14:paraId="580EFCAF" w14:textId="77777777">
        <w:trPr>
          <w:cantSplit/>
        </w:trPr>
        <w:tc>
          <w:tcPr>
            <w:tcW w:w="0" w:type="auto"/>
          </w:tcPr>
          <w:p w14:paraId="0538A13F" w14:textId="77777777" w:rsidR="00217A61" w:rsidRDefault="001C2695">
            <w:pPr>
              <w:spacing w:beforeAutospacing="1" w:afterAutospacing="1"/>
            </w:pPr>
            <w:r>
              <w:rPr>
                <w:color w:val="000000"/>
              </w:rPr>
              <w:t xml:space="preserve">Some college or </w:t>
            </w:r>
            <w:proofErr w:type="gramStart"/>
            <w:r>
              <w:rPr>
                <w:color w:val="000000"/>
              </w:rPr>
              <w:t>Associate's</w:t>
            </w:r>
            <w:proofErr w:type="gramEnd"/>
            <w:r>
              <w:rPr>
                <w:color w:val="000000"/>
              </w:rPr>
              <w:t xml:space="preserve"> degree</w:t>
            </w:r>
          </w:p>
        </w:tc>
        <w:tc>
          <w:tcPr>
            <w:tcW w:w="0" w:type="auto"/>
            <w:vAlign w:val="bottom"/>
          </w:tcPr>
          <w:p w14:paraId="688EAE06" w14:textId="77777777" w:rsidR="00217A61" w:rsidRDefault="001C2695">
            <w:pPr>
              <w:spacing w:beforeAutospacing="1" w:afterAutospacing="1"/>
              <w:jc w:val="right"/>
            </w:pPr>
            <w:r>
              <w:rPr>
                <w:color w:val="000000"/>
              </w:rPr>
              <w:t>0</w:t>
            </w:r>
          </w:p>
        </w:tc>
        <w:tc>
          <w:tcPr>
            <w:tcW w:w="0" w:type="auto"/>
            <w:vAlign w:val="bottom"/>
          </w:tcPr>
          <w:p w14:paraId="44B7089A" w14:textId="77777777" w:rsidR="00217A61" w:rsidRDefault="001C2695">
            <w:pPr>
              <w:spacing w:beforeAutospacing="1" w:afterAutospacing="1"/>
              <w:jc w:val="right"/>
            </w:pPr>
            <w:r>
              <w:rPr>
                <w:color w:val="000000"/>
              </w:rPr>
              <w:t>0</w:t>
            </w:r>
          </w:p>
        </w:tc>
        <w:tc>
          <w:tcPr>
            <w:tcW w:w="0" w:type="auto"/>
            <w:vAlign w:val="bottom"/>
          </w:tcPr>
          <w:p w14:paraId="3CD1CF6A" w14:textId="77777777" w:rsidR="00217A61" w:rsidRDefault="001C2695">
            <w:pPr>
              <w:spacing w:beforeAutospacing="1" w:afterAutospacing="1"/>
              <w:jc w:val="right"/>
            </w:pPr>
            <w:r>
              <w:rPr>
                <w:color w:val="000000"/>
              </w:rPr>
              <w:t>0</w:t>
            </w:r>
          </w:p>
        </w:tc>
      </w:tr>
      <w:tr w:rsidR="00217A61" w14:paraId="79932B8F" w14:textId="77777777">
        <w:trPr>
          <w:cantSplit/>
        </w:trPr>
        <w:tc>
          <w:tcPr>
            <w:tcW w:w="0" w:type="auto"/>
          </w:tcPr>
          <w:p w14:paraId="5200A3FC" w14:textId="77777777" w:rsidR="00217A61" w:rsidRDefault="001C2695">
            <w:pPr>
              <w:spacing w:beforeAutospacing="1" w:afterAutospacing="1"/>
            </w:pPr>
            <w:r>
              <w:rPr>
                <w:color w:val="000000"/>
              </w:rPr>
              <w:t>Bachelor's degree or higher</w:t>
            </w:r>
          </w:p>
        </w:tc>
        <w:tc>
          <w:tcPr>
            <w:tcW w:w="0" w:type="auto"/>
            <w:vAlign w:val="bottom"/>
          </w:tcPr>
          <w:p w14:paraId="7D9FCF4A" w14:textId="77777777" w:rsidR="00217A61" w:rsidRDefault="001C2695">
            <w:pPr>
              <w:spacing w:beforeAutospacing="1" w:afterAutospacing="1"/>
              <w:jc w:val="right"/>
            </w:pPr>
            <w:r>
              <w:rPr>
                <w:color w:val="000000"/>
              </w:rPr>
              <w:t>0</w:t>
            </w:r>
          </w:p>
        </w:tc>
        <w:tc>
          <w:tcPr>
            <w:tcW w:w="0" w:type="auto"/>
            <w:vAlign w:val="bottom"/>
          </w:tcPr>
          <w:p w14:paraId="76E0346E" w14:textId="77777777" w:rsidR="00217A61" w:rsidRDefault="001C2695">
            <w:pPr>
              <w:spacing w:beforeAutospacing="1" w:afterAutospacing="1"/>
              <w:jc w:val="right"/>
            </w:pPr>
            <w:r>
              <w:rPr>
                <w:color w:val="000000"/>
              </w:rPr>
              <w:t>0</w:t>
            </w:r>
          </w:p>
        </w:tc>
        <w:tc>
          <w:tcPr>
            <w:tcW w:w="0" w:type="auto"/>
            <w:vAlign w:val="bottom"/>
          </w:tcPr>
          <w:p w14:paraId="12484531" w14:textId="77777777" w:rsidR="00217A61" w:rsidRDefault="001C2695">
            <w:pPr>
              <w:spacing w:beforeAutospacing="1" w:afterAutospacing="1"/>
              <w:jc w:val="right"/>
            </w:pPr>
            <w:r>
              <w:rPr>
                <w:color w:val="000000"/>
              </w:rPr>
              <w:t>0</w:t>
            </w:r>
          </w:p>
        </w:tc>
      </w:tr>
    </w:tbl>
    <w:p w14:paraId="1DFB0716"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 Educational Attainment by Employment Status</w:t>
      </w:r>
    </w:p>
    <w:p w14:paraId="424B8D77" w14:textId="77777777" w:rsidR="00217A61" w:rsidRDefault="00217A61">
      <w:pPr>
        <w:keepNext/>
        <w:widowControl w:val="0"/>
        <w:spacing w:after="0" w:line="240" w:lineRule="auto"/>
        <w:jc w:val="center"/>
        <w:rPr>
          <w:b/>
          <w:bCs/>
          <w:vanish/>
          <w:sz w:val="20"/>
          <w:szCs w:val="20"/>
        </w:rPr>
      </w:pPr>
    </w:p>
    <w:p w14:paraId="677EEA17" w14:textId="77777777" w:rsidR="00217A61" w:rsidRDefault="00217A61">
      <w:pPr>
        <w:spacing w:after="0" w:line="240" w:lineRule="auto"/>
        <w:rPr>
          <w:b/>
          <w:bCs/>
          <w:vanish/>
          <w:sz w:val="16"/>
          <w:szCs w:val="16"/>
        </w:rPr>
      </w:pPr>
    </w:p>
    <w:tbl>
      <w:tblPr>
        <w:tblW w:w="5000" w:type="pct"/>
        <w:tblInd w:w="115" w:type="dxa"/>
        <w:tblLook w:val="01E0" w:firstRow="1" w:lastRow="1" w:firstColumn="1" w:lastColumn="1" w:noHBand="0" w:noVBand="0"/>
      </w:tblPr>
      <w:tblGrid>
        <w:gridCol w:w="1947"/>
        <w:gridCol w:w="7413"/>
      </w:tblGrid>
      <w:tr w:rsidR="00217A61" w14:paraId="78D8496C" w14:textId="77777777">
        <w:trPr>
          <w:cantSplit/>
        </w:trPr>
        <w:tc>
          <w:tcPr>
            <w:tcW w:w="1973" w:type="dxa"/>
          </w:tcPr>
          <w:p w14:paraId="0AE768B9" w14:textId="77777777" w:rsidR="00217A61" w:rsidRDefault="001C2695">
            <w:pPr>
              <w:spacing w:after="0" w:line="240" w:lineRule="auto"/>
              <w:rPr>
                <w:rFonts w:cs="Arial"/>
                <w:sz w:val="16"/>
                <w:szCs w:val="16"/>
              </w:rPr>
            </w:pPr>
            <w:r>
              <w:rPr>
                <w:b/>
                <w:bCs/>
                <w:sz w:val="16"/>
                <w:szCs w:val="16"/>
              </w:rPr>
              <w:t>Data Source Comments:</w:t>
            </w:r>
          </w:p>
        </w:tc>
        <w:tc>
          <w:tcPr>
            <w:tcW w:w="7603" w:type="dxa"/>
          </w:tcPr>
          <w:p w14:paraId="6AA9380D" w14:textId="77777777" w:rsidR="00217A61" w:rsidRDefault="00217A61">
            <w:pPr>
              <w:spacing w:after="0" w:line="240" w:lineRule="auto"/>
              <w:rPr>
                <w:rFonts w:cs="Arial"/>
                <w:sz w:val="16"/>
                <w:szCs w:val="16"/>
              </w:rPr>
            </w:pPr>
          </w:p>
        </w:tc>
      </w:tr>
    </w:tbl>
    <w:p w14:paraId="1C85BA5C" w14:textId="77777777" w:rsidR="00217A61" w:rsidRDefault="00217A61">
      <w:pPr>
        <w:rPr>
          <w:bCs/>
        </w:rPr>
      </w:pPr>
    </w:p>
    <w:p w14:paraId="514B144B" w14:textId="77777777" w:rsidR="00217A61" w:rsidRDefault="001C2695">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203"/>
        <w:gridCol w:w="1204"/>
        <w:gridCol w:w="1203"/>
        <w:gridCol w:w="1204"/>
        <w:gridCol w:w="1204"/>
      </w:tblGrid>
      <w:tr w:rsidR="00217A61" w14:paraId="0D50C4B2" w14:textId="77777777">
        <w:trPr>
          <w:cantSplit/>
          <w:tblHeader/>
        </w:trPr>
        <w:tc>
          <w:tcPr>
            <w:tcW w:w="2513" w:type="dxa"/>
            <w:vMerge w:val="restart"/>
          </w:tcPr>
          <w:p w14:paraId="485655EA" w14:textId="77777777" w:rsidR="00217A61" w:rsidRDefault="00217A61">
            <w:pPr>
              <w:keepNext/>
              <w:widowControl w:val="0"/>
              <w:spacing w:after="0" w:line="240" w:lineRule="auto"/>
              <w:jc w:val="center"/>
            </w:pPr>
          </w:p>
        </w:tc>
        <w:tc>
          <w:tcPr>
            <w:tcW w:w="6948" w:type="dxa"/>
            <w:gridSpan w:val="5"/>
          </w:tcPr>
          <w:p w14:paraId="332AD597" w14:textId="77777777" w:rsidR="00217A61" w:rsidRDefault="001C2695">
            <w:pPr>
              <w:keepNext/>
              <w:widowControl w:val="0"/>
              <w:spacing w:after="0" w:line="240" w:lineRule="auto"/>
              <w:jc w:val="center"/>
            </w:pPr>
            <w:r>
              <w:rPr>
                <w:b/>
              </w:rPr>
              <w:t>Age</w:t>
            </w:r>
          </w:p>
        </w:tc>
      </w:tr>
      <w:tr w:rsidR="00217A61" w14:paraId="49D3705A" w14:textId="77777777">
        <w:trPr>
          <w:cantSplit/>
          <w:tblHeader/>
        </w:trPr>
        <w:tc>
          <w:tcPr>
            <w:tcW w:w="2513" w:type="dxa"/>
            <w:vMerge/>
          </w:tcPr>
          <w:p w14:paraId="6E969509" w14:textId="77777777" w:rsidR="00217A61" w:rsidRDefault="00217A61">
            <w:pPr>
              <w:keepNext/>
              <w:widowControl w:val="0"/>
              <w:spacing w:after="0" w:line="240" w:lineRule="auto"/>
              <w:jc w:val="center"/>
            </w:pPr>
          </w:p>
        </w:tc>
        <w:tc>
          <w:tcPr>
            <w:tcW w:w="1389" w:type="dxa"/>
          </w:tcPr>
          <w:p w14:paraId="21E07933" w14:textId="77777777" w:rsidR="00217A61" w:rsidRDefault="001C2695">
            <w:pPr>
              <w:keepNext/>
              <w:widowControl w:val="0"/>
              <w:spacing w:after="0" w:line="240" w:lineRule="auto"/>
              <w:jc w:val="center"/>
            </w:pPr>
            <w:r>
              <w:rPr>
                <w:b/>
              </w:rPr>
              <w:t xml:space="preserve">18–24 </w:t>
            </w:r>
            <w:proofErr w:type="spellStart"/>
            <w:r>
              <w:rPr>
                <w:b/>
              </w:rPr>
              <w:t>yrs</w:t>
            </w:r>
            <w:proofErr w:type="spellEnd"/>
          </w:p>
        </w:tc>
        <w:tc>
          <w:tcPr>
            <w:tcW w:w="1390" w:type="dxa"/>
          </w:tcPr>
          <w:p w14:paraId="3B9667FA" w14:textId="77777777" w:rsidR="00217A61" w:rsidRDefault="001C2695">
            <w:pPr>
              <w:keepNext/>
              <w:widowControl w:val="0"/>
              <w:spacing w:after="0" w:line="240" w:lineRule="auto"/>
              <w:jc w:val="center"/>
            </w:pPr>
            <w:r>
              <w:rPr>
                <w:b/>
              </w:rPr>
              <w:t xml:space="preserve">25–34 </w:t>
            </w:r>
            <w:proofErr w:type="spellStart"/>
            <w:r>
              <w:rPr>
                <w:b/>
              </w:rPr>
              <w:t>yrs</w:t>
            </w:r>
            <w:proofErr w:type="spellEnd"/>
          </w:p>
        </w:tc>
        <w:tc>
          <w:tcPr>
            <w:tcW w:w="1389" w:type="dxa"/>
          </w:tcPr>
          <w:p w14:paraId="141FC27B" w14:textId="77777777" w:rsidR="00217A61" w:rsidRDefault="001C2695">
            <w:pPr>
              <w:keepNext/>
              <w:widowControl w:val="0"/>
              <w:spacing w:after="0" w:line="240" w:lineRule="auto"/>
              <w:jc w:val="center"/>
            </w:pPr>
            <w:r>
              <w:rPr>
                <w:b/>
              </w:rPr>
              <w:t xml:space="preserve">35–44 </w:t>
            </w:r>
            <w:proofErr w:type="spellStart"/>
            <w:r>
              <w:rPr>
                <w:b/>
              </w:rPr>
              <w:t>yrs</w:t>
            </w:r>
            <w:proofErr w:type="spellEnd"/>
          </w:p>
        </w:tc>
        <w:tc>
          <w:tcPr>
            <w:tcW w:w="1390" w:type="dxa"/>
          </w:tcPr>
          <w:p w14:paraId="2174A84D" w14:textId="77777777" w:rsidR="00217A61" w:rsidRDefault="001C2695">
            <w:pPr>
              <w:keepNext/>
              <w:widowControl w:val="0"/>
              <w:spacing w:after="0" w:line="240" w:lineRule="auto"/>
              <w:jc w:val="center"/>
            </w:pPr>
            <w:r>
              <w:rPr>
                <w:b/>
              </w:rPr>
              <w:t xml:space="preserve">45–65 </w:t>
            </w:r>
            <w:proofErr w:type="spellStart"/>
            <w:r>
              <w:rPr>
                <w:b/>
              </w:rPr>
              <w:t>yrs</w:t>
            </w:r>
            <w:proofErr w:type="spellEnd"/>
          </w:p>
        </w:tc>
        <w:tc>
          <w:tcPr>
            <w:tcW w:w="1390" w:type="dxa"/>
          </w:tcPr>
          <w:p w14:paraId="13694D9E" w14:textId="77777777" w:rsidR="00217A61" w:rsidRDefault="001C2695">
            <w:pPr>
              <w:keepNext/>
              <w:widowControl w:val="0"/>
              <w:spacing w:after="0" w:line="240" w:lineRule="auto"/>
              <w:jc w:val="center"/>
            </w:pPr>
            <w:r>
              <w:rPr>
                <w:b/>
              </w:rPr>
              <w:t xml:space="preserve">65+ </w:t>
            </w:r>
            <w:proofErr w:type="spellStart"/>
            <w:r>
              <w:rPr>
                <w:b/>
              </w:rPr>
              <w:t>yrs</w:t>
            </w:r>
            <w:proofErr w:type="spellEnd"/>
          </w:p>
        </w:tc>
      </w:tr>
      <w:tr w:rsidR="00217A61" w14:paraId="676151B6" w14:textId="77777777">
        <w:trPr>
          <w:cantSplit/>
        </w:trPr>
        <w:tc>
          <w:tcPr>
            <w:tcW w:w="0" w:type="auto"/>
          </w:tcPr>
          <w:p w14:paraId="4F8A1140" w14:textId="77777777" w:rsidR="00217A61" w:rsidRDefault="001C2695">
            <w:pPr>
              <w:spacing w:beforeAutospacing="1" w:afterAutospacing="1"/>
            </w:pPr>
            <w:r>
              <w:rPr>
                <w:color w:val="000000"/>
              </w:rPr>
              <w:t>Less than 9th grade</w:t>
            </w:r>
          </w:p>
        </w:tc>
        <w:tc>
          <w:tcPr>
            <w:tcW w:w="0" w:type="auto"/>
            <w:vAlign w:val="bottom"/>
          </w:tcPr>
          <w:p w14:paraId="7EC494F2" w14:textId="77777777" w:rsidR="00217A61" w:rsidRDefault="001C2695">
            <w:pPr>
              <w:spacing w:beforeAutospacing="1" w:afterAutospacing="1"/>
              <w:jc w:val="right"/>
            </w:pPr>
            <w:r>
              <w:rPr>
                <w:color w:val="000000"/>
              </w:rPr>
              <w:t>0</w:t>
            </w:r>
          </w:p>
        </w:tc>
        <w:tc>
          <w:tcPr>
            <w:tcW w:w="0" w:type="auto"/>
            <w:vAlign w:val="bottom"/>
          </w:tcPr>
          <w:p w14:paraId="5692F9CE" w14:textId="77777777" w:rsidR="00217A61" w:rsidRDefault="001C2695">
            <w:pPr>
              <w:spacing w:beforeAutospacing="1" w:afterAutospacing="1"/>
              <w:jc w:val="right"/>
            </w:pPr>
            <w:r>
              <w:rPr>
                <w:color w:val="000000"/>
              </w:rPr>
              <w:t>0</w:t>
            </w:r>
          </w:p>
        </w:tc>
        <w:tc>
          <w:tcPr>
            <w:tcW w:w="0" w:type="auto"/>
            <w:vAlign w:val="bottom"/>
          </w:tcPr>
          <w:p w14:paraId="5F863145" w14:textId="77777777" w:rsidR="00217A61" w:rsidRDefault="001C2695">
            <w:pPr>
              <w:spacing w:beforeAutospacing="1" w:afterAutospacing="1"/>
              <w:jc w:val="right"/>
            </w:pPr>
            <w:r>
              <w:rPr>
                <w:color w:val="000000"/>
              </w:rPr>
              <w:t>0</w:t>
            </w:r>
          </w:p>
        </w:tc>
        <w:tc>
          <w:tcPr>
            <w:tcW w:w="0" w:type="auto"/>
            <w:vAlign w:val="bottom"/>
          </w:tcPr>
          <w:p w14:paraId="3A1D1150" w14:textId="77777777" w:rsidR="00217A61" w:rsidRDefault="001C2695">
            <w:pPr>
              <w:spacing w:beforeAutospacing="1" w:afterAutospacing="1"/>
              <w:jc w:val="right"/>
            </w:pPr>
            <w:r>
              <w:rPr>
                <w:color w:val="000000"/>
              </w:rPr>
              <w:t>0</w:t>
            </w:r>
          </w:p>
        </w:tc>
        <w:tc>
          <w:tcPr>
            <w:tcW w:w="0" w:type="auto"/>
            <w:vAlign w:val="bottom"/>
          </w:tcPr>
          <w:p w14:paraId="082DFD76" w14:textId="77777777" w:rsidR="00217A61" w:rsidRDefault="001C2695">
            <w:pPr>
              <w:spacing w:beforeAutospacing="1" w:afterAutospacing="1"/>
              <w:jc w:val="right"/>
            </w:pPr>
            <w:r>
              <w:rPr>
                <w:color w:val="000000"/>
              </w:rPr>
              <w:t>0</w:t>
            </w:r>
          </w:p>
        </w:tc>
      </w:tr>
      <w:tr w:rsidR="00217A61" w14:paraId="0B5FEE18" w14:textId="77777777">
        <w:trPr>
          <w:cantSplit/>
        </w:trPr>
        <w:tc>
          <w:tcPr>
            <w:tcW w:w="0" w:type="auto"/>
          </w:tcPr>
          <w:p w14:paraId="1B8895A7" w14:textId="77777777" w:rsidR="00217A61" w:rsidRDefault="001C2695">
            <w:pPr>
              <w:spacing w:beforeAutospacing="1" w:afterAutospacing="1"/>
            </w:pPr>
            <w:r>
              <w:rPr>
                <w:color w:val="000000"/>
              </w:rPr>
              <w:t>9th to 12th grade, no diploma</w:t>
            </w:r>
          </w:p>
        </w:tc>
        <w:tc>
          <w:tcPr>
            <w:tcW w:w="0" w:type="auto"/>
            <w:vAlign w:val="bottom"/>
          </w:tcPr>
          <w:p w14:paraId="61E1D5AC" w14:textId="77777777" w:rsidR="00217A61" w:rsidRDefault="001C2695">
            <w:pPr>
              <w:spacing w:beforeAutospacing="1" w:afterAutospacing="1"/>
              <w:jc w:val="right"/>
            </w:pPr>
            <w:r>
              <w:rPr>
                <w:color w:val="000000"/>
              </w:rPr>
              <w:t>0</w:t>
            </w:r>
          </w:p>
        </w:tc>
        <w:tc>
          <w:tcPr>
            <w:tcW w:w="0" w:type="auto"/>
            <w:vAlign w:val="bottom"/>
          </w:tcPr>
          <w:p w14:paraId="2FCF158E" w14:textId="77777777" w:rsidR="00217A61" w:rsidRDefault="001C2695">
            <w:pPr>
              <w:spacing w:beforeAutospacing="1" w:afterAutospacing="1"/>
              <w:jc w:val="right"/>
            </w:pPr>
            <w:r>
              <w:rPr>
                <w:color w:val="000000"/>
              </w:rPr>
              <w:t>0</w:t>
            </w:r>
          </w:p>
        </w:tc>
        <w:tc>
          <w:tcPr>
            <w:tcW w:w="0" w:type="auto"/>
            <w:vAlign w:val="bottom"/>
          </w:tcPr>
          <w:p w14:paraId="367ABBE8" w14:textId="77777777" w:rsidR="00217A61" w:rsidRDefault="001C2695">
            <w:pPr>
              <w:spacing w:beforeAutospacing="1" w:afterAutospacing="1"/>
              <w:jc w:val="right"/>
            </w:pPr>
            <w:r>
              <w:rPr>
                <w:color w:val="000000"/>
              </w:rPr>
              <w:t>0</w:t>
            </w:r>
          </w:p>
        </w:tc>
        <w:tc>
          <w:tcPr>
            <w:tcW w:w="0" w:type="auto"/>
            <w:vAlign w:val="bottom"/>
          </w:tcPr>
          <w:p w14:paraId="1D878C86" w14:textId="77777777" w:rsidR="00217A61" w:rsidRDefault="001C2695">
            <w:pPr>
              <w:spacing w:beforeAutospacing="1" w:afterAutospacing="1"/>
              <w:jc w:val="right"/>
            </w:pPr>
            <w:r>
              <w:rPr>
                <w:color w:val="000000"/>
              </w:rPr>
              <w:t>0</w:t>
            </w:r>
          </w:p>
        </w:tc>
        <w:tc>
          <w:tcPr>
            <w:tcW w:w="0" w:type="auto"/>
            <w:vAlign w:val="bottom"/>
          </w:tcPr>
          <w:p w14:paraId="7426B0F7" w14:textId="77777777" w:rsidR="00217A61" w:rsidRDefault="001C2695">
            <w:pPr>
              <w:spacing w:beforeAutospacing="1" w:afterAutospacing="1"/>
              <w:jc w:val="right"/>
            </w:pPr>
            <w:r>
              <w:rPr>
                <w:color w:val="000000"/>
              </w:rPr>
              <w:t>0</w:t>
            </w:r>
          </w:p>
        </w:tc>
      </w:tr>
      <w:tr w:rsidR="00217A61" w14:paraId="3FE4012A" w14:textId="77777777">
        <w:trPr>
          <w:cantSplit/>
        </w:trPr>
        <w:tc>
          <w:tcPr>
            <w:tcW w:w="0" w:type="auto"/>
          </w:tcPr>
          <w:p w14:paraId="7A3DB3A8" w14:textId="77777777" w:rsidR="00217A61" w:rsidRDefault="001C2695">
            <w:pPr>
              <w:spacing w:beforeAutospacing="1" w:afterAutospacing="1"/>
            </w:pPr>
            <w:r>
              <w:rPr>
                <w:color w:val="000000"/>
              </w:rPr>
              <w:t>High school graduate, GED, or alternative</w:t>
            </w:r>
          </w:p>
        </w:tc>
        <w:tc>
          <w:tcPr>
            <w:tcW w:w="0" w:type="auto"/>
            <w:vAlign w:val="bottom"/>
          </w:tcPr>
          <w:p w14:paraId="2C2222ED" w14:textId="77777777" w:rsidR="00217A61" w:rsidRDefault="001C2695">
            <w:pPr>
              <w:spacing w:beforeAutospacing="1" w:afterAutospacing="1"/>
              <w:jc w:val="right"/>
            </w:pPr>
            <w:r>
              <w:rPr>
                <w:color w:val="000000"/>
              </w:rPr>
              <w:t>0</w:t>
            </w:r>
          </w:p>
        </w:tc>
        <w:tc>
          <w:tcPr>
            <w:tcW w:w="0" w:type="auto"/>
            <w:vAlign w:val="bottom"/>
          </w:tcPr>
          <w:p w14:paraId="34A2B158" w14:textId="77777777" w:rsidR="00217A61" w:rsidRDefault="001C2695">
            <w:pPr>
              <w:spacing w:beforeAutospacing="1" w:afterAutospacing="1"/>
              <w:jc w:val="right"/>
            </w:pPr>
            <w:r>
              <w:rPr>
                <w:color w:val="000000"/>
              </w:rPr>
              <w:t>0</w:t>
            </w:r>
          </w:p>
        </w:tc>
        <w:tc>
          <w:tcPr>
            <w:tcW w:w="0" w:type="auto"/>
            <w:vAlign w:val="bottom"/>
          </w:tcPr>
          <w:p w14:paraId="607A4F3D" w14:textId="77777777" w:rsidR="00217A61" w:rsidRDefault="001C2695">
            <w:pPr>
              <w:spacing w:beforeAutospacing="1" w:afterAutospacing="1"/>
              <w:jc w:val="right"/>
            </w:pPr>
            <w:r>
              <w:rPr>
                <w:color w:val="000000"/>
              </w:rPr>
              <w:t>0</w:t>
            </w:r>
          </w:p>
        </w:tc>
        <w:tc>
          <w:tcPr>
            <w:tcW w:w="0" w:type="auto"/>
            <w:vAlign w:val="bottom"/>
          </w:tcPr>
          <w:p w14:paraId="4F3EC1EF" w14:textId="77777777" w:rsidR="00217A61" w:rsidRDefault="001C2695">
            <w:pPr>
              <w:spacing w:beforeAutospacing="1" w:afterAutospacing="1"/>
              <w:jc w:val="right"/>
            </w:pPr>
            <w:r>
              <w:rPr>
                <w:color w:val="000000"/>
              </w:rPr>
              <w:t>0</w:t>
            </w:r>
          </w:p>
        </w:tc>
        <w:tc>
          <w:tcPr>
            <w:tcW w:w="0" w:type="auto"/>
            <w:vAlign w:val="bottom"/>
          </w:tcPr>
          <w:p w14:paraId="35A2C172" w14:textId="77777777" w:rsidR="00217A61" w:rsidRDefault="001C2695">
            <w:pPr>
              <w:spacing w:beforeAutospacing="1" w:afterAutospacing="1"/>
              <w:jc w:val="right"/>
            </w:pPr>
            <w:r>
              <w:rPr>
                <w:color w:val="000000"/>
              </w:rPr>
              <w:t>0</w:t>
            </w:r>
          </w:p>
        </w:tc>
      </w:tr>
      <w:tr w:rsidR="00217A61" w14:paraId="0A268EF5" w14:textId="77777777">
        <w:trPr>
          <w:cantSplit/>
        </w:trPr>
        <w:tc>
          <w:tcPr>
            <w:tcW w:w="0" w:type="auto"/>
          </w:tcPr>
          <w:p w14:paraId="290D7E6D" w14:textId="77777777" w:rsidR="00217A61" w:rsidRDefault="001C2695">
            <w:pPr>
              <w:spacing w:beforeAutospacing="1" w:afterAutospacing="1"/>
            </w:pPr>
            <w:r>
              <w:rPr>
                <w:color w:val="000000"/>
              </w:rPr>
              <w:t>Some college, no degree</w:t>
            </w:r>
          </w:p>
        </w:tc>
        <w:tc>
          <w:tcPr>
            <w:tcW w:w="0" w:type="auto"/>
            <w:vAlign w:val="bottom"/>
          </w:tcPr>
          <w:p w14:paraId="05B7F118" w14:textId="77777777" w:rsidR="00217A61" w:rsidRDefault="001C2695">
            <w:pPr>
              <w:spacing w:beforeAutospacing="1" w:afterAutospacing="1"/>
              <w:jc w:val="right"/>
            </w:pPr>
            <w:r>
              <w:rPr>
                <w:color w:val="000000"/>
              </w:rPr>
              <w:t>0</w:t>
            </w:r>
          </w:p>
        </w:tc>
        <w:tc>
          <w:tcPr>
            <w:tcW w:w="0" w:type="auto"/>
            <w:vAlign w:val="bottom"/>
          </w:tcPr>
          <w:p w14:paraId="7CA8E2DB" w14:textId="77777777" w:rsidR="00217A61" w:rsidRDefault="001C2695">
            <w:pPr>
              <w:spacing w:beforeAutospacing="1" w:afterAutospacing="1"/>
              <w:jc w:val="right"/>
            </w:pPr>
            <w:r>
              <w:rPr>
                <w:color w:val="000000"/>
              </w:rPr>
              <w:t>0</w:t>
            </w:r>
          </w:p>
        </w:tc>
        <w:tc>
          <w:tcPr>
            <w:tcW w:w="0" w:type="auto"/>
            <w:vAlign w:val="bottom"/>
          </w:tcPr>
          <w:p w14:paraId="7613F426" w14:textId="77777777" w:rsidR="00217A61" w:rsidRDefault="001C2695">
            <w:pPr>
              <w:spacing w:beforeAutospacing="1" w:afterAutospacing="1"/>
              <w:jc w:val="right"/>
            </w:pPr>
            <w:r>
              <w:rPr>
                <w:color w:val="000000"/>
              </w:rPr>
              <w:t>0</w:t>
            </w:r>
          </w:p>
        </w:tc>
        <w:tc>
          <w:tcPr>
            <w:tcW w:w="0" w:type="auto"/>
            <w:vAlign w:val="bottom"/>
          </w:tcPr>
          <w:p w14:paraId="768A5B19" w14:textId="77777777" w:rsidR="00217A61" w:rsidRDefault="001C2695">
            <w:pPr>
              <w:spacing w:beforeAutospacing="1" w:afterAutospacing="1"/>
              <w:jc w:val="right"/>
            </w:pPr>
            <w:r>
              <w:rPr>
                <w:color w:val="000000"/>
              </w:rPr>
              <w:t>0</w:t>
            </w:r>
          </w:p>
        </w:tc>
        <w:tc>
          <w:tcPr>
            <w:tcW w:w="0" w:type="auto"/>
            <w:vAlign w:val="bottom"/>
          </w:tcPr>
          <w:p w14:paraId="34D5D3AE" w14:textId="77777777" w:rsidR="00217A61" w:rsidRDefault="001C2695">
            <w:pPr>
              <w:spacing w:beforeAutospacing="1" w:afterAutospacing="1"/>
              <w:jc w:val="right"/>
            </w:pPr>
            <w:r>
              <w:rPr>
                <w:color w:val="000000"/>
              </w:rPr>
              <w:t>0</w:t>
            </w:r>
          </w:p>
        </w:tc>
      </w:tr>
      <w:tr w:rsidR="00217A61" w14:paraId="3069B077" w14:textId="77777777">
        <w:trPr>
          <w:cantSplit/>
        </w:trPr>
        <w:tc>
          <w:tcPr>
            <w:tcW w:w="0" w:type="auto"/>
          </w:tcPr>
          <w:p w14:paraId="04471131" w14:textId="77777777" w:rsidR="00217A61" w:rsidRDefault="001C2695">
            <w:pPr>
              <w:spacing w:beforeAutospacing="1" w:afterAutospacing="1"/>
            </w:pPr>
            <w:proofErr w:type="gramStart"/>
            <w:r>
              <w:rPr>
                <w:color w:val="000000"/>
              </w:rPr>
              <w:t>Associate's</w:t>
            </w:r>
            <w:proofErr w:type="gramEnd"/>
            <w:r>
              <w:rPr>
                <w:color w:val="000000"/>
              </w:rPr>
              <w:t xml:space="preserve"> degree</w:t>
            </w:r>
          </w:p>
        </w:tc>
        <w:tc>
          <w:tcPr>
            <w:tcW w:w="0" w:type="auto"/>
            <w:vAlign w:val="bottom"/>
          </w:tcPr>
          <w:p w14:paraId="356B4384" w14:textId="77777777" w:rsidR="00217A61" w:rsidRDefault="001C2695">
            <w:pPr>
              <w:spacing w:beforeAutospacing="1" w:afterAutospacing="1"/>
              <w:jc w:val="right"/>
            </w:pPr>
            <w:r>
              <w:rPr>
                <w:color w:val="000000"/>
              </w:rPr>
              <w:t>0</w:t>
            </w:r>
          </w:p>
        </w:tc>
        <w:tc>
          <w:tcPr>
            <w:tcW w:w="0" w:type="auto"/>
            <w:vAlign w:val="bottom"/>
          </w:tcPr>
          <w:p w14:paraId="6F09FA10" w14:textId="77777777" w:rsidR="00217A61" w:rsidRDefault="001C2695">
            <w:pPr>
              <w:spacing w:beforeAutospacing="1" w:afterAutospacing="1"/>
              <w:jc w:val="right"/>
            </w:pPr>
            <w:r>
              <w:rPr>
                <w:color w:val="000000"/>
              </w:rPr>
              <w:t>0</w:t>
            </w:r>
          </w:p>
        </w:tc>
        <w:tc>
          <w:tcPr>
            <w:tcW w:w="0" w:type="auto"/>
            <w:vAlign w:val="bottom"/>
          </w:tcPr>
          <w:p w14:paraId="6CCB3338" w14:textId="77777777" w:rsidR="00217A61" w:rsidRDefault="001C2695">
            <w:pPr>
              <w:spacing w:beforeAutospacing="1" w:afterAutospacing="1"/>
              <w:jc w:val="right"/>
            </w:pPr>
            <w:r>
              <w:rPr>
                <w:color w:val="000000"/>
              </w:rPr>
              <w:t>0</w:t>
            </w:r>
          </w:p>
        </w:tc>
        <w:tc>
          <w:tcPr>
            <w:tcW w:w="0" w:type="auto"/>
            <w:vAlign w:val="bottom"/>
          </w:tcPr>
          <w:p w14:paraId="4A78CB7A" w14:textId="77777777" w:rsidR="00217A61" w:rsidRDefault="001C2695">
            <w:pPr>
              <w:spacing w:beforeAutospacing="1" w:afterAutospacing="1"/>
              <w:jc w:val="right"/>
            </w:pPr>
            <w:r>
              <w:rPr>
                <w:color w:val="000000"/>
              </w:rPr>
              <w:t>0</w:t>
            </w:r>
          </w:p>
        </w:tc>
        <w:tc>
          <w:tcPr>
            <w:tcW w:w="0" w:type="auto"/>
            <w:vAlign w:val="bottom"/>
          </w:tcPr>
          <w:p w14:paraId="1722E2F6" w14:textId="77777777" w:rsidR="00217A61" w:rsidRDefault="001C2695">
            <w:pPr>
              <w:spacing w:beforeAutospacing="1" w:afterAutospacing="1"/>
              <w:jc w:val="right"/>
            </w:pPr>
            <w:r>
              <w:rPr>
                <w:color w:val="000000"/>
              </w:rPr>
              <w:t>0</w:t>
            </w:r>
          </w:p>
        </w:tc>
      </w:tr>
      <w:tr w:rsidR="00217A61" w14:paraId="6FEB825B" w14:textId="77777777">
        <w:trPr>
          <w:cantSplit/>
        </w:trPr>
        <w:tc>
          <w:tcPr>
            <w:tcW w:w="0" w:type="auto"/>
          </w:tcPr>
          <w:p w14:paraId="61A38870" w14:textId="77777777" w:rsidR="00217A61" w:rsidRDefault="001C2695">
            <w:pPr>
              <w:spacing w:beforeAutospacing="1" w:afterAutospacing="1"/>
            </w:pPr>
            <w:r>
              <w:rPr>
                <w:color w:val="000000"/>
              </w:rPr>
              <w:t>Bachelor's degree</w:t>
            </w:r>
          </w:p>
        </w:tc>
        <w:tc>
          <w:tcPr>
            <w:tcW w:w="0" w:type="auto"/>
            <w:vAlign w:val="bottom"/>
          </w:tcPr>
          <w:p w14:paraId="59B62E44" w14:textId="77777777" w:rsidR="00217A61" w:rsidRDefault="001C2695">
            <w:pPr>
              <w:spacing w:beforeAutospacing="1" w:afterAutospacing="1"/>
              <w:jc w:val="right"/>
            </w:pPr>
            <w:r>
              <w:rPr>
                <w:color w:val="000000"/>
              </w:rPr>
              <w:t>0</w:t>
            </w:r>
          </w:p>
        </w:tc>
        <w:tc>
          <w:tcPr>
            <w:tcW w:w="0" w:type="auto"/>
            <w:vAlign w:val="bottom"/>
          </w:tcPr>
          <w:p w14:paraId="3D19D107" w14:textId="77777777" w:rsidR="00217A61" w:rsidRDefault="001C2695">
            <w:pPr>
              <w:spacing w:beforeAutospacing="1" w:afterAutospacing="1"/>
              <w:jc w:val="right"/>
            </w:pPr>
            <w:r>
              <w:rPr>
                <w:color w:val="000000"/>
              </w:rPr>
              <w:t>0</w:t>
            </w:r>
          </w:p>
        </w:tc>
        <w:tc>
          <w:tcPr>
            <w:tcW w:w="0" w:type="auto"/>
            <w:vAlign w:val="bottom"/>
          </w:tcPr>
          <w:p w14:paraId="2274C9B8" w14:textId="77777777" w:rsidR="00217A61" w:rsidRDefault="001C2695">
            <w:pPr>
              <w:spacing w:beforeAutospacing="1" w:afterAutospacing="1"/>
              <w:jc w:val="right"/>
            </w:pPr>
            <w:r>
              <w:rPr>
                <w:color w:val="000000"/>
              </w:rPr>
              <w:t>0</w:t>
            </w:r>
          </w:p>
        </w:tc>
        <w:tc>
          <w:tcPr>
            <w:tcW w:w="0" w:type="auto"/>
            <w:vAlign w:val="bottom"/>
          </w:tcPr>
          <w:p w14:paraId="756B58F4" w14:textId="77777777" w:rsidR="00217A61" w:rsidRDefault="001C2695">
            <w:pPr>
              <w:spacing w:beforeAutospacing="1" w:afterAutospacing="1"/>
              <w:jc w:val="right"/>
            </w:pPr>
            <w:r>
              <w:rPr>
                <w:color w:val="000000"/>
              </w:rPr>
              <w:t>0</w:t>
            </w:r>
          </w:p>
        </w:tc>
        <w:tc>
          <w:tcPr>
            <w:tcW w:w="0" w:type="auto"/>
            <w:vAlign w:val="bottom"/>
          </w:tcPr>
          <w:p w14:paraId="324082ED" w14:textId="77777777" w:rsidR="00217A61" w:rsidRDefault="001C2695">
            <w:pPr>
              <w:spacing w:beforeAutospacing="1" w:afterAutospacing="1"/>
              <w:jc w:val="right"/>
            </w:pPr>
            <w:r>
              <w:rPr>
                <w:color w:val="000000"/>
              </w:rPr>
              <w:t>0</w:t>
            </w:r>
          </w:p>
        </w:tc>
      </w:tr>
      <w:tr w:rsidR="00217A61" w14:paraId="4350B00D" w14:textId="77777777">
        <w:trPr>
          <w:cantSplit/>
        </w:trPr>
        <w:tc>
          <w:tcPr>
            <w:tcW w:w="0" w:type="auto"/>
          </w:tcPr>
          <w:p w14:paraId="38F4C91B" w14:textId="77777777" w:rsidR="00217A61" w:rsidRDefault="001C2695">
            <w:pPr>
              <w:spacing w:beforeAutospacing="1" w:afterAutospacing="1"/>
            </w:pPr>
            <w:r>
              <w:rPr>
                <w:color w:val="000000"/>
              </w:rPr>
              <w:t>Graduate or professional degree</w:t>
            </w:r>
          </w:p>
        </w:tc>
        <w:tc>
          <w:tcPr>
            <w:tcW w:w="0" w:type="auto"/>
            <w:vAlign w:val="bottom"/>
          </w:tcPr>
          <w:p w14:paraId="21D3E7F4" w14:textId="77777777" w:rsidR="00217A61" w:rsidRDefault="001C2695">
            <w:pPr>
              <w:spacing w:beforeAutospacing="1" w:afterAutospacing="1"/>
              <w:jc w:val="right"/>
            </w:pPr>
            <w:r>
              <w:rPr>
                <w:color w:val="000000"/>
              </w:rPr>
              <w:t>0</w:t>
            </w:r>
          </w:p>
        </w:tc>
        <w:tc>
          <w:tcPr>
            <w:tcW w:w="0" w:type="auto"/>
            <w:vAlign w:val="bottom"/>
          </w:tcPr>
          <w:p w14:paraId="597638A2" w14:textId="77777777" w:rsidR="00217A61" w:rsidRDefault="001C2695">
            <w:pPr>
              <w:spacing w:beforeAutospacing="1" w:afterAutospacing="1"/>
              <w:jc w:val="right"/>
            </w:pPr>
            <w:r>
              <w:rPr>
                <w:color w:val="000000"/>
              </w:rPr>
              <w:t>0</w:t>
            </w:r>
          </w:p>
        </w:tc>
        <w:tc>
          <w:tcPr>
            <w:tcW w:w="0" w:type="auto"/>
            <w:vAlign w:val="bottom"/>
          </w:tcPr>
          <w:p w14:paraId="27677326" w14:textId="77777777" w:rsidR="00217A61" w:rsidRDefault="001C2695">
            <w:pPr>
              <w:spacing w:beforeAutospacing="1" w:afterAutospacing="1"/>
              <w:jc w:val="right"/>
            </w:pPr>
            <w:r>
              <w:rPr>
                <w:color w:val="000000"/>
              </w:rPr>
              <w:t>0</w:t>
            </w:r>
          </w:p>
        </w:tc>
        <w:tc>
          <w:tcPr>
            <w:tcW w:w="0" w:type="auto"/>
            <w:vAlign w:val="bottom"/>
          </w:tcPr>
          <w:p w14:paraId="46B9398B" w14:textId="77777777" w:rsidR="00217A61" w:rsidRDefault="001C2695">
            <w:pPr>
              <w:spacing w:beforeAutospacing="1" w:afterAutospacing="1"/>
              <w:jc w:val="right"/>
            </w:pPr>
            <w:r>
              <w:rPr>
                <w:color w:val="000000"/>
              </w:rPr>
              <w:t>0</w:t>
            </w:r>
          </w:p>
        </w:tc>
        <w:tc>
          <w:tcPr>
            <w:tcW w:w="0" w:type="auto"/>
            <w:vAlign w:val="bottom"/>
          </w:tcPr>
          <w:p w14:paraId="4AE160F0" w14:textId="77777777" w:rsidR="00217A61" w:rsidRDefault="001C2695">
            <w:pPr>
              <w:spacing w:beforeAutospacing="1" w:afterAutospacing="1"/>
              <w:jc w:val="right"/>
            </w:pPr>
            <w:r>
              <w:rPr>
                <w:color w:val="000000"/>
              </w:rPr>
              <w:t>0</w:t>
            </w:r>
          </w:p>
        </w:tc>
      </w:tr>
    </w:tbl>
    <w:p w14:paraId="097ECCE6"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 Educational Attainment by Age</w:t>
      </w:r>
    </w:p>
    <w:p w14:paraId="608755CA" w14:textId="77777777" w:rsidR="00217A61" w:rsidRDefault="00217A61">
      <w:pPr>
        <w:keepNext/>
        <w:widowControl w:val="0"/>
        <w:spacing w:after="0" w:line="240" w:lineRule="auto"/>
        <w:jc w:val="center"/>
        <w:rPr>
          <w:b/>
          <w:bCs/>
          <w:vanish/>
          <w:sz w:val="20"/>
          <w:szCs w:val="20"/>
        </w:rPr>
      </w:pPr>
    </w:p>
    <w:p w14:paraId="42F3161A" w14:textId="77777777" w:rsidR="00217A61" w:rsidRDefault="00217A61">
      <w:pPr>
        <w:rPr>
          <w:b/>
          <w:bCs/>
          <w:vanish/>
          <w:sz w:val="16"/>
          <w:szCs w:val="16"/>
        </w:rPr>
      </w:pPr>
    </w:p>
    <w:tbl>
      <w:tblPr>
        <w:tblW w:w="5000" w:type="pct"/>
        <w:tblInd w:w="115" w:type="dxa"/>
        <w:tblLook w:val="01E0" w:firstRow="1" w:lastRow="1" w:firstColumn="1" w:lastColumn="1" w:noHBand="0" w:noVBand="0"/>
      </w:tblPr>
      <w:tblGrid>
        <w:gridCol w:w="1947"/>
        <w:gridCol w:w="7413"/>
      </w:tblGrid>
      <w:tr w:rsidR="00217A61" w14:paraId="1B1F3FED" w14:textId="77777777">
        <w:trPr>
          <w:cantSplit/>
        </w:trPr>
        <w:tc>
          <w:tcPr>
            <w:tcW w:w="1973" w:type="dxa"/>
          </w:tcPr>
          <w:p w14:paraId="02A3B69F" w14:textId="77777777" w:rsidR="00217A61" w:rsidRDefault="001C2695">
            <w:pPr>
              <w:spacing w:after="0" w:line="240" w:lineRule="auto"/>
              <w:rPr>
                <w:rFonts w:cs="Arial"/>
                <w:sz w:val="16"/>
                <w:szCs w:val="16"/>
              </w:rPr>
            </w:pPr>
            <w:r>
              <w:rPr>
                <w:b/>
                <w:bCs/>
                <w:sz w:val="16"/>
                <w:szCs w:val="16"/>
              </w:rPr>
              <w:t>Data Source Comments:</w:t>
            </w:r>
          </w:p>
        </w:tc>
        <w:tc>
          <w:tcPr>
            <w:tcW w:w="7603" w:type="dxa"/>
          </w:tcPr>
          <w:p w14:paraId="5DA196B3" w14:textId="77777777" w:rsidR="00217A61" w:rsidRDefault="00217A61">
            <w:pPr>
              <w:spacing w:after="0" w:line="240" w:lineRule="auto"/>
              <w:rPr>
                <w:rFonts w:cs="Arial"/>
                <w:sz w:val="16"/>
                <w:szCs w:val="16"/>
              </w:rPr>
            </w:pPr>
          </w:p>
        </w:tc>
      </w:tr>
    </w:tbl>
    <w:p w14:paraId="18E42AFC" w14:textId="77777777" w:rsidR="00217A61" w:rsidRDefault="00217A61">
      <w:pPr>
        <w:rPr>
          <w:bCs/>
        </w:rPr>
      </w:pPr>
    </w:p>
    <w:p w14:paraId="0451CEC1" w14:textId="77777777" w:rsidR="00217A61" w:rsidRDefault="001C2695">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902"/>
      </w:tblGrid>
      <w:tr w:rsidR="00217A61" w14:paraId="48B76385" w14:textId="77777777">
        <w:trPr>
          <w:cantSplit/>
          <w:tblHeader/>
        </w:trPr>
        <w:tc>
          <w:tcPr>
            <w:tcW w:w="4500" w:type="dxa"/>
          </w:tcPr>
          <w:p w14:paraId="51758759" w14:textId="77777777" w:rsidR="00217A61" w:rsidRDefault="001C2695">
            <w:pPr>
              <w:keepNext/>
              <w:widowControl w:val="0"/>
              <w:spacing w:after="0" w:line="240" w:lineRule="auto"/>
              <w:jc w:val="center"/>
              <w:rPr>
                <w:b/>
              </w:rPr>
            </w:pPr>
            <w:r>
              <w:rPr>
                <w:b/>
              </w:rPr>
              <w:t>Educational Attainment</w:t>
            </w:r>
          </w:p>
        </w:tc>
        <w:tc>
          <w:tcPr>
            <w:tcW w:w="4968" w:type="dxa"/>
          </w:tcPr>
          <w:p w14:paraId="24D634E1" w14:textId="77777777" w:rsidR="00217A61" w:rsidRDefault="001C2695">
            <w:pPr>
              <w:keepNext/>
              <w:widowControl w:val="0"/>
              <w:spacing w:after="0" w:line="240" w:lineRule="auto"/>
              <w:jc w:val="center"/>
              <w:rPr>
                <w:b/>
              </w:rPr>
            </w:pPr>
            <w:r>
              <w:rPr>
                <w:b/>
              </w:rPr>
              <w:t>Median Earnings in the Past 12 Months</w:t>
            </w:r>
          </w:p>
        </w:tc>
      </w:tr>
      <w:tr w:rsidR="00217A61" w14:paraId="53C2A6A0" w14:textId="77777777">
        <w:trPr>
          <w:cantSplit/>
        </w:trPr>
        <w:tc>
          <w:tcPr>
            <w:tcW w:w="0" w:type="auto"/>
          </w:tcPr>
          <w:p w14:paraId="3E71BF9B" w14:textId="77777777" w:rsidR="00217A61" w:rsidRDefault="001C2695">
            <w:pPr>
              <w:spacing w:beforeAutospacing="1" w:afterAutospacing="1"/>
            </w:pPr>
            <w:r>
              <w:rPr>
                <w:color w:val="000000"/>
              </w:rPr>
              <w:t>Less than high school graduate</w:t>
            </w:r>
          </w:p>
        </w:tc>
        <w:tc>
          <w:tcPr>
            <w:tcW w:w="0" w:type="auto"/>
            <w:vAlign w:val="bottom"/>
          </w:tcPr>
          <w:p w14:paraId="2CD0726E" w14:textId="77777777" w:rsidR="00217A61" w:rsidRDefault="001C2695">
            <w:pPr>
              <w:spacing w:beforeAutospacing="1" w:afterAutospacing="1"/>
              <w:jc w:val="right"/>
            </w:pPr>
            <w:r>
              <w:rPr>
                <w:color w:val="000000"/>
              </w:rPr>
              <w:t>0</w:t>
            </w:r>
          </w:p>
        </w:tc>
      </w:tr>
      <w:tr w:rsidR="00217A61" w14:paraId="7CA0DE8C" w14:textId="77777777">
        <w:trPr>
          <w:cantSplit/>
        </w:trPr>
        <w:tc>
          <w:tcPr>
            <w:tcW w:w="0" w:type="auto"/>
          </w:tcPr>
          <w:p w14:paraId="6D7F1898" w14:textId="77777777" w:rsidR="00217A61" w:rsidRDefault="001C2695">
            <w:pPr>
              <w:spacing w:beforeAutospacing="1" w:afterAutospacing="1"/>
            </w:pPr>
            <w:r>
              <w:rPr>
                <w:color w:val="000000"/>
              </w:rPr>
              <w:t>High school graduate (includes equivalency)</w:t>
            </w:r>
          </w:p>
        </w:tc>
        <w:tc>
          <w:tcPr>
            <w:tcW w:w="0" w:type="auto"/>
            <w:vAlign w:val="bottom"/>
          </w:tcPr>
          <w:p w14:paraId="3FDF8292" w14:textId="77777777" w:rsidR="00217A61" w:rsidRDefault="001C2695">
            <w:pPr>
              <w:spacing w:beforeAutospacing="1" w:afterAutospacing="1"/>
              <w:jc w:val="right"/>
            </w:pPr>
            <w:r>
              <w:rPr>
                <w:color w:val="000000"/>
              </w:rPr>
              <w:t>0</w:t>
            </w:r>
          </w:p>
        </w:tc>
      </w:tr>
      <w:tr w:rsidR="00217A61" w14:paraId="0F3F6F93" w14:textId="77777777">
        <w:trPr>
          <w:cantSplit/>
        </w:trPr>
        <w:tc>
          <w:tcPr>
            <w:tcW w:w="0" w:type="auto"/>
          </w:tcPr>
          <w:p w14:paraId="428693F3" w14:textId="77777777" w:rsidR="00217A61" w:rsidRDefault="001C2695">
            <w:pPr>
              <w:spacing w:beforeAutospacing="1" w:afterAutospacing="1"/>
            </w:pPr>
            <w:r>
              <w:rPr>
                <w:color w:val="000000"/>
              </w:rPr>
              <w:t xml:space="preserve">Some college or </w:t>
            </w:r>
            <w:proofErr w:type="gramStart"/>
            <w:r>
              <w:rPr>
                <w:color w:val="000000"/>
              </w:rPr>
              <w:t>Associate's</w:t>
            </w:r>
            <w:proofErr w:type="gramEnd"/>
            <w:r>
              <w:rPr>
                <w:color w:val="000000"/>
              </w:rPr>
              <w:t xml:space="preserve"> degree</w:t>
            </w:r>
          </w:p>
        </w:tc>
        <w:tc>
          <w:tcPr>
            <w:tcW w:w="0" w:type="auto"/>
            <w:vAlign w:val="bottom"/>
          </w:tcPr>
          <w:p w14:paraId="3FE6AB1E" w14:textId="77777777" w:rsidR="00217A61" w:rsidRDefault="001C2695">
            <w:pPr>
              <w:spacing w:beforeAutospacing="1" w:afterAutospacing="1"/>
              <w:jc w:val="right"/>
            </w:pPr>
            <w:r>
              <w:rPr>
                <w:color w:val="000000"/>
              </w:rPr>
              <w:t>0</w:t>
            </w:r>
          </w:p>
        </w:tc>
      </w:tr>
      <w:tr w:rsidR="00217A61" w14:paraId="5D3F1430" w14:textId="77777777">
        <w:trPr>
          <w:cantSplit/>
        </w:trPr>
        <w:tc>
          <w:tcPr>
            <w:tcW w:w="0" w:type="auto"/>
          </w:tcPr>
          <w:p w14:paraId="0FA80D6F" w14:textId="77777777" w:rsidR="00217A61" w:rsidRDefault="001C2695">
            <w:pPr>
              <w:spacing w:beforeAutospacing="1" w:afterAutospacing="1"/>
            </w:pPr>
            <w:r>
              <w:rPr>
                <w:color w:val="000000"/>
              </w:rPr>
              <w:t>Bachelor's degree</w:t>
            </w:r>
          </w:p>
        </w:tc>
        <w:tc>
          <w:tcPr>
            <w:tcW w:w="0" w:type="auto"/>
            <w:vAlign w:val="bottom"/>
          </w:tcPr>
          <w:p w14:paraId="3D180330" w14:textId="77777777" w:rsidR="00217A61" w:rsidRDefault="001C2695">
            <w:pPr>
              <w:spacing w:beforeAutospacing="1" w:afterAutospacing="1"/>
              <w:jc w:val="right"/>
            </w:pPr>
            <w:r>
              <w:rPr>
                <w:color w:val="000000"/>
              </w:rPr>
              <w:t>0</w:t>
            </w:r>
          </w:p>
        </w:tc>
      </w:tr>
      <w:tr w:rsidR="00217A61" w14:paraId="23AA78DE" w14:textId="77777777">
        <w:trPr>
          <w:cantSplit/>
        </w:trPr>
        <w:tc>
          <w:tcPr>
            <w:tcW w:w="0" w:type="auto"/>
          </w:tcPr>
          <w:p w14:paraId="57F667C7" w14:textId="77777777" w:rsidR="00217A61" w:rsidRDefault="001C2695">
            <w:pPr>
              <w:spacing w:beforeAutospacing="1" w:afterAutospacing="1"/>
            </w:pPr>
            <w:r>
              <w:rPr>
                <w:color w:val="000000"/>
              </w:rPr>
              <w:t>Graduate or professional degree</w:t>
            </w:r>
          </w:p>
        </w:tc>
        <w:tc>
          <w:tcPr>
            <w:tcW w:w="0" w:type="auto"/>
            <w:vAlign w:val="bottom"/>
          </w:tcPr>
          <w:p w14:paraId="22F81E2D" w14:textId="77777777" w:rsidR="00217A61" w:rsidRDefault="001C2695">
            <w:pPr>
              <w:spacing w:beforeAutospacing="1" w:afterAutospacing="1"/>
              <w:jc w:val="right"/>
            </w:pPr>
            <w:r>
              <w:rPr>
                <w:color w:val="000000"/>
              </w:rPr>
              <w:t>0</w:t>
            </w:r>
          </w:p>
        </w:tc>
      </w:tr>
    </w:tbl>
    <w:p w14:paraId="5DEBB24A"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 Median Earnings in the Past 12 Months</w:t>
      </w:r>
    </w:p>
    <w:p w14:paraId="3623B253" w14:textId="77777777" w:rsidR="00217A61" w:rsidRDefault="00217A61">
      <w:pPr>
        <w:keepNext/>
        <w:widowControl w:val="0"/>
        <w:spacing w:after="0" w:line="240" w:lineRule="auto"/>
        <w:jc w:val="center"/>
        <w:rPr>
          <w:b/>
          <w:bCs/>
          <w:vanish/>
          <w:sz w:val="20"/>
          <w:szCs w:val="20"/>
        </w:rPr>
      </w:pPr>
    </w:p>
    <w:p w14:paraId="127CF425" w14:textId="77777777" w:rsidR="00217A61" w:rsidRDefault="00217A61">
      <w:pPr>
        <w:rPr>
          <w:b/>
          <w:bCs/>
          <w:vanish/>
          <w:sz w:val="16"/>
          <w:szCs w:val="16"/>
        </w:rPr>
      </w:pPr>
    </w:p>
    <w:tbl>
      <w:tblPr>
        <w:tblW w:w="5000" w:type="pct"/>
        <w:tblInd w:w="115" w:type="dxa"/>
        <w:tblLook w:val="01E0" w:firstRow="1" w:lastRow="1" w:firstColumn="1" w:lastColumn="1" w:noHBand="0" w:noVBand="0"/>
      </w:tblPr>
      <w:tblGrid>
        <w:gridCol w:w="1947"/>
        <w:gridCol w:w="7413"/>
      </w:tblGrid>
      <w:tr w:rsidR="00217A61" w14:paraId="5A2F0FF7" w14:textId="77777777">
        <w:trPr>
          <w:cantSplit/>
        </w:trPr>
        <w:tc>
          <w:tcPr>
            <w:tcW w:w="1973" w:type="dxa"/>
          </w:tcPr>
          <w:p w14:paraId="5EAEE8AF" w14:textId="77777777" w:rsidR="00217A61" w:rsidRDefault="001C2695">
            <w:pPr>
              <w:spacing w:after="0" w:line="240" w:lineRule="auto"/>
              <w:rPr>
                <w:rFonts w:cs="Arial"/>
                <w:sz w:val="16"/>
                <w:szCs w:val="16"/>
              </w:rPr>
            </w:pPr>
            <w:r>
              <w:rPr>
                <w:b/>
                <w:bCs/>
                <w:sz w:val="16"/>
                <w:szCs w:val="16"/>
              </w:rPr>
              <w:t>Data Source Comments:</w:t>
            </w:r>
          </w:p>
        </w:tc>
        <w:tc>
          <w:tcPr>
            <w:tcW w:w="7603" w:type="dxa"/>
          </w:tcPr>
          <w:p w14:paraId="77217915" w14:textId="77777777" w:rsidR="00217A61" w:rsidRDefault="00217A61">
            <w:pPr>
              <w:spacing w:after="0" w:line="240" w:lineRule="auto"/>
              <w:rPr>
                <w:rFonts w:cs="Arial"/>
                <w:sz w:val="16"/>
                <w:szCs w:val="16"/>
              </w:rPr>
            </w:pPr>
          </w:p>
        </w:tc>
      </w:tr>
    </w:tbl>
    <w:p w14:paraId="5A8461F4" w14:textId="77777777" w:rsidR="00217A61" w:rsidRDefault="00217A61">
      <w:pPr>
        <w:spacing w:after="0" w:line="240" w:lineRule="auto"/>
        <w:rPr>
          <w:b/>
          <w:bCs/>
          <w:sz w:val="16"/>
          <w:szCs w:val="16"/>
        </w:rPr>
      </w:pPr>
    </w:p>
    <w:p w14:paraId="23AEA4B6" w14:textId="77777777" w:rsidR="00217A61" w:rsidRDefault="00217A61">
      <w:pPr>
        <w:rPr>
          <w:bCs/>
        </w:rPr>
      </w:pPr>
    </w:p>
    <w:p w14:paraId="7DF19023" w14:textId="77777777" w:rsidR="00217A61" w:rsidRDefault="001C2695">
      <w:pPr>
        <w:rPr>
          <w:b/>
          <w:sz w:val="24"/>
          <w:szCs w:val="24"/>
        </w:rPr>
      </w:pPr>
      <w:r>
        <w:rPr>
          <w:b/>
          <w:sz w:val="24"/>
          <w:szCs w:val="24"/>
        </w:rPr>
        <w:t>Based on the Business Activity table above, what are the major employment sectors within the state?</w:t>
      </w:r>
    </w:p>
    <w:p w14:paraId="37338D7F" w14:textId="77777777" w:rsidR="00217A61" w:rsidRDefault="00217A61">
      <w:pPr>
        <w:rPr>
          <w:rFonts w:cs="Arial"/>
        </w:rPr>
      </w:pPr>
    </w:p>
    <w:p w14:paraId="4FC80180" w14:textId="77777777" w:rsidR="00217A61" w:rsidRDefault="001C2695">
      <w:pPr>
        <w:rPr>
          <w:b/>
          <w:sz w:val="24"/>
          <w:szCs w:val="24"/>
        </w:rPr>
      </w:pPr>
      <w:r>
        <w:rPr>
          <w:b/>
          <w:sz w:val="24"/>
          <w:szCs w:val="24"/>
        </w:rPr>
        <w:t>Describe the workforce and infrastructure needs of business in the state.</w:t>
      </w:r>
    </w:p>
    <w:p w14:paraId="46EE6676" w14:textId="77777777" w:rsidR="00217A61" w:rsidRDefault="00217A61">
      <w:pPr>
        <w:rPr>
          <w:rFonts w:cs="Arial"/>
        </w:rPr>
      </w:pPr>
    </w:p>
    <w:p w14:paraId="42DDAA56" w14:textId="77777777" w:rsidR="00217A61" w:rsidRDefault="001C2695">
      <w:pPr>
        <w:rPr>
          <w:b/>
          <w:sz w:val="24"/>
          <w:szCs w:val="24"/>
        </w:rPr>
      </w:pPr>
      <w:r>
        <w:rPr>
          <w:b/>
          <w:sz w:val="24"/>
          <w:szCs w:val="24"/>
        </w:rPr>
        <w:t>Describe any major changes that may have an economic impact, such as planned public or private sector investments or initiatives that have affected or may affect job and business growth opportunities during the planning period. Describe any needs for workf</w:t>
      </w:r>
      <w:r>
        <w:rPr>
          <w:b/>
          <w:sz w:val="24"/>
          <w:szCs w:val="24"/>
        </w:rPr>
        <w:t>orce development, business support or infrastructure these changes may create.</w:t>
      </w:r>
    </w:p>
    <w:p w14:paraId="4CDC8D8B" w14:textId="77777777" w:rsidR="00217A61" w:rsidRDefault="00217A61">
      <w:pPr>
        <w:rPr>
          <w:rFonts w:cs="Arial"/>
        </w:rPr>
      </w:pPr>
    </w:p>
    <w:p w14:paraId="442EE157" w14:textId="77777777" w:rsidR="00217A61" w:rsidRDefault="001C2695">
      <w:pPr>
        <w:rPr>
          <w:b/>
          <w:sz w:val="24"/>
          <w:szCs w:val="24"/>
        </w:rPr>
      </w:pPr>
      <w:r>
        <w:rPr>
          <w:b/>
          <w:sz w:val="24"/>
          <w:szCs w:val="24"/>
        </w:rPr>
        <w:t>How do the skills and education of the current workforce correspond to employment opportunities in the state?</w:t>
      </w:r>
    </w:p>
    <w:p w14:paraId="5587AA42" w14:textId="77777777" w:rsidR="00217A61" w:rsidRDefault="00217A61">
      <w:pPr>
        <w:rPr>
          <w:rFonts w:cs="Arial"/>
        </w:rPr>
      </w:pPr>
    </w:p>
    <w:p w14:paraId="509B9625" w14:textId="77777777" w:rsidR="00217A61" w:rsidRDefault="001C2695">
      <w:pPr>
        <w:rPr>
          <w:b/>
          <w:sz w:val="24"/>
          <w:szCs w:val="24"/>
        </w:rPr>
      </w:pPr>
      <w:r>
        <w:rPr>
          <w:b/>
          <w:sz w:val="24"/>
          <w:szCs w:val="24"/>
        </w:rPr>
        <w:t xml:space="preserve">Describe current workforce training initiatives supported by the </w:t>
      </w:r>
      <w:r>
        <w:rPr>
          <w:b/>
          <w:sz w:val="24"/>
          <w:szCs w:val="24"/>
        </w:rPr>
        <w:t>state. Describe how these efforts will support the state's Consolidated Plan.</w:t>
      </w:r>
    </w:p>
    <w:p w14:paraId="7BDBE00E" w14:textId="77777777" w:rsidR="00217A61" w:rsidRDefault="00217A61">
      <w:pPr>
        <w:rPr>
          <w:rFonts w:cs="Arial"/>
        </w:rPr>
      </w:pPr>
    </w:p>
    <w:p w14:paraId="3D2F7864" w14:textId="77777777" w:rsidR="00217A61" w:rsidRDefault="001C2695">
      <w:pPr>
        <w:rPr>
          <w:b/>
          <w:sz w:val="24"/>
          <w:szCs w:val="24"/>
        </w:rPr>
      </w:pPr>
      <w:r>
        <w:rPr>
          <w:b/>
          <w:sz w:val="24"/>
          <w:szCs w:val="24"/>
        </w:rPr>
        <w:t>Describe any other state efforts to support economic growth.</w:t>
      </w:r>
    </w:p>
    <w:p w14:paraId="612A5F2E" w14:textId="77777777" w:rsidR="00217A61" w:rsidRDefault="00217A61">
      <w:pPr>
        <w:rPr>
          <w:rFonts w:cs="Arial"/>
        </w:rPr>
      </w:pPr>
    </w:p>
    <w:p w14:paraId="31925329" w14:textId="77777777" w:rsidR="00217A61" w:rsidRDefault="00217A61">
      <w:pPr>
        <w:rPr>
          <w:rFonts w:cs="Arial"/>
        </w:rPr>
      </w:pPr>
    </w:p>
    <w:p w14:paraId="558D1180" w14:textId="77777777" w:rsidR="00217A61" w:rsidRDefault="001C2695">
      <w:pPr>
        <w:keepNext/>
        <w:spacing w:line="204" w:lineRule="auto"/>
        <w:rPr>
          <w:b/>
          <w:sz w:val="24"/>
          <w:szCs w:val="24"/>
        </w:rPr>
      </w:pPr>
      <w:r>
        <w:rPr>
          <w:b/>
          <w:sz w:val="24"/>
          <w:szCs w:val="24"/>
        </w:rPr>
        <w:t>Discussion</w:t>
      </w:r>
    </w:p>
    <w:p w14:paraId="1FE551E4" w14:textId="77777777" w:rsidR="00217A61" w:rsidRDefault="00217A61">
      <w:pPr>
        <w:keepNext/>
        <w:spacing w:line="204" w:lineRule="auto"/>
        <w:rPr>
          <w:rFonts w:cs="Arial"/>
        </w:rPr>
      </w:pPr>
    </w:p>
    <w:p w14:paraId="3B834B01" w14:textId="77777777" w:rsidR="00217A61" w:rsidRDefault="00217A61">
      <w:pPr>
        <w:keepNext/>
        <w:spacing w:line="204" w:lineRule="auto"/>
        <w:rPr>
          <w:rFonts w:cs="Arial"/>
        </w:rPr>
      </w:pPr>
    </w:p>
    <w:p w14:paraId="36E14187" w14:textId="77777777" w:rsidR="00217A61" w:rsidRDefault="001C2695">
      <w:pPr>
        <w:pStyle w:val="Heading2"/>
        <w:pageBreakBefore/>
        <w:rPr>
          <w:rFonts w:ascii="Calibri" w:hAnsi="Calibri"/>
          <w:i w:val="0"/>
        </w:rPr>
      </w:pPr>
      <w:r>
        <w:rPr>
          <w:rFonts w:ascii="Calibri" w:hAnsi="Calibri"/>
          <w:i w:val="0"/>
        </w:rPr>
        <w:lastRenderedPageBreak/>
        <w:t xml:space="preserve">MA-50 Needs and Market Analysis Discussion </w:t>
      </w:r>
    </w:p>
    <w:p w14:paraId="7A9B9B8D" w14:textId="77777777" w:rsidR="00217A61" w:rsidRDefault="001C2695">
      <w:pPr>
        <w:rPr>
          <w:b/>
          <w:sz w:val="24"/>
          <w:szCs w:val="24"/>
        </w:rPr>
      </w:pPr>
      <w:r>
        <w:rPr>
          <w:b/>
          <w:sz w:val="24"/>
          <w:szCs w:val="24"/>
        </w:rPr>
        <w:t xml:space="preserve">Are there areas where households with multiple </w:t>
      </w:r>
      <w:r>
        <w:rPr>
          <w:b/>
          <w:sz w:val="24"/>
          <w:szCs w:val="24"/>
        </w:rPr>
        <w:t>housing problems are concentrated? (include a definition of "concentration")</w:t>
      </w:r>
    </w:p>
    <w:p w14:paraId="3EAB6350" w14:textId="77777777" w:rsidR="00217A61" w:rsidRDefault="001C2695">
      <w:pPr>
        <w:spacing w:beforeAutospacing="1" w:afterAutospacing="1"/>
        <w:rPr>
          <w:rFonts w:cs="Arial"/>
        </w:rPr>
      </w:pPr>
      <w:r>
        <w:rPr>
          <w:rFonts w:cs="Arial"/>
        </w:rPr>
        <w:t>Almost a third of housing units in North Carolina have at least one problem - incomplete kitchen facilities, incomplete plumbing facilities, overcrowding or cost-burden. Renter-oc</w:t>
      </w:r>
      <w:r>
        <w:rPr>
          <w:rFonts w:cs="Arial"/>
        </w:rPr>
        <w:t>cupied housing in particular needs rehabilitation – 40% of rental units have at least one problem and 46% were built before 1980.</w:t>
      </w:r>
    </w:p>
    <w:p w14:paraId="500DCDE7" w14:textId="77777777" w:rsidR="00217A61" w:rsidRDefault="001C2695">
      <w:pPr>
        <w:rPr>
          <w:b/>
          <w:sz w:val="24"/>
          <w:szCs w:val="24"/>
        </w:rPr>
      </w:pPr>
      <w:r>
        <w:rPr>
          <w:b/>
          <w:sz w:val="24"/>
          <w:szCs w:val="24"/>
        </w:rPr>
        <w:t xml:space="preserve">Are there any areas in the jurisdiction where racial or ethnic minorities or low-income families are concentrated? (include a </w:t>
      </w:r>
      <w:r>
        <w:rPr>
          <w:b/>
          <w:sz w:val="24"/>
          <w:szCs w:val="24"/>
        </w:rPr>
        <w:t>definition of "concentration")</w:t>
      </w:r>
    </w:p>
    <w:p w14:paraId="3CA0E897" w14:textId="77777777" w:rsidR="00217A61" w:rsidRDefault="001C2695">
      <w:pPr>
        <w:spacing w:beforeAutospacing="1" w:afterAutospacing="1"/>
        <w:rPr>
          <w:rFonts w:cs="Arial"/>
        </w:rPr>
      </w:pPr>
      <w:r>
        <w:rPr>
          <w:rFonts w:cs="Arial"/>
        </w:rPr>
        <w:t>North Carolina has 67 Racially / Ethnically Concentrated Areas of Poverty (R/ECAPS) across 23 counties. HUD defines R/ECAPS as census tracts with a non-white population of at least 50% (and 20% outside of the metropolitan/mic</w:t>
      </w:r>
      <w:r>
        <w:rPr>
          <w:rFonts w:cs="Arial"/>
        </w:rPr>
        <w:t xml:space="preserve">ropolitan areas) and a poverty rate that either exceeds 40% or is three times the average tract poverty rate for the metropolitan/micropolitan area, whichever is lower. Most of the R/ECAPs are in relatively densely populated areas - Forsyth County has the </w:t>
      </w:r>
      <w:r>
        <w:rPr>
          <w:rFonts w:cs="Arial"/>
        </w:rPr>
        <w:t xml:space="preserve">highest number with 11 qualifying census </w:t>
      </w:r>
      <w:proofErr w:type="gramStart"/>
      <w:r>
        <w:rPr>
          <w:rFonts w:cs="Arial"/>
        </w:rPr>
        <w:t>tracts</w:t>
      </w:r>
      <w:proofErr w:type="gramEnd"/>
    </w:p>
    <w:p w14:paraId="0407C240" w14:textId="77777777" w:rsidR="00217A61" w:rsidRDefault="001C2695">
      <w:pPr>
        <w:rPr>
          <w:b/>
          <w:sz w:val="24"/>
          <w:szCs w:val="24"/>
        </w:rPr>
      </w:pPr>
      <w:r>
        <w:rPr>
          <w:b/>
          <w:sz w:val="24"/>
          <w:szCs w:val="24"/>
        </w:rPr>
        <w:t>What are the characteristics of the market in these areas/neighborhoods?</w:t>
      </w:r>
    </w:p>
    <w:p w14:paraId="38B3B91D" w14:textId="77777777" w:rsidR="00217A61" w:rsidRDefault="001C2695">
      <w:pPr>
        <w:spacing w:beforeAutospacing="1" w:afterAutospacing="1"/>
        <w:rPr>
          <w:rFonts w:cs="Arial"/>
        </w:rPr>
      </w:pPr>
      <w:r>
        <w:rPr>
          <w:rFonts w:cs="Arial"/>
        </w:rPr>
        <w:t>Given that most R/ECAPS are in urban areas, there is most likely a shortage of decent and affordable housing in those tracts. The large</w:t>
      </w:r>
      <w:r>
        <w:rPr>
          <w:rFonts w:cs="Arial"/>
        </w:rPr>
        <w:t>st increases in housing costs for both owner- and renter-occupied units tended to occur in and around major metropolitan areas including Asheville, Charlotte-Concord-Gastonia, Raleigh-Durham-Cary, Wilmington, and Greenville.</w:t>
      </w:r>
    </w:p>
    <w:p w14:paraId="61D15949" w14:textId="77777777" w:rsidR="00217A61" w:rsidRDefault="001C2695">
      <w:pPr>
        <w:rPr>
          <w:b/>
          <w:sz w:val="24"/>
          <w:szCs w:val="24"/>
        </w:rPr>
      </w:pPr>
      <w:r>
        <w:rPr>
          <w:b/>
          <w:sz w:val="24"/>
          <w:szCs w:val="24"/>
        </w:rPr>
        <w:t xml:space="preserve">Are there any community assets </w:t>
      </w:r>
      <w:r>
        <w:rPr>
          <w:b/>
          <w:sz w:val="24"/>
          <w:szCs w:val="24"/>
        </w:rPr>
        <w:t>in these areas/neighborhoods?</w:t>
      </w:r>
    </w:p>
    <w:p w14:paraId="375B37DC" w14:textId="77777777" w:rsidR="00217A61" w:rsidRDefault="001C2695">
      <w:pPr>
        <w:spacing w:beforeAutospacing="1" w:afterAutospacing="1"/>
        <w:rPr>
          <w:rFonts w:cs="Arial"/>
        </w:rPr>
      </w:pPr>
      <w:r>
        <w:rPr>
          <w:rFonts w:cs="Arial"/>
        </w:rPr>
        <w:t>Urban areas have the highest concentration of job centers, social services, schools, and other amenities. </w:t>
      </w:r>
    </w:p>
    <w:p w14:paraId="417AD3CE" w14:textId="77777777" w:rsidR="00217A61" w:rsidRDefault="001C2695">
      <w:pPr>
        <w:rPr>
          <w:b/>
          <w:sz w:val="24"/>
          <w:szCs w:val="24"/>
        </w:rPr>
      </w:pPr>
      <w:r>
        <w:rPr>
          <w:b/>
          <w:sz w:val="24"/>
          <w:szCs w:val="24"/>
        </w:rPr>
        <w:t>Are there other strategic opportunities in any of these areas?</w:t>
      </w:r>
    </w:p>
    <w:p w14:paraId="201C5A5B" w14:textId="77777777" w:rsidR="00217A61" w:rsidRDefault="001C2695">
      <w:pPr>
        <w:spacing w:beforeAutospacing="1" w:afterAutospacing="1"/>
        <w:rPr>
          <w:rFonts w:cs="Arial"/>
        </w:rPr>
      </w:pPr>
      <w:r>
        <w:rPr>
          <w:rFonts w:cs="Arial"/>
        </w:rPr>
        <w:t xml:space="preserve">The concentrated areas </w:t>
      </w:r>
      <w:proofErr w:type="gramStart"/>
      <w:r>
        <w:rPr>
          <w:rFonts w:cs="Arial"/>
        </w:rPr>
        <w:t>are located in</w:t>
      </w:r>
      <w:proofErr w:type="gramEnd"/>
      <w:r>
        <w:rPr>
          <w:rFonts w:cs="Arial"/>
        </w:rPr>
        <w:t xml:space="preserve"> or around entitlem</w:t>
      </w:r>
      <w:r>
        <w:rPr>
          <w:rFonts w:cs="Arial"/>
        </w:rPr>
        <w:t>ent jurisdictions, except for one.</w:t>
      </w:r>
    </w:p>
    <w:p w14:paraId="7AC32AB3" w14:textId="77777777" w:rsidR="00217A61" w:rsidRDefault="00217A61">
      <w:pPr>
        <w:rPr>
          <w:bCs/>
        </w:rPr>
      </w:pPr>
    </w:p>
    <w:p w14:paraId="2C4A0678" w14:textId="77777777" w:rsidR="00217A61" w:rsidRDefault="00217A61">
      <w:pPr>
        <w:rPr>
          <w:bCs/>
        </w:rPr>
      </w:pPr>
    </w:p>
    <w:p w14:paraId="2EE703BC" w14:textId="77777777" w:rsidR="00217A61" w:rsidRDefault="00217A61">
      <w:pPr>
        <w:rPr>
          <w:bCs/>
        </w:rPr>
      </w:pPr>
    </w:p>
    <w:p w14:paraId="6F870A7A" w14:textId="77777777" w:rsidR="00217A61" w:rsidRDefault="00217A61">
      <w:pPr>
        <w:rPr>
          <w:bCs/>
        </w:rPr>
      </w:pPr>
    </w:p>
    <w:p w14:paraId="2AA9D997" w14:textId="77777777" w:rsidR="00217A61" w:rsidRDefault="00217A61">
      <w:pPr>
        <w:rPr>
          <w:bCs/>
        </w:rPr>
      </w:pPr>
    </w:p>
    <w:p w14:paraId="510D45A7" w14:textId="77777777" w:rsidR="00217A61" w:rsidRDefault="00217A61">
      <w:pPr>
        <w:rPr>
          <w:bCs/>
        </w:rPr>
      </w:pPr>
    </w:p>
    <w:p w14:paraId="053602AB" w14:textId="77777777" w:rsidR="00217A61" w:rsidRDefault="00217A61">
      <w:pPr>
        <w:rPr>
          <w:bCs/>
        </w:rPr>
      </w:pPr>
    </w:p>
    <w:p w14:paraId="04111C49" w14:textId="77777777" w:rsidR="00217A61" w:rsidRDefault="00217A61">
      <w:pPr>
        <w:rPr>
          <w:bCs/>
        </w:rPr>
      </w:pPr>
    </w:p>
    <w:p w14:paraId="1F76DEE9" w14:textId="77777777" w:rsidR="00217A61" w:rsidRDefault="001C2695">
      <w:pPr>
        <w:pStyle w:val="Heading2"/>
        <w:pageBreakBefore/>
        <w:rPr>
          <w:rFonts w:ascii="Calibri" w:hAnsi="Calibri"/>
          <w:i w:val="0"/>
        </w:rPr>
      </w:pPr>
      <w:r>
        <w:rPr>
          <w:rFonts w:ascii="Calibri" w:hAnsi="Calibri"/>
          <w:i w:val="0"/>
        </w:rPr>
        <w:lastRenderedPageBreak/>
        <w:t>MA-60 Broadband Needs of Housing occupied by Low- and Moderate-Income Households - 91.210(a)(4), 91.310(a)(2)</w:t>
      </w:r>
      <w:r>
        <w:rPr>
          <w:rFonts w:ascii="Calibri" w:hAnsi="Calibri"/>
          <w:i w:val="0"/>
        </w:rPr>
        <w:br/>
      </w:r>
    </w:p>
    <w:p w14:paraId="2E524193" w14:textId="77777777" w:rsidR="00217A61" w:rsidRDefault="001C2695">
      <w:pPr>
        <w:rPr>
          <w:b/>
          <w:sz w:val="24"/>
          <w:szCs w:val="24"/>
        </w:rPr>
      </w:pPr>
      <w:r>
        <w:rPr>
          <w:b/>
          <w:sz w:val="24"/>
          <w:szCs w:val="24"/>
        </w:rPr>
        <w:t>Describe the need for broadband wiring and connections for households, including low- and moderate-inc</w:t>
      </w:r>
      <w:r>
        <w:rPr>
          <w:b/>
          <w:sz w:val="24"/>
          <w:szCs w:val="24"/>
        </w:rPr>
        <w:t>ome households and neighborhoods.</w:t>
      </w:r>
    </w:p>
    <w:p w14:paraId="24AA6F55" w14:textId="77777777" w:rsidR="00217A61" w:rsidRDefault="001C2695">
      <w:pPr>
        <w:spacing w:beforeAutospacing="1" w:afterAutospacing="1"/>
        <w:rPr>
          <w:rFonts w:cs="Arial"/>
        </w:rPr>
      </w:pPr>
      <w:r>
        <w:rPr>
          <w:rFonts w:cs="Arial"/>
        </w:rPr>
        <w:t>Broadband access is certainly more of a problem outside of North Carolina’s major urban areas, but income still plays a central role in shaping digital divides in more rural communities. The North Carolina Justice Center r</w:t>
      </w:r>
      <w:r>
        <w:rPr>
          <w:rFonts w:cs="Arial"/>
        </w:rPr>
        <w:t>eports that in more rural counties with fewer than 100,000 residents, only 13 percent of households with incomes above $75,000 lack broadband access, compared to 60 percent of households in these counties that earn less than $20,000. Broadband is certainly</w:t>
      </w:r>
      <w:r>
        <w:rPr>
          <w:rFonts w:cs="Arial"/>
        </w:rPr>
        <w:t xml:space="preserve"> more accessible in the few North Carolina counties with more than 1 million residents, where </w:t>
      </w:r>
      <w:proofErr w:type="gramStart"/>
      <w:r>
        <w:rPr>
          <w:rFonts w:cs="Arial"/>
        </w:rPr>
        <w:t>the majority of</w:t>
      </w:r>
      <w:proofErr w:type="gramEnd"/>
      <w:r>
        <w:rPr>
          <w:rFonts w:cs="Arial"/>
        </w:rPr>
        <w:t xml:space="preserve"> households under $20,000 and virtually every household over $75,000 has broadband access. </w:t>
      </w:r>
    </w:p>
    <w:p w14:paraId="397DDBEF" w14:textId="77777777" w:rsidR="00217A61" w:rsidRDefault="001C2695">
      <w:pPr>
        <w:spacing w:beforeAutospacing="1" w:afterAutospacing="1"/>
        <w:rPr>
          <w:rFonts w:cs="Arial"/>
        </w:rPr>
      </w:pPr>
      <w:r>
        <w:rPr>
          <w:rFonts w:cs="Arial"/>
        </w:rPr>
        <w:t>This issue, among others, is addressed in the North Car</w:t>
      </w:r>
      <w:r>
        <w:rPr>
          <w:rFonts w:cs="Arial"/>
        </w:rPr>
        <w:t>olina state broadband plan, entitled "Connecting North Carolina," which incorporates a variety of perspectives on North Carolina's broadband challenges and includes recommendations for how the state can encourage broadband deployment and adoption, and leve</w:t>
      </w:r>
      <w:r>
        <w:rPr>
          <w:rFonts w:cs="Arial"/>
        </w:rPr>
        <w:t xml:space="preserve">rage broadband in other policy areas. The plan’s overarching goal is for every North Carolinian to have affordable access to broadband service—wireline or wireless—if they so choose, by June 2021. The following objectives support these goals: </w:t>
      </w:r>
    </w:p>
    <w:p w14:paraId="2C6B2150" w14:textId="77777777" w:rsidR="00217A61" w:rsidRDefault="001C2695">
      <w:pPr>
        <w:numPr>
          <w:ilvl w:val="0"/>
          <w:numId w:val="3"/>
        </w:numPr>
        <w:spacing w:beforeAutospacing="1" w:afterAutospacing="1"/>
        <w:rPr>
          <w:rFonts w:cs="Arial"/>
        </w:rPr>
      </w:pPr>
      <w:r>
        <w:rPr>
          <w:rFonts w:cs="Arial"/>
        </w:rPr>
        <w:t>Increase the</w:t>
      </w:r>
      <w:r>
        <w:rPr>
          <w:rFonts w:cs="Arial"/>
        </w:rPr>
        <w:t xml:space="preserve"> percentage of households with access to fiber optic cable to 50 percent by June </w:t>
      </w:r>
      <w:proofErr w:type="gramStart"/>
      <w:r>
        <w:rPr>
          <w:rFonts w:cs="Arial"/>
        </w:rPr>
        <w:t>2021</w:t>
      </w:r>
      <w:proofErr w:type="gramEnd"/>
    </w:p>
    <w:p w14:paraId="24E9CA76" w14:textId="77777777" w:rsidR="00217A61" w:rsidRDefault="001C2695">
      <w:pPr>
        <w:numPr>
          <w:ilvl w:val="0"/>
          <w:numId w:val="3"/>
        </w:numPr>
        <w:spacing w:beforeAutospacing="1" w:afterAutospacing="1"/>
        <w:rPr>
          <w:rFonts w:cs="Arial"/>
        </w:rPr>
      </w:pPr>
      <w:r>
        <w:rPr>
          <w:rFonts w:cs="Arial"/>
        </w:rPr>
        <w:t xml:space="preserve">Increase the percentage of households with access to broadband to 100 percent by June </w:t>
      </w:r>
      <w:proofErr w:type="gramStart"/>
      <w:r>
        <w:rPr>
          <w:rFonts w:cs="Arial"/>
        </w:rPr>
        <w:t>2021</w:t>
      </w:r>
      <w:proofErr w:type="gramEnd"/>
    </w:p>
    <w:p w14:paraId="3808E6E3" w14:textId="77777777" w:rsidR="00217A61" w:rsidRDefault="001C2695">
      <w:pPr>
        <w:numPr>
          <w:ilvl w:val="0"/>
          <w:numId w:val="3"/>
        </w:numPr>
        <w:spacing w:beforeAutospacing="1" w:afterAutospacing="1"/>
        <w:rPr>
          <w:rFonts w:cs="Arial"/>
        </w:rPr>
      </w:pPr>
      <w:r>
        <w:rPr>
          <w:rFonts w:cs="Arial"/>
        </w:rPr>
        <w:t xml:space="preserve">Increase household adoption rates to over 60 percent by June </w:t>
      </w:r>
      <w:proofErr w:type="gramStart"/>
      <w:r>
        <w:rPr>
          <w:rFonts w:cs="Arial"/>
        </w:rPr>
        <w:t>2021</w:t>
      </w:r>
      <w:proofErr w:type="gramEnd"/>
    </w:p>
    <w:p w14:paraId="488E5A05" w14:textId="77777777" w:rsidR="00217A61" w:rsidRDefault="001C2695">
      <w:pPr>
        <w:numPr>
          <w:ilvl w:val="0"/>
          <w:numId w:val="3"/>
        </w:numPr>
        <w:spacing w:beforeAutospacing="1" w:afterAutospacing="1"/>
        <w:rPr>
          <w:rFonts w:cs="Arial"/>
        </w:rPr>
      </w:pPr>
      <w:r>
        <w:rPr>
          <w:rFonts w:cs="Arial"/>
        </w:rPr>
        <w:t>Affordable access to the internet outside of school for 100 percent of K-12 students by June 2021</w:t>
      </w:r>
    </w:p>
    <w:p w14:paraId="18205D91" w14:textId="77777777" w:rsidR="00217A61" w:rsidRDefault="001C2695">
      <w:pPr>
        <w:numPr>
          <w:ilvl w:val="0"/>
          <w:numId w:val="3"/>
        </w:numPr>
        <w:spacing w:beforeAutospacing="1" w:afterAutospacing="1"/>
        <w:rPr>
          <w:rFonts w:cs="Arial"/>
        </w:rPr>
      </w:pPr>
      <w:r>
        <w:rPr>
          <w:rFonts w:cs="Arial"/>
        </w:rPr>
        <w:t>A state-wide model for the development and deployment of local, community-based digital lite</w:t>
      </w:r>
      <w:r>
        <w:rPr>
          <w:rFonts w:cs="Arial"/>
        </w:rPr>
        <w:t>racy programs</w:t>
      </w:r>
    </w:p>
    <w:p w14:paraId="2CB23ECC" w14:textId="77777777" w:rsidR="00217A61" w:rsidRDefault="001C2695">
      <w:pPr>
        <w:spacing w:beforeAutospacing="1" w:afterAutospacing="1"/>
        <w:rPr>
          <w:rFonts w:cs="Arial"/>
        </w:rPr>
      </w:pPr>
      <w:r>
        <w:rPr>
          <w:rFonts w:cs="Arial"/>
        </w:rPr>
        <w:t>This state broadband plan also identifies five main barriers to broadband adoption that are particularly pronounced among low-income households. The primary barriers are the cost or affordability of service; the real or perceived costs of a c</w:t>
      </w:r>
      <w:r>
        <w:rPr>
          <w:rFonts w:cs="Arial"/>
        </w:rPr>
        <w:t>omputer; laptop or other devices; digital literacy; and the internet’s perceived relevancy in a person’s daily life. The recommendations to address these barriers include educating low-income households and community leaders on affordable broadband options</w:t>
      </w:r>
      <w:r>
        <w:rPr>
          <w:rFonts w:cs="Arial"/>
        </w:rPr>
        <w:t xml:space="preserve"> and publishing best practices for local governments who want to offer subsidies or other adoption programs for low-income households.</w:t>
      </w:r>
    </w:p>
    <w:p w14:paraId="4D1FD7A6" w14:textId="77777777" w:rsidR="00217A61" w:rsidRDefault="001C2695">
      <w:pPr>
        <w:rPr>
          <w:b/>
          <w:sz w:val="24"/>
          <w:szCs w:val="24"/>
        </w:rPr>
      </w:pPr>
      <w:r>
        <w:rPr>
          <w:b/>
          <w:sz w:val="24"/>
          <w:szCs w:val="24"/>
        </w:rPr>
        <w:t>Describe the need for increased competition by having more than one broadband Internet service provider serve the jurisdi</w:t>
      </w:r>
      <w:r>
        <w:rPr>
          <w:b/>
          <w:sz w:val="24"/>
          <w:szCs w:val="24"/>
        </w:rPr>
        <w:t>ction.</w:t>
      </w:r>
    </w:p>
    <w:p w14:paraId="59A0D657" w14:textId="77777777" w:rsidR="00217A61" w:rsidRDefault="001C2695">
      <w:pPr>
        <w:spacing w:beforeAutospacing="1" w:afterAutospacing="1"/>
        <w:rPr>
          <w:rFonts w:cs="Arial"/>
        </w:rPr>
      </w:pPr>
      <w:r>
        <w:rPr>
          <w:rFonts w:cs="Arial"/>
        </w:rPr>
        <w:lastRenderedPageBreak/>
        <w:t xml:space="preserve">According to the website, broadbandnow.com, there are a total of 173 internet providers in North Carolina. The majority of North Carolinians have access to multiple providers; however, 816,000 people only have access to one provider and 118,000 </w:t>
      </w:r>
      <w:proofErr w:type="gramStart"/>
      <w:r>
        <w:rPr>
          <w:rFonts w:cs="Arial"/>
        </w:rPr>
        <w:t>don’</w:t>
      </w:r>
      <w:r>
        <w:rPr>
          <w:rFonts w:cs="Arial"/>
        </w:rPr>
        <w:t>t</w:t>
      </w:r>
      <w:proofErr w:type="gramEnd"/>
      <w:r>
        <w:rPr>
          <w:rFonts w:cs="Arial"/>
        </w:rPr>
        <w:t xml:space="preserve"> have access to any wired Internet providers. This lack of competition tends to affect rural Americans since these individuals reside in areas without access to the most basic broadband services. According to the FCC, an increase in broadband competition </w:t>
      </w:r>
      <w:r>
        <w:rPr>
          <w:rFonts w:cs="Arial"/>
        </w:rPr>
        <w:t xml:space="preserve">could potentially lead to better, faster, and cheaper broadband. The North Carolina League of Municipalities highlights that the broadband gap </w:t>
      </w:r>
      <w:proofErr w:type="gramStart"/>
      <w:r>
        <w:rPr>
          <w:rFonts w:cs="Arial"/>
        </w:rPr>
        <w:t>isn’t</w:t>
      </w:r>
      <w:proofErr w:type="gramEnd"/>
      <w:r>
        <w:rPr>
          <w:rFonts w:cs="Arial"/>
        </w:rPr>
        <w:t xml:space="preserve"> just an economic or quality of life issue in rural communities, but it has health implications too. Without</w:t>
      </w:r>
      <w:r>
        <w:rPr>
          <w:rFonts w:cs="Arial"/>
        </w:rPr>
        <w:t xml:space="preserve"> reliable broadband infrastructure, rural communities </w:t>
      </w:r>
      <w:proofErr w:type="gramStart"/>
      <w:r>
        <w:rPr>
          <w:rFonts w:cs="Arial"/>
        </w:rPr>
        <w:t>can’t</w:t>
      </w:r>
      <w:proofErr w:type="gramEnd"/>
      <w:r>
        <w:rPr>
          <w:rFonts w:cs="Arial"/>
        </w:rPr>
        <w:t xml:space="preserve"> take full advantage of health innovations, such as telemedicine and </w:t>
      </w:r>
      <w:proofErr w:type="spellStart"/>
      <w:r>
        <w:rPr>
          <w:rFonts w:cs="Arial"/>
        </w:rPr>
        <w:t>teledentistry</w:t>
      </w:r>
      <w:proofErr w:type="spellEnd"/>
      <w:r>
        <w:rPr>
          <w:rFonts w:cs="Arial"/>
        </w:rPr>
        <w:t>, which could help fill the health care workforce shortage in rural communities.</w:t>
      </w:r>
    </w:p>
    <w:p w14:paraId="0A4BBC0C" w14:textId="77777777" w:rsidR="00217A61" w:rsidRDefault="00217A61">
      <w:pPr>
        <w:spacing w:after="0" w:line="240" w:lineRule="auto"/>
        <w:rPr>
          <w:rFonts w:cs="Arial"/>
        </w:rPr>
      </w:pPr>
    </w:p>
    <w:p w14:paraId="1679D62E" w14:textId="77777777" w:rsidR="00217A61" w:rsidRDefault="00217A61">
      <w:pPr>
        <w:spacing w:after="0" w:line="240" w:lineRule="auto"/>
        <w:rPr>
          <w:rFonts w:cs="Arial"/>
        </w:rPr>
      </w:pPr>
    </w:p>
    <w:p w14:paraId="5B1A5091" w14:textId="77777777" w:rsidR="00217A61" w:rsidRDefault="001C2695">
      <w:pPr>
        <w:pStyle w:val="Heading2"/>
        <w:pageBreakBefore/>
        <w:rPr>
          <w:rFonts w:ascii="Calibri" w:hAnsi="Calibri"/>
          <w:i w:val="0"/>
        </w:rPr>
      </w:pPr>
      <w:r>
        <w:rPr>
          <w:rFonts w:ascii="Calibri" w:hAnsi="Calibri"/>
          <w:i w:val="0"/>
        </w:rPr>
        <w:lastRenderedPageBreak/>
        <w:t>MA-65 Hazard Mitigation - 91.210</w:t>
      </w:r>
      <w:r>
        <w:rPr>
          <w:rFonts w:ascii="Calibri" w:hAnsi="Calibri"/>
          <w:i w:val="0"/>
        </w:rPr>
        <w:t>(a)(5), 91.310(a)(3)</w:t>
      </w:r>
      <w:r>
        <w:rPr>
          <w:rFonts w:ascii="Calibri" w:hAnsi="Calibri"/>
          <w:i w:val="0"/>
        </w:rPr>
        <w:br/>
      </w:r>
    </w:p>
    <w:p w14:paraId="1B91AAD0" w14:textId="77777777" w:rsidR="00217A61" w:rsidRDefault="001C2695">
      <w:pPr>
        <w:rPr>
          <w:b/>
          <w:sz w:val="24"/>
          <w:szCs w:val="24"/>
        </w:rPr>
      </w:pPr>
      <w:r>
        <w:rPr>
          <w:b/>
          <w:sz w:val="24"/>
          <w:szCs w:val="24"/>
        </w:rPr>
        <w:t>Describe the jurisdiction’s increased natural hazard risks associated with climate change.</w:t>
      </w:r>
    </w:p>
    <w:p w14:paraId="3E52A2C3" w14:textId="77777777" w:rsidR="00217A61" w:rsidRDefault="001C2695">
      <w:pPr>
        <w:spacing w:beforeAutospacing="1" w:afterAutospacing="1"/>
        <w:rPr>
          <w:rFonts w:cs="Arial"/>
        </w:rPr>
      </w:pPr>
      <w:r>
        <w:rPr>
          <w:rFonts w:cs="Arial"/>
        </w:rPr>
        <w:t xml:space="preserve">Climate change is already being felt in North Carolina. In recent years, the state has experienced flooding and extreme rainfall from </w:t>
      </w:r>
      <w:proofErr w:type="gramStart"/>
      <w:r>
        <w:rPr>
          <w:rFonts w:cs="Arial"/>
        </w:rPr>
        <w:t xml:space="preserve">a number </w:t>
      </w:r>
      <w:r>
        <w:rPr>
          <w:rFonts w:cs="Arial"/>
        </w:rPr>
        <w:t>of</w:t>
      </w:r>
      <w:proofErr w:type="gramEnd"/>
      <w:r>
        <w:rPr>
          <w:rFonts w:cs="Arial"/>
        </w:rPr>
        <w:t xml:space="preserve"> hurricanes – Dorian, Florence, Michael and Matthew – that caused severe damage in communities across the state. According to the North Carolina Climate Science Report, the state can expect to see disruptive sea level rise, rising temperatures leading to</w:t>
      </w:r>
      <w:r>
        <w:rPr>
          <w:rFonts w:cs="Arial"/>
        </w:rPr>
        <w:t xml:space="preserve"> dangerous heat, and extreme rainfall </w:t>
      </w:r>
      <w:proofErr w:type="gramStart"/>
      <w:r>
        <w:rPr>
          <w:rFonts w:cs="Arial"/>
        </w:rPr>
        <w:t>as a result of</w:t>
      </w:r>
      <w:proofErr w:type="gramEnd"/>
      <w:r>
        <w:rPr>
          <w:rFonts w:cs="Arial"/>
        </w:rPr>
        <w:t xml:space="preserve"> climate. Hurricanes and other weather systems will become more frequent and more intense. Flooding will occur not only on the coast but also farther inland, potentially requiring people to move to higher</w:t>
      </w:r>
      <w:r>
        <w:rPr>
          <w:rFonts w:cs="Arial"/>
        </w:rPr>
        <w:t xml:space="preserve"> ground. The North Carolina Department of Environmental Quality has developed the NC Climate Risk and Resiliency Plan to address some of these </w:t>
      </w:r>
      <w:proofErr w:type="gramStart"/>
      <w:r>
        <w:rPr>
          <w:rFonts w:cs="Arial"/>
        </w:rPr>
        <w:t>challenges</w:t>
      </w:r>
      <w:proofErr w:type="gramEnd"/>
    </w:p>
    <w:p w14:paraId="033AEB56" w14:textId="77777777" w:rsidR="00217A61" w:rsidRDefault="001C2695">
      <w:pPr>
        <w:rPr>
          <w:b/>
          <w:sz w:val="24"/>
          <w:szCs w:val="24"/>
        </w:rPr>
      </w:pPr>
      <w:r>
        <w:rPr>
          <w:b/>
          <w:sz w:val="24"/>
          <w:szCs w:val="24"/>
        </w:rPr>
        <w:t>Describe the vulnerability to these risks of housing occupied by low- and moderate-income households b</w:t>
      </w:r>
      <w:r>
        <w:rPr>
          <w:b/>
          <w:sz w:val="24"/>
          <w:szCs w:val="24"/>
        </w:rPr>
        <w:t>ased on an analysis of data, findings, and methods.</w:t>
      </w:r>
    </w:p>
    <w:p w14:paraId="0662E337" w14:textId="77777777" w:rsidR="00217A61" w:rsidRDefault="001C2695">
      <w:pPr>
        <w:spacing w:beforeAutospacing="1" w:afterAutospacing="1"/>
        <w:rPr>
          <w:rFonts w:cs="Arial"/>
        </w:rPr>
      </w:pPr>
      <w:r>
        <w:rPr>
          <w:rFonts w:cs="Arial"/>
        </w:rPr>
        <w:t xml:space="preserve">Research shows the climate change disproportionately impacts low-income communities and communities of color. Low and moderate-income households are more </w:t>
      </w:r>
      <w:proofErr w:type="spellStart"/>
      <w:r>
        <w:rPr>
          <w:rFonts w:cs="Arial"/>
        </w:rPr>
        <w:t>lik</w:t>
      </w:r>
      <w:proofErr w:type="spellEnd"/>
      <w:r>
        <w:rPr>
          <w:rFonts w:cs="Arial"/>
        </w:rPr>
        <w:t xml:space="preserve"> </w:t>
      </w:r>
      <w:proofErr w:type="spellStart"/>
      <w:r>
        <w:rPr>
          <w:rFonts w:cs="Arial"/>
        </w:rPr>
        <w:t>ely</w:t>
      </w:r>
      <w:proofErr w:type="spellEnd"/>
      <w:r>
        <w:rPr>
          <w:rFonts w:cs="Arial"/>
        </w:rPr>
        <w:t xml:space="preserve"> to live in areas with greater exposure to </w:t>
      </w:r>
      <w:r>
        <w:rPr>
          <w:rFonts w:cs="Arial"/>
        </w:rPr>
        <w:t>natural disasters. These communities are also less likely to have the resources and capacity to prepare and recover from climate events. Additionally, climate change will exacerbate existing health conditions in these communities due to degraded air qualit</w:t>
      </w:r>
      <w:r>
        <w:rPr>
          <w:rFonts w:cs="Arial"/>
        </w:rPr>
        <w:t>y, dangerous heat levels, and increased mold.</w:t>
      </w:r>
    </w:p>
    <w:p w14:paraId="1AB36577" w14:textId="77777777" w:rsidR="00217A61" w:rsidRDefault="001C2695">
      <w:pPr>
        <w:spacing w:beforeAutospacing="1" w:afterAutospacing="1"/>
        <w:rPr>
          <w:rFonts w:cs="Arial"/>
        </w:rPr>
      </w:pPr>
      <w:r>
        <w:rPr>
          <w:rFonts w:cs="Arial"/>
        </w:rPr>
        <w:t xml:space="preserve">According to analysis by the NYU Furman Center, 281,881 units (6% of all units) </w:t>
      </w:r>
      <w:proofErr w:type="gramStart"/>
      <w:r>
        <w:rPr>
          <w:rFonts w:cs="Arial"/>
        </w:rPr>
        <w:t>are located in</w:t>
      </w:r>
      <w:proofErr w:type="gramEnd"/>
      <w:r>
        <w:rPr>
          <w:rFonts w:cs="Arial"/>
        </w:rPr>
        <w:t xml:space="preserve"> the floodplains of North Carolina. Of those units, 70,665 are occupied by renter households and 4,936 are subsidize</w:t>
      </w:r>
      <w:r>
        <w:rPr>
          <w:rFonts w:cs="Arial"/>
        </w:rPr>
        <w:t>d rental housing units. The estimated poverty rate in the flood plains is 17.7% which is higher than the statewide average of 14%. Thus, it is likely that many low and moderate-income households in North Carolina are vulnerable to climate change.</w:t>
      </w:r>
    </w:p>
    <w:p w14:paraId="6F483E57" w14:textId="77777777" w:rsidR="00217A61" w:rsidRDefault="00217A61">
      <w:pPr>
        <w:rPr>
          <w:rFonts w:cs="Arial"/>
        </w:rPr>
      </w:pPr>
    </w:p>
    <w:p w14:paraId="418C826F" w14:textId="77777777" w:rsidR="00217A61" w:rsidRDefault="001C2695">
      <w:pPr>
        <w:pStyle w:val="Heading1"/>
        <w:pageBreakBefore/>
        <w:jc w:val="center"/>
        <w:rPr>
          <w:rFonts w:ascii="Calibri" w:hAnsi="Calibri"/>
          <w:color w:val="auto"/>
          <w:sz w:val="32"/>
          <w:szCs w:val="32"/>
        </w:rPr>
      </w:pPr>
      <w:r>
        <w:rPr>
          <w:rFonts w:ascii="Calibri" w:hAnsi="Calibri"/>
          <w:color w:val="auto"/>
          <w:sz w:val="32"/>
          <w:szCs w:val="32"/>
        </w:rPr>
        <w:lastRenderedPageBreak/>
        <w:t>Strategi</w:t>
      </w:r>
      <w:r>
        <w:rPr>
          <w:rFonts w:ascii="Calibri" w:hAnsi="Calibri"/>
          <w:color w:val="auto"/>
          <w:sz w:val="32"/>
          <w:szCs w:val="32"/>
        </w:rPr>
        <w:t>c Plan</w:t>
      </w:r>
    </w:p>
    <w:p w14:paraId="4674B111" w14:textId="77777777" w:rsidR="00217A61" w:rsidRDefault="001C2695">
      <w:pPr>
        <w:pStyle w:val="Heading2"/>
        <w:rPr>
          <w:rFonts w:ascii="Calibri" w:hAnsi="Calibri"/>
          <w:i w:val="0"/>
        </w:rPr>
      </w:pPr>
      <w:r>
        <w:rPr>
          <w:rFonts w:ascii="Calibri" w:hAnsi="Calibri"/>
          <w:i w:val="0"/>
        </w:rPr>
        <w:t>SP-05 Overview</w:t>
      </w:r>
    </w:p>
    <w:p w14:paraId="05B9C3BA" w14:textId="77777777" w:rsidR="00217A61" w:rsidRDefault="001C2695">
      <w:pPr>
        <w:rPr>
          <w:b/>
          <w:sz w:val="24"/>
          <w:szCs w:val="24"/>
        </w:rPr>
      </w:pPr>
      <w:r>
        <w:rPr>
          <w:b/>
          <w:sz w:val="24"/>
          <w:szCs w:val="24"/>
        </w:rPr>
        <w:t>Strategic Plan Overview</w:t>
      </w:r>
    </w:p>
    <w:p w14:paraId="42967549" w14:textId="77777777" w:rsidR="00217A61" w:rsidRDefault="001C2695">
      <w:pPr>
        <w:spacing w:beforeAutospacing="1" w:afterAutospacing="1"/>
        <w:rPr>
          <w:rFonts w:cs="Arial"/>
        </w:rPr>
      </w:pPr>
      <w:r>
        <w:rPr>
          <w:rFonts w:cs="Arial"/>
        </w:rPr>
        <w:t>The strategic plan outlines major strategies to be used by the NC Plan Partners to target the priority need groups identified over the next five years. The Strategic Plan is developed using the Housing and Mark</w:t>
      </w:r>
      <w:r>
        <w:rPr>
          <w:rFonts w:cs="Arial"/>
        </w:rPr>
        <w:t>et Analysis and Needs Assessment to create goals and objectives as well as strategies to achieve those goals. Based on the severity of need, the Consolidated Plan Partners assigned priorities to populations differentiated by income, tenure, and homeless/sp</w:t>
      </w:r>
      <w:r>
        <w:rPr>
          <w:rFonts w:cs="Arial"/>
        </w:rPr>
        <w:t xml:space="preserve">ecial need status. Priorities are addressed as High, </w:t>
      </w:r>
      <w:proofErr w:type="gramStart"/>
      <w:r>
        <w:rPr>
          <w:rFonts w:cs="Arial"/>
        </w:rPr>
        <w:t>Medium</w:t>
      </w:r>
      <w:proofErr w:type="gramEnd"/>
      <w:r>
        <w:rPr>
          <w:rFonts w:cs="Arial"/>
        </w:rPr>
        <w:t xml:space="preserve"> and Low. The funding partners will deploy its allocations based on priority needs and each agency’s target market. This cycle’s five-year strategy, called the North Carolina Consolidated Plan 2021</w:t>
      </w:r>
      <w:r>
        <w:rPr>
          <w:rFonts w:cs="Arial"/>
        </w:rPr>
        <w:t>-2025, lays out the priority needs for the state, which are based on housing and population information captured from census data special tabulations that yield the incidence of certain housing problems (overcrowding, inadequate plumbing facilities, cost b</w:t>
      </w:r>
      <w:r>
        <w:rPr>
          <w:rFonts w:cs="Arial"/>
        </w:rPr>
        <w:t>urden, etc.) among the population. The five-year plan also sets the framework from which each year’s annual action plan can be drawn. The Annual Action Plan further details how the state will accomplish its five-year goals during annual program cycles.</w:t>
      </w:r>
    </w:p>
    <w:p w14:paraId="211E4CA2" w14:textId="77777777" w:rsidR="00217A61" w:rsidRDefault="001C2695">
      <w:pPr>
        <w:pStyle w:val="Heading2"/>
        <w:pageBreakBefore/>
        <w:rPr>
          <w:rFonts w:ascii="Calibri" w:hAnsi="Calibri"/>
          <w:i w:val="0"/>
        </w:rPr>
      </w:pPr>
      <w:r>
        <w:rPr>
          <w:rFonts w:ascii="Calibri" w:hAnsi="Calibri"/>
          <w:i w:val="0"/>
        </w:rPr>
        <w:lastRenderedPageBreak/>
        <w:t>SP-10 Geographic Priorities – 91.315(a)(1)</w:t>
      </w:r>
    </w:p>
    <w:p w14:paraId="226EB7E6" w14:textId="77777777" w:rsidR="00217A61" w:rsidRDefault="001C2695">
      <w:pPr>
        <w:keepNext/>
        <w:widowControl w:val="0"/>
        <w:rPr>
          <w:b/>
          <w:sz w:val="24"/>
          <w:szCs w:val="24"/>
        </w:rPr>
      </w:pPr>
      <w:r>
        <w:rPr>
          <w:b/>
          <w:sz w:val="24"/>
          <w:szCs w:val="24"/>
        </w:rPr>
        <w:t>Geographic Area</w:t>
      </w:r>
    </w:p>
    <w:p w14:paraId="0C91AC41" w14:textId="77777777" w:rsidR="00217A61" w:rsidRDefault="001C269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 Geographic Priority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7909"/>
        <w:gridCol w:w="1113"/>
      </w:tblGrid>
      <w:tr w:rsidR="00217A61" w14:paraId="282FE6DC" w14:textId="77777777">
        <w:trPr>
          <w:cantSplit/>
        </w:trPr>
        <w:tc>
          <w:tcPr>
            <w:tcW w:w="0" w:type="auto"/>
            <w:vMerge w:val="restart"/>
          </w:tcPr>
          <w:p w14:paraId="4B89E7D8" w14:textId="77777777" w:rsidR="00217A61" w:rsidRDefault="001C2695">
            <w:r>
              <w:rPr>
                <w:b/>
              </w:rPr>
              <w:t>1</w:t>
            </w:r>
          </w:p>
        </w:tc>
        <w:tc>
          <w:tcPr>
            <w:tcW w:w="0" w:type="auto"/>
          </w:tcPr>
          <w:p w14:paraId="04902616" w14:textId="77777777" w:rsidR="00217A61" w:rsidRDefault="001C2695">
            <w:pPr>
              <w:keepNext/>
              <w:widowControl w:val="0"/>
              <w:spacing w:before="100" w:after="0"/>
              <w:rPr>
                <w:b/>
                <w:sz w:val="24"/>
                <w:szCs w:val="24"/>
              </w:rPr>
            </w:pPr>
            <w:r>
              <w:rPr>
                <w:b/>
              </w:rPr>
              <w:t>Area Name:</w:t>
            </w:r>
          </w:p>
        </w:tc>
        <w:tc>
          <w:tcPr>
            <w:tcW w:w="0" w:type="auto"/>
          </w:tcPr>
          <w:p w14:paraId="2911BA96" w14:textId="77777777" w:rsidR="00217A61" w:rsidRDefault="001C2695">
            <w:pPr>
              <w:spacing w:before="100" w:after="0"/>
            </w:pPr>
            <w:r>
              <w:rPr>
                <w:color w:val="000000"/>
              </w:rPr>
              <w:t>Statewide</w:t>
            </w:r>
          </w:p>
        </w:tc>
      </w:tr>
      <w:tr w:rsidR="00217A61" w14:paraId="50A170AD" w14:textId="77777777">
        <w:trPr>
          <w:cantSplit/>
        </w:trPr>
        <w:tc>
          <w:tcPr>
            <w:tcW w:w="0" w:type="auto"/>
            <w:vMerge/>
          </w:tcPr>
          <w:p w14:paraId="50B83BA5" w14:textId="77777777" w:rsidR="00217A61" w:rsidRDefault="00217A61"/>
        </w:tc>
        <w:tc>
          <w:tcPr>
            <w:tcW w:w="0" w:type="auto"/>
          </w:tcPr>
          <w:p w14:paraId="46D50BD9" w14:textId="77777777" w:rsidR="00217A61" w:rsidRDefault="001C2695">
            <w:pPr>
              <w:keepNext/>
              <w:widowControl w:val="0"/>
              <w:spacing w:before="100" w:after="0"/>
              <w:rPr>
                <w:b/>
                <w:sz w:val="24"/>
                <w:szCs w:val="24"/>
              </w:rPr>
            </w:pPr>
            <w:r>
              <w:rPr>
                <w:b/>
              </w:rPr>
              <w:t>Area Type:</w:t>
            </w:r>
          </w:p>
        </w:tc>
        <w:tc>
          <w:tcPr>
            <w:tcW w:w="0" w:type="auto"/>
          </w:tcPr>
          <w:p w14:paraId="763454AD" w14:textId="77777777" w:rsidR="00217A61" w:rsidRDefault="001C2695">
            <w:pPr>
              <w:spacing w:before="100" w:after="0"/>
            </w:pPr>
            <w:r>
              <w:rPr>
                <w:color w:val="000000"/>
              </w:rPr>
              <w:t>Statewide</w:t>
            </w:r>
          </w:p>
        </w:tc>
      </w:tr>
      <w:tr w:rsidR="00217A61" w14:paraId="2E3240E0" w14:textId="77777777">
        <w:trPr>
          <w:cantSplit/>
        </w:trPr>
        <w:tc>
          <w:tcPr>
            <w:tcW w:w="0" w:type="auto"/>
            <w:vMerge/>
          </w:tcPr>
          <w:p w14:paraId="5C6C7231" w14:textId="77777777" w:rsidR="00217A61" w:rsidRDefault="00217A61"/>
        </w:tc>
        <w:tc>
          <w:tcPr>
            <w:tcW w:w="0" w:type="auto"/>
          </w:tcPr>
          <w:p w14:paraId="4765975E" w14:textId="77777777" w:rsidR="00217A61" w:rsidRDefault="001C2695">
            <w:pPr>
              <w:keepNext/>
              <w:widowControl w:val="0"/>
              <w:spacing w:before="100" w:after="0"/>
              <w:rPr>
                <w:b/>
                <w:sz w:val="24"/>
                <w:szCs w:val="24"/>
              </w:rPr>
            </w:pPr>
            <w:r>
              <w:rPr>
                <w:b/>
              </w:rPr>
              <w:t>Other Target Area Description:</w:t>
            </w:r>
          </w:p>
        </w:tc>
        <w:tc>
          <w:tcPr>
            <w:tcW w:w="0" w:type="auto"/>
          </w:tcPr>
          <w:p w14:paraId="1F6CDBA0" w14:textId="77777777" w:rsidR="00217A61" w:rsidRDefault="001C2695">
            <w:pPr>
              <w:spacing w:before="100" w:after="0"/>
            </w:pPr>
            <w:r>
              <w:rPr>
                <w:color w:val="000000"/>
              </w:rPr>
              <w:t>Statewide</w:t>
            </w:r>
          </w:p>
        </w:tc>
      </w:tr>
      <w:tr w:rsidR="00217A61" w14:paraId="57C9B288" w14:textId="77777777">
        <w:trPr>
          <w:cantSplit/>
        </w:trPr>
        <w:tc>
          <w:tcPr>
            <w:tcW w:w="0" w:type="auto"/>
            <w:vMerge/>
          </w:tcPr>
          <w:p w14:paraId="58EF8A3F" w14:textId="77777777" w:rsidR="00217A61" w:rsidRDefault="00217A61"/>
        </w:tc>
        <w:tc>
          <w:tcPr>
            <w:tcW w:w="0" w:type="auto"/>
          </w:tcPr>
          <w:p w14:paraId="7897678D" w14:textId="77777777" w:rsidR="00217A61" w:rsidRDefault="001C2695">
            <w:pPr>
              <w:keepNext/>
              <w:widowControl w:val="0"/>
              <w:spacing w:before="100" w:after="0"/>
              <w:rPr>
                <w:b/>
                <w:sz w:val="24"/>
                <w:szCs w:val="24"/>
              </w:rPr>
            </w:pPr>
            <w:r>
              <w:rPr>
                <w:b/>
              </w:rPr>
              <w:t>HUD Approval Date:</w:t>
            </w:r>
          </w:p>
        </w:tc>
        <w:tc>
          <w:tcPr>
            <w:tcW w:w="0" w:type="auto"/>
          </w:tcPr>
          <w:p w14:paraId="636C962A" w14:textId="77777777" w:rsidR="00217A61" w:rsidRDefault="001C2695">
            <w:pPr>
              <w:spacing w:before="100" w:after="0"/>
            </w:pPr>
            <w:r>
              <w:rPr>
                <w:color w:val="000000"/>
              </w:rPr>
              <w:t xml:space="preserve"> </w:t>
            </w:r>
          </w:p>
        </w:tc>
      </w:tr>
      <w:tr w:rsidR="00217A61" w14:paraId="09A1B2FF" w14:textId="77777777">
        <w:trPr>
          <w:cantSplit/>
        </w:trPr>
        <w:tc>
          <w:tcPr>
            <w:tcW w:w="0" w:type="auto"/>
            <w:vMerge/>
          </w:tcPr>
          <w:p w14:paraId="6FD2ED1C" w14:textId="77777777" w:rsidR="00217A61" w:rsidRDefault="00217A61"/>
        </w:tc>
        <w:tc>
          <w:tcPr>
            <w:tcW w:w="0" w:type="auto"/>
          </w:tcPr>
          <w:p w14:paraId="09DF45FC" w14:textId="77777777" w:rsidR="00217A61" w:rsidRDefault="001C2695">
            <w:pPr>
              <w:keepNext/>
              <w:widowControl w:val="0"/>
              <w:spacing w:before="100" w:after="0"/>
              <w:rPr>
                <w:b/>
              </w:rPr>
            </w:pPr>
            <w:r>
              <w:rPr>
                <w:b/>
              </w:rPr>
              <w:t>% of Low/ Mod:</w:t>
            </w:r>
          </w:p>
        </w:tc>
        <w:tc>
          <w:tcPr>
            <w:tcW w:w="0" w:type="auto"/>
          </w:tcPr>
          <w:p w14:paraId="558C7CEF" w14:textId="77777777" w:rsidR="00217A61" w:rsidRDefault="001C2695">
            <w:pPr>
              <w:spacing w:before="100" w:after="0"/>
            </w:pPr>
            <w:r>
              <w:rPr>
                <w:color w:val="000000"/>
              </w:rPr>
              <w:t xml:space="preserve"> </w:t>
            </w:r>
          </w:p>
        </w:tc>
      </w:tr>
      <w:tr w:rsidR="00217A61" w14:paraId="634F9C67" w14:textId="77777777">
        <w:trPr>
          <w:cantSplit/>
        </w:trPr>
        <w:tc>
          <w:tcPr>
            <w:tcW w:w="0" w:type="auto"/>
            <w:vMerge/>
          </w:tcPr>
          <w:p w14:paraId="1B5C8FC5" w14:textId="77777777" w:rsidR="00217A61" w:rsidRDefault="00217A61"/>
        </w:tc>
        <w:tc>
          <w:tcPr>
            <w:tcW w:w="0" w:type="auto"/>
          </w:tcPr>
          <w:p w14:paraId="490435B5" w14:textId="77777777" w:rsidR="00217A61" w:rsidRDefault="001C2695">
            <w:pPr>
              <w:keepNext/>
              <w:widowControl w:val="0"/>
              <w:spacing w:before="100" w:after="0"/>
              <w:rPr>
                <w:b/>
              </w:rPr>
            </w:pPr>
            <w:proofErr w:type="spellStart"/>
            <w:r>
              <w:rPr>
                <w:b/>
              </w:rPr>
              <w:t>Revital</w:t>
            </w:r>
            <w:proofErr w:type="spellEnd"/>
            <w:r>
              <w:rPr>
                <w:b/>
              </w:rPr>
              <w:t xml:space="preserve"> Type: </w:t>
            </w:r>
          </w:p>
        </w:tc>
        <w:tc>
          <w:tcPr>
            <w:tcW w:w="0" w:type="auto"/>
          </w:tcPr>
          <w:p w14:paraId="418D42FC" w14:textId="77777777" w:rsidR="00217A61" w:rsidRDefault="001C2695">
            <w:pPr>
              <w:spacing w:before="100" w:after="0"/>
            </w:pPr>
            <w:r>
              <w:rPr>
                <w:color w:val="000000"/>
              </w:rPr>
              <w:t xml:space="preserve"> </w:t>
            </w:r>
          </w:p>
        </w:tc>
      </w:tr>
      <w:tr w:rsidR="00217A61" w14:paraId="5C3027A1" w14:textId="77777777">
        <w:trPr>
          <w:cantSplit/>
        </w:trPr>
        <w:tc>
          <w:tcPr>
            <w:tcW w:w="0" w:type="auto"/>
            <w:vMerge/>
          </w:tcPr>
          <w:p w14:paraId="003019FA" w14:textId="77777777" w:rsidR="00217A61" w:rsidRDefault="00217A61"/>
        </w:tc>
        <w:tc>
          <w:tcPr>
            <w:tcW w:w="0" w:type="auto"/>
          </w:tcPr>
          <w:p w14:paraId="50613747" w14:textId="77777777" w:rsidR="00217A61" w:rsidRDefault="001C2695">
            <w:pPr>
              <w:keepNext/>
              <w:widowControl w:val="0"/>
              <w:spacing w:before="100" w:after="0"/>
              <w:rPr>
                <w:b/>
              </w:rPr>
            </w:pPr>
            <w:r>
              <w:rPr>
                <w:b/>
              </w:rPr>
              <w:t>Other </w:t>
            </w:r>
            <w:proofErr w:type="spellStart"/>
            <w:r>
              <w:rPr>
                <w:b/>
              </w:rPr>
              <w:t>Revital</w:t>
            </w:r>
            <w:proofErr w:type="spellEnd"/>
            <w:r>
              <w:rPr>
                <w:b/>
              </w:rPr>
              <w:t> Description:</w:t>
            </w:r>
          </w:p>
        </w:tc>
        <w:tc>
          <w:tcPr>
            <w:tcW w:w="0" w:type="auto"/>
          </w:tcPr>
          <w:p w14:paraId="3C92861F" w14:textId="77777777" w:rsidR="00217A61" w:rsidRDefault="001C2695">
            <w:pPr>
              <w:spacing w:before="100" w:after="0"/>
            </w:pPr>
            <w:r>
              <w:rPr>
                <w:color w:val="000000"/>
              </w:rPr>
              <w:t xml:space="preserve"> </w:t>
            </w:r>
          </w:p>
        </w:tc>
      </w:tr>
      <w:tr w:rsidR="00217A61" w14:paraId="02312D11" w14:textId="77777777">
        <w:trPr>
          <w:cantSplit/>
        </w:trPr>
        <w:tc>
          <w:tcPr>
            <w:tcW w:w="0" w:type="auto"/>
            <w:vMerge/>
          </w:tcPr>
          <w:p w14:paraId="3E6D398F" w14:textId="77777777" w:rsidR="00217A61" w:rsidRDefault="00217A61"/>
        </w:tc>
        <w:tc>
          <w:tcPr>
            <w:tcW w:w="0" w:type="auto"/>
          </w:tcPr>
          <w:p w14:paraId="7F45F644" w14:textId="77777777" w:rsidR="00217A61" w:rsidRDefault="001C2695">
            <w:pPr>
              <w:keepNext/>
              <w:widowControl w:val="0"/>
              <w:spacing w:before="100" w:after="0"/>
              <w:rPr>
                <w:b/>
                <w:sz w:val="24"/>
                <w:szCs w:val="24"/>
              </w:rPr>
            </w:pPr>
            <w:r>
              <w:rPr>
                <w:b/>
              </w:rPr>
              <w:t>Identify the neighborhood boundaries for this target area.</w:t>
            </w:r>
          </w:p>
        </w:tc>
        <w:tc>
          <w:tcPr>
            <w:tcW w:w="0" w:type="auto"/>
          </w:tcPr>
          <w:p w14:paraId="3A058E4F" w14:textId="77777777" w:rsidR="00217A61" w:rsidRDefault="001C2695">
            <w:pPr>
              <w:spacing w:before="100" w:after="0"/>
            </w:pPr>
            <w:r>
              <w:rPr>
                <w:color w:val="000000"/>
              </w:rPr>
              <w:t xml:space="preserve"> </w:t>
            </w:r>
          </w:p>
        </w:tc>
      </w:tr>
      <w:tr w:rsidR="00217A61" w14:paraId="7A04DA32" w14:textId="77777777">
        <w:trPr>
          <w:cantSplit/>
        </w:trPr>
        <w:tc>
          <w:tcPr>
            <w:tcW w:w="0" w:type="auto"/>
            <w:vMerge/>
          </w:tcPr>
          <w:p w14:paraId="339A99C7" w14:textId="77777777" w:rsidR="00217A61" w:rsidRDefault="00217A61"/>
        </w:tc>
        <w:tc>
          <w:tcPr>
            <w:tcW w:w="0" w:type="auto"/>
          </w:tcPr>
          <w:p w14:paraId="4D0A2E67" w14:textId="77777777" w:rsidR="00217A61" w:rsidRDefault="001C2695">
            <w:pPr>
              <w:keepNext/>
              <w:widowControl w:val="0"/>
              <w:spacing w:before="100" w:after="0"/>
              <w:rPr>
                <w:b/>
                <w:sz w:val="24"/>
                <w:szCs w:val="24"/>
              </w:rPr>
            </w:pPr>
            <w:r>
              <w:rPr>
                <w:b/>
              </w:rPr>
              <w:t>Include specific housing and commercial characteristics of this target area.</w:t>
            </w:r>
          </w:p>
        </w:tc>
        <w:tc>
          <w:tcPr>
            <w:tcW w:w="0" w:type="auto"/>
          </w:tcPr>
          <w:p w14:paraId="1AA2FE5C" w14:textId="77777777" w:rsidR="00217A61" w:rsidRDefault="001C2695">
            <w:pPr>
              <w:spacing w:before="100" w:after="0"/>
            </w:pPr>
            <w:r>
              <w:rPr>
                <w:color w:val="000000"/>
              </w:rPr>
              <w:t xml:space="preserve"> </w:t>
            </w:r>
          </w:p>
        </w:tc>
      </w:tr>
      <w:tr w:rsidR="00217A61" w14:paraId="040E0420" w14:textId="77777777">
        <w:trPr>
          <w:cantSplit/>
        </w:trPr>
        <w:tc>
          <w:tcPr>
            <w:tcW w:w="0" w:type="auto"/>
            <w:vMerge/>
          </w:tcPr>
          <w:p w14:paraId="2733BB02" w14:textId="77777777" w:rsidR="00217A61" w:rsidRDefault="00217A61"/>
        </w:tc>
        <w:tc>
          <w:tcPr>
            <w:tcW w:w="0" w:type="auto"/>
          </w:tcPr>
          <w:p w14:paraId="069A0589" w14:textId="77777777" w:rsidR="00217A61" w:rsidRDefault="001C2695">
            <w:pPr>
              <w:keepNext/>
              <w:widowControl w:val="0"/>
              <w:spacing w:before="100" w:after="0"/>
              <w:rPr>
                <w:b/>
                <w:sz w:val="24"/>
                <w:szCs w:val="24"/>
              </w:rPr>
            </w:pPr>
            <w:r>
              <w:rPr>
                <w:b/>
              </w:rPr>
              <w:t xml:space="preserve">How did your consultation and </w:t>
            </w:r>
            <w:r>
              <w:rPr>
                <w:b/>
              </w:rPr>
              <w:t>citizen participation process help you to identify this neighborhood as a target area?</w:t>
            </w:r>
          </w:p>
        </w:tc>
        <w:tc>
          <w:tcPr>
            <w:tcW w:w="0" w:type="auto"/>
          </w:tcPr>
          <w:p w14:paraId="5DD30906" w14:textId="77777777" w:rsidR="00217A61" w:rsidRDefault="001C2695">
            <w:pPr>
              <w:spacing w:before="100" w:after="0"/>
            </w:pPr>
            <w:r>
              <w:rPr>
                <w:color w:val="000000"/>
              </w:rPr>
              <w:t xml:space="preserve"> </w:t>
            </w:r>
          </w:p>
        </w:tc>
      </w:tr>
      <w:tr w:rsidR="00217A61" w14:paraId="5F61525A" w14:textId="77777777">
        <w:trPr>
          <w:cantSplit/>
        </w:trPr>
        <w:tc>
          <w:tcPr>
            <w:tcW w:w="0" w:type="auto"/>
            <w:vMerge/>
          </w:tcPr>
          <w:p w14:paraId="28C0E40B" w14:textId="77777777" w:rsidR="00217A61" w:rsidRDefault="00217A61"/>
        </w:tc>
        <w:tc>
          <w:tcPr>
            <w:tcW w:w="0" w:type="auto"/>
          </w:tcPr>
          <w:p w14:paraId="0AF9381D" w14:textId="77777777" w:rsidR="00217A61" w:rsidRDefault="001C2695">
            <w:pPr>
              <w:keepNext/>
              <w:widowControl w:val="0"/>
              <w:spacing w:before="100" w:after="0"/>
              <w:rPr>
                <w:b/>
                <w:sz w:val="24"/>
                <w:szCs w:val="24"/>
              </w:rPr>
            </w:pPr>
            <w:r>
              <w:rPr>
                <w:b/>
              </w:rPr>
              <w:t>Identify the needs in this target area.</w:t>
            </w:r>
          </w:p>
        </w:tc>
        <w:tc>
          <w:tcPr>
            <w:tcW w:w="0" w:type="auto"/>
          </w:tcPr>
          <w:p w14:paraId="15EA7A44" w14:textId="77777777" w:rsidR="00217A61" w:rsidRDefault="001C2695">
            <w:pPr>
              <w:spacing w:before="100" w:after="0"/>
            </w:pPr>
            <w:r>
              <w:rPr>
                <w:color w:val="000000"/>
              </w:rPr>
              <w:t xml:space="preserve"> </w:t>
            </w:r>
          </w:p>
        </w:tc>
      </w:tr>
      <w:tr w:rsidR="00217A61" w14:paraId="047A5F00" w14:textId="77777777">
        <w:trPr>
          <w:cantSplit/>
        </w:trPr>
        <w:tc>
          <w:tcPr>
            <w:tcW w:w="0" w:type="auto"/>
            <w:vMerge/>
          </w:tcPr>
          <w:p w14:paraId="33A123C2" w14:textId="77777777" w:rsidR="00217A61" w:rsidRDefault="00217A61"/>
        </w:tc>
        <w:tc>
          <w:tcPr>
            <w:tcW w:w="0" w:type="auto"/>
          </w:tcPr>
          <w:p w14:paraId="47E593E1" w14:textId="77777777" w:rsidR="00217A61" w:rsidRDefault="001C2695">
            <w:pPr>
              <w:keepNext/>
              <w:widowControl w:val="0"/>
              <w:spacing w:before="100" w:after="0"/>
              <w:rPr>
                <w:b/>
                <w:sz w:val="24"/>
                <w:szCs w:val="24"/>
              </w:rPr>
            </w:pPr>
            <w:r>
              <w:rPr>
                <w:b/>
              </w:rPr>
              <w:t xml:space="preserve">What are the opportunities for improvement in this target area?    </w:t>
            </w:r>
          </w:p>
        </w:tc>
        <w:tc>
          <w:tcPr>
            <w:tcW w:w="0" w:type="auto"/>
          </w:tcPr>
          <w:p w14:paraId="4D6706BD" w14:textId="77777777" w:rsidR="00217A61" w:rsidRDefault="001C2695">
            <w:pPr>
              <w:spacing w:before="100" w:after="0"/>
            </w:pPr>
            <w:r>
              <w:rPr>
                <w:color w:val="000000"/>
              </w:rPr>
              <w:t xml:space="preserve"> </w:t>
            </w:r>
          </w:p>
        </w:tc>
      </w:tr>
      <w:tr w:rsidR="00217A61" w14:paraId="20542B57" w14:textId="77777777">
        <w:trPr>
          <w:cantSplit/>
        </w:trPr>
        <w:tc>
          <w:tcPr>
            <w:tcW w:w="0" w:type="auto"/>
            <w:vMerge/>
          </w:tcPr>
          <w:p w14:paraId="659B2A69" w14:textId="77777777" w:rsidR="00217A61" w:rsidRDefault="00217A61"/>
        </w:tc>
        <w:tc>
          <w:tcPr>
            <w:tcW w:w="0" w:type="auto"/>
          </w:tcPr>
          <w:p w14:paraId="0CB6ECD1" w14:textId="77777777" w:rsidR="00217A61" w:rsidRDefault="001C2695">
            <w:pPr>
              <w:keepNext/>
              <w:widowControl w:val="0"/>
              <w:spacing w:before="100" w:after="0"/>
              <w:rPr>
                <w:b/>
                <w:sz w:val="24"/>
                <w:szCs w:val="24"/>
              </w:rPr>
            </w:pPr>
            <w:r>
              <w:rPr>
                <w:b/>
              </w:rPr>
              <w:t>Are there barriers to improvement in this target area?</w:t>
            </w:r>
          </w:p>
        </w:tc>
        <w:tc>
          <w:tcPr>
            <w:tcW w:w="0" w:type="auto"/>
          </w:tcPr>
          <w:p w14:paraId="60A7CC44" w14:textId="77777777" w:rsidR="00217A61" w:rsidRDefault="001C2695">
            <w:pPr>
              <w:spacing w:before="100" w:after="0"/>
            </w:pPr>
            <w:r>
              <w:rPr>
                <w:color w:val="000000"/>
              </w:rPr>
              <w:t xml:space="preserve"> </w:t>
            </w:r>
          </w:p>
        </w:tc>
      </w:tr>
    </w:tbl>
    <w:p w14:paraId="580F6BE4" w14:textId="77777777" w:rsidR="00217A61" w:rsidRDefault="00217A61">
      <w:pPr>
        <w:spacing w:after="0" w:line="240" w:lineRule="auto"/>
        <w:rPr>
          <w:b/>
        </w:rPr>
      </w:pPr>
    </w:p>
    <w:p w14:paraId="62AAE803" w14:textId="77777777" w:rsidR="00217A61" w:rsidRDefault="001C2695">
      <w:pPr>
        <w:keepNext/>
        <w:widowControl w:val="0"/>
        <w:rPr>
          <w:b/>
          <w:sz w:val="24"/>
          <w:szCs w:val="24"/>
        </w:rPr>
      </w:pPr>
      <w:r>
        <w:rPr>
          <w:b/>
          <w:sz w:val="24"/>
          <w:szCs w:val="24"/>
        </w:rPr>
        <w:t>General Allocation Priorities</w:t>
      </w:r>
    </w:p>
    <w:p w14:paraId="5193A14B" w14:textId="77777777" w:rsidR="00217A61" w:rsidRDefault="001C2695">
      <w:pPr>
        <w:keepNext/>
        <w:widowControl w:val="0"/>
        <w:rPr>
          <w:b/>
          <w:sz w:val="24"/>
          <w:szCs w:val="24"/>
        </w:rPr>
      </w:pPr>
      <w:r>
        <w:t xml:space="preserve">Describe the basis for allocating investments geographically within the </w:t>
      </w:r>
      <w:r>
        <w:t>jurisdiction (or within the EMSA for HOPWA)</w:t>
      </w:r>
    </w:p>
    <w:p w14:paraId="279F8ACC" w14:textId="77777777" w:rsidR="00217A61" w:rsidRDefault="001C2695">
      <w:pPr>
        <w:spacing w:beforeAutospacing="1" w:afterAutospacing="1"/>
      </w:pPr>
      <w:r>
        <w:t>Each funding agency determines its geographic priority based on funding availability and information gathered from the Housing and Market Analysis and Needs Assessment. CDBG funds are allocated based on legislati</w:t>
      </w:r>
      <w:r>
        <w:t>ve mandate.</w:t>
      </w:r>
    </w:p>
    <w:p w14:paraId="2E9C71B4" w14:textId="77777777" w:rsidR="00217A61" w:rsidRDefault="001C2695">
      <w:pPr>
        <w:spacing w:beforeAutospacing="1" w:afterAutospacing="1"/>
      </w:pPr>
      <w:r>
        <w:t xml:space="preserve">The CDBG Program awards across three major funding categories; Economic Development, Neighborhood Revitalization, and Infrastructure. CDBG </w:t>
      </w:r>
      <w:proofErr w:type="gramStart"/>
      <w:r>
        <w:t>is able to</w:t>
      </w:r>
      <w:proofErr w:type="gramEnd"/>
      <w:r>
        <w:t xml:space="preserve"> serve 96 of the </w:t>
      </w:r>
      <w:proofErr w:type="spellStart"/>
      <w:r>
        <w:t>states</w:t>
      </w:r>
      <w:proofErr w:type="spellEnd"/>
      <w:r>
        <w:t xml:space="preserve"> 100 counties.</w:t>
      </w:r>
    </w:p>
    <w:p w14:paraId="42C2C5B5" w14:textId="77777777" w:rsidR="00217A61" w:rsidRDefault="001C2695">
      <w:pPr>
        <w:spacing w:beforeAutospacing="1" w:afterAutospacing="1"/>
      </w:pPr>
      <w:r>
        <w:t xml:space="preserve">HOME and HTF funds are allocated by NCHFA to address the </w:t>
      </w:r>
      <w:r>
        <w:t xml:space="preserve">need for rental development, </w:t>
      </w:r>
      <w:proofErr w:type="gramStart"/>
      <w:r>
        <w:t>rehabilitation</w:t>
      </w:r>
      <w:proofErr w:type="gramEnd"/>
      <w:r>
        <w:t xml:space="preserve"> and affordable homeownership across the state.</w:t>
      </w:r>
    </w:p>
    <w:p w14:paraId="452776E3" w14:textId="77777777" w:rsidR="00217A61" w:rsidRDefault="001C2695">
      <w:pPr>
        <w:spacing w:beforeAutospacing="1" w:afterAutospacing="1"/>
      </w:pPr>
      <w:r>
        <w:t>ESG and HOPWA serve 86 of the 100 counties in NC.</w:t>
      </w:r>
    </w:p>
    <w:p w14:paraId="1608BCE8" w14:textId="77777777" w:rsidR="00217A61" w:rsidRDefault="00217A61">
      <w:pPr>
        <w:spacing w:after="0" w:line="240" w:lineRule="auto"/>
      </w:pPr>
    </w:p>
    <w:p w14:paraId="6843CCF9" w14:textId="77777777" w:rsidR="00217A61" w:rsidRDefault="001C2695">
      <w:pPr>
        <w:pStyle w:val="Heading2"/>
        <w:pageBreakBefore/>
        <w:rPr>
          <w:rFonts w:ascii="Calibri" w:hAnsi="Calibri"/>
          <w:i w:val="0"/>
        </w:rPr>
      </w:pPr>
      <w:r>
        <w:rPr>
          <w:rFonts w:ascii="Calibri" w:hAnsi="Calibri"/>
          <w:i w:val="0"/>
        </w:rPr>
        <w:lastRenderedPageBreak/>
        <w:t>SP-25 Priority Needs – 91.315(a)(2)</w:t>
      </w:r>
    </w:p>
    <w:p w14:paraId="0C1B4B3F" w14:textId="77777777" w:rsidR="00217A61" w:rsidRDefault="001C2695">
      <w:pPr>
        <w:keepNext/>
        <w:widowControl w:val="0"/>
        <w:rPr>
          <w:b/>
          <w:sz w:val="24"/>
          <w:szCs w:val="24"/>
        </w:rPr>
      </w:pPr>
      <w:r>
        <w:rPr>
          <w:b/>
          <w:sz w:val="24"/>
          <w:szCs w:val="24"/>
        </w:rPr>
        <w:t>Priority Needs</w:t>
      </w:r>
    </w:p>
    <w:p w14:paraId="0E225AC0" w14:textId="77777777" w:rsidR="00217A61" w:rsidRDefault="001C269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32"/>
        <w:gridCol w:w="7490"/>
      </w:tblGrid>
      <w:tr w:rsidR="00217A61" w14:paraId="58411930" w14:textId="77777777">
        <w:trPr>
          <w:cantSplit/>
        </w:trPr>
        <w:tc>
          <w:tcPr>
            <w:tcW w:w="0" w:type="auto"/>
            <w:vMerge w:val="restart"/>
          </w:tcPr>
          <w:p w14:paraId="57002754" w14:textId="77777777" w:rsidR="00217A61" w:rsidRDefault="001C2695">
            <w:r>
              <w:rPr>
                <w:b/>
              </w:rPr>
              <w:t>1</w:t>
            </w:r>
          </w:p>
        </w:tc>
        <w:tc>
          <w:tcPr>
            <w:tcW w:w="0" w:type="auto"/>
          </w:tcPr>
          <w:p w14:paraId="3BF1A878" w14:textId="77777777" w:rsidR="00217A61" w:rsidRDefault="001C2695">
            <w:pPr>
              <w:keepNext/>
              <w:spacing w:before="100" w:after="0"/>
              <w:rPr>
                <w:b/>
              </w:rPr>
            </w:pPr>
            <w:r>
              <w:rPr>
                <w:b/>
              </w:rPr>
              <w:t>Priority Need Name</w:t>
            </w:r>
          </w:p>
        </w:tc>
        <w:tc>
          <w:tcPr>
            <w:tcW w:w="0" w:type="auto"/>
          </w:tcPr>
          <w:p w14:paraId="40D8CD19" w14:textId="77777777" w:rsidR="00217A61" w:rsidRDefault="001C2695">
            <w:pPr>
              <w:spacing w:before="100" w:after="0"/>
            </w:pPr>
            <w:r>
              <w:rPr>
                <w:color w:val="000000"/>
              </w:rPr>
              <w:t>Housing for non-homeless persons w/ special needs</w:t>
            </w:r>
          </w:p>
        </w:tc>
      </w:tr>
      <w:tr w:rsidR="00217A61" w14:paraId="321B7F3D" w14:textId="77777777">
        <w:trPr>
          <w:cantSplit/>
        </w:trPr>
        <w:tc>
          <w:tcPr>
            <w:tcW w:w="0" w:type="auto"/>
            <w:vMerge/>
          </w:tcPr>
          <w:p w14:paraId="54702FDC" w14:textId="77777777" w:rsidR="00217A61" w:rsidRDefault="00217A61"/>
        </w:tc>
        <w:tc>
          <w:tcPr>
            <w:tcW w:w="0" w:type="auto"/>
          </w:tcPr>
          <w:p w14:paraId="6EE8FA90" w14:textId="77777777" w:rsidR="00217A61" w:rsidRDefault="001C2695">
            <w:pPr>
              <w:keepNext/>
              <w:spacing w:before="100" w:after="0"/>
              <w:rPr>
                <w:b/>
              </w:rPr>
            </w:pPr>
            <w:r>
              <w:rPr>
                <w:b/>
              </w:rPr>
              <w:t>Priority Level</w:t>
            </w:r>
          </w:p>
        </w:tc>
        <w:tc>
          <w:tcPr>
            <w:tcW w:w="0" w:type="auto"/>
          </w:tcPr>
          <w:p w14:paraId="7AE158E0" w14:textId="77777777" w:rsidR="00217A61" w:rsidRDefault="001C2695">
            <w:pPr>
              <w:spacing w:before="100" w:after="0"/>
            </w:pPr>
            <w:r>
              <w:rPr>
                <w:color w:val="000000"/>
              </w:rPr>
              <w:t>High</w:t>
            </w:r>
          </w:p>
        </w:tc>
      </w:tr>
      <w:tr w:rsidR="00217A61" w14:paraId="6A4263CE" w14:textId="77777777">
        <w:trPr>
          <w:cantSplit/>
        </w:trPr>
        <w:tc>
          <w:tcPr>
            <w:tcW w:w="0" w:type="auto"/>
            <w:vMerge/>
          </w:tcPr>
          <w:p w14:paraId="63ED165C" w14:textId="77777777" w:rsidR="00217A61" w:rsidRDefault="00217A61"/>
        </w:tc>
        <w:tc>
          <w:tcPr>
            <w:tcW w:w="0" w:type="auto"/>
          </w:tcPr>
          <w:p w14:paraId="197FA10A" w14:textId="77777777" w:rsidR="00217A61" w:rsidRDefault="001C2695">
            <w:pPr>
              <w:keepNext/>
              <w:spacing w:before="100" w:after="0"/>
              <w:rPr>
                <w:b/>
              </w:rPr>
            </w:pPr>
            <w:r>
              <w:rPr>
                <w:b/>
              </w:rPr>
              <w:t>Population</w:t>
            </w:r>
          </w:p>
        </w:tc>
        <w:tc>
          <w:tcPr>
            <w:tcW w:w="0" w:type="auto"/>
          </w:tcPr>
          <w:p w14:paraId="5051B966" w14:textId="77777777" w:rsidR="00217A61" w:rsidRDefault="001C2695">
            <w:pPr>
              <w:spacing w:before="100" w:after="0"/>
            </w:pPr>
            <w:r>
              <w:rPr>
                <w:color w:val="000000"/>
              </w:rPr>
              <w:t>Elderly</w:t>
            </w:r>
            <w:r>
              <w:rPr>
                <w:color w:val="000000"/>
              </w:rPr>
              <w:br/>
            </w:r>
            <w:proofErr w:type="spellStart"/>
            <w:r>
              <w:rPr>
                <w:color w:val="000000"/>
              </w:rPr>
              <w:t>Elderly</w:t>
            </w:r>
            <w:proofErr w:type="spellEnd"/>
            <w:r>
              <w:rPr>
                <w:color w:val="000000"/>
              </w:rPr>
              <w:br/>
              <w:t>Frail Elderly</w:t>
            </w:r>
            <w:r>
              <w:rPr>
                <w:color w:val="000000"/>
              </w:rPr>
              <w:br/>
              <w:t>Persons with Developmental Disabilities</w:t>
            </w:r>
            <w:r>
              <w:rPr>
                <w:color w:val="000000"/>
              </w:rPr>
              <w:br/>
            </w:r>
            <w:r>
              <w:rPr>
                <w:color w:val="000000"/>
              </w:rPr>
              <w:t>Persons with Alcohol or Other Addictions</w:t>
            </w:r>
            <w:r>
              <w:rPr>
                <w:color w:val="000000"/>
              </w:rPr>
              <w:br/>
              <w:t>Persons with HIV/AIDS and their Families</w:t>
            </w:r>
            <w:r>
              <w:rPr>
                <w:color w:val="000000"/>
              </w:rPr>
              <w:br/>
              <w:t>Victims of Domestic Violence</w:t>
            </w:r>
          </w:p>
        </w:tc>
      </w:tr>
      <w:tr w:rsidR="00217A61" w14:paraId="16E0F754" w14:textId="77777777">
        <w:trPr>
          <w:cantSplit/>
        </w:trPr>
        <w:tc>
          <w:tcPr>
            <w:tcW w:w="0" w:type="auto"/>
            <w:vMerge/>
          </w:tcPr>
          <w:p w14:paraId="0FFBC94E" w14:textId="77777777" w:rsidR="00217A61" w:rsidRDefault="00217A61"/>
        </w:tc>
        <w:tc>
          <w:tcPr>
            <w:tcW w:w="0" w:type="auto"/>
          </w:tcPr>
          <w:p w14:paraId="4966654A" w14:textId="77777777" w:rsidR="00217A61" w:rsidRDefault="001C2695">
            <w:pPr>
              <w:keepNext/>
              <w:spacing w:before="100" w:after="0"/>
              <w:rPr>
                <w:b/>
              </w:rPr>
            </w:pPr>
            <w:r>
              <w:rPr>
                <w:b/>
              </w:rPr>
              <w:t>Geographic Areas Affected</w:t>
            </w:r>
          </w:p>
        </w:tc>
        <w:tc>
          <w:tcPr>
            <w:tcW w:w="0" w:type="auto"/>
          </w:tcPr>
          <w:p w14:paraId="7848AB4F" w14:textId="77777777" w:rsidR="00217A61" w:rsidRDefault="001C2695">
            <w:pPr>
              <w:spacing w:before="100" w:after="0"/>
            </w:pPr>
            <w:r>
              <w:rPr>
                <w:color w:val="000000"/>
              </w:rPr>
              <w:t>Statewide</w:t>
            </w:r>
          </w:p>
        </w:tc>
      </w:tr>
      <w:tr w:rsidR="00217A61" w14:paraId="2DD59DB5" w14:textId="77777777">
        <w:trPr>
          <w:cantSplit/>
        </w:trPr>
        <w:tc>
          <w:tcPr>
            <w:tcW w:w="0" w:type="auto"/>
            <w:vMerge/>
          </w:tcPr>
          <w:p w14:paraId="4F7D0E48" w14:textId="77777777" w:rsidR="00217A61" w:rsidRDefault="00217A61"/>
        </w:tc>
        <w:tc>
          <w:tcPr>
            <w:tcW w:w="0" w:type="auto"/>
          </w:tcPr>
          <w:p w14:paraId="0B99C5EA" w14:textId="77777777" w:rsidR="00217A61" w:rsidRDefault="001C2695">
            <w:pPr>
              <w:keepNext/>
              <w:spacing w:before="100" w:after="0"/>
              <w:rPr>
                <w:b/>
              </w:rPr>
            </w:pPr>
            <w:r>
              <w:rPr>
                <w:b/>
              </w:rPr>
              <w:t>Associated Goals</w:t>
            </w:r>
          </w:p>
        </w:tc>
        <w:tc>
          <w:tcPr>
            <w:tcW w:w="0" w:type="auto"/>
          </w:tcPr>
          <w:p w14:paraId="254A48BF" w14:textId="77777777" w:rsidR="00217A61" w:rsidRDefault="001C2695">
            <w:pPr>
              <w:spacing w:before="100" w:after="0"/>
            </w:pPr>
            <w:r>
              <w:rPr>
                <w:color w:val="000000"/>
              </w:rPr>
              <w:t>Homeowner Housing Rehabilitation</w:t>
            </w:r>
            <w:r>
              <w:rPr>
                <w:color w:val="000000"/>
              </w:rPr>
              <w:br/>
              <w:t>CDBG Neighborhood Revitalization</w:t>
            </w:r>
            <w:r>
              <w:rPr>
                <w:color w:val="000000"/>
              </w:rPr>
              <w:br/>
              <w:t xml:space="preserve">HOPWA-Short-Term Rent </w:t>
            </w:r>
            <w:r>
              <w:rPr>
                <w:color w:val="000000"/>
              </w:rPr>
              <w:t>and Utilities</w:t>
            </w:r>
          </w:p>
        </w:tc>
      </w:tr>
      <w:tr w:rsidR="00217A61" w14:paraId="7C597A72" w14:textId="77777777">
        <w:trPr>
          <w:cantSplit/>
        </w:trPr>
        <w:tc>
          <w:tcPr>
            <w:tcW w:w="0" w:type="auto"/>
            <w:vMerge/>
          </w:tcPr>
          <w:p w14:paraId="770FE5D1" w14:textId="77777777" w:rsidR="00217A61" w:rsidRDefault="00217A61"/>
        </w:tc>
        <w:tc>
          <w:tcPr>
            <w:tcW w:w="0" w:type="auto"/>
          </w:tcPr>
          <w:p w14:paraId="37F0848D" w14:textId="77777777" w:rsidR="00217A61" w:rsidRDefault="001C2695">
            <w:pPr>
              <w:keepNext/>
              <w:spacing w:before="100" w:after="0"/>
              <w:rPr>
                <w:b/>
              </w:rPr>
            </w:pPr>
            <w:r>
              <w:rPr>
                <w:b/>
              </w:rPr>
              <w:t>Description</w:t>
            </w:r>
          </w:p>
        </w:tc>
        <w:tc>
          <w:tcPr>
            <w:tcW w:w="0" w:type="auto"/>
          </w:tcPr>
          <w:p w14:paraId="2119F85B" w14:textId="77777777" w:rsidR="00217A61" w:rsidRDefault="001C2695">
            <w:pPr>
              <w:spacing w:before="100" w:after="0"/>
            </w:pPr>
            <w:r>
              <w:rPr>
                <w:color w:val="000000"/>
              </w:rPr>
              <w:t>Housing for Non-homeless persons with Special Needs, including the elderly, disabled, victims of domestic violence, and households with a member under six where lead threat exists.</w:t>
            </w:r>
          </w:p>
        </w:tc>
      </w:tr>
      <w:tr w:rsidR="00217A61" w14:paraId="1A9CD91C" w14:textId="77777777">
        <w:trPr>
          <w:cantSplit/>
        </w:trPr>
        <w:tc>
          <w:tcPr>
            <w:tcW w:w="0" w:type="auto"/>
            <w:vMerge/>
          </w:tcPr>
          <w:p w14:paraId="0FBB5AE2" w14:textId="77777777" w:rsidR="00217A61" w:rsidRDefault="00217A61"/>
        </w:tc>
        <w:tc>
          <w:tcPr>
            <w:tcW w:w="0" w:type="auto"/>
          </w:tcPr>
          <w:p w14:paraId="219A4022" w14:textId="77777777" w:rsidR="00217A61" w:rsidRDefault="001C2695">
            <w:pPr>
              <w:keepNext/>
              <w:spacing w:before="100" w:after="0"/>
              <w:rPr>
                <w:b/>
              </w:rPr>
            </w:pPr>
            <w:r>
              <w:rPr>
                <w:b/>
              </w:rPr>
              <w:t>Basis for Relative Priority</w:t>
            </w:r>
          </w:p>
        </w:tc>
        <w:tc>
          <w:tcPr>
            <w:tcW w:w="0" w:type="auto"/>
          </w:tcPr>
          <w:p w14:paraId="359B1C63" w14:textId="77777777" w:rsidR="00217A61" w:rsidRDefault="001C2695">
            <w:pPr>
              <w:spacing w:before="100" w:after="0"/>
            </w:pPr>
            <w:r>
              <w:rPr>
                <w:color w:val="000000"/>
              </w:rPr>
              <w:t>Despite downward trends, thousands of North Carolinians are currently homeless and in need of assistance. There were 9,314 homeless individuals in North Carolina identified during the Point-in-Time (PIT) count conducted in late January 2019. Of these 7,046</w:t>
            </w:r>
            <w:r>
              <w:rPr>
                <w:color w:val="000000"/>
              </w:rPr>
              <w:t>, or 76%, were staying in emergency shelters or transitional housing, and 2,268, or 24% were sleeping in unsheltered locations. 73% were adults with no dependent children, and 26% were people in families with children. Fourteen percent (14%) of the homeles</w:t>
            </w:r>
            <w:r>
              <w:rPr>
                <w:color w:val="000000"/>
              </w:rPr>
              <w:t>s population was reported as having a severe mental illness; 11% a substance abuse disorder; 8% were victims of domestic violence, and 10% were veterans. 417 unaccompanied youth were also counted.</w:t>
            </w:r>
          </w:p>
        </w:tc>
      </w:tr>
      <w:tr w:rsidR="00217A61" w14:paraId="38F55A98" w14:textId="77777777">
        <w:trPr>
          <w:cantSplit/>
        </w:trPr>
        <w:tc>
          <w:tcPr>
            <w:tcW w:w="0" w:type="auto"/>
            <w:vMerge w:val="restart"/>
          </w:tcPr>
          <w:p w14:paraId="0E41C42B" w14:textId="77777777" w:rsidR="00217A61" w:rsidRDefault="001C2695">
            <w:r>
              <w:rPr>
                <w:b/>
              </w:rPr>
              <w:t>2</w:t>
            </w:r>
          </w:p>
        </w:tc>
        <w:tc>
          <w:tcPr>
            <w:tcW w:w="0" w:type="auto"/>
          </w:tcPr>
          <w:p w14:paraId="0C0F538E" w14:textId="77777777" w:rsidR="00217A61" w:rsidRDefault="001C2695">
            <w:pPr>
              <w:keepNext/>
              <w:spacing w:before="100" w:after="0"/>
              <w:rPr>
                <w:b/>
              </w:rPr>
            </w:pPr>
            <w:r>
              <w:rPr>
                <w:b/>
              </w:rPr>
              <w:t>Priority Need Name</w:t>
            </w:r>
          </w:p>
        </w:tc>
        <w:tc>
          <w:tcPr>
            <w:tcW w:w="0" w:type="auto"/>
          </w:tcPr>
          <w:p w14:paraId="43052F53" w14:textId="77777777" w:rsidR="00217A61" w:rsidRDefault="001C2695">
            <w:pPr>
              <w:spacing w:before="100" w:after="0"/>
            </w:pPr>
            <w:r>
              <w:rPr>
                <w:color w:val="000000"/>
              </w:rPr>
              <w:t>Housing for households under 30% AMI</w:t>
            </w:r>
          </w:p>
        </w:tc>
      </w:tr>
      <w:tr w:rsidR="00217A61" w14:paraId="73B48041" w14:textId="77777777">
        <w:trPr>
          <w:cantSplit/>
        </w:trPr>
        <w:tc>
          <w:tcPr>
            <w:tcW w:w="0" w:type="auto"/>
            <w:vMerge/>
          </w:tcPr>
          <w:p w14:paraId="37A15216" w14:textId="77777777" w:rsidR="00217A61" w:rsidRDefault="00217A61"/>
        </w:tc>
        <w:tc>
          <w:tcPr>
            <w:tcW w:w="0" w:type="auto"/>
          </w:tcPr>
          <w:p w14:paraId="42D6D9CD" w14:textId="77777777" w:rsidR="00217A61" w:rsidRDefault="001C2695">
            <w:pPr>
              <w:keepNext/>
              <w:spacing w:before="100" w:after="0"/>
              <w:rPr>
                <w:b/>
              </w:rPr>
            </w:pPr>
            <w:r>
              <w:rPr>
                <w:b/>
              </w:rPr>
              <w:t>Priority Level</w:t>
            </w:r>
          </w:p>
        </w:tc>
        <w:tc>
          <w:tcPr>
            <w:tcW w:w="0" w:type="auto"/>
          </w:tcPr>
          <w:p w14:paraId="476E7613" w14:textId="77777777" w:rsidR="00217A61" w:rsidRDefault="001C2695">
            <w:pPr>
              <w:spacing w:before="100" w:after="0"/>
            </w:pPr>
            <w:r>
              <w:rPr>
                <w:color w:val="000000"/>
              </w:rPr>
              <w:t>High</w:t>
            </w:r>
          </w:p>
        </w:tc>
      </w:tr>
      <w:tr w:rsidR="00217A61" w14:paraId="2E118A5D" w14:textId="77777777">
        <w:trPr>
          <w:cantSplit/>
        </w:trPr>
        <w:tc>
          <w:tcPr>
            <w:tcW w:w="0" w:type="auto"/>
            <w:vMerge/>
          </w:tcPr>
          <w:p w14:paraId="6EA93725" w14:textId="77777777" w:rsidR="00217A61" w:rsidRDefault="00217A61"/>
        </w:tc>
        <w:tc>
          <w:tcPr>
            <w:tcW w:w="0" w:type="auto"/>
          </w:tcPr>
          <w:p w14:paraId="6CB57841" w14:textId="77777777" w:rsidR="00217A61" w:rsidRDefault="001C2695">
            <w:pPr>
              <w:keepNext/>
              <w:spacing w:before="100" w:after="0"/>
              <w:rPr>
                <w:b/>
              </w:rPr>
            </w:pPr>
            <w:r>
              <w:rPr>
                <w:b/>
              </w:rPr>
              <w:t>Population</w:t>
            </w:r>
          </w:p>
        </w:tc>
        <w:tc>
          <w:tcPr>
            <w:tcW w:w="0" w:type="auto"/>
          </w:tcPr>
          <w:p w14:paraId="08D35286" w14:textId="77777777" w:rsidR="00217A61" w:rsidRDefault="001C2695">
            <w:pPr>
              <w:spacing w:before="100" w:after="0"/>
            </w:pPr>
            <w:r>
              <w:rPr>
                <w:color w:val="000000"/>
              </w:rPr>
              <w:t>Extremely Low</w:t>
            </w:r>
          </w:p>
        </w:tc>
      </w:tr>
      <w:tr w:rsidR="00217A61" w14:paraId="36261ADA" w14:textId="77777777">
        <w:trPr>
          <w:cantSplit/>
        </w:trPr>
        <w:tc>
          <w:tcPr>
            <w:tcW w:w="0" w:type="auto"/>
            <w:vMerge/>
          </w:tcPr>
          <w:p w14:paraId="71F5E7A6" w14:textId="77777777" w:rsidR="00217A61" w:rsidRDefault="00217A61"/>
        </w:tc>
        <w:tc>
          <w:tcPr>
            <w:tcW w:w="0" w:type="auto"/>
          </w:tcPr>
          <w:p w14:paraId="01C4D1A8" w14:textId="77777777" w:rsidR="00217A61" w:rsidRDefault="001C2695">
            <w:pPr>
              <w:keepNext/>
              <w:spacing w:before="100" w:after="0"/>
              <w:rPr>
                <w:b/>
              </w:rPr>
            </w:pPr>
            <w:r>
              <w:rPr>
                <w:b/>
              </w:rPr>
              <w:t>Geographic Areas Affected</w:t>
            </w:r>
          </w:p>
        </w:tc>
        <w:tc>
          <w:tcPr>
            <w:tcW w:w="0" w:type="auto"/>
          </w:tcPr>
          <w:p w14:paraId="76ABC15E" w14:textId="77777777" w:rsidR="00217A61" w:rsidRDefault="001C2695">
            <w:pPr>
              <w:spacing w:before="100" w:after="0"/>
            </w:pPr>
            <w:r>
              <w:rPr>
                <w:color w:val="000000"/>
              </w:rPr>
              <w:t xml:space="preserve"> </w:t>
            </w:r>
          </w:p>
        </w:tc>
      </w:tr>
      <w:tr w:rsidR="00217A61" w14:paraId="3CD095B5" w14:textId="77777777">
        <w:trPr>
          <w:cantSplit/>
        </w:trPr>
        <w:tc>
          <w:tcPr>
            <w:tcW w:w="0" w:type="auto"/>
            <w:vMerge/>
          </w:tcPr>
          <w:p w14:paraId="6EE0F6BB" w14:textId="77777777" w:rsidR="00217A61" w:rsidRDefault="00217A61"/>
        </w:tc>
        <w:tc>
          <w:tcPr>
            <w:tcW w:w="0" w:type="auto"/>
          </w:tcPr>
          <w:p w14:paraId="47666675" w14:textId="77777777" w:rsidR="00217A61" w:rsidRDefault="001C2695">
            <w:pPr>
              <w:keepNext/>
              <w:spacing w:before="100" w:after="0"/>
              <w:rPr>
                <w:b/>
              </w:rPr>
            </w:pPr>
            <w:r>
              <w:rPr>
                <w:b/>
              </w:rPr>
              <w:t>Associated Goals</w:t>
            </w:r>
          </w:p>
        </w:tc>
        <w:tc>
          <w:tcPr>
            <w:tcW w:w="0" w:type="auto"/>
          </w:tcPr>
          <w:p w14:paraId="3E758087" w14:textId="77777777" w:rsidR="00217A61" w:rsidRDefault="001C2695">
            <w:pPr>
              <w:spacing w:before="100" w:after="0"/>
            </w:pPr>
            <w:r>
              <w:rPr>
                <w:color w:val="000000"/>
              </w:rPr>
              <w:t>Homeowner Housing Rehabilitation</w:t>
            </w:r>
            <w:r>
              <w:rPr>
                <w:color w:val="000000"/>
              </w:rPr>
              <w:br/>
              <w:t>Affordable Homeownership</w:t>
            </w:r>
            <w:r>
              <w:rPr>
                <w:color w:val="000000"/>
              </w:rPr>
              <w:br/>
              <w:t>Affordable Rental Housing</w:t>
            </w:r>
            <w:r>
              <w:rPr>
                <w:color w:val="000000"/>
              </w:rPr>
              <w:br/>
              <w:t>CDBG Neighborhood Revitalization</w:t>
            </w:r>
            <w:r>
              <w:rPr>
                <w:color w:val="000000"/>
              </w:rPr>
              <w:br/>
              <w:t>CDBG Infrastructure</w:t>
            </w:r>
            <w:r>
              <w:rPr>
                <w:color w:val="000000"/>
              </w:rPr>
              <w:br/>
            </w:r>
            <w:r>
              <w:rPr>
                <w:color w:val="000000"/>
              </w:rPr>
              <w:t>HOPWA-Short-Term Rent and Utilities</w:t>
            </w:r>
            <w:r>
              <w:rPr>
                <w:color w:val="000000"/>
              </w:rPr>
              <w:br/>
              <w:t>CDBG Contingency and Urgent Needs</w:t>
            </w:r>
            <w:r>
              <w:rPr>
                <w:color w:val="000000"/>
              </w:rPr>
              <w:br/>
              <w:t>HOPWA Supportive Services</w:t>
            </w:r>
            <w:r>
              <w:rPr>
                <w:color w:val="000000"/>
              </w:rPr>
              <w:br/>
              <w:t>HOPWA Facility-Based</w:t>
            </w:r>
            <w:r>
              <w:rPr>
                <w:color w:val="000000"/>
              </w:rPr>
              <w:br/>
              <w:t>HOPWA Permanent Housing Placement</w:t>
            </w:r>
            <w:r>
              <w:rPr>
                <w:color w:val="000000"/>
              </w:rPr>
              <w:br/>
              <w:t>ESG</w:t>
            </w:r>
          </w:p>
        </w:tc>
      </w:tr>
      <w:tr w:rsidR="00217A61" w14:paraId="38AE0A44" w14:textId="77777777">
        <w:trPr>
          <w:cantSplit/>
        </w:trPr>
        <w:tc>
          <w:tcPr>
            <w:tcW w:w="0" w:type="auto"/>
            <w:vMerge/>
          </w:tcPr>
          <w:p w14:paraId="290C125A" w14:textId="77777777" w:rsidR="00217A61" w:rsidRDefault="00217A61"/>
        </w:tc>
        <w:tc>
          <w:tcPr>
            <w:tcW w:w="0" w:type="auto"/>
          </w:tcPr>
          <w:p w14:paraId="4F28D91E" w14:textId="77777777" w:rsidR="00217A61" w:rsidRDefault="001C2695">
            <w:pPr>
              <w:keepNext/>
              <w:spacing w:before="100" w:after="0"/>
              <w:rPr>
                <w:b/>
              </w:rPr>
            </w:pPr>
            <w:r>
              <w:rPr>
                <w:b/>
              </w:rPr>
              <w:t>Description</w:t>
            </w:r>
          </w:p>
        </w:tc>
        <w:tc>
          <w:tcPr>
            <w:tcW w:w="0" w:type="auto"/>
          </w:tcPr>
          <w:p w14:paraId="6D1E263E" w14:textId="77777777" w:rsidR="00217A61" w:rsidRDefault="001C2695">
            <w:pPr>
              <w:spacing w:before="100" w:after="0"/>
            </w:pPr>
            <w:r>
              <w:rPr>
                <w:color w:val="000000"/>
              </w:rPr>
              <w:t>Affordable housing for households under 30% AMI</w:t>
            </w:r>
          </w:p>
        </w:tc>
      </w:tr>
      <w:tr w:rsidR="00217A61" w14:paraId="5DFF96BD" w14:textId="77777777">
        <w:trPr>
          <w:cantSplit/>
        </w:trPr>
        <w:tc>
          <w:tcPr>
            <w:tcW w:w="0" w:type="auto"/>
            <w:vMerge/>
          </w:tcPr>
          <w:p w14:paraId="07CCA25B" w14:textId="77777777" w:rsidR="00217A61" w:rsidRDefault="00217A61"/>
        </w:tc>
        <w:tc>
          <w:tcPr>
            <w:tcW w:w="0" w:type="auto"/>
          </w:tcPr>
          <w:p w14:paraId="507D33C1" w14:textId="77777777" w:rsidR="00217A61" w:rsidRDefault="001C2695">
            <w:pPr>
              <w:keepNext/>
              <w:spacing w:before="100" w:after="0"/>
              <w:rPr>
                <w:b/>
              </w:rPr>
            </w:pPr>
            <w:r>
              <w:rPr>
                <w:b/>
              </w:rPr>
              <w:t>Basis for Relative Priority</w:t>
            </w:r>
          </w:p>
        </w:tc>
        <w:tc>
          <w:tcPr>
            <w:tcW w:w="0" w:type="auto"/>
          </w:tcPr>
          <w:p w14:paraId="6E3763E1" w14:textId="77777777" w:rsidR="00217A61" w:rsidRDefault="001C2695">
            <w:pPr>
              <w:spacing w:before="100" w:after="0"/>
            </w:pPr>
            <w:r>
              <w:rPr>
                <w:color w:val="000000"/>
              </w:rPr>
              <w:t xml:space="preserve">The housing needs of </w:t>
            </w:r>
            <w:proofErr w:type="gramStart"/>
            <w:r>
              <w:rPr>
                <w:color w:val="000000"/>
              </w:rPr>
              <w:t>extremely-low</w:t>
            </w:r>
            <w:proofErr w:type="gramEnd"/>
            <w:r>
              <w:rPr>
                <w:color w:val="000000"/>
              </w:rPr>
              <w:t xml:space="preserve"> income households are not being met by the current housing stock in North Carolina. According to the Gap report by the National Low Income Housing Coalition, there is a shortage of over 188,000 homes for renters at 30% AM</w:t>
            </w:r>
            <w:r>
              <w:rPr>
                <w:color w:val="000000"/>
              </w:rPr>
              <w:t>I and below.</w:t>
            </w:r>
          </w:p>
        </w:tc>
      </w:tr>
      <w:tr w:rsidR="00217A61" w14:paraId="4F255C57" w14:textId="77777777">
        <w:trPr>
          <w:cantSplit/>
        </w:trPr>
        <w:tc>
          <w:tcPr>
            <w:tcW w:w="0" w:type="auto"/>
            <w:vMerge w:val="restart"/>
          </w:tcPr>
          <w:p w14:paraId="3146AEFF" w14:textId="77777777" w:rsidR="00217A61" w:rsidRDefault="001C2695">
            <w:r>
              <w:rPr>
                <w:b/>
              </w:rPr>
              <w:t>3</w:t>
            </w:r>
          </w:p>
        </w:tc>
        <w:tc>
          <w:tcPr>
            <w:tcW w:w="0" w:type="auto"/>
          </w:tcPr>
          <w:p w14:paraId="7FB43A69" w14:textId="77777777" w:rsidR="00217A61" w:rsidRDefault="001C2695">
            <w:pPr>
              <w:keepNext/>
              <w:spacing w:before="100" w:after="0"/>
              <w:rPr>
                <w:b/>
              </w:rPr>
            </w:pPr>
            <w:r>
              <w:rPr>
                <w:b/>
              </w:rPr>
              <w:t>Priority Need Name</w:t>
            </w:r>
          </w:p>
        </w:tc>
        <w:tc>
          <w:tcPr>
            <w:tcW w:w="0" w:type="auto"/>
          </w:tcPr>
          <w:p w14:paraId="4031BCD0" w14:textId="77777777" w:rsidR="00217A61" w:rsidRDefault="001C2695">
            <w:pPr>
              <w:spacing w:before="100" w:after="0"/>
            </w:pPr>
            <w:r>
              <w:rPr>
                <w:color w:val="000000"/>
              </w:rPr>
              <w:t>Housing for households 31-60% AMI</w:t>
            </w:r>
          </w:p>
        </w:tc>
      </w:tr>
      <w:tr w:rsidR="00217A61" w14:paraId="11A708AA" w14:textId="77777777">
        <w:trPr>
          <w:cantSplit/>
        </w:trPr>
        <w:tc>
          <w:tcPr>
            <w:tcW w:w="0" w:type="auto"/>
            <w:vMerge/>
          </w:tcPr>
          <w:p w14:paraId="67545B35" w14:textId="77777777" w:rsidR="00217A61" w:rsidRDefault="00217A61"/>
        </w:tc>
        <w:tc>
          <w:tcPr>
            <w:tcW w:w="0" w:type="auto"/>
          </w:tcPr>
          <w:p w14:paraId="2A3BE5C9" w14:textId="77777777" w:rsidR="00217A61" w:rsidRDefault="001C2695">
            <w:pPr>
              <w:keepNext/>
              <w:spacing w:before="100" w:after="0"/>
              <w:rPr>
                <w:b/>
              </w:rPr>
            </w:pPr>
            <w:r>
              <w:rPr>
                <w:b/>
              </w:rPr>
              <w:t>Priority Level</w:t>
            </w:r>
          </w:p>
        </w:tc>
        <w:tc>
          <w:tcPr>
            <w:tcW w:w="0" w:type="auto"/>
          </w:tcPr>
          <w:p w14:paraId="56EB0837" w14:textId="77777777" w:rsidR="00217A61" w:rsidRDefault="001C2695">
            <w:pPr>
              <w:spacing w:before="100" w:after="0"/>
            </w:pPr>
            <w:r>
              <w:rPr>
                <w:color w:val="000000"/>
              </w:rPr>
              <w:t>High</w:t>
            </w:r>
          </w:p>
        </w:tc>
      </w:tr>
      <w:tr w:rsidR="00217A61" w14:paraId="5BFBECAF" w14:textId="77777777">
        <w:trPr>
          <w:cantSplit/>
        </w:trPr>
        <w:tc>
          <w:tcPr>
            <w:tcW w:w="0" w:type="auto"/>
            <w:vMerge/>
          </w:tcPr>
          <w:p w14:paraId="50041DB3" w14:textId="77777777" w:rsidR="00217A61" w:rsidRDefault="00217A61"/>
        </w:tc>
        <w:tc>
          <w:tcPr>
            <w:tcW w:w="0" w:type="auto"/>
          </w:tcPr>
          <w:p w14:paraId="48F441DB" w14:textId="77777777" w:rsidR="00217A61" w:rsidRDefault="001C2695">
            <w:pPr>
              <w:keepNext/>
              <w:spacing w:before="100" w:after="0"/>
              <w:rPr>
                <w:b/>
              </w:rPr>
            </w:pPr>
            <w:r>
              <w:rPr>
                <w:b/>
              </w:rPr>
              <w:t>Population</w:t>
            </w:r>
          </w:p>
        </w:tc>
        <w:tc>
          <w:tcPr>
            <w:tcW w:w="0" w:type="auto"/>
          </w:tcPr>
          <w:p w14:paraId="5D8F42A0" w14:textId="77777777" w:rsidR="00217A61" w:rsidRDefault="001C2695">
            <w:pPr>
              <w:spacing w:before="100" w:after="0"/>
            </w:pPr>
            <w:r>
              <w:rPr>
                <w:color w:val="000000"/>
              </w:rPr>
              <w:t>Low</w:t>
            </w:r>
          </w:p>
        </w:tc>
      </w:tr>
      <w:tr w:rsidR="00217A61" w14:paraId="08BEC3A4" w14:textId="77777777">
        <w:trPr>
          <w:cantSplit/>
        </w:trPr>
        <w:tc>
          <w:tcPr>
            <w:tcW w:w="0" w:type="auto"/>
            <w:vMerge/>
          </w:tcPr>
          <w:p w14:paraId="6AB3D960" w14:textId="77777777" w:rsidR="00217A61" w:rsidRDefault="00217A61"/>
        </w:tc>
        <w:tc>
          <w:tcPr>
            <w:tcW w:w="0" w:type="auto"/>
          </w:tcPr>
          <w:p w14:paraId="10A735FC" w14:textId="77777777" w:rsidR="00217A61" w:rsidRDefault="001C2695">
            <w:pPr>
              <w:keepNext/>
              <w:spacing w:before="100" w:after="0"/>
              <w:rPr>
                <w:b/>
              </w:rPr>
            </w:pPr>
            <w:r>
              <w:rPr>
                <w:b/>
              </w:rPr>
              <w:t>Geographic Areas Affected</w:t>
            </w:r>
          </w:p>
        </w:tc>
        <w:tc>
          <w:tcPr>
            <w:tcW w:w="0" w:type="auto"/>
          </w:tcPr>
          <w:p w14:paraId="79CEAC8E" w14:textId="77777777" w:rsidR="00217A61" w:rsidRDefault="001C2695">
            <w:pPr>
              <w:spacing w:before="100" w:after="0"/>
            </w:pPr>
            <w:r>
              <w:rPr>
                <w:color w:val="000000"/>
              </w:rPr>
              <w:t>Statewide</w:t>
            </w:r>
          </w:p>
        </w:tc>
      </w:tr>
      <w:tr w:rsidR="00217A61" w14:paraId="49230E14" w14:textId="77777777">
        <w:trPr>
          <w:cantSplit/>
        </w:trPr>
        <w:tc>
          <w:tcPr>
            <w:tcW w:w="0" w:type="auto"/>
            <w:vMerge/>
          </w:tcPr>
          <w:p w14:paraId="19642E64" w14:textId="77777777" w:rsidR="00217A61" w:rsidRDefault="00217A61"/>
        </w:tc>
        <w:tc>
          <w:tcPr>
            <w:tcW w:w="0" w:type="auto"/>
          </w:tcPr>
          <w:p w14:paraId="33547491" w14:textId="77777777" w:rsidR="00217A61" w:rsidRDefault="001C2695">
            <w:pPr>
              <w:keepNext/>
              <w:spacing w:before="100" w:after="0"/>
              <w:rPr>
                <w:b/>
              </w:rPr>
            </w:pPr>
            <w:r>
              <w:rPr>
                <w:b/>
              </w:rPr>
              <w:t>Associated Goals</w:t>
            </w:r>
          </w:p>
        </w:tc>
        <w:tc>
          <w:tcPr>
            <w:tcW w:w="0" w:type="auto"/>
          </w:tcPr>
          <w:p w14:paraId="4A08A808" w14:textId="77777777" w:rsidR="00217A61" w:rsidRDefault="001C2695">
            <w:pPr>
              <w:spacing w:before="100" w:after="0"/>
            </w:pPr>
            <w:r>
              <w:rPr>
                <w:color w:val="000000"/>
              </w:rPr>
              <w:t>Homeowner Housing Rehabilitation</w:t>
            </w:r>
            <w:r>
              <w:rPr>
                <w:color w:val="000000"/>
              </w:rPr>
              <w:br/>
              <w:t>Affordable Homeownership</w:t>
            </w:r>
            <w:r>
              <w:rPr>
                <w:color w:val="000000"/>
              </w:rPr>
              <w:br/>
            </w:r>
            <w:r>
              <w:rPr>
                <w:color w:val="000000"/>
              </w:rPr>
              <w:t>Affordable Rental Housing</w:t>
            </w:r>
            <w:r>
              <w:rPr>
                <w:color w:val="000000"/>
              </w:rPr>
              <w:br/>
              <w:t>CDBG Neighborhood Revitalization</w:t>
            </w:r>
            <w:r>
              <w:rPr>
                <w:color w:val="000000"/>
              </w:rPr>
              <w:br/>
              <w:t>CDBG Infrastructure</w:t>
            </w:r>
            <w:r>
              <w:rPr>
                <w:color w:val="000000"/>
              </w:rPr>
              <w:br/>
              <w:t>CDBG Contingency and Urgent Needs</w:t>
            </w:r>
            <w:r>
              <w:rPr>
                <w:color w:val="000000"/>
              </w:rPr>
              <w:br/>
              <w:t>HOPWA Supportive Services</w:t>
            </w:r>
            <w:r>
              <w:rPr>
                <w:color w:val="000000"/>
              </w:rPr>
              <w:br/>
              <w:t>HOPWA Facility-Based</w:t>
            </w:r>
            <w:r>
              <w:rPr>
                <w:color w:val="000000"/>
              </w:rPr>
              <w:br/>
              <w:t>HOPWA Permanent Housing Placement</w:t>
            </w:r>
            <w:r>
              <w:rPr>
                <w:color w:val="000000"/>
              </w:rPr>
              <w:br/>
              <w:t>ESG</w:t>
            </w:r>
          </w:p>
        </w:tc>
      </w:tr>
      <w:tr w:rsidR="00217A61" w14:paraId="04C637CB" w14:textId="77777777">
        <w:trPr>
          <w:cantSplit/>
        </w:trPr>
        <w:tc>
          <w:tcPr>
            <w:tcW w:w="0" w:type="auto"/>
            <w:vMerge/>
          </w:tcPr>
          <w:p w14:paraId="60DFE091" w14:textId="77777777" w:rsidR="00217A61" w:rsidRDefault="00217A61"/>
        </w:tc>
        <w:tc>
          <w:tcPr>
            <w:tcW w:w="0" w:type="auto"/>
          </w:tcPr>
          <w:p w14:paraId="07B70993" w14:textId="77777777" w:rsidR="00217A61" w:rsidRDefault="001C2695">
            <w:pPr>
              <w:keepNext/>
              <w:spacing w:before="100" w:after="0"/>
              <w:rPr>
                <w:b/>
              </w:rPr>
            </w:pPr>
            <w:r>
              <w:rPr>
                <w:b/>
              </w:rPr>
              <w:t>Description</w:t>
            </w:r>
          </w:p>
        </w:tc>
        <w:tc>
          <w:tcPr>
            <w:tcW w:w="0" w:type="auto"/>
          </w:tcPr>
          <w:p w14:paraId="13F6F94A" w14:textId="77777777" w:rsidR="00217A61" w:rsidRDefault="001C2695">
            <w:pPr>
              <w:spacing w:before="100" w:after="0"/>
            </w:pPr>
            <w:r>
              <w:rPr>
                <w:color w:val="000000"/>
              </w:rPr>
              <w:t>Affordable housing for households earning 31-60% of area median income</w:t>
            </w:r>
          </w:p>
        </w:tc>
      </w:tr>
      <w:tr w:rsidR="00217A61" w14:paraId="65B7148A" w14:textId="77777777">
        <w:trPr>
          <w:cantSplit/>
        </w:trPr>
        <w:tc>
          <w:tcPr>
            <w:tcW w:w="0" w:type="auto"/>
            <w:vMerge/>
          </w:tcPr>
          <w:p w14:paraId="43572B28" w14:textId="77777777" w:rsidR="00217A61" w:rsidRDefault="00217A61"/>
        </w:tc>
        <w:tc>
          <w:tcPr>
            <w:tcW w:w="0" w:type="auto"/>
          </w:tcPr>
          <w:p w14:paraId="021F7128" w14:textId="77777777" w:rsidR="00217A61" w:rsidRDefault="001C2695">
            <w:pPr>
              <w:keepNext/>
              <w:spacing w:before="100" w:after="0"/>
              <w:rPr>
                <w:b/>
              </w:rPr>
            </w:pPr>
            <w:r>
              <w:rPr>
                <w:b/>
              </w:rPr>
              <w:t>Basis for Relative Priority</w:t>
            </w:r>
          </w:p>
        </w:tc>
        <w:tc>
          <w:tcPr>
            <w:tcW w:w="0" w:type="auto"/>
          </w:tcPr>
          <w:p w14:paraId="0B44B3EC" w14:textId="77777777" w:rsidR="00217A61" w:rsidRDefault="001C2695">
            <w:pPr>
              <w:spacing w:before="100" w:after="0"/>
            </w:pPr>
            <w:r>
              <w:rPr>
                <w:color w:val="000000"/>
              </w:rPr>
              <w:t>The housing needs of very-</w:t>
            </w:r>
            <w:proofErr w:type="gramStart"/>
            <w:r>
              <w:rPr>
                <w:color w:val="000000"/>
              </w:rPr>
              <w:t>low income</w:t>
            </w:r>
            <w:proofErr w:type="gramEnd"/>
            <w:r>
              <w:rPr>
                <w:color w:val="000000"/>
              </w:rPr>
              <w:t xml:space="preserve"> households are not being met by the current housing stock in North Carolina. According to the Gap report by the Nation</w:t>
            </w:r>
            <w:r>
              <w:rPr>
                <w:color w:val="000000"/>
              </w:rPr>
              <w:t>al Low Income Housing Coalition, there is a shortage of 191,310 for renters at 50% AMI and below. </w:t>
            </w:r>
          </w:p>
        </w:tc>
      </w:tr>
      <w:tr w:rsidR="00217A61" w14:paraId="3D43D038" w14:textId="77777777">
        <w:trPr>
          <w:cantSplit/>
        </w:trPr>
        <w:tc>
          <w:tcPr>
            <w:tcW w:w="0" w:type="auto"/>
            <w:vMerge w:val="restart"/>
          </w:tcPr>
          <w:p w14:paraId="3B9BDE9F" w14:textId="77777777" w:rsidR="00217A61" w:rsidRDefault="001C2695">
            <w:r>
              <w:rPr>
                <w:b/>
              </w:rPr>
              <w:t>4</w:t>
            </w:r>
          </w:p>
        </w:tc>
        <w:tc>
          <w:tcPr>
            <w:tcW w:w="0" w:type="auto"/>
          </w:tcPr>
          <w:p w14:paraId="65B844EA" w14:textId="77777777" w:rsidR="00217A61" w:rsidRDefault="001C2695">
            <w:pPr>
              <w:keepNext/>
              <w:spacing w:before="100" w:after="0"/>
              <w:rPr>
                <w:b/>
              </w:rPr>
            </w:pPr>
            <w:r>
              <w:rPr>
                <w:b/>
              </w:rPr>
              <w:t>Priority Need Name</w:t>
            </w:r>
          </w:p>
        </w:tc>
        <w:tc>
          <w:tcPr>
            <w:tcW w:w="0" w:type="auto"/>
          </w:tcPr>
          <w:p w14:paraId="6938A5F6" w14:textId="77777777" w:rsidR="00217A61" w:rsidRDefault="001C2695">
            <w:pPr>
              <w:spacing w:before="100" w:after="0"/>
            </w:pPr>
            <w:r>
              <w:rPr>
                <w:color w:val="000000"/>
              </w:rPr>
              <w:t>Housing for households 61-80% AMI</w:t>
            </w:r>
          </w:p>
        </w:tc>
      </w:tr>
      <w:tr w:rsidR="00217A61" w14:paraId="49E213F5" w14:textId="77777777">
        <w:trPr>
          <w:cantSplit/>
        </w:trPr>
        <w:tc>
          <w:tcPr>
            <w:tcW w:w="0" w:type="auto"/>
            <w:vMerge/>
          </w:tcPr>
          <w:p w14:paraId="6D97C5DD" w14:textId="77777777" w:rsidR="00217A61" w:rsidRDefault="00217A61"/>
        </w:tc>
        <w:tc>
          <w:tcPr>
            <w:tcW w:w="0" w:type="auto"/>
          </w:tcPr>
          <w:p w14:paraId="728EA119" w14:textId="77777777" w:rsidR="00217A61" w:rsidRDefault="001C2695">
            <w:pPr>
              <w:keepNext/>
              <w:spacing w:before="100" w:after="0"/>
              <w:rPr>
                <w:b/>
              </w:rPr>
            </w:pPr>
            <w:r>
              <w:rPr>
                <w:b/>
              </w:rPr>
              <w:t>Priority Level</w:t>
            </w:r>
          </w:p>
        </w:tc>
        <w:tc>
          <w:tcPr>
            <w:tcW w:w="0" w:type="auto"/>
          </w:tcPr>
          <w:p w14:paraId="64C738FC" w14:textId="77777777" w:rsidR="00217A61" w:rsidRDefault="001C2695">
            <w:pPr>
              <w:spacing w:before="100" w:after="0"/>
            </w:pPr>
            <w:r>
              <w:rPr>
                <w:color w:val="000000"/>
              </w:rPr>
              <w:t>Low</w:t>
            </w:r>
          </w:p>
        </w:tc>
      </w:tr>
      <w:tr w:rsidR="00217A61" w14:paraId="11BFC39D" w14:textId="77777777">
        <w:trPr>
          <w:cantSplit/>
        </w:trPr>
        <w:tc>
          <w:tcPr>
            <w:tcW w:w="0" w:type="auto"/>
            <w:vMerge/>
          </w:tcPr>
          <w:p w14:paraId="012473E0" w14:textId="77777777" w:rsidR="00217A61" w:rsidRDefault="00217A61"/>
        </w:tc>
        <w:tc>
          <w:tcPr>
            <w:tcW w:w="0" w:type="auto"/>
          </w:tcPr>
          <w:p w14:paraId="6E7E11FE" w14:textId="77777777" w:rsidR="00217A61" w:rsidRDefault="001C2695">
            <w:pPr>
              <w:keepNext/>
              <w:spacing w:before="100" w:after="0"/>
              <w:rPr>
                <w:b/>
              </w:rPr>
            </w:pPr>
            <w:r>
              <w:rPr>
                <w:b/>
              </w:rPr>
              <w:t>Population</w:t>
            </w:r>
          </w:p>
        </w:tc>
        <w:tc>
          <w:tcPr>
            <w:tcW w:w="0" w:type="auto"/>
          </w:tcPr>
          <w:p w14:paraId="75853143" w14:textId="77777777" w:rsidR="00217A61" w:rsidRDefault="001C2695">
            <w:pPr>
              <w:spacing w:before="100" w:after="0"/>
            </w:pPr>
            <w:r>
              <w:rPr>
                <w:color w:val="000000"/>
              </w:rPr>
              <w:t>Low</w:t>
            </w:r>
          </w:p>
        </w:tc>
      </w:tr>
      <w:tr w:rsidR="00217A61" w14:paraId="2CB8BC3B" w14:textId="77777777">
        <w:trPr>
          <w:cantSplit/>
        </w:trPr>
        <w:tc>
          <w:tcPr>
            <w:tcW w:w="0" w:type="auto"/>
            <w:vMerge/>
          </w:tcPr>
          <w:p w14:paraId="04C023A6" w14:textId="77777777" w:rsidR="00217A61" w:rsidRDefault="00217A61"/>
        </w:tc>
        <w:tc>
          <w:tcPr>
            <w:tcW w:w="0" w:type="auto"/>
          </w:tcPr>
          <w:p w14:paraId="5A2440F7" w14:textId="77777777" w:rsidR="00217A61" w:rsidRDefault="001C2695">
            <w:pPr>
              <w:keepNext/>
              <w:spacing w:before="100" w:after="0"/>
              <w:rPr>
                <w:b/>
              </w:rPr>
            </w:pPr>
            <w:r>
              <w:rPr>
                <w:b/>
              </w:rPr>
              <w:t>Geographic Areas Affected</w:t>
            </w:r>
          </w:p>
        </w:tc>
        <w:tc>
          <w:tcPr>
            <w:tcW w:w="0" w:type="auto"/>
          </w:tcPr>
          <w:p w14:paraId="3BDD1D45" w14:textId="77777777" w:rsidR="00217A61" w:rsidRDefault="001C2695">
            <w:pPr>
              <w:spacing w:before="100" w:after="0"/>
            </w:pPr>
            <w:r>
              <w:rPr>
                <w:color w:val="000000"/>
              </w:rPr>
              <w:t>Statewide</w:t>
            </w:r>
          </w:p>
        </w:tc>
      </w:tr>
      <w:tr w:rsidR="00217A61" w14:paraId="346A818B" w14:textId="77777777">
        <w:trPr>
          <w:cantSplit/>
        </w:trPr>
        <w:tc>
          <w:tcPr>
            <w:tcW w:w="0" w:type="auto"/>
            <w:vMerge/>
          </w:tcPr>
          <w:p w14:paraId="4619E6F2" w14:textId="77777777" w:rsidR="00217A61" w:rsidRDefault="00217A61"/>
        </w:tc>
        <w:tc>
          <w:tcPr>
            <w:tcW w:w="0" w:type="auto"/>
          </w:tcPr>
          <w:p w14:paraId="6ABD9EA3" w14:textId="77777777" w:rsidR="00217A61" w:rsidRDefault="001C2695">
            <w:pPr>
              <w:keepNext/>
              <w:spacing w:before="100" w:after="0"/>
              <w:rPr>
                <w:b/>
              </w:rPr>
            </w:pPr>
            <w:r>
              <w:rPr>
                <w:b/>
              </w:rPr>
              <w:t>Associated Goals</w:t>
            </w:r>
          </w:p>
        </w:tc>
        <w:tc>
          <w:tcPr>
            <w:tcW w:w="0" w:type="auto"/>
          </w:tcPr>
          <w:p w14:paraId="077BD36C" w14:textId="77777777" w:rsidR="00217A61" w:rsidRDefault="001C2695">
            <w:pPr>
              <w:spacing w:before="100" w:after="0"/>
            </w:pPr>
            <w:r>
              <w:rPr>
                <w:color w:val="000000"/>
              </w:rPr>
              <w:t>Homeowner Housing Rehabilitation</w:t>
            </w:r>
            <w:r>
              <w:rPr>
                <w:color w:val="000000"/>
              </w:rPr>
              <w:br/>
              <w:t>Affordable Homeownership</w:t>
            </w:r>
            <w:r>
              <w:rPr>
                <w:color w:val="000000"/>
              </w:rPr>
              <w:br/>
              <w:t>CDBG Neighborhood Revitalization</w:t>
            </w:r>
            <w:r>
              <w:rPr>
                <w:color w:val="000000"/>
              </w:rPr>
              <w:br/>
              <w:t>CDBG Infrastructure</w:t>
            </w:r>
            <w:r>
              <w:rPr>
                <w:color w:val="000000"/>
              </w:rPr>
              <w:br/>
              <w:t>HOPWA Supportive Services</w:t>
            </w:r>
            <w:r>
              <w:rPr>
                <w:color w:val="000000"/>
              </w:rPr>
              <w:br/>
              <w:t>HOPWA Facility-Based</w:t>
            </w:r>
            <w:r>
              <w:rPr>
                <w:color w:val="000000"/>
              </w:rPr>
              <w:br/>
              <w:t>HOPWA Permanent Housing Placement</w:t>
            </w:r>
            <w:r>
              <w:rPr>
                <w:color w:val="000000"/>
              </w:rPr>
              <w:br/>
              <w:t>ESG</w:t>
            </w:r>
          </w:p>
        </w:tc>
      </w:tr>
      <w:tr w:rsidR="00217A61" w14:paraId="17FB4324" w14:textId="77777777">
        <w:trPr>
          <w:cantSplit/>
        </w:trPr>
        <w:tc>
          <w:tcPr>
            <w:tcW w:w="0" w:type="auto"/>
            <w:vMerge/>
          </w:tcPr>
          <w:p w14:paraId="74F88AE2" w14:textId="77777777" w:rsidR="00217A61" w:rsidRDefault="00217A61"/>
        </w:tc>
        <w:tc>
          <w:tcPr>
            <w:tcW w:w="0" w:type="auto"/>
          </w:tcPr>
          <w:p w14:paraId="7DF4F4B0" w14:textId="77777777" w:rsidR="00217A61" w:rsidRDefault="001C2695">
            <w:pPr>
              <w:keepNext/>
              <w:spacing w:before="100" w:after="0"/>
              <w:rPr>
                <w:b/>
              </w:rPr>
            </w:pPr>
            <w:r>
              <w:rPr>
                <w:b/>
              </w:rPr>
              <w:t>Description</w:t>
            </w:r>
          </w:p>
        </w:tc>
        <w:tc>
          <w:tcPr>
            <w:tcW w:w="0" w:type="auto"/>
          </w:tcPr>
          <w:p w14:paraId="395BF60E" w14:textId="77777777" w:rsidR="00217A61" w:rsidRDefault="001C2695">
            <w:pPr>
              <w:spacing w:before="100" w:after="0"/>
            </w:pPr>
            <w:r>
              <w:rPr>
                <w:color w:val="000000"/>
              </w:rPr>
              <w:t>Affordable housing for households earning 61-80% of Area Median Income.</w:t>
            </w:r>
          </w:p>
        </w:tc>
      </w:tr>
      <w:tr w:rsidR="00217A61" w14:paraId="5A95EF4A" w14:textId="77777777">
        <w:trPr>
          <w:cantSplit/>
        </w:trPr>
        <w:tc>
          <w:tcPr>
            <w:tcW w:w="0" w:type="auto"/>
            <w:vMerge/>
          </w:tcPr>
          <w:p w14:paraId="1D4B7D91" w14:textId="77777777" w:rsidR="00217A61" w:rsidRDefault="00217A61"/>
        </w:tc>
        <w:tc>
          <w:tcPr>
            <w:tcW w:w="0" w:type="auto"/>
          </w:tcPr>
          <w:p w14:paraId="741CF412" w14:textId="77777777" w:rsidR="00217A61" w:rsidRDefault="001C2695">
            <w:pPr>
              <w:keepNext/>
              <w:spacing w:before="100" w:after="0"/>
              <w:rPr>
                <w:b/>
              </w:rPr>
            </w:pPr>
            <w:r>
              <w:rPr>
                <w:b/>
              </w:rPr>
              <w:t>Basis for Relative Priority</w:t>
            </w:r>
          </w:p>
        </w:tc>
        <w:tc>
          <w:tcPr>
            <w:tcW w:w="0" w:type="auto"/>
          </w:tcPr>
          <w:p w14:paraId="15CC52EC" w14:textId="77777777" w:rsidR="00217A61" w:rsidRDefault="001C2695">
            <w:pPr>
              <w:spacing w:before="100" w:after="0"/>
            </w:pPr>
            <w:r>
              <w:rPr>
                <w:color w:val="000000"/>
              </w:rPr>
              <w:t>inadequate market supply and competition for affordable units continue to pose substantial challenges for low-income households</w:t>
            </w:r>
          </w:p>
        </w:tc>
      </w:tr>
    </w:tbl>
    <w:p w14:paraId="4509D5A1" w14:textId="77777777" w:rsidR="00217A61" w:rsidRDefault="00217A61"/>
    <w:p w14:paraId="255562F9" w14:textId="77777777" w:rsidR="00217A61" w:rsidRDefault="001C2695">
      <w:pPr>
        <w:keepNext/>
        <w:widowControl w:val="0"/>
        <w:rPr>
          <w:b/>
          <w:sz w:val="24"/>
          <w:szCs w:val="24"/>
        </w:rPr>
      </w:pPr>
      <w:r>
        <w:rPr>
          <w:b/>
          <w:sz w:val="24"/>
          <w:szCs w:val="24"/>
        </w:rPr>
        <w:t>Narrative (Optional)</w:t>
      </w:r>
    </w:p>
    <w:p w14:paraId="57C2A9FF" w14:textId="77777777" w:rsidR="00217A61" w:rsidRDefault="00217A61">
      <w:pPr>
        <w:spacing w:after="0" w:line="240" w:lineRule="auto"/>
      </w:pPr>
    </w:p>
    <w:p w14:paraId="620076AC" w14:textId="77777777" w:rsidR="00217A61" w:rsidRDefault="001C2695">
      <w:pPr>
        <w:pStyle w:val="Heading2"/>
        <w:pageBreakBefore/>
        <w:rPr>
          <w:rFonts w:ascii="Calibri" w:hAnsi="Calibri"/>
          <w:i w:val="0"/>
        </w:rPr>
      </w:pPr>
      <w:r>
        <w:rPr>
          <w:rFonts w:ascii="Calibri" w:hAnsi="Calibri"/>
          <w:i w:val="0"/>
        </w:rPr>
        <w:lastRenderedPageBreak/>
        <w:t>SP</w:t>
      </w:r>
      <w:r>
        <w:rPr>
          <w:rFonts w:ascii="Calibri" w:hAnsi="Calibri"/>
          <w:i w:val="0"/>
        </w:rPr>
        <w:t>-30 Influence of Market Conditions – 91.315(b)</w:t>
      </w:r>
    </w:p>
    <w:p w14:paraId="46D598EC" w14:textId="77777777" w:rsidR="00217A61" w:rsidRDefault="001C2695">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236"/>
      </w:tblGrid>
      <w:tr w:rsidR="00217A61" w14:paraId="1845C335" w14:textId="77777777">
        <w:trPr>
          <w:cantSplit/>
          <w:tblHeader/>
        </w:trPr>
        <w:tc>
          <w:tcPr>
            <w:tcW w:w="0" w:type="auto"/>
          </w:tcPr>
          <w:p w14:paraId="0B5879EB" w14:textId="77777777" w:rsidR="00217A61" w:rsidRDefault="001C2695">
            <w:pPr>
              <w:keepNext/>
              <w:widowControl w:val="0"/>
              <w:spacing w:after="0" w:line="240" w:lineRule="auto"/>
              <w:jc w:val="center"/>
              <w:rPr>
                <w:b/>
                <w:sz w:val="24"/>
                <w:szCs w:val="24"/>
              </w:rPr>
            </w:pPr>
            <w:r>
              <w:rPr>
                <w:b/>
                <w:bCs/>
              </w:rPr>
              <w:t>Affordable Housing Type</w:t>
            </w:r>
          </w:p>
        </w:tc>
        <w:tc>
          <w:tcPr>
            <w:tcW w:w="0" w:type="auto"/>
          </w:tcPr>
          <w:p w14:paraId="5C49DA3A" w14:textId="77777777" w:rsidR="00217A61" w:rsidRDefault="001C2695">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217A61" w14:paraId="00354530" w14:textId="77777777">
        <w:trPr>
          <w:cantSplit/>
        </w:trPr>
        <w:tc>
          <w:tcPr>
            <w:tcW w:w="0" w:type="auto"/>
          </w:tcPr>
          <w:p w14:paraId="475E7D74" w14:textId="77777777" w:rsidR="00217A61" w:rsidRDefault="001C2695">
            <w:pPr>
              <w:spacing w:beforeAutospacing="1" w:afterAutospacing="1"/>
            </w:pPr>
            <w:r>
              <w:rPr>
                <w:color w:val="000000"/>
              </w:rPr>
              <w:t>Tenant Based Rental Assistance (TBRA)</w:t>
            </w:r>
          </w:p>
        </w:tc>
        <w:tc>
          <w:tcPr>
            <w:tcW w:w="0" w:type="auto"/>
          </w:tcPr>
          <w:p w14:paraId="0EFFA3A2" w14:textId="77777777" w:rsidR="00217A61" w:rsidRDefault="001C2695">
            <w:pPr>
              <w:spacing w:beforeAutospacing="1" w:afterAutospacing="1"/>
            </w:pPr>
            <w:r>
              <w:rPr>
                <w:color w:val="000000"/>
              </w:rPr>
              <w:t xml:space="preserve"> </w:t>
            </w:r>
          </w:p>
        </w:tc>
      </w:tr>
      <w:tr w:rsidR="00217A61" w14:paraId="67FBE657" w14:textId="77777777">
        <w:trPr>
          <w:cantSplit/>
        </w:trPr>
        <w:tc>
          <w:tcPr>
            <w:tcW w:w="0" w:type="auto"/>
          </w:tcPr>
          <w:p w14:paraId="16ABF2EB" w14:textId="77777777" w:rsidR="00217A61" w:rsidRDefault="001C2695">
            <w:pPr>
              <w:spacing w:beforeAutospacing="1" w:afterAutospacing="1"/>
            </w:pPr>
            <w:r>
              <w:rPr>
                <w:color w:val="000000"/>
              </w:rPr>
              <w:t>TBRA for Non-Homeless Special Needs</w:t>
            </w:r>
          </w:p>
        </w:tc>
        <w:tc>
          <w:tcPr>
            <w:tcW w:w="0" w:type="auto"/>
          </w:tcPr>
          <w:p w14:paraId="5D92E8DA" w14:textId="77777777" w:rsidR="00217A61" w:rsidRDefault="001C2695">
            <w:pPr>
              <w:spacing w:beforeAutospacing="1" w:afterAutospacing="1"/>
            </w:pPr>
            <w:r>
              <w:rPr>
                <w:color w:val="000000"/>
              </w:rPr>
              <w:t xml:space="preserve"> </w:t>
            </w:r>
          </w:p>
        </w:tc>
      </w:tr>
      <w:tr w:rsidR="00217A61" w14:paraId="5632AFBB" w14:textId="77777777">
        <w:trPr>
          <w:cantSplit/>
        </w:trPr>
        <w:tc>
          <w:tcPr>
            <w:tcW w:w="0" w:type="auto"/>
          </w:tcPr>
          <w:p w14:paraId="45C08048" w14:textId="77777777" w:rsidR="00217A61" w:rsidRDefault="001C2695">
            <w:pPr>
              <w:spacing w:beforeAutospacing="1" w:afterAutospacing="1"/>
            </w:pPr>
            <w:r>
              <w:rPr>
                <w:color w:val="000000"/>
              </w:rPr>
              <w:t>New Unit Production</w:t>
            </w:r>
          </w:p>
        </w:tc>
        <w:tc>
          <w:tcPr>
            <w:tcW w:w="0" w:type="auto"/>
          </w:tcPr>
          <w:p w14:paraId="05061A7C" w14:textId="77777777" w:rsidR="00217A61" w:rsidRDefault="001C2695">
            <w:pPr>
              <w:spacing w:beforeAutospacing="1" w:afterAutospacing="1"/>
            </w:pPr>
            <w:r>
              <w:rPr>
                <w:color w:val="000000"/>
              </w:rPr>
              <w:t xml:space="preserve">New housing units will be constructed in areas with an insufficient stock of affordable rental units and a significant number of low-income households with </w:t>
            </w:r>
            <w:r>
              <w:rPr>
                <w:color w:val="000000"/>
              </w:rPr>
              <w:t>cost burden.</w:t>
            </w:r>
          </w:p>
        </w:tc>
      </w:tr>
      <w:tr w:rsidR="00217A61" w14:paraId="50687318" w14:textId="77777777">
        <w:trPr>
          <w:cantSplit/>
        </w:trPr>
        <w:tc>
          <w:tcPr>
            <w:tcW w:w="0" w:type="auto"/>
          </w:tcPr>
          <w:p w14:paraId="718C8AF9" w14:textId="77777777" w:rsidR="00217A61" w:rsidRDefault="001C2695">
            <w:pPr>
              <w:spacing w:beforeAutospacing="1" w:afterAutospacing="1"/>
            </w:pPr>
            <w:r>
              <w:rPr>
                <w:color w:val="000000"/>
              </w:rPr>
              <w:t>Rehabilitation</w:t>
            </w:r>
          </w:p>
        </w:tc>
        <w:tc>
          <w:tcPr>
            <w:tcW w:w="0" w:type="auto"/>
          </w:tcPr>
          <w:p w14:paraId="37BC5DD5" w14:textId="77777777" w:rsidR="00217A61" w:rsidRDefault="001C2695">
            <w:pPr>
              <w:spacing w:beforeAutospacing="1" w:afterAutospacing="1"/>
            </w:pPr>
            <w:r>
              <w:rPr>
                <w:color w:val="000000"/>
              </w:rPr>
              <w:t xml:space="preserve">Rehabilitation will be used in areas where there are a significant number of homeowners who are elderly, have disabilities or are low-income. Rehabilitation will increase the amount of decent, safe, and affordable housing allowing families and individuals </w:t>
            </w:r>
            <w:r>
              <w:rPr>
                <w:color w:val="000000"/>
              </w:rPr>
              <w:t>to stay in their homme.</w:t>
            </w:r>
          </w:p>
        </w:tc>
      </w:tr>
      <w:tr w:rsidR="00217A61" w14:paraId="4592594B" w14:textId="77777777">
        <w:trPr>
          <w:cantSplit/>
        </w:trPr>
        <w:tc>
          <w:tcPr>
            <w:tcW w:w="0" w:type="auto"/>
          </w:tcPr>
          <w:p w14:paraId="52143AD5" w14:textId="77777777" w:rsidR="00217A61" w:rsidRDefault="001C2695">
            <w:pPr>
              <w:spacing w:beforeAutospacing="1" w:afterAutospacing="1"/>
            </w:pPr>
            <w:r>
              <w:rPr>
                <w:color w:val="000000"/>
              </w:rPr>
              <w:t>Acquisition, including preservation</w:t>
            </w:r>
          </w:p>
        </w:tc>
        <w:tc>
          <w:tcPr>
            <w:tcW w:w="0" w:type="auto"/>
          </w:tcPr>
          <w:p w14:paraId="6D21D26C" w14:textId="77777777" w:rsidR="00217A61" w:rsidRDefault="001C2695">
            <w:pPr>
              <w:spacing w:beforeAutospacing="1" w:afterAutospacing="1"/>
            </w:pPr>
            <w:r>
              <w:rPr>
                <w:color w:val="000000"/>
              </w:rPr>
              <w:t xml:space="preserve"> </w:t>
            </w:r>
          </w:p>
        </w:tc>
      </w:tr>
    </w:tbl>
    <w:p w14:paraId="1A7866FE" w14:textId="77777777" w:rsidR="00217A61" w:rsidRDefault="001C269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52</w:t>
      </w:r>
      <w:r>
        <w:rPr>
          <w:rFonts w:asciiTheme="minorHAnsi" w:hAnsiTheme="minorHAnsi"/>
        </w:rPr>
        <w:fldChar w:fldCharType="end"/>
      </w:r>
      <w:r>
        <w:rPr>
          <w:rFonts w:asciiTheme="minorHAnsi" w:hAnsiTheme="minorHAnsi"/>
        </w:rPr>
        <w:t xml:space="preserve"> – Influence of Market Conditions</w:t>
      </w:r>
    </w:p>
    <w:p w14:paraId="1813E276" w14:textId="77777777" w:rsidR="00217A61" w:rsidRDefault="00217A61"/>
    <w:p w14:paraId="4DE38795" w14:textId="77777777" w:rsidR="00217A61" w:rsidRDefault="00217A61">
      <w:pPr>
        <w:spacing w:after="0" w:line="240" w:lineRule="auto"/>
        <w:rPr>
          <w:b/>
        </w:rPr>
      </w:pPr>
    </w:p>
    <w:p w14:paraId="2CD53A3E" w14:textId="77777777" w:rsidR="00217A61" w:rsidRDefault="00217A61"/>
    <w:p w14:paraId="0B283192" w14:textId="77777777" w:rsidR="00217A61" w:rsidRDefault="00217A61">
      <w:pPr>
        <w:rPr>
          <w:b/>
          <w:i/>
          <w:sz w:val="26"/>
          <w:szCs w:val="26"/>
        </w:rPr>
        <w:sectPr w:rsidR="00217A61">
          <w:pgSz w:w="12240" w:h="15840"/>
          <w:pgMar w:top="1440" w:right="1440" w:bottom="1440" w:left="1440" w:header="720" w:footer="720" w:gutter="0"/>
          <w:cols w:space="720"/>
          <w:docGrid w:linePitch="360"/>
        </w:sectPr>
      </w:pPr>
    </w:p>
    <w:p w14:paraId="200267BC" w14:textId="77777777" w:rsidR="00217A61" w:rsidRDefault="001C2695">
      <w:pPr>
        <w:rPr>
          <w:b/>
          <w:sz w:val="28"/>
          <w:szCs w:val="28"/>
        </w:rPr>
      </w:pPr>
      <w:r>
        <w:rPr>
          <w:b/>
          <w:sz w:val="28"/>
          <w:szCs w:val="28"/>
        </w:rPr>
        <w:lastRenderedPageBreak/>
        <w:t>SP-35 Anticipated Resources - 91.315(a)(4), 91.320(c</w:t>
      </w:r>
      <w:proofErr w:type="gramStart"/>
      <w:r>
        <w:rPr>
          <w:b/>
          <w:sz w:val="28"/>
          <w:szCs w:val="28"/>
        </w:rPr>
        <w:t>)(</w:t>
      </w:r>
      <w:proofErr w:type="gramEnd"/>
      <w:r>
        <w:rPr>
          <w:b/>
          <w:sz w:val="28"/>
          <w:szCs w:val="28"/>
        </w:rPr>
        <w:t>1,2)</w:t>
      </w:r>
    </w:p>
    <w:p w14:paraId="17526BE5" w14:textId="77777777" w:rsidR="00217A61" w:rsidRDefault="001C2695">
      <w:pPr>
        <w:spacing w:line="204" w:lineRule="auto"/>
        <w:rPr>
          <w:b/>
          <w:sz w:val="24"/>
          <w:szCs w:val="24"/>
        </w:rPr>
      </w:pPr>
      <w:r>
        <w:rPr>
          <w:b/>
          <w:sz w:val="24"/>
          <w:szCs w:val="24"/>
        </w:rPr>
        <w:t xml:space="preserve">Introduction </w:t>
      </w:r>
    </w:p>
    <w:p w14:paraId="5001E670" w14:textId="77777777" w:rsidR="00217A61" w:rsidRDefault="001C2695">
      <w:pPr>
        <w:spacing w:beforeAutospacing="1" w:afterAutospacing="1"/>
        <w:rPr>
          <w:b/>
          <w:sz w:val="24"/>
          <w:szCs w:val="24"/>
        </w:rPr>
      </w:pPr>
      <w:r>
        <w:t>The following table summarized the anticipated</w:t>
      </w:r>
      <w:r>
        <w:t xml:space="preserve"> resources, broken down by program type, allocated to the State of North Carolina between FY 2021 - 2025.</w:t>
      </w:r>
    </w:p>
    <w:p w14:paraId="73F24401" w14:textId="77777777" w:rsidR="00217A61" w:rsidRDefault="001C2695">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913"/>
        <w:gridCol w:w="1768"/>
        <w:gridCol w:w="1218"/>
        <w:gridCol w:w="1120"/>
        <w:gridCol w:w="1128"/>
        <w:gridCol w:w="1218"/>
        <w:gridCol w:w="1330"/>
        <w:gridCol w:w="3244"/>
      </w:tblGrid>
      <w:tr w:rsidR="00217A61" w14:paraId="220B6547" w14:textId="77777777">
        <w:trPr>
          <w:cantSplit/>
          <w:tblHeader/>
        </w:trPr>
        <w:tc>
          <w:tcPr>
            <w:tcW w:w="1793" w:type="dxa"/>
            <w:vMerge w:val="restart"/>
          </w:tcPr>
          <w:p w14:paraId="3027DB17" w14:textId="77777777" w:rsidR="00217A61" w:rsidRDefault="001C2695">
            <w:pPr>
              <w:keepNext/>
              <w:widowControl w:val="0"/>
              <w:spacing w:after="0" w:line="240" w:lineRule="auto"/>
              <w:jc w:val="center"/>
              <w:rPr>
                <w:b/>
                <w:sz w:val="24"/>
                <w:szCs w:val="24"/>
              </w:rPr>
            </w:pPr>
            <w:r>
              <w:rPr>
                <w:b/>
                <w:sz w:val="20"/>
                <w:szCs w:val="20"/>
              </w:rPr>
              <w:t>Program</w:t>
            </w:r>
          </w:p>
        </w:tc>
        <w:tc>
          <w:tcPr>
            <w:tcW w:w="820" w:type="dxa"/>
            <w:vMerge w:val="restart"/>
          </w:tcPr>
          <w:p w14:paraId="040CDD99" w14:textId="77777777" w:rsidR="00217A61" w:rsidRDefault="001C2695">
            <w:pPr>
              <w:keepNext/>
              <w:widowControl w:val="0"/>
              <w:spacing w:after="0" w:line="240" w:lineRule="auto"/>
              <w:jc w:val="center"/>
              <w:rPr>
                <w:b/>
                <w:sz w:val="24"/>
                <w:szCs w:val="24"/>
              </w:rPr>
            </w:pPr>
            <w:r>
              <w:rPr>
                <w:b/>
                <w:sz w:val="20"/>
                <w:szCs w:val="20"/>
              </w:rPr>
              <w:t>Source of Funds</w:t>
            </w:r>
          </w:p>
        </w:tc>
        <w:tc>
          <w:tcPr>
            <w:tcW w:w="1936" w:type="dxa"/>
            <w:vMerge w:val="restart"/>
          </w:tcPr>
          <w:p w14:paraId="7C9DDAB2" w14:textId="77777777" w:rsidR="00217A61" w:rsidRDefault="001C2695">
            <w:pPr>
              <w:keepNext/>
              <w:widowControl w:val="0"/>
              <w:spacing w:after="0" w:line="240" w:lineRule="auto"/>
              <w:jc w:val="center"/>
              <w:rPr>
                <w:b/>
                <w:sz w:val="24"/>
                <w:szCs w:val="24"/>
              </w:rPr>
            </w:pPr>
            <w:r>
              <w:rPr>
                <w:b/>
                <w:sz w:val="20"/>
                <w:szCs w:val="20"/>
              </w:rPr>
              <w:t>Uses of Funds</w:t>
            </w:r>
          </w:p>
        </w:tc>
        <w:tc>
          <w:tcPr>
            <w:tcW w:w="4804" w:type="dxa"/>
            <w:gridSpan w:val="4"/>
          </w:tcPr>
          <w:p w14:paraId="4EDBCDA2" w14:textId="77777777" w:rsidR="00217A61" w:rsidRDefault="001C2695">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616C9A23" w14:textId="77777777" w:rsidR="00217A61" w:rsidRDefault="001C2695">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14:paraId="1E622C33" w14:textId="77777777" w:rsidR="00217A61" w:rsidRDefault="001C2695">
            <w:pPr>
              <w:keepNext/>
              <w:widowControl w:val="0"/>
              <w:spacing w:after="0" w:line="240" w:lineRule="auto"/>
              <w:jc w:val="center"/>
              <w:rPr>
                <w:b/>
                <w:sz w:val="24"/>
                <w:szCs w:val="24"/>
              </w:rPr>
            </w:pPr>
            <w:r>
              <w:rPr>
                <w:b/>
                <w:sz w:val="20"/>
                <w:szCs w:val="20"/>
              </w:rPr>
              <w:t>$</w:t>
            </w:r>
          </w:p>
        </w:tc>
        <w:tc>
          <w:tcPr>
            <w:tcW w:w="2448" w:type="dxa"/>
            <w:vMerge w:val="restart"/>
          </w:tcPr>
          <w:p w14:paraId="37466131" w14:textId="77777777" w:rsidR="00217A61" w:rsidRDefault="001C2695">
            <w:pPr>
              <w:keepNext/>
              <w:widowControl w:val="0"/>
              <w:spacing w:after="0" w:line="240" w:lineRule="auto"/>
              <w:jc w:val="center"/>
              <w:rPr>
                <w:b/>
                <w:sz w:val="24"/>
                <w:szCs w:val="24"/>
              </w:rPr>
            </w:pPr>
            <w:r>
              <w:rPr>
                <w:b/>
                <w:sz w:val="20"/>
                <w:szCs w:val="20"/>
              </w:rPr>
              <w:t>Narrative Description</w:t>
            </w:r>
          </w:p>
        </w:tc>
      </w:tr>
      <w:tr w:rsidR="00217A61" w14:paraId="7B45C864" w14:textId="77777777">
        <w:trPr>
          <w:cantSplit/>
          <w:tblHeader/>
        </w:trPr>
        <w:tc>
          <w:tcPr>
            <w:tcW w:w="1793" w:type="dxa"/>
            <w:vMerge/>
          </w:tcPr>
          <w:p w14:paraId="2A390B6B" w14:textId="77777777" w:rsidR="00217A61" w:rsidRDefault="00217A61">
            <w:pPr>
              <w:keepNext/>
              <w:widowControl w:val="0"/>
              <w:spacing w:after="0" w:line="240" w:lineRule="auto"/>
              <w:jc w:val="center"/>
              <w:rPr>
                <w:b/>
                <w:sz w:val="24"/>
                <w:szCs w:val="24"/>
              </w:rPr>
            </w:pPr>
          </w:p>
        </w:tc>
        <w:tc>
          <w:tcPr>
            <w:tcW w:w="820" w:type="dxa"/>
            <w:vMerge/>
          </w:tcPr>
          <w:p w14:paraId="6977CB4E" w14:textId="77777777" w:rsidR="00217A61" w:rsidRDefault="00217A61">
            <w:pPr>
              <w:keepNext/>
              <w:widowControl w:val="0"/>
              <w:spacing w:after="0" w:line="240" w:lineRule="auto"/>
              <w:jc w:val="center"/>
              <w:rPr>
                <w:b/>
                <w:sz w:val="24"/>
                <w:szCs w:val="24"/>
              </w:rPr>
            </w:pPr>
          </w:p>
        </w:tc>
        <w:tc>
          <w:tcPr>
            <w:tcW w:w="1936" w:type="dxa"/>
            <w:vMerge/>
          </w:tcPr>
          <w:p w14:paraId="33BF5B75" w14:textId="77777777" w:rsidR="00217A61" w:rsidRDefault="00217A61">
            <w:pPr>
              <w:keepNext/>
              <w:widowControl w:val="0"/>
              <w:spacing w:after="0" w:line="240" w:lineRule="auto"/>
              <w:jc w:val="center"/>
              <w:rPr>
                <w:b/>
                <w:sz w:val="24"/>
                <w:szCs w:val="24"/>
              </w:rPr>
            </w:pPr>
          </w:p>
        </w:tc>
        <w:tc>
          <w:tcPr>
            <w:tcW w:w="1204" w:type="dxa"/>
          </w:tcPr>
          <w:p w14:paraId="4F247577" w14:textId="77777777" w:rsidR="00217A61" w:rsidRDefault="001C2695">
            <w:pPr>
              <w:keepNext/>
              <w:widowControl w:val="0"/>
              <w:spacing w:after="0" w:line="240" w:lineRule="auto"/>
              <w:jc w:val="center"/>
              <w:rPr>
                <w:b/>
                <w:sz w:val="24"/>
                <w:szCs w:val="24"/>
              </w:rPr>
            </w:pPr>
            <w:r>
              <w:rPr>
                <w:b/>
                <w:sz w:val="20"/>
                <w:szCs w:val="20"/>
              </w:rPr>
              <w:t>Annual Allocation: $</w:t>
            </w:r>
          </w:p>
        </w:tc>
        <w:tc>
          <w:tcPr>
            <w:tcW w:w="1260" w:type="dxa"/>
          </w:tcPr>
          <w:p w14:paraId="44BB2787" w14:textId="77777777" w:rsidR="00217A61" w:rsidRDefault="001C2695">
            <w:pPr>
              <w:keepNext/>
              <w:widowControl w:val="0"/>
              <w:spacing w:after="0" w:line="240" w:lineRule="auto"/>
              <w:jc w:val="center"/>
              <w:rPr>
                <w:b/>
                <w:sz w:val="24"/>
                <w:szCs w:val="24"/>
              </w:rPr>
            </w:pPr>
            <w:r>
              <w:rPr>
                <w:b/>
                <w:sz w:val="20"/>
                <w:szCs w:val="20"/>
              </w:rPr>
              <w:t>Program Income: $</w:t>
            </w:r>
          </w:p>
        </w:tc>
        <w:tc>
          <w:tcPr>
            <w:tcW w:w="1260" w:type="dxa"/>
          </w:tcPr>
          <w:p w14:paraId="5AE842F4" w14:textId="77777777" w:rsidR="00217A61" w:rsidRDefault="001C2695">
            <w:pPr>
              <w:keepNext/>
              <w:widowControl w:val="0"/>
              <w:spacing w:after="0" w:line="240" w:lineRule="auto"/>
              <w:jc w:val="center"/>
              <w:rPr>
                <w:b/>
                <w:sz w:val="24"/>
                <w:szCs w:val="24"/>
              </w:rPr>
            </w:pPr>
            <w:r>
              <w:rPr>
                <w:b/>
                <w:sz w:val="20"/>
                <w:szCs w:val="20"/>
              </w:rPr>
              <w:t>Prior Year Resources: $</w:t>
            </w:r>
          </w:p>
        </w:tc>
        <w:tc>
          <w:tcPr>
            <w:tcW w:w="1080" w:type="dxa"/>
          </w:tcPr>
          <w:p w14:paraId="1B5D6D79" w14:textId="77777777" w:rsidR="00217A61" w:rsidRDefault="001C2695">
            <w:pPr>
              <w:keepNext/>
              <w:widowControl w:val="0"/>
              <w:spacing w:after="0" w:line="240" w:lineRule="auto"/>
              <w:jc w:val="center"/>
              <w:rPr>
                <w:b/>
                <w:sz w:val="20"/>
                <w:szCs w:val="20"/>
              </w:rPr>
            </w:pPr>
            <w:r>
              <w:rPr>
                <w:b/>
                <w:sz w:val="20"/>
                <w:szCs w:val="20"/>
              </w:rPr>
              <w:t>Total:</w:t>
            </w:r>
          </w:p>
          <w:p w14:paraId="6A3D84D6" w14:textId="77777777" w:rsidR="00217A61" w:rsidRDefault="001C2695">
            <w:pPr>
              <w:keepNext/>
              <w:widowControl w:val="0"/>
              <w:spacing w:after="0" w:line="240" w:lineRule="auto"/>
              <w:jc w:val="center"/>
              <w:rPr>
                <w:b/>
                <w:sz w:val="24"/>
                <w:szCs w:val="24"/>
              </w:rPr>
            </w:pPr>
            <w:r>
              <w:rPr>
                <w:b/>
                <w:sz w:val="20"/>
                <w:szCs w:val="20"/>
              </w:rPr>
              <w:t>$</w:t>
            </w:r>
          </w:p>
        </w:tc>
        <w:tc>
          <w:tcPr>
            <w:tcW w:w="1260" w:type="dxa"/>
            <w:vMerge/>
          </w:tcPr>
          <w:p w14:paraId="551DE354" w14:textId="77777777" w:rsidR="00217A61" w:rsidRDefault="00217A61">
            <w:pPr>
              <w:keepNext/>
              <w:widowControl w:val="0"/>
              <w:spacing w:after="0" w:line="240" w:lineRule="auto"/>
              <w:jc w:val="center"/>
              <w:rPr>
                <w:b/>
                <w:sz w:val="24"/>
                <w:szCs w:val="24"/>
              </w:rPr>
            </w:pPr>
          </w:p>
        </w:tc>
        <w:tc>
          <w:tcPr>
            <w:tcW w:w="2448" w:type="dxa"/>
            <w:vMerge/>
          </w:tcPr>
          <w:p w14:paraId="76A6E255" w14:textId="77777777" w:rsidR="00217A61" w:rsidRDefault="00217A61">
            <w:pPr>
              <w:keepNext/>
              <w:widowControl w:val="0"/>
              <w:spacing w:after="0" w:line="240" w:lineRule="auto"/>
              <w:jc w:val="center"/>
              <w:rPr>
                <w:b/>
                <w:sz w:val="24"/>
                <w:szCs w:val="24"/>
              </w:rPr>
            </w:pPr>
          </w:p>
        </w:tc>
      </w:tr>
      <w:tr w:rsidR="00217A61" w14:paraId="71F17D9C" w14:textId="77777777">
        <w:trPr>
          <w:cantSplit/>
        </w:trPr>
        <w:tc>
          <w:tcPr>
            <w:tcW w:w="0" w:type="auto"/>
          </w:tcPr>
          <w:p w14:paraId="3F25ABB9" w14:textId="77777777" w:rsidR="00217A61" w:rsidRDefault="001C2695">
            <w:pPr>
              <w:spacing w:beforeAutospacing="1" w:afterAutospacing="1"/>
            </w:pPr>
            <w:r>
              <w:rPr>
                <w:color w:val="000000"/>
              </w:rPr>
              <w:t>CDBG</w:t>
            </w:r>
          </w:p>
        </w:tc>
        <w:tc>
          <w:tcPr>
            <w:tcW w:w="0" w:type="auto"/>
          </w:tcPr>
          <w:p w14:paraId="2339BABD" w14:textId="77777777" w:rsidR="00217A61" w:rsidRDefault="001C2695">
            <w:pPr>
              <w:spacing w:beforeAutospacing="1" w:afterAutospacing="1"/>
            </w:pPr>
            <w:r>
              <w:rPr>
                <w:color w:val="000000"/>
              </w:rPr>
              <w:t>public - federal</w:t>
            </w:r>
          </w:p>
        </w:tc>
        <w:tc>
          <w:tcPr>
            <w:tcW w:w="0" w:type="auto"/>
            <w:vAlign w:val="bottom"/>
          </w:tcPr>
          <w:p w14:paraId="78BDB907" w14:textId="77777777" w:rsidR="00217A61" w:rsidRDefault="001C2695">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r>
            <w:r>
              <w:rPr>
                <w:color w:val="000000"/>
              </w:rPr>
              <w:t>Public Improvements</w:t>
            </w:r>
            <w:r>
              <w:rPr>
                <w:color w:val="000000"/>
              </w:rPr>
              <w:br/>
              <w:t>Public Services</w:t>
            </w:r>
          </w:p>
        </w:tc>
        <w:tc>
          <w:tcPr>
            <w:tcW w:w="0" w:type="auto"/>
            <w:vAlign w:val="bottom"/>
          </w:tcPr>
          <w:p w14:paraId="21702F9D" w14:textId="77777777" w:rsidR="00217A61" w:rsidRDefault="001C2695">
            <w:pPr>
              <w:spacing w:beforeAutospacing="1" w:afterAutospacing="1"/>
              <w:jc w:val="right"/>
            </w:pPr>
            <w:r>
              <w:rPr>
                <w:color w:val="000000"/>
              </w:rPr>
              <w:t>48,676,191</w:t>
            </w:r>
          </w:p>
        </w:tc>
        <w:tc>
          <w:tcPr>
            <w:tcW w:w="0" w:type="auto"/>
            <w:vAlign w:val="bottom"/>
          </w:tcPr>
          <w:p w14:paraId="67DF6D6E" w14:textId="77777777" w:rsidR="00217A61" w:rsidRDefault="001C2695">
            <w:pPr>
              <w:spacing w:beforeAutospacing="1" w:afterAutospacing="1"/>
              <w:jc w:val="right"/>
            </w:pPr>
            <w:r>
              <w:rPr>
                <w:color w:val="000000"/>
              </w:rPr>
              <w:t>0</w:t>
            </w:r>
          </w:p>
        </w:tc>
        <w:tc>
          <w:tcPr>
            <w:tcW w:w="0" w:type="auto"/>
            <w:vAlign w:val="bottom"/>
          </w:tcPr>
          <w:p w14:paraId="0175F52C" w14:textId="77777777" w:rsidR="00217A61" w:rsidRDefault="001C2695">
            <w:pPr>
              <w:spacing w:beforeAutospacing="1" w:afterAutospacing="1"/>
              <w:jc w:val="right"/>
            </w:pPr>
            <w:r>
              <w:rPr>
                <w:color w:val="000000"/>
              </w:rPr>
              <w:t>0</w:t>
            </w:r>
          </w:p>
        </w:tc>
        <w:tc>
          <w:tcPr>
            <w:tcW w:w="0" w:type="auto"/>
            <w:vAlign w:val="bottom"/>
          </w:tcPr>
          <w:p w14:paraId="254B5527" w14:textId="77777777" w:rsidR="00217A61" w:rsidRDefault="001C2695">
            <w:pPr>
              <w:spacing w:beforeAutospacing="1" w:afterAutospacing="1"/>
              <w:jc w:val="right"/>
            </w:pPr>
            <w:r>
              <w:rPr>
                <w:color w:val="000000"/>
              </w:rPr>
              <w:t>48,676,191</w:t>
            </w:r>
          </w:p>
        </w:tc>
        <w:tc>
          <w:tcPr>
            <w:tcW w:w="0" w:type="auto"/>
            <w:vAlign w:val="bottom"/>
          </w:tcPr>
          <w:p w14:paraId="560E8D8A" w14:textId="77777777" w:rsidR="00217A61" w:rsidRDefault="001C2695">
            <w:pPr>
              <w:spacing w:beforeAutospacing="1" w:afterAutospacing="1"/>
              <w:jc w:val="right"/>
            </w:pPr>
            <w:r>
              <w:rPr>
                <w:color w:val="000000"/>
              </w:rPr>
              <w:t>194,704,764</w:t>
            </w:r>
          </w:p>
        </w:tc>
        <w:tc>
          <w:tcPr>
            <w:tcW w:w="0" w:type="auto"/>
          </w:tcPr>
          <w:p w14:paraId="0758BA58" w14:textId="77777777" w:rsidR="00217A61" w:rsidRDefault="001C2695">
            <w:pPr>
              <w:spacing w:beforeAutospacing="1" w:afterAutospacing="1"/>
            </w:pPr>
            <w:r>
              <w:rPr>
                <w:color w:val="000000"/>
              </w:rPr>
              <w:t xml:space="preserve">NC Commerce receives CDBG funds for </w:t>
            </w:r>
            <w:proofErr w:type="spellStart"/>
            <w:r>
              <w:rPr>
                <w:color w:val="000000"/>
              </w:rPr>
              <w:t>nonentitlement</w:t>
            </w:r>
            <w:proofErr w:type="spellEnd"/>
            <w:r>
              <w:rPr>
                <w:color w:val="000000"/>
              </w:rPr>
              <w:t xml:space="preserve"> areas. The funds and program income are used primarily for economic development, housing </w:t>
            </w:r>
            <w:proofErr w:type="spellStart"/>
            <w:r>
              <w:rPr>
                <w:color w:val="000000"/>
              </w:rPr>
              <w:t>rehabilition</w:t>
            </w:r>
            <w:proofErr w:type="spellEnd"/>
            <w:r>
              <w:rPr>
                <w:color w:val="000000"/>
              </w:rPr>
              <w:t xml:space="preserve"> and development support, public facilities, and infrastructure.</w:t>
            </w:r>
          </w:p>
        </w:tc>
      </w:tr>
      <w:tr w:rsidR="00217A61" w14:paraId="4E1457EF" w14:textId="77777777">
        <w:trPr>
          <w:cantSplit/>
        </w:trPr>
        <w:tc>
          <w:tcPr>
            <w:tcW w:w="0" w:type="auto"/>
          </w:tcPr>
          <w:p w14:paraId="586CB9FD" w14:textId="77777777" w:rsidR="00217A61" w:rsidRDefault="001C2695">
            <w:pPr>
              <w:spacing w:beforeAutospacing="1" w:afterAutospacing="1"/>
            </w:pPr>
            <w:r>
              <w:rPr>
                <w:color w:val="000000"/>
              </w:rPr>
              <w:lastRenderedPageBreak/>
              <w:t>HOME</w:t>
            </w:r>
          </w:p>
        </w:tc>
        <w:tc>
          <w:tcPr>
            <w:tcW w:w="0" w:type="auto"/>
          </w:tcPr>
          <w:p w14:paraId="5E28038A" w14:textId="77777777" w:rsidR="00217A61" w:rsidRDefault="001C2695">
            <w:pPr>
              <w:spacing w:beforeAutospacing="1" w:afterAutospacing="1"/>
            </w:pPr>
            <w:r>
              <w:rPr>
                <w:color w:val="000000"/>
              </w:rPr>
              <w:t>public - federal</w:t>
            </w:r>
          </w:p>
        </w:tc>
        <w:tc>
          <w:tcPr>
            <w:tcW w:w="0" w:type="auto"/>
            <w:vAlign w:val="bottom"/>
          </w:tcPr>
          <w:p w14:paraId="401C9CCD" w14:textId="77777777" w:rsidR="00217A61" w:rsidRDefault="001C2695">
            <w:pPr>
              <w:spacing w:beforeAutospacing="1" w:afterAutospacing="1"/>
            </w:pPr>
            <w:r>
              <w:rPr>
                <w:color w:val="000000"/>
              </w:rPr>
              <w:t>Acquisition</w:t>
            </w:r>
            <w:r>
              <w:rPr>
                <w:color w:val="000000"/>
              </w:rPr>
              <w:br/>
              <w:t>Home</w:t>
            </w:r>
            <w:r>
              <w:rPr>
                <w:color w:val="000000"/>
              </w:rPr>
              <w:t>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24B82BE2" w14:textId="77777777" w:rsidR="00217A61" w:rsidRDefault="001C2695">
            <w:pPr>
              <w:spacing w:beforeAutospacing="1" w:afterAutospacing="1"/>
              <w:jc w:val="right"/>
            </w:pPr>
            <w:r>
              <w:rPr>
                <w:color w:val="000000"/>
              </w:rPr>
              <w:t>17,688,422</w:t>
            </w:r>
          </w:p>
        </w:tc>
        <w:tc>
          <w:tcPr>
            <w:tcW w:w="0" w:type="auto"/>
            <w:vAlign w:val="bottom"/>
          </w:tcPr>
          <w:p w14:paraId="4878348C" w14:textId="77777777" w:rsidR="00217A61" w:rsidRDefault="001C2695">
            <w:pPr>
              <w:spacing w:beforeAutospacing="1" w:afterAutospacing="1"/>
              <w:jc w:val="right"/>
            </w:pPr>
            <w:r>
              <w:rPr>
                <w:color w:val="000000"/>
              </w:rPr>
              <w:t>9,000,000</w:t>
            </w:r>
          </w:p>
        </w:tc>
        <w:tc>
          <w:tcPr>
            <w:tcW w:w="0" w:type="auto"/>
            <w:vAlign w:val="bottom"/>
          </w:tcPr>
          <w:p w14:paraId="4684C895" w14:textId="77777777" w:rsidR="00217A61" w:rsidRDefault="001C2695">
            <w:pPr>
              <w:spacing w:beforeAutospacing="1" w:afterAutospacing="1"/>
              <w:jc w:val="right"/>
            </w:pPr>
            <w:r>
              <w:rPr>
                <w:color w:val="000000"/>
              </w:rPr>
              <w:t>0</w:t>
            </w:r>
          </w:p>
        </w:tc>
        <w:tc>
          <w:tcPr>
            <w:tcW w:w="0" w:type="auto"/>
            <w:vAlign w:val="bottom"/>
          </w:tcPr>
          <w:p w14:paraId="6F0FE148" w14:textId="77777777" w:rsidR="00217A61" w:rsidRDefault="001C2695">
            <w:pPr>
              <w:spacing w:beforeAutospacing="1" w:afterAutospacing="1"/>
              <w:jc w:val="right"/>
            </w:pPr>
            <w:r>
              <w:rPr>
                <w:color w:val="000000"/>
              </w:rPr>
              <w:t>26,688,422</w:t>
            </w:r>
          </w:p>
        </w:tc>
        <w:tc>
          <w:tcPr>
            <w:tcW w:w="0" w:type="auto"/>
            <w:vAlign w:val="bottom"/>
          </w:tcPr>
          <w:p w14:paraId="4F42693D" w14:textId="77777777" w:rsidR="00217A61" w:rsidRDefault="001C2695">
            <w:pPr>
              <w:spacing w:beforeAutospacing="1" w:afterAutospacing="1"/>
              <w:jc w:val="right"/>
            </w:pPr>
            <w:r>
              <w:rPr>
                <w:color w:val="000000"/>
              </w:rPr>
              <w:t>61,500,000</w:t>
            </w:r>
          </w:p>
        </w:tc>
        <w:tc>
          <w:tcPr>
            <w:tcW w:w="0" w:type="auto"/>
          </w:tcPr>
          <w:p w14:paraId="41CC1A28" w14:textId="77777777" w:rsidR="00217A61" w:rsidRDefault="001C2695">
            <w:pPr>
              <w:spacing w:beforeAutospacing="1" w:afterAutospacing="1"/>
            </w:pPr>
            <w:r>
              <w:rPr>
                <w:color w:val="000000"/>
              </w:rPr>
              <w:t>NCHFA received HOME funds for the areas outside of local participating jurisdicti</w:t>
            </w:r>
            <w:r>
              <w:rPr>
                <w:color w:val="000000"/>
              </w:rPr>
              <w:t xml:space="preserve">on. The funds and any program income are used to promote the production, </w:t>
            </w:r>
            <w:proofErr w:type="gramStart"/>
            <w:r>
              <w:rPr>
                <w:color w:val="000000"/>
              </w:rPr>
              <w:t>ownership</w:t>
            </w:r>
            <w:proofErr w:type="gramEnd"/>
            <w:r>
              <w:rPr>
                <w:color w:val="000000"/>
              </w:rPr>
              <w:t xml:space="preserve"> and rehabilitation of housing.</w:t>
            </w:r>
          </w:p>
        </w:tc>
      </w:tr>
      <w:tr w:rsidR="00217A61" w14:paraId="7F7800E9" w14:textId="77777777">
        <w:trPr>
          <w:cantSplit/>
        </w:trPr>
        <w:tc>
          <w:tcPr>
            <w:tcW w:w="0" w:type="auto"/>
          </w:tcPr>
          <w:p w14:paraId="7D7E38C6" w14:textId="77777777" w:rsidR="00217A61" w:rsidRDefault="001C2695">
            <w:pPr>
              <w:spacing w:beforeAutospacing="1" w:afterAutospacing="1"/>
            </w:pPr>
            <w:r>
              <w:rPr>
                <w:color w:val="000000"/>
              </w:rPr>
              <w:lastRenderedPageBreak/>
              <w:t>HOPWA</w:t>
            </w:r>
          </w:p>
        </w:tc>
        <w:tc>
          <w:tcPr>
            <w:tcW w:w="0" w:type="auto"/>
          </w:tcPr>
          <w:p w14:paraId="6E54F2AC" w14:textId="77777777" w:rsidR="00217A61" w:rsidRDefault="001C2695">
            <w:pPr>
              <w:spacing w:beforeAutospacing="1" w:afterAutospacing="1"/>
            </w:pPr>
            <w:r>
              <w:rPr>
                <w:color w:val="000000"/>
              </w:rPr>
              <w:t>public - federal</w:t>
            </w:r>
          </w:p>
        </w:tc>
        <w:tc>
          <w:tcPr>
            <w:tcW w:w="0" w:type="auto"/>
            <w:vAlign w:val="bottom"/>
          </w:tcPr>
          <w:p w14:paraId="4BEE9C4E" w14:textId="77777777" w:rsidR="00217A61" w:rsidRDefault="001C2695">
            <w:pPr>
              <w:spacing w:beforeAutospacing="1" w:afterAutospacing="1"/>
            </w:pPr>
            <w:r>
              <w:rPr>
                <w:color w:val="000000"/>
              </w:rPr>
              <w:t>Permanent housing in facilities</w:t>
            </w:r>
            <w:r>
              <w:rPr>
                <w:color w:val="000000"/>
              </w:rPr>
              <w:br/>
              <w:t>Permanent housing placement</w:t>
            </w:r>
            <w:r>
              <w:rPr>
                <w:color w:val="000000"/>
              </w:rPr>
              <w:br/>
            </w:r>
            <w:r>
              <w:rPr>
                <w:color w:val="000000"/>
              </w:rPr>
              <w:t>Short term or transitional housing facilities</w:t>
            </w:r>
            <w:r>
              <w:rPr>
                <w:color w:val="000000"/>
              </w:rPr>
              <w:br/>
              <w:t>STRMU</w:t>
            </w:r>
            <w:r>
              <w:rPr>
                <w:color w:val="000000"/>
              </w:rPr>
              <w:br/>
              <w:t>Supportive services</w:t>
            </w:r>
            <w:r>
              <w:rPr>
                <w:color w:val="000000"/>
              </w:rPr>
              <w:br/>
              <w:t>TBRA</w:t>
            </w:r>
          </w:p>
        </w:tc>
        <w:tc>
          <w:tcPr>
            <w:tcW w:w="0" w:type="auto"/>
            <w:vAlign w:val="bottom"/>
          </w:tcPr>
          <w:p w14:paraId="1BEF44DD" w14:textId="77777777" w:rsidR="00217A61" w:rsidRDefault="001C2695">
            <w:pPr>
              <w:spacing w:beforeAutospacing="1" w:afterAutospacing="1"/>
              <w:jc w:val="right"/>
            </w:pPr>
            <w:r>
              <w:rPr>
                <w:color w:val="000000"/>
              </w:rPr>
              <w:t>4,053,435</w:t>
            </w:r>
          </w:p>
        </w:tc>
        <w:tc>
          <w:tcPr>
            <w:tcW w:w="0" w:type="auto"/>
            <w:vAlign w:val="bottom"/>
          </w:tcPr>
          <w:p w14:paraId="453194AC" w14:textId="77777777" w:rsidR="00217A61" w:rsidRDefault="001C2695">
            <w:pPr>
              <w:spacing w:beforeAutospacing="1" w:afterAutospacing="1"/>
              <w:jc w:val="right"/>
            </w:pPr>
            <w:r>
              <w:rPr>
                <w:color w:val="000000"/>
              </w:rPr>
              <w:t>0</w:t>
            </w:r>
          </w:p>
        </w:tc>
        <w:tc>
          <w:tcPr>
            <w:tcW w:w="0" w:type="auto"/>
            <w:vAlign w:val="bottom"/>
          </w:tcPr>
          <w:p w14:paraId="1A2161C7" w14:textId="77777777" w:rsidR="00217A61" w:rsidRDefault="001C2695">
            <w:pPr>
              <w:spacing w:beforeAutospacing="1" w:afterAutospacing="1"/>
              <w:jc w:val="right"/>
            </w:pPr>
            <w:r>
              <w:rPr>
                <w:color w:val="000000"/>
              </w:rPr>
              <w:t>0</w:t>
            </w:r>
          </w:p>
        </w:tc>
        <w:tc>
          <w:tcPr>
            <w:tcW w:w="0" w:type="auto"/>
            <w:vAlign w:val="bottom"/>
          </w:tcPr>
          <w:p w14:paraId="0DB0DA3A" w14:textId="77777777" w:rsidR="00217A61" w:rsidRDefault="001C2695">
            <w:pPr>
              <w:spacing w:beforeAutospacing="1" w:afterAutospacing="1"/>
              <w:jc w:val="right"/>
            </w:pPr>
            <w:r>
              <w:rPr>
                <w:color w:val="000000"/>
              </w:rPr>
              <w:t>4,053,435</w:t>
            </w:r>
          </w:p>
        </w:tc>
        <w:tc>
          <w:tcPr>
            <w:tcW w:w="0" w:type="auto"/>
            <w:vAlign w:val="bottom"/>
          </w:tcPr>
          <w:p w14:paraId="54B088C2" w14:textId="77777777" w:rsidR="00217A61" w:rsidRDefault="001C2695">
            <w:pPr>
              <w:spacing w:beforeAutospacing="1" w:afterAutospacing="1"/>
              <w:jc w:val="right"/>
            </w:pPr>
            <w:r>
              <w:rPr>
                <w:color w:val="000000"/>
              </w:rPr>
              <w:t>16,213,740</w:t>
            </w:r>
          </w:p>
        </w:tc>
        <w:tc>
          <w:tcPr>
            <w:tcW w:w="0" w:type="auto"/>
          </w:tcPr>
          <w:p w14:paraId="137B6255" w14:textId="77777777" w:rsidR="00217A61" w:rsidRDefault="001C2695">
            <w:pPr>
              <w:spacing w:beforeAutospacing="1" w:afterAutospacing="1"/>
            </w:pPr>
            <w:r>
              <w:rPr>
                <w:color w:val="000000"/>
              </w:rPr>
              <w:t>NC DHHS administers HOPWA funding which assists with housing needs for persons with AIDS and HIV.</w:t>
            </w:r>
          </w:p>
        </w:tc>
      </w:tr>
      <w:tr w:rsidR="00217A61" w14:paraId="5B02F02B" w14:textId="77777777">
        <w:trPr>
          <w:cantSplit/>
        </w:trPr>
        <w:tc>
          <w:tcPr>
            <w:tcW w:w="0" w:type="auto"/>
          </w:tcPr>
          <w:p w14:paraId="39C7E707" w14:textId="77777777" w:rsidR="00217A61" w:rsidRDefault="001C2695">
            <w:pPr>
              <w:spacing w:beforeAutospacing="1" w:afterAutospacing="1"/>
            </w:pPr>
            <w:r>
              <w:rPr>
                <w:color w:val="000000"/>
              </w:rPr>
              <w:lastRenderedPageBreak/>
              <w:t>ESG</w:t>
            </w:r>
          </w:p>
        </w:tc>
        <w:tc>
          <w:tcPr>
            <w:tcW w:w="0" w:type="auto"/>
          </w:tcPr>
          <w:p w14:paraId="44F6BF19" w14:textId="77777777" w:rsidR="00217A61" w:rsidRDefault="001C2695">
            <w:pPr>
              <w:spacing w:beforeAutospacing="1" w:afterAutospacing="1"/>
            </w:pPr>
            <w:r>
              <w:rPr>
                <w:color w:val="000000"/>
              </w:rPr>
              <w:t>public - federal</w:t>
            </w:r>
          </w:p>
        </w:tc>
        <w:tc>
          <w:tcPr>
            <w:tcW w:w="0" w:type="auto"/>
            <w:vAlign w:val="bottom"/>
          </w:tcPr>
          <w:p w14:paraId="490E0DD4" w14:textId="77777777" w:rsidR="00217A61" w:rsidRDefault="001C2695">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14:paraId="3B355F7F" w14:textId="77777777" w:rsidR="00217A61" w:rsidRDefault="001C2695">
            <w:pPr>
              <w:spacing w:beforeAutospacing="1" w:afterAutospacing="1"/>
              <w:jc w:val="right"/>
            </w:pPr>
            <w:r>
              <w:rPr>
                <w:color w:val="000000"/>
              </w:rPr>
              <w:t>5,315,950</w:t>
            </w:r>
          </w:p>
        </w:tc>
        <w:tc>
          <w:tcPr>
            <w:tcW w:w="0" w:type="auto"/>
            <w:vAlign w:val="bottom"/>
          </w:tcPr>
          <w:p w14:paraId="099D710B" w14:textId="77777777" w:rsidR="00217A61" w:rsidRDefault="001C2695">
            <w:pPr>
              <w:spacing w:beforeAutospacing="1" w:afterAutospacing="1"/>
              <w:jc w:val="right"/>
            </w:pPr>
            <w:r>
              <w:rPr>
                <w:color w:val="000000"/>
              </w:rPr>
              <w:t>0</w:t>
            </w:r>
          </w:p>
        </w:tc>
        <w:tc>
          <w:tcPr>
            <w:tcW w:w="0" w:type="auto"/>
            <w:vAlign w:val="bottom"/>
          </w:tcPr>
          <w:p w14:paraId="780667AB" w14:textId="77777777" w:rsidR="00217A61" w:rsidRDefault="001C2695">
            <w:pPr>
              <w:spacing w:beforeAutospacing="1" w:afterAutospacing="1"/>
              <w:jc w:val="right"/>
            </w:pPr>
            <w:r>
              <w:rPr>
                <w:color w:val="000000"/>
              </w:rPr>
              <w:t>0</w:t>
            </w:r>
          </w:p>
        </w:tc>
        <w:tc>
          <w:tcPr>
            <w:tcW w:w="0" w:type="auto"/>
            <w:vAlign w:val="bottom"/>
          </w:tcPr>
          <w:p w14:paraId="28C3FF90" w14:textId="77777777" w:rsidR="00217A61" w:rsidRDefault="001C2695">
            <w:pPr>
              <w:spacing w:beforeAutospacing="1" w:afterAutospacing="1"/>
              <w:jc w:val="right"/>
            </w:pPr>
            <w:r>
              <w:rPr>
                <w:color w:val="000000"/>
              </w:rPr>
              <w:t>5,315,950</w:t>
            </w:r>
          </w:p>
        </w:tc>
        <w:tc>
          <w:tcPr>
            <w:tcW w:w="0" w:type="auto"/>
            <w:vAlign w:val="bottom"/>
          </w:tcPr>
          <w:p w14:paraId="022FF548" w14:textId="77777777" w:rsidR="00217A61" w:rsidRDefault="001C2695">
            <w:pPr>
              <w:spacing w:beforeAutospacing="1" w:afterAutospacing="1"/>
              <w:jc w:val="right"/>
            </w:pPr>
            <w:r>
              <w:rPr>
                <w:color w:val="000000"/>
              </w:rPr>
              <w:t>21,263,800</w:t>
            </w:r>
          </w:p>
        </w:tc>
        <w:tc>
          <w:tcPr>
            <w:tcW w:w="0" w:type="auto"/>
          </w:tcPr>
          <w:p w14:paraId="04E186F4" w14:textId="77777777" w:rsidR="00217A61" w:rsidRDefault="001C2695">
            <w:pPr>
              <w:spacing w:beforeAutospacing="1" w:afterAutospacing="1"/>
            </w:pPr>
            <w:r>
              <w:rPr>
                <w:color w:val="000000"/>
              </w:rPr>
              <w:t xml:space="preserve">ESG funding is </w:t>
            </w:r>
            <w:proofErr w:type="spellStart"/>
            <w:r>
              <w:rPr>
                <w:color w:val="000000"/>
              </w:rPr>
              <w:t>administerd</w:t>
            </w:r>
            <w:proofErr w:type="spellEnd"/>
            <w:r>
              <w:rPr>
                <w:color w:val="000000"/>
              </w:rPr>
              <w:t xml:space="preserve"> by NC DHHS and supports housing stabilization and emergency shelter activities.</w:t>
            </w:r>
          </w:p>
        </w:tc>
      </w:tr>
      <w:tr w:rsidR="00217A61" w14:paraId="2ADE2B7A" w14:textId="77777777">
        <w:trPr>
          <w:cantSplit/>
        </w:trPr>
        <w:tc>
          <w:tcPr>
            <w:tcW w:w="0" w:type="auto"/>
          </w:tcPr>
          <w:p w14:paraId="1AC494EE" w14:textId="77777777" w:rsidR="00217A61" w:rsidRDefault="001C2695">
            <w:pPr>
              <w:spacing w:beforeAutospacing="1" w:afterAutospacing="1"/>
            </w:pPr>
            <w:r>
              <w:rPr>
                <w:color w:val="000000"/>
              </w:rPr>
              <w:lastRenderedPageBreak/>
              <w:t>HTF</w:t>
            </w:r>
          </w:p>
        </w:tc>
        <w:tc>
          <w:tcPr>
            <w:tcW w:w="0" w:type="auto"/>
          </w:tcPr>
          <w:p w14:paraId="0292278F" w14:textId="77777777" w:rsidR="00217A61" w:rsidRDefault="001C2695">
            <w:pPr>
              <w:spacing w:beforeAutospacing="1" w:afterAutospacing="1"/>
            </w:pPr>
            <w:r>
              <w:rPr>
                <w:color w:val="000000"/>
              </w:rPr>
              <w:t>public - federal</w:t>
            </w:r>
          </w:p>
        </w:tc>
        <w:tc>
          <w:tcPr>
            <w:tcW w:w="0" w:type="auto"/>
            <w:vAlign w:val="bottom"/>
          </w:tcPr>
          <w:p w14:paraId="3C045C29" w14:textId="77777777" w:rsidR="00217A61" w:rsidRDefault="001C2695">
            <w:pPr>
              <w:spacing w:beforeAutospacing="1" w:afterAutospacing="1"/>
            </w:pPr>
            <w:r>
              <w:rPr>
                <w:color w:val="000000"/>
              </w:rPr>
              <w:t>Acquisition</w:t>
            </w:r>
            <w:r>
              <w:rPr>
                <w:color w:val="000000"/>
              </w:rPr>
              <w:br/>
              <w:t>Admin and Planning</w:t>
            </w:r>
            <w:r>
              <w:rPr>
                <w:color w:val="000000"/>
              </w:rPr>
              <w:br/>
              <w:t>Homebuyer assistance</w:t>
            </w:r>
            <w:r>
              <w:rPr>
                <w:color w:val="000000"/>
              </w:rPr>
              <w:br/>
              <w:t>Multifamily rental new construction</w:t>
            </w:r>
            <w:r>
              <w:rPr>
                <w:color w:val="000000"/>
              </w:rPr>
              <w:br/>
              <w:t>Multifamily rental rehab</w:t>
            </w:r>
            <w:r>
              <w:rPr>
                <w:color w:val="000000"/>
              </w:rPr>
              <w:br/>
              <w:t>New constructi</w:t>
            </w:r>
            <w:r>
              <w:rPr>
                <w:color w:val="000000"/>
              </w:rPr>
              <w:t>on for ownership</w:t>
            </w:r>
          </w:p>
        </w:tc>
        <w:tc>
          <w:tcPr>
            <w:tcW w:w="0" w:type="auto"/>
            <w:vAlign w:val="bottom"/>
          </w:tcPr>
          <w:p w14:paraId="0E50681E" w14:textId="77777777" w:rsidR="00217A61" w:rsidRDefault="001C2695">
            <w:pPr>
              <w:spacing w:beforeAutospacing="1" w:afterAutospacing="1"/>
              <w:jc w:val="right"/>
            </w:pPr>
            <w:r>
              <w:rPr>
                <w:color w:val="000000"/>
              </w:rPr>
              <w:t>17,700,000</w:t>
            </w:r>
          </w:p>
        </w:tc>
        <w:tc>
          <w:tcPr>
            <w:tcW w:w="0" w:type="auto"/>
            <w:vAlign w:val="bottom"/>
          </w:tcPr>
          <w:p w14:paraId="3DB6FB80" w14:textId="77777777" w:rsidR="00217A61" w:rsidRDefault="001C2695">
            <w:pPr>
              <w:spacing w:beforeAutospacing="1" w:afterAutospacing="1"/>
              <w:jc w:val="right"/>
            </w:pPr>
            <w:r>
              <w:rPr>
                <w:color w:val="000000"/>
              </w:rPr>
              <w:t>0</w:t>
            </w:r>
          </w:p>
        </w:tc>
        <w:tc>
          <w:tcPr>
            <w:tcW w:w="0" w:type="auto"/>
            <w:vAlign w:val="bottom"/>
          </w:tcPr>
          <w:p w14:paraId="2FDB249C" w14:textId="77777777" w:rsidR="00217A61" w:rsidRDefault="001C2695">
            <w:pPr>
              <w:spacing w:beforeAutospacing="1" w:afterAutospacing="1"/>
              <w:jc w:val="right"/>
            </w:pPr>
            <w:r>
              <w:rPr>
                <w:color w:val="000000"/>
              </w:rPr>
              <w:t>0</w:t>
            </w:r>
          </w:p>
        </w:tc>
        <w:tc>
          <w:tcPr>
            <w:tcW w:w="0" w:type="auto"/>
            <w:vAlign w:val="bottom"/>
          </w:tcPr>
          <w:p w14:paraId="0518369D" w14:textId="77777777" w:rsidR="00217A61" w:rsidRDefault="001C2695">
            <w:pPr>
              <w:spacing w:beforeAutospacing="1" w:afterAutospacing="1"/>
              <w:jc w:val="right"/>
            </w:pPr>
            <w:r>
              <w:rPr>
                <w:color w:val="000000"/>
              </w:rPr>
              <w:t>17,700,000</w:t>
            </w:r>
          </w:p>
        </w:tc>
        <w:tc>
          <w:tcPr>
            <w:tcW w:w="0" w:type="auto"/>
            <w:vAlign w:val="bottom"/>
          </w:tcPr>
          <w:p w14:paraId="0CF3D285" w14:textId="77777777" w:rsidR="00217A61" w:rsidRDefault="001C2695">
            <w:pPr>
              <w:spacing w:beforeAutospacing="1" w:afterAutospacing="1"/>
              <w:jc w:val="right"/>
            </w:pPr>
            <w:r>
              <w:rPr>
                <w:color w:val="000000"/>
              </w:rPr>
              <w:t>31,000,000</w:t>
            </w:r>
          </w:p>
        </w:tc>
        <w:tc>
          <w:tcPr>
            <w:tcW w:w="0" w:type="auto"/>
          </w:tcPr>
          <w:p w14:paraId="00DFF59D" w14:textId="77777777" w:rsidR="00217A61" w:rsidRDefault="001C2695">
            <w:pPr>
              <w:spacing w:beforeAutospacing="1" w:afterAutospacing="1"/>
            </w:pPr>
            <w:r>
              <w:rPr>
                <w:color w:val="000000"/>
              </w:rPr>
              <w:t xml:space="preserve">Annual allocations for HTF have not yet been announced but are expected to be unusually high for FY 2021. Available remainder based on </w:t>
            </w:r>
            <w:proofErr w:type="gramStart"/>
            <w:r>
              <w:rPr>
                <w:color w:val="000000"/>
              </w:rPr>
              <w:t>5 year</w:t>
            </w:r>
            <w:proofErr w:type="gramEnd"/>
            <w:r>
              <w:rPr>
                <w:color w:val="000000"/>
              </w:rPr>
              <w:t xml:space="preserve"> historical average and assumes the FY21 increase will not be</w:t>
            </w:r>
            <w:r>
              <w:rPr>
                <w:color w:val="000000"/>
              </w:rPr>
              <w:t xml:space="preserve"> sustained.</w:t>
            </w:r>
          </w:p>
        </w:tc>
      </w:tr>
    </w:tbl>
    <w:p w14:paraId="2836BDF1"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Anticipated Resources</w:t>
      </w:r>
    </w:p>
    <w:p w14:paraId="572184A1" w14:textId="77777777" w:rsidR="00217A61" w:rsidRDefault="00217A61">
      <w:pPr>
        <w:rPr>
          <w:b/>
          <w:sz w:val="24"/>
          <w:szCs w:val="24"/>
        </w:rPr>
      </w:pPr>
    </w:p>
    <w:p w14:paraId="3BE9EDEA" w14:textId="77777777" w:rsidR="00217A61" w:rsidRDefault="001C2695">
      <w:pPr>
        <w:rPr>
          <w:b/>
          <w:sz w:val="24"/>
          <w:szCs w:val="24"/>
        </w:rPr>
      </w:pPr>
      <w:r>
        <w:rPr>
          <w:b/>
          <w:sz w:val="24"/>
          <w:szCs w:val="24"/>
        </w:rPr>
        <w:t xml:space="preserve">Explain how federal funds will leverage those additional resources (private, state and local funds), including a description of how matching requirements will be </w:t>
      </w:r>
      <w:proofErr w:type="gramStart"/>
      <w:r>
        <w:rPr>
          <w:b/>
          <w:sz w:val="24"/>
          <w:szCs w:val="24"/>
        </w:rPr>
        <w:t>satisfied</w:t>
      </w:r>
      <w:proofErr w:type="gramEnd"/>
    </w:p>
    <w:p w14:paraId="18590EDD" w14:textId="77777777" w:rsidR="00217A61" w:rsidRDefault="001C2695">
      <w:pPr>
        <w:spacing w:beforeAutospacing="1" w:afterAutospacing="1"/>
        <w:rPr>
          <w:szCs w:val="24"/>
        </w:rPr>
      </w:pPr>
      <w:r>
        <w:t>The North Carolina General Assembly provides the required 25% match for HOME as a recurring appropriation. HOME provides crucial support for multiple statewide housing programs, ranging from rental financing to home buyer assistance to home rehabilitation.</w:t>
      </w:r>
      <w:r>
        <w:t xml:space="preserve"> HOME funds used to finance rental development are leveraged in </w:t>
      </w:r>
      <w:proofErr w:type="spellStart"/>
      <w:r>
        <w:t>conjuction</w:t>
      </w:r>
      <w:proofErr w:type="spellEnd"/>
      <w:r>
        <w:t xml:space="preserve"> with Low-Income Housing Tax Credits, state appropriations, as well as private and local funds. HOME funds used for homeownership provide shared mortgage financing used in conjunctio</w:t>
      </w:r>
      <w:r>
        <w:t>n with other loan products and funds from nonprofits.</w:t>
      </w:r>
    </w:p>
    <w:p w14:paraId="2B9BFA7F" w14:textId="77777777" w:rsidR="00217A61" w:rsidRDefault="001C2695">
      <w:pPr>
        <w:spacing w:beforeAutospacing="1" w:afterAutospacing="1"/>
        <w:rPr>
          <w:szCs w:val="24"/>
        </w:rPr>
      </w:pPr>
      <w:r>
        <w:lastRenderedPageBreak/>
        <w:t>HOME that helps finance loans for NCHFA's RPP program are used in conjunction with Low Income Housing Tax Credits, state-appropriated Workforce Housing Loan Program funds, and other private and local fu</w:t>
      </w:r>
      <w:r>
        <w:t>nding. In NCHFA's CPLP program, HOME funds finance second mortgages that are combined with NCHFA's NC Home Advantage Mortgage™ program or a USDA Section 502 Loan. HOME- funded SHLP loans are used to compliment funds from Habitat for Humanity or other sourc</w:t>
      </w:r>
      <w:r>
        <w:t>es.</w:t>
      </w:r>
    </w:p>
    <w:p w14:paraId="19E5952F" w14:textId="77777777" w:rsidR="00217A61" w:rsidRDefault="001C2695">
      <w:pPr>
        <w:spacing w:beforeAutospacing="1" w:afterAutospacing="1"/>
        <w:rPr>
          <w:szCs w:val="24"/>
        </w:rPr>
      </w:pPr>
      <w:r>
        <w:t>The NC HOPWA program consistently emphasizes the importance of leveraging HOPWA funding with other resources. Our HOPWA Project Sponsors leverage HOPWA funding with other sources such as Ryan White, Shelter Plus Care, city government, grants, private f</w:t>
      </w:r>
      <w:r>
        <w:t>unding, and resident rent payments to landlords. Increased leveraging of HOPWA funding with other sources is one of our primary goals in hopes of reducing staff costs and operating expenses.</w:t>
      </w:r>
    </w:p>
    <w:p w14:paraId="1798E4A6" w14:textId="77777777" w:rsidR="00217A61" w:rsidRDefault="001C2695">
      <w:pPr>
        <w:spacing w:beforeAutospacing="1" w:afterAutospacing="1"/>
        <w:rPr>
          <w:szCs w:val="24"/>
        </w:rPr>
      </w:pPr>
      <w:r>
        <w:t>CDBG Funds will be used to increase and preserve affordable housi</w:t>
      </w:r>
      <w:r>
        <w:t>ng and spur economic development for job creation and retention. The neighborhood revitalization and economic development component of the CDBG Program is administered by the Rural Economic Development Division within the North Carolina Department of Comme</w:t>
      </w:r>
      <w:r>
        <w:t xml:space="preserve">rce. CDBG Infrastructure funds administered by the North Carolina Department of Environmental Quality will be used to help with environmental issues caused </w:t>
      </w:r>
      <w:proofErr w:type="spellStart"/>
      <w:r>
        <w:t>bydue</w:t>
      </w:r>
      <w:proofErr w:type="spellEnd"/>
      <w:r>
        <w:t xml:space="preserve"> to </w:t>
      </w:r>
      <w:proofErr w:type="gramStart"/>
      <w:r>
        <w:t>aging</w:t>
      </w:r>
      <w:proofErr w:type="gramEnd"/>
      <w:r>
        <w:t xml:space="preserve"> sewer systems and contaminated drinking water, and improve the quality of life for ma</w:t>
      </w:r>
      <w:r>
        <w:t>ny citizens across the state because of improved systems.</w:t>
      </w:r>
    </w:p>
    <w:p w14:paraId="5F886D19" w14:textId="77777777" w:rsidR="00217A61" w:rsidRDefault="001C2695">
      <w:pPr>
        <w:spacing w:beforeAutospacing="1" w:afterAutospacing="1"/>
        <w:rPr>
          <w:szCs w:val="24"/>
        </w:rPr>
      </w:pPr>
      <w:r>
        <w:t>The Emergency Solutions Grants Program leverages these funds in concert with the NC Key Program (funded in part with HOME Match) through the provision of grants and loans to develop and operate shel</w:t>
      </w:r>
      <w:r>
        <w:t xml:space="preserve">ters and, supportive and permanent housing. ESG funding is also leveraged to combat chronic homelessness through the provision of preventive programs and activities by the Supportive Housing Development Program (SHDP) and Housing Opportunities for Persons </w:t>
      </w:r>
      <w:r>
        <w:t xml:space="preserve">with AIDS Program (HOPWA). SHDP helps partners develop permanent housing for persons with disabilities; Key provides operating subsidies for housing for persons with disabilities; and HOPWA provides tenant- based rental assistance, short-term mortgage and </w:t>
      </w:r>
      <w:r>
        <w:t xml:space="preserve">utility assistance, housing information, supportive </w:t>
      </w:r>
      <w:proofErr w:type="gramStart"/>
      <w:r>
        <w:t>services</w:t>
      </w:r>
      <w:proofErr w:type="gramEnd"/>
      <w:r>
        <w:t xml:space="preserve"> and resource identification to persons with HIV/AIDS.</w:t>
      </w:r>
    </w:p>
    <w:p w14:paraId="0FCE4C26" w14:textId="77777777" w:rsidR="00217A61" w:rsidRDefault="001C2695">
      <w:pPr>
        <w:spacing w:beforeAutospacing="1" w:afterAutospacing="1"/>
        <w:rPr>
          <w:szCs w:val="24"/>
        </w:rPr>
      </w:pPr>
      <w:r>
        <w:t>ESG funding is a dollar- for dollar- match. Local non-profits and units of government use cash, non-cash (in-kind), donated value of a buildi</w:t>
      </w:r>
      <w:r>
        <w:t>ng/materials and or volunteer hours to match ESG funding.</w:t>
      </w:r>
    </w:p>
    <w:p w14:paraId="784C0F24" w14:textId="77777777" w:rsidR="00217A61" w:rsidRDefault="001C2695">
      <w:pPr>
        <w:rPr>
          <w:b/>
          <w:sz w:val="24"/>
          <w:szCs w:val="24"/>
        </w:rPr>
      </w:pPr>
      <w:r>
        <w:rPr>
          <w:b/>
          <w:sz w:val="24"/>
          <w:szCs w:val="24"/>
        </w:rPr>
        <w:t xml:space="preserve">If appropriate, describe </w:t>
      </w:r>
      <w:proofErr w:type="spellStart"/>
      <w:r>
        <w:rPr>
          <w:b/>
          <w:sz w:val="24"/>
          <w:szCs w:val="24"/>
        </w:rPr>
        <w:t>publically</w:t>
      </w:r>
      <w:proofErr w:type="spellEnd"/>
      <w:r>
        <w:rPr>
          <w:b/>
          <w:sz w:val="24"/>
          <w:szCs w:val="24"/>
        </w:rPr>
        <w:t xml:space="preserve"> owned land or property located within the state that may be used to address the needs identified in the </w:t>
      </w:r>
      <w:proofErr w:type="gramStart"/>
      <w:r>
        <w:rPr>
          <w:b/>
          <w:sz w:val="24"/>
          <w:szCs w:val="24"/>
        </w:rPr>
        <w:t>plan</w:t>
      </w:r>
      <w:proofErr w:type="gramEnd"/>
    </w:p>
    <w:p w14:paraId="18EDC0E8" w14:textId="77777777" w:rsidR="00217A61" w:rsidRDefault="001C2695">
      <w:pPr>
        <w:spacing w:beforeAutospacing="1" w:afterAutospacing="1"/>
        <w:rPr>
          <w:szCs w:val="24"/>
        </w:rPr>
      </w:pPr>
      <w:r>
        <w:t>HOME -N/A</w:t>
      </w:r>
    </w:p>
    <w:p w14:paraId="740E3C40" w14:textId="77777777" w:rsidR="00217A61" w:rsidRDefault="001C2695">
      <w:pPr>
        <w:spacing w:beforeAutospacing="1" w:afterAutospacing="1"/>
        <w:rPr>
          <w:szCs w:val="24"/>
        </w:rPr>
      </w:pPr>
      <w:r>
        <w:lastRenderedPageBreak/>
        <w:t>HOPWA - The NC HOPWA Project Sponsors may u</w:t>
      </w:r>
      <w:r>
        <w:t xml:space="preserve">se Resource Identification and/or other sources to identify landlords, facility –based housing and public housing organizations to establish relationships </w:t>
      </w:r>
      <w:proofErr w:type="gramStart"/>
      <w:r>
        <w:t>in order to</w:t>
      </w:r>
      <w:proofErr w:type="gramEnd"/>
      <w:r>
        <w:t xml:space="preserve"> gain buy-in to participating in the HOPWA Tenant-Based Rental Program.</w:t>
      </w:r>
    </w:p>
    <w:p w14:paraId="612A5763" w14:textId="77777777" w:rsidR="00217A61" w:rsidRDefault="001C2695">
      <w:pPr>
        <w:spacing w:beforeAutospacing="1" w:afterAutospacing="1"/>
        <w:rPr>
          <w:szCs w:val="24"/>
        </w:rPr>
      </w:pPr>
      <w:r>
        <w:t>CDBG - N/A</w:t>
      </w:r>
    </w:p>
    <w:p w14:paraId="30675FC9" w14:textId="77777777" w:rsidR="00217A61" w:rsidRDefault="001C2695">
      <w:pPr>
        <w:spacing w:beforeAutospacing="1" w:afterAutospacing="1"/>
        <w:rPr>
          <w:szCs w:val="24"/>
        </w:rPr>
      </w:pPr>
      <w:r>
        <w:t>ESG - N</w:t>
      </w:r>
      <w:r>
        <w:t>/A</w:t>
      </w:r>
    </w:p>
    <w:p w14:paraId="08D26E4D" w14:textId="77777777" w:rsidR="00217A61" w:rsidRDefault="001C2695">
      <w:pPr>
        <w:spacing w:line="204" w:lineRule="auto"/>
        <w:rPr>
          <w:b/>
          <w:sz w:val="24"/>
          <w:szCs w:val="24"/>
        </w:rPr>
      </w:pPr>
      <w:r>
        <w:rPr>
          <w:b/>
          <w:sz w:val="24"/>
          <w:szCs w:val="24"/>
        </w:rPr>
        <w:t>Discussion</w:t>
      </w:r>
    </w:p>
    <w:p w14:paraId="0BDE3001" w14:textId="77777777" w:rsidR="00217A61" w:rsidRDefault="00217A61">
      <w:pPr>
        <w:spacing w:line="204" w:lineRule="auto"/>
        <w:rPr>
          <w:b/>
          <w:sz w:val="24"/>
          <w:szCs w:val="24"/>
        </w:rPr>
      </w:pPr>
    </w:p>
    <w:p w14:paraId="65E45A65" w14:textId="77777777" w:rsidR="00217A61" w:rsidRDefault="00217A61">
      <w:pPr>
        <w:rPr>
          <w:b/>
          <w:i/>
          <w:sz w:val="26"/>
          <w:szCs w:val="26"/>
        </w:rPr>
        <w:sectPr w:rsidR="00217A61">
          <w:pgSz w:w="15840" w:h="12240" w:orient="landscape"/>
          <w:pgMar w:top="1440" w:right="1440" w:bottom="1440" w:left="1440" w:header="720" w:footer="720" w:gutter="0"/>
          <w:cols w:space="720"/>
          <w:docGrid w:linePitch="360"/>
        </w:sectPr>
      </w:pPr>
    </w:p>
    <w:p w14:paraId="046CD233" w14:textId="77777777" w:rsidR="00217A61" w:rsidRDefault="001C2695">
      <w:pPr>
        <w:rPr>
          <w:b/>
          <w:sz w:val="28"/>
          <w:szCs w:val="28"/>
        </w:rPr>
      </w:pPr>
      <w:r>
        <w:rPr>
          <w:b/>
          <w:sz w:val="28"/>
          <w:szCs w:val="28"/>
        </w:rPr>
        <w:lastRenderedPageBreak/>
        <w:t>SP-40 Institutional Delivery Structure – 91.315(k)</w:t>
      </w:r>
    </w:p>
    <w:p w14:paraId="5DC8AB84" w14:textId="77777777" w:rsidR="00217A61" w:rsidRDefault="001C2695">
      <w:pPr>
        <w:rPr>
          <w:rFonts w:cs="Arial"/>
        </w:rPr>
      </w:pPr>
      <w:r>
        <w:rPr>
          <w:rFonts w:cs="Arial"/>
        </w:rPr>
        <w:t xml:space="preserve">Explain the institutional structure through which the jurisdiction will carry out its consolidated plan including private industry, non-profit organizations, and public </w:t>
      </w:r>
      <w:r>
        <w:rPr>
          <w:rFonts w:cs="Arial"/>
        </w:rPr>
        <w:t>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2293"/>
        <w:gridCol w:w="2293"/>
        <w:gridCol w:w="2399"/>
      </w:tblGrid>
      <w:tr w:rsidR="00217A61" w14:paraId="4F7BDD0C" w14:textId="77777777">
        <w:trPr>
          <w:cantSplit/>
          <w:tblHeader/>
        </w:trPr>
        <w:tc>
          <w:tcPr>
            <w:tcW w:w="2425" w:type="dxa"/>
          </w:tcPr>
          <w:p w14:paraId="7668E19C" w14:textId="77777777" w:rsidR="00217A61" w:rsidRDefault="001C2695">
            <w:pPr>
              <w:keepNext/>
              <w:widowControl w:val="0"/>
              <w:spacing w:after="0" w:line="240" w:lineRule="auto"/>
              <w:jc w:val="center"/>
              <w:rPr>
                <w:rFonts w:cs="Arial"/>
              </w:rPr>
            </w:pPr>
            <w:r>
              <w:rPr>
                <w:b/>
                <w:bCs/>
              </w:rPr>
              <w:t>Responsible Entity</w:t>
            </w:r>
          </w:p>
        </w:tc>
        <w:tc>
          <w:tcPr>
            <w:tcW w:w="2352" w:type="dxa"/>
          </w:tcPr>
          <w:p w14:paraId="30A404C6" w14:textId="77777777" w:rsidR="00217A61" w:rsidRDefault="001C2695">
            <w:pPr>
              <w:keepNext/>
              <w:widowControl w:val="0"/>
              <w:spacing w:after="0" w:line="240" w:lineRule="auto"/>
              <w:jc w:val="center"/>
              <w:rPr>
                <w:rFonts w:cs="Arial"/>
              </w:rPr>
            </w:pPr>
            <w:r>
              <w:rPr>
                <w:b/>
                <w:bCs/>
              </w:rPr>
              <w:t>Responsible Entity Type</w:t>
            </w:r>
          </w:p>
        </w:tc>
        <w:tc>
          <w:tcPr>
            <w:tcW w:w="2352" w:type="dxa"/>
          </w:tcPr>
          <w:p w14:paraId="1F57F760" w14:textId="77777777" w:rsidR="00217A61" w:rsidRDefault="001C2695">
            <w:pPr>
              <w:keepNext/>
              <w:widowControl w:val="0"/>
              <w:spacing w:after="0" w:line="240" w:lineRule="auto"/>
              <w:jc w:val="center"/>
              <w:rPr>
                <w:rFonts w:cs="Arial"/>
              </w:rPr>
            </w:pPr>
            <w:r>
              <w:rPr>
                <w:b/>
                <w:bCs/>
              </w:rPr>
              <w:t>Role</w:t>
            </w:r>
          </w:p>
        </w:tc>
        <w:tc>
          <w:tcPr>
            <w:tcW w:w="2461" w:type="dxa"/>
          </w:tcPr>
          <w:p w14:paraId="0CB9D061" w14:textId="77777777" w:rsidR="00217A61" w:rsidRDefault="001C2695">
            <w:pPr>
              <w:keepNext/>
              <w:widowControl w:val="0"/>
              <w:spacing w:after="0" w:line="240" w:lineRule="auto"/>
              <w:jc w:val="center"/>
              <w:rPr>
                <w:rFonts w:cs="Arial"/>
              </w:rPr>
            </w:pPr>
            <w:r>
              <w:rPr>
                <w:b/>
                <w:bCs/>
              </w:rPr>
              <w:t>Geographic Area Served</w:t>
            </w:r>
          </w:p>
        </w:tc>
      </w:tr>
      <w:tr w:rsidR="00217A61" w14:paraId="1FC5D807" w14:textId="77777777">
        <w:trPr>
          <w:cantSplit/>
        </w:trPr>
        <w:tc>
          <w:tcPr>
            <w:tcW w:w="2425" w:type="dxa"/>
          </w:tcPr>
          <w:p w14:paraId="5DDBFDF5" w14:textId="77777777" w:rsidR="00217A61" w:rsidRDefault="001C2695">
            <w:pPr>
              <w:spacing w:beforeAutospacing="1" w:afterAutospacing="1"/>
            </w:pPr>
            <w:r>
              <w:rPr>
                <w:color w:val="000000"/>
              </w:rPr>
              <w:t>NORTH CAROLINA HOUSING FINANCE AGENCY</w:t>
            </w:r>
          </w:p>
        </w:tc>
        <w:tc>
          <w:tcPr>
            <w:tcW w:w="2352" w:type="dxa"/>
          </w:tcPr>
          <w:p w14:paraId="5BAA8FB8" w14:textId="77777777" w:rsidR="00217A61" w:rsidRDefault="001C2695">
            <w:pPr>
              <w:spacing w:beforeAutospacing="1" w:afterAutospacing="1"/>
            </w:pPr>
            <w:r>
              <w:rPr>
                <w:color w:val="000000"/>
              </w:rPr>
              <w:t>Government</w:t>
            </w:r>
          </w:p>
        </w:tc>
        <w:tc>
          <w:tcPr>
            <w:tcW w:w="2352" w:type="dxa"/>
          </w:tcPr>
          <w:p w14:paraId="39587F61" w14:textId="77777777" w:rsidR="00217A61" w:rsidRDefault="001C2695">
            <w:pPr>
              <w:spacing w:beforeAutospacing="1" w:afterAutospacing="1"/>
            </w:pPr>
            <w:r>
              <w:rPr>
                <w:color w:val="000000"/>
              </w:rPr>
              <w:t>Homelessness</w:t>
            </w:r>
            <w:r>
              <w:rPr>
                <w:color w:val="000000"/>
              </w:rPr>
              <w:br/>
              <w:t>Ownership</w:t>
            </w:r>
            <w:r>
              <w:rPr>
                <w:color w:val="000000"/>
              </w:rPr>
              <w:br/>
              <w:t>Rental</w:t>
            </w:r>
          </w:p>
        </w:tc>
        <w:tc>
          <w:tcPr>
            <w:tcW w:w="2461" w:type="dxa"/>
          </w:tcPr>
          <w:p w14:paraId="131B778B" w14:textId="77777777" w:rsidR="00217A61" w:rsidRDefault="001C2695">
            <w:pPr>
              <w:spacing w:beforeAutospacing="1" w:afterAutospacing="1"/>
            </w:pPr>
            <w:r>
              <w:rPr>
                <w:color w:val="000000"/>
              </w:rPr>
              <w:t>State</w:t>
            </w:r>
          </w:p>
        </w:tc>
      </w:tr>
    </w:tbl>
    <w:p w14:paraId="03FD57CB"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14:paraId="291DB2A8" w14:textId="77777777" w:rsidR="00217A61" w:rsidRDefault="001C2695">
      <w:pPr>
        <w:rPr>
          <w:rFonts w:cs="Arial"/>
          <w:b/>
          <w:sz w:val="26"/>
          <w:szCs w:val="26"/>
        </w:rPr>
      </w:pPr>
      <w:r>
        <w:rPr>
          <w:b/>
          <w:sz w:val="24"/>
          <w:szCs w:val="24"/>
        </w:rPr>
        <w:t xml:space="preserve">Assess of </w:t>
      </w:r>
      <w:r>
        <w:rPr>
          <w:b/>
          <w:sz w:val="24"/>
          <w:szCs w:val="24"/>
        </w:rPr>
        <w:t>Strengths and Gaps in the Institutional Delivery System</w:t>
      </w:r>
    </w:p>
    <w:p w14:paraId="735B9B70" w14:textId="77777777" w:rsidR="00217A61" w:rsidRDefault="001C2695">
      <w:pPr>
        <w:spacing w:beforeAutospacing="1" w:afterAutospacing="1"/>
        <w:rPr>
          <w:rFonts w:cs="Arial"/>
        </w:rPr>
      </w:pPr>
      <w:r>
        <w:rPr>
          <w:rFonts w:cs="Arial"/>
        </w:rPr>
        <w:t>Activities in the Consolidated Plan will be carried out by the three NC Plan Partners - NC Department of Commerce, North Carolina Housing Finance Agency, and NC Department of Health and Human Service. Each entity actively collaborated with private sector p</w:t>
      </w:r>
      <w:r>
        <w:rPr>
          <w:rFonts w:cs="Arial"/>
        </w:rPr>
        <w:t>artners, non-profit organizations, and local service providers to carry out programs and services. Having a diverse array of partners represented across the state enhances the reach of programs and services and improves accessibility for target populations</w:t>
      </w:r>
      <w:r>
        <w:rPr>
          <w:rFonts w:cs="Arial"/>
        </w:rPr>
        <w:t>. </w:t>
      </w:r>
    </w:p>
    <w:p w14:paraId="1C6711AC" w14:textId="77777777" w:rsidR="00217A61" w:rsidRDefault="001C2695">
      <w:pPr>
        <w:rPr>
          <w:rFonts w:cs="Arial"/>
        </w:rPr>
      </w:pPr>
      <w:r>
        <w:rPr>
          <w:rFonts w:cs="Arial"/>
          <w:b/>
          <w:sz w:val="24"/>
          <w:szCs w:val="24"/>
        </w:rPr>
        <w:t xml:space="preserve">Availability of services targeted to homeless persons and persons with HIV and mainstream </w:t>
      </w:r>
      <w:proofErr w:type="gramStart"/>
      <w:r>
        <w:rPr>
          <w:rFonts w:cs="Arial"/>
          <w:b/>
          <w:sz w:val="24"/>
          <w:szCs w:val="24"/>
        </w:rPr>
        <w:t>services</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217A61" w14:paraId="0628D1DA" w14:textId="77777777">
        <w:trPr>
          <w:cantSplit/>
          <w:tblHeader/>
        </w:trPr>
        <w:tc>
          <w:tcPr>
            <w:tcW w:w="3060" w:type="dxa"/>
          </w:tcPr>
          <w:p w14:paraId="391DC23C" w14:textId="77777777" w:rsidR="00217A61" w:rsidRDefault="001C2695">
            <w:pPr>
              <w:keepNext/>
              <w:widowControl w:val="0"/>
              <w:spacing w:after="0" w:line="240" w:lineRule="auto"/>
              <w:jc w:val="center"/>
              <w:rPr>
                <w:rFonts w:cs="Arial"/>
              </w:rPr>
            </w:pPr>
            <w:r>
              <w:rPr>
                <w:b/>
                <w:bCs/>
              </w:rPr>
              <w:t>Homelessness Prevention Services</w:t>
            </w:r>
          </w:p>
        </w:tc>
        <w:tc>
          <w:tcPr>
            <w:tcW w:w="2136" w:type="dxa"/>
          </w:tcPr>
          <w:p w14:paraId="45B14DF7" w14:textId="77777777" w:rsidR="00217A61" w:rsidRDefault="001C2695">
            <w:pPr>
              <w:keepNext/>
              <w:widowControl w:val="0"/>
              <w:spacing w:after="0" w:line="240" w:lineRule="auto"/>
              <w:jc w:val="center"/>
              <w:rPr>
                <w:rFonts w:cs="Arial"/>
              </w:rPr>
            </w:pPr>
            <w:r>
              <w:rPr>
                <w:b/>
                <w:bCs/>
              </w:rPr>
              <w:t>Available in the Community</w:t>
            </w:r>
          </w:p>
        </w:tc>
        <w:tc>
          <w:tcPr>
            <w:tcW w:w="2136" w:type="dxa"/>
          </w:tcPr>
          <w:p w14:paraId="3E08D239" w14:textId="77777777" w:rsidR="00217A61" w:rsidRDefault="001C2695">
            <w:pPr>
              <w:keepNext/>
              <w:widowControl w:val="0"/>
              <w:spacing w:after="0" w:line="240" w:lineRule="auto"/>
              <w:jc w:val="center"/>
              <w:rPr>
                <w:rFonts w:cs="Arial"/>
              </w:rPr>
            </w:pPr>
            <w:r>
              <w:rPr>
                <w:b/>
                <w:bCs/>
              </w:rPr>
              <w:t xml:space="preserve">Targeted </w:t>
            </w:r>
            <w:proofErr w:type="gramStart"/>
            <w:r>
              <w:rPr>
                <w:b/>
                <w:bCs/>
              </w:rPr>
              <w:t>to</w:t>
            </w:r>
            <w:proofErr w:type="gramEnd"/>
            <w:r>
              <w:rPr>
                <w:b/>
                <w:bCs/>
              </w:rPr>
              <w:t xml:space="preserve"> Homeless</w:t>
            </w:r>
          </w:p>
        </w:tc>
        <w:tc>
          <w:tcPr>
            <w:tcW w:w="2136" w:type="dxa"/>
          </w:tcPr>
          <w:p w14:paraId="7375B836" w14:textId="77777777" w:rsidR="00217A61" w:rsidRDefault="001C2695">
            <w:pPr>
              <w:keepNext/>
              <w:widowControl w:val="0"/>
              <w:spacing w:after="0" w:line="240" w:lineRule="auto"/>
              <w:jc w:val="center"/>
              <w:rPr>
                <w:rFonts w:cs="Arial"/>
              </w:rPr>
            </w:pPr>
            <w:r>
              <w:rPr>
                <w:b/>
                <w:bCs/>
              </w:rPr>
              <w:t>Targeted to People with HIV</w:t>
            </w:r>
          </w:p>
        </w:tc>
      </w:tr>
      <w:tr w:rsidR="00217A61" w14:paraId="1EB24E5D" w14:textId="77777777">
        <w:trPr>
          <w:cantSplit/>
          <w:trHeight w:val="107"/>
          <w:tblHeader/>
        </w:trPr>
        <w:tc>
          <w:tcPr>
            <w:tcW w:w="9468" w:type="dxa"/>
            <w:gridSpan w:val="4"/>
          </w:tcPr>
          <w:p w14:paraId="670750C4" w14:textId="77777777" w:rsidR="00217A61" w:rsidRDefault="001C2695">
            <w:pPr>
              <w:keepNext/>
              <w:widowControl w:val="0"/>
              <w:spacing w:after="0" w:line="240" w:lineRule="auto"/>
              <w:jc w:val="center"/>
              <w:rPr>
                <w:rFonts w:cs="Arial"/>
              </w:rPr>
            </w:pPr>
            <w:r>
              <w:rPr>
                <w:b/>
                <w:bCs/>
              </w:rPr>
              <w:t>Homelessness Prevention Services</w:t>
            </w:r>
          </w:p>
        </w:tc>
      </w:tr>
      <w:tr w:rsidR="00217A61" w14:paraId="3AE4368C" w14:textId="77777777">
        <w:trPr>
          <w:cantSplit/>
          <w:tblHeader/>
          <w:hidden/>
        </w:trPr>
        <w:tc>
          <w:tcPr>
            <w:tcW w:w="3060" w:type="dxa"/>
          </w:tcPr>
          <w:p w14:paraId="3975137D" w14:textId="77777777" w:rsidR="00217A61" w:rsidRDefault="00217A61">
            <w:pPr>
              <w:keepNext/>
              <w:widowControl w:val="0"/>
              <w:spacing w:after="0" w:line="240" w:lineRule="auto"/>
              <w:jc w:val="center"/>
              <w:rPr>
                <w:rFonts w:cs="Arial"/>
                <w:vanish/>
                <w:sz w:val="4"/>
                <w:szCs w:val="4"/>
              </w:rPr>
            </w:pPr>
          </w:p>
        </w:tc>
        <w:tc>
          <w:tcPr>
            <w:tcW w:w="2136" w:type="dxa"/>
          </w:tcPr>
          <w:p w14:paraId="5B7963BF" w14:textId="77777777" w:rsidR="00217A61" w:rsidRDefault="00217A61">
            <w:pPr>
              <w:keepNext/>
              <w:widowControl w:val="0"/>
              <w:spacing w:after="0" w:line="240" w:lineRule="auto"/>
              <w:jc w:val="center"/>
              <w:rPr>
                <w:rFonts w:cs="Arial"/>
                <w:vanish/>
                <w:sz w:val="4"/>
                <w:szCs w:val="4"/>
              </w:rPr>
            </w:pPr>
          </w:p>
        </w:tc>
        <w:tc>
          <w:tcPr>
            <w:tcW w:w="2136" w:type="dxa"/>
          </w:tcPr>
          <w:p w14:paraId="5AF47F36" w14:textId="77777777" w:rsidR="00217A61" w:rsidRDefault="00217A61">
            <w:pPr>
              <w:keepNext/>
              <w:widowControl w:val="0"/>
              <w:spacing w:after="0" w:line="240" w:lineRule="auto"/>
              <w:jc w:val="center"/>
              <w:rPr>
                <w:rFonts w:cs="Arial"/>
                <w:vanish/>
                <w:sz w:val="4"/>
                <w:szCs w:val="4"/>
              </w:rPr>
            </w:pPr>
          </w:p>
        </w:tc>
        <w:tc>
          <w:tcPr>
            <w:tcW w:w="2136" w:type="dxa"/>
          </w:tcPr>
          <w:p w14:paraId="70C118E0" w14:textId="77777777" w:rsidR="00217A61" w:rsidRDefault="00217A61">
            <w:pPr>
              <w:keepNext/>
              <w:widowControl w:val="0"/>
              <w:spacing w:after="0" w:line="240" w:lineRule="auto"/>
              <w:jc w:val="center"/>
              <w:rPr>
                <w:rFonts w:cs="Arial"/>
                <w:vanish/>
                <w:sz w:val="4"/>
                <w:szCs w:val="4"/>
              </w:rPr>
            </w:pPr>
          </w:p>
        </w:tc>
      </w:tr>
      <w:tr w:rsidR="00217A61" w14:paraId="50821806" w14:textId="77777777">
        <w:trPr>
          <w:cantSplit/>
        </w:trPr>
        <w:tc>
          <w:tcPr>
            <w:tcW w:w="3098" w:type="dxa"/>
            <w:tcBorders>
              <w:top w:val="nil"/>
            </w:tcBorders>
          </w:tcPr>
          <w:p w14:paraId="600D655C" w14:textId="77777777" w:rsidR="00217A61" w:rsidRDefault="001C2695">
            <w:pPr>
              <w:spacing w:beforeAutospacing="1" w:afterAutospacing="1"/>
            </w:pPr>
            <w:r>
              <w:rPr>
                <w:color w:val="000000"/>
              </w:rPr>
              <w:t>Counseling/Advocacy</w:t>
            </w:r>
          </w:p>
        </w:tc>
        <w:tc>
          <w:tcPr>
            <w:tcW w:w="2164" w:type="dxa"/>
            <w:tcBorders>
              <w:top w:val="nil"/>
            </w:tcBorders>
            <w:vAlign w:val="bottom"/>
          </w:tcPr>
          <w:p w14:paraId="7CF665B7" w14:textId="77777777" w:rsidR="00217A61" w:rsidRDefault="001C2695">
            <w:pPr>
              <w:spacing w:beforeAutospacing="1" w:afterAutospacing="1"/>
              <w:jc w:val="center"/>
            </w:pPr>
            <w:r>
              <w:rPr>
                <w:color w:val="000000"/>
              </w:rPr>
              <w:t>X</w:t>
            </w:r>
          </w:p>
        </w:tc>
        <w:tc>
          <w:tcPr>
            <w:tcW w:w="2164" w:type="dxa"/>
            <w:tcBorders>
              <w:top w:val="nil"/>
            </w:tcBorders>
            <w:vAlign w:val="bottom"/>
          </w:tcPr>
          <w:p w14:paraId="13A921E2" w14:textId="77777777" w:rsidR="00217A61" w:rsidRDefault="001C2695">
            <w:pPr>
              <w:spacing w:beforeAutospacing="1" w:afterAutospacing="1"/>
              <w:jc w:val="center"/>
            </w:pPr>
            <w:r>
              <w:rPr>
                <w:color w:val="000000"/>
              </w:rPr>
              <w:t>X</w:t>
            </w:r>
          </w:p>
        </w:tc>
        <w:tc>
          <w:tcPr>
            <w:tcW w:w="2164" w:type="dxa"/>
            <w:tcBorders>
              <w:top w:val="nil"/>
            </w:tcBorders>
            <w:vAlign w:val="bottom"/>
          </w:tcPr>
          <w:p w14:paraId="5A858D14" w14:textId="77777777" w:rsidR="00217A61" w:rsidRDefault="001C2695">
            <w:pPr>
              <w:spacing w:beforeAutospacing="1" w:afterAutospacing="1"/>
              <w:jc w:val="center"/>
            </w:pPr>
            <w:r>
              <w:rPr>
                <w:color w:val="000000"/>
              </w:rPr>
              <w:t>X</w:t>
            </w:r>
          </w:p>
        </w:tc>
      </w:tr>
      <w:tr w:rsidR="00217A61" w14:paraId="6BFB319B" w14:textId="77777777">
        <w:trPr>
          <w:cantSplit/>
        </w:trPr>
        <w:tc>
          <w:tcPr>
            <w:tcW w:w="3098" w:type="dxa"/>
            <w:tcBorders>
              <w:top w:val="nil"/>
            </w:tcBorders>
          </w:tcPr>
          <w:p w14:paraId="29E07D44" w14:textId="77777777" w:rsidR="00217A61" w:rsidRDefault="001C2695">
            <w:pPr>
              <w:spacing w:beforeAutospacing="1" w:afterAutospacing="1"/>
            </w:pPr>
            <w:r>
              <w:rPr>
                <w:color w:val="000000"/>
              </w:rPr>
              <w:t>Legal Assistance</w:t>
            </w:r>
          </w:p>
        </w:tc>
        <w:tc>
          <w:tcPr>
            <w:tcW w:w="2164" w:type="dxa"/>
            <w:tcBorders>
              <w:top w:val="nil"/>
            </w:tcBorders>
            <w:vAlign w:val="bottom"/>
          </w:tcPr>
          <w:p w14:paraId="24326070" w14:textId="77777777" w:rsidR="00217A61" w:rsidRDefault="001C2695">
            <w:pPr>
              <w:spacing w:beforeAutospacing="1" w:afterAutospacing="1"/>
              <w:jc w:val="center"/>
            </w:pPr>
            <w:r>
              <w:rPr>
                <w:color w:val="000000"/>
              </w:rPr>
              <w:t>X</w:t>
            </w:r>
          </w:p>
        </w:tc>
        <w:tc>
          <w:tcPr>
            <w:tcW w:w="2164" w:type="dxa"/>
            <w:tcBorders>
              <w:top w:val="nil"/>
            </w:tcBorders>
            <w:vAlign w:val="bottom"/>
          </w:tcPr>
          <w:p w14:paraId="3BAA6E26" w14:textId="77777777" w:rsidR="00217A61" w:rsidRDefault="001C2695">
            <w:pPr>
              <w:spacing w:beforeAutospacing="1" w:afterAutospacing="1"/>
              <w:jc w:val="center"/>
            </w:pPr>
            <w:r>
              <w:rPr>
                <w:color w:val="000000"/>
              </w:rPr>
              <w:t>X</w:t>
            </w:r>
          </w:p>
        </w:tc>
        <w:tc>
          <w:tcPr>
            <w:tcW w:w="2164" w:type="dxa"/>
            <w:tcBorders>
              <w:top w:val="nil"/>
            </w:tcBorders>
            <w:vAlign w:val="bottom"/>
          </w:tcPr>
          <w:p w14:paraId="145069E5" w14:textId="77777777" w:rsidR="00217A61" w:rsidRDefault="001C2695">
            <w:pPr>
              <w:spacing w:beforeAutospacing="1" w:afterAutospacing="1"/>
              <w:jc w:val="center"/>
            </w:pPr>
            <w:r>
              <w:rPr>
                <w:color w:val="000000"/>
              </w:rPr>
              <w:t>X</w:t>
            </w:r>
          </w:p>
        </w:tc>
      </w:tr>
      <w:tr w:rsidR="00217A61" w14:paraId="7F0CD064" w14:textId="77777777">
        <w:trPr>
          <w:cantSplit/>
        </w:trPr>
        <w:tc>
          <w:tcPr>
            <w:tcW w:w="3098" w:type="dxa"/>
            <w:tcBorders>
              <w:top w:val="nil"/>
            </w:tcBorders>
          </w:tcPr>
          <w:p w14:paraId="1EAB0916" w14:textId="77777777" w:rsidR="00217A61" w:rsidRDefault="001C2695">
            <w:pPr>
              <w:spacing w:beforeAutospacing="1" w:afterAutospacing="1"/>
            </w:pPr>
            <w:r>
              <w:rPr>
                <w:color w:val="000000"/>
              </w:rPr>
              <w:t>Mortgage Assistance</w:t>
            </w:r>
          </w:p>
        </w:tc>
        <w:tc>
          <w:tcPr>
            <w:tcW w:w="2164" w:type="dxa"/>
            <w:tcBorders>
              <w:top w:val="nil"/>
            </w:tcBorders>
            <w:vAlign w:val="bottom"/>
          </w:tcPr>
          <w:p w14:paraId="22885B8C" w14:textId="77777777" w:rsidR="00217A61" w:rsidRDefault="001C2695">
            <w:pPr>
              <w:spacing w:beforeAutospacing="1" w:afterAutospacing="1"/>
              <w:jc w:val="center"/>
            </w:pPr>
            <w:r>
              <w:rPr>
                <w:color w:val="000000"/>
              </w:rPr>
              <w:t>X</w:t>
            </w:r>
          </w:p>
        </w:tc>
        <w:tc>
          <w:tcPr>
            <w:tcW w:w="2164" w:type="dxa"/>
            <w:tcBorders>
              <w:top w:val="nil"/>
            </w:tcBorders>
            <w:vAlign w:val="bottom"/>
          </w:tcPr>
          <w:p w14:paraId="642CD96E" w14:textId="77777777" w:rsidR="00217A61" w:rsidRDefault="001C2695">
            <w:pPr>
              <w:spacing w:beforeAutospacing="1" w:afterAutospacing="1"/>
              <w:jc w:val="center"/>
            </w:pPr>
            <w:r>
              <w:rPr>
                <w:color w:val="000000"/>
              </w:rPr>
              <w:t>X</w:t>
            </w:r>
          </w:p>
        </w:tc>
        <w:tc>
          <w:tcPr>
            <w:tcW w:w="2164" w:type="dxa"/>
            <w:tcBorders>
              <w:top w:val="nil"/>
            </w:tcBorders>
            <w:vAlign w:val="bottom"/>
          </w:tcPr>
          <w:p w14:paraId="279E4D6B" w14:textId="77777777" w:rsidR="00217A61" w:rsidRDefault="001C2695">
            <w:pPr>
              <w:spacing w:beforeAutospacing="1" w:afterAutospacing="1"/>
              <w:jc w:val="center"/>
            </w:pPr>
            <w:r>
              <w:rPr>
                <w:color w:val="000000"/>
              </w:rPr>
              <w:t>X</w:t>
            </w:r>
          </w:p>
        </w:tc>
      </w:tr>
      <w:tr w:rsidR="00217A61" w14:paraId="484BDDD4" w14:textId="77777777">
        <w:trPr>
          <w:cantSplit/>
        </w:trPr>
        <w:tc>
          <w:tcPr>
            <w:tcW w:w="3098" w:type="dxa"/>
            <w:tcBorders>
              <w:top w:val="nil"/>
            </w:tcBorders>
          </w:tcPr>
          <w:p w14:paraId="29A39A52" w14:textId="77777777" w:rsidR="00217A61" w:rsidRDefault="001C2695">
            <w:pPr>
              <w:spacing w:beforeAutospacing="1" w:afterAutospacing="1"/>
            </w:pPr>
            <w:r>
              <w:rPr>
                <w:color w:val="000000"/>
              </w:rPr>
              <w:t>Rental Assistance</w:t>
            </w:r>
          </w:p>
        </w:tc>
        <w:tc>
          <w:tcPr>
            <w:tcW w:w="2164" w:type="dxa"/>
            <w:tcBorders>
              <w:top w:val="nil"/>
            </w:tcBorders>
            <w:vAlign w:val="bottom"/>
          </w:tcPr>
          <w:p w14:paraId="0463F75C" w14:textId="77777777" w:rsidR="00217A61" w:rsidRDefault="001C2695">
            <w:pPr>
              <w:spacing w:beforeAutospacing="1" w:afterAutospacing="1"/>
              <w:jc w:val="center"/>
            </w:pPr>
            <w:r>
              <w:rPr>
                <w:color w:val="000000"/>
              </w:rPr>
              <w:t>X</w:t>
            </w:r>
          </w:p>
        </w:tc>
        <w:tc>
          <w:tcPr>
            <w:tcW w:w="2164" w:type="dxa"/>
            <w:tcBorders>
              <w:top w:val="nil"/>
            </w:tcBorders>
            <w:vAlign w:val="bottom"/>
          </w:tcPr>
          <w:p w14:paraId="0A154769" w14:textId="77777777" w:rsidR="00217A61" w:rsidRDefault="001C2695">
            <w:pPr>
              <w:spacing w:beforeAutospacing="1" w:afterAutospacing="1"/>
              <w:jc w:val="center"/>
            </w:pPr>
            <w:r>
              <w:rPr>
                <w:color w:val="000000"/>
              </w:rPr>
              <w:t>X</w:t>
            </w:r>
          </w:p>
        </w:tc>
        <w:tc>
          <w:tcPr>
            <w:tcW w:w="2164" w:type="dxa"/>
            <w:tcBorders>
              <w:top w:val="nil"/>
            </w:tcBorders>
            <w:vAlign w:val="bottom"/>
          </w:tcPr>
          <w:p w14:paraId="6D614974" w14:textId="77777777" w:rsidR="00217A61" w:rsidRDefault="001C2695">
            <w:pPr>
              <w:spacing w:beforeAutospacing="1" w:afterAutospacing="1"/>
              <w:jc w:val="center"/>
            </w:pPr>
            <w:r>
              <w:rPr>
                <w:color w:val="000000"/>
              </w:rPr>
              <w:t>X</w:t>
            </w:r>
          </w:p>
        </w:tc>
      </w:tr>
      <w:tr w:rsidR="00217A61" w14:paraId="349A905B" w14:textId="77777777">
        <w:trPr>
          <w:cantSplit/>
        </w:trPr>
        <w:tc>
          <w:tcPr>
            <w:tcW w:w="3098" w:type="dxa"/>
            <w:tcBorders>
              <w:top w:val="nil"/>
            </w:tcBorders>
          </w:tcPr>
          <w:p w14:paraId="2189DD11" w14:textId="77777777" w:rsidR="00217A61" w:rsidRDefault="001C2695">
            <w:pPr>
              <w:spacing w:beforeAutospacing="1" w:afterAutospacing="1"/>
            </w:pPr>
            <w:r>
              <w:rPr>
                <w:color w:val="000000"/>
              </w:rPr>
              <w:t>Utilities Assistance</w:t>
            </w:r>
          </w:p>
        </w:tc>
        <w:tc>
          <w:tcPr>
            <w:tcW w:w="2164" w:type="dxa"/>
            <w:tcBorders>
              <w:top w:val="nil"/>
            </w:tcBorders>
            <w:vAlign w:val="bottom"/>
          </w:tcPr>
          <w:p w14:paraId="40F2A0DB" w14:textId="77777777" w:rsidR="00217A61" w:rsidRDefault="001C2695">
            <w:pPr>
              <w:spacing w:beforeAutospacing="1" w:afterAutospacing="1"/>
              <w:jc w:val="center"/>
            </w:pPr>
            <w:r>
              <w:rPr>
                <w:color w:val="000000"/>
              </w:rPr>
              <w:t>X</w:t>
            </w:r>
          </w:p>
        </w:tc>
        <w:tc>
          <w:tcPr>
            <w:tcW w:w="2164" w:type="dxa"/>
            <w:tcBorders>
              <w:top w:val="nil"/>
            </w:tcBorders>
            <w:vAlign w:val="bottom"/>
          </w:tcPr>
          <w:p w14:paraId="3711B692" w14:textId="77777777" w:rsidR="00217A61" w:rsidRDefault="001C2695">
            <w:pPr>
              <w:spacing w:beforeAutospacing="1" w:afterAutospacing="1"/>
              <w:jc w:val="center"/>
            </w:pPr>
            <w:r>
              <w:rPr>
                <w:color w:val="000000"/>
              </w:rPr>
              <w:t>X</w:t>
            </w:r>
          </w:p>
        </w:tc>
        <w:tc>
          <w:tcPr>
            <w:tcW w:w="2164" w:type="dxa"/>
            <w:tcBorders>
              <w:top w:val="nil"/>
            </w:tcBorders>
            <w:vAlign w:val="bottom"/>
          </w:tcPr>
          <w:p w14:paraId="3D95BDAE" w14:textId="77777777" w:rsidR="00217A61" w:rsidRDefault="001C2695">
            <w:pPr>
              <w:spacing w:beforeAutospacing="1" w:afterAutospacing="1"/>
              <w:jc w:val="center"/>
            </w:pPr>
            <w:r>
              <w:rPr>
                <w:color w:val="000000"/>
              </w:rPr>
              <w:t>X</w:t>
            </w:r>
          </w:p>
        </w:tc>
      </w:tr>
    </w:tbl>
    <w:p w14:paraId="28A0CC3A" w14:textId="77777777" w:rsidR="00217A61" w:rsidRDefault="00217A61">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217A61" w14:paraId="707B8271" w14:textId="77777777">
        <w:trPr>
          <w:cantSplit/>
          <w:trHeight w:val="107"/>
          <w:tblHeader/>
        </w:trPr>
        <w:tc>
          <w:tcPr>
            <w:tcW w:w="9468" w:type="dxa"/>
            <w:gridSpan w:val="4"/>
          </w:tcPr>
          <w:p w14:paraId="3BC78664" w14:textId="77777777" w:rsidR="00217A61" w:rsidRDefault="001C2695">
            <w:pPr>
              <w:keepNext/>
              <w:widowControl w:val="0"/>
              <w:spacing w:after="0" w:line="240" w:lineRule="auto"/>
              <w:jc w:val="center"/>
              <w:rPr>
                <w:rFonts w:cs="Arial"/>
              </w:rPr>
            </w:pPr>
            <w:r>
              <w:rPr>
                <w:b/>
                <w:bCs/>
              </w:rPr>
              <w:t>Street Outreach Services</w:t>
            </w:r>
          </w:p>
        </w:tc>
      </w:tr>
      <w:tr w:rsidR="00217A61" w14:paraId="771B322A" w14:textId="77777777">
        <w:trPr>
          <w:cantSplit/>
        </w:trPr>
        <w:tc>
          <w:tcPr>
            <w:tcW w:w="3098" w:type="dxa"/>
            <w:tcBorders>
              <w:top w:val="nil"/>
            </w:tcBorders>
          </w:tcPr>
          <w:p w14:paraId="4D481A44" w14:textId="77777777" w:rsidR="00217A61" w:rsidRDefault="001C2695">
            <w:pPr>
              <w:spacing w:beforeAutospacing="1" w:afterAutospacing="1"/>
            </w:pPr>
            <w:r>
              <w:rPr>
                <w:color w:val="000000"/>
              </w:rPr>
              <w:t>Law Enforcement</w:t>
            </w:r>
          </w:p>
        </w:tc>
        <w:tc>
          <w:tcPr>
            <w:tcW w:w="2164" w:type="dxa"/>
            <w:tcBorders>
              <w:top w:val="nil"/>
            </w:tcBorders>
            <w:vAlign w:val="bottom"/>
          </w:tcPr>
          <w:p w14:paraId="62248E39" w14:textId="77777777" w:rsidR="00217A61" w:rsidRDefault="001C2695">
            <w:pPr>
              <w:spacing w:beforeAutospacing="1" w:afterAutospacing="1"/>
              <w:jc w:val="center"/>
            </w:pPr>
            <w:r>
              <w:rPr>
                <w:color w:val="000000"/>
              </w:rPr>
              <w:t>X</w:t>
            </w:r>
          </w:p>
        </w:tc>
        <w:tc>
          <w:tcPr>
            <w:tcW w:w="2164" w:type="dxa"/>
            <w:tcBorders>
              <w:top w:val="nil"/>
            </w:tcBorders>
            <w:vAlign w:val="bottom"/>
          </w:tcPr>
          <w:p w14:paraId="2F7113A6" w14:textId="77777777" w:rsidR="00217A61" w:rsidRDefault="001C2695">
            <w:pPr>
              <w:spacing w:beforeAutospacing="1" w:afterAutospacing="1"/>
              <w:jc w:val="center"/>
            </w:pPr>
            <w:r>
              <w:rPr>
                <w:color w:val="000000"/>
              </w:rPr>
              <w:t>X</w:t>
            </w:r>
          </w:p>
        </w:tc>
        <w:tc>
          <w:tcPr>
            <w:tcW w:w="2164" w:type="dxa"/>
            <w:tcBorders>
              <w:top w:val="nil"/>
            </w:tcBorders>
            <w:vAlign w:val="bottom"/>
          </w:tcPr>
          <w:p w14:paraId="200B9336" w14:textId="77777777" w:rsidR="00217A61" w:rsidRDefault="001C2695">
            <w:pPr>
              <w:spacing w:beforeAutospacing="1" w:afterAutospacing="1"/>
              <w:jc w:val="center"/>
            </w:pPr>
            <w:r>
              <w:rPr>
                <w:color w:val="000000"/>
              </w:rPr>
              <w:t>X</w:t>
            </w:r>
          </w:p>
        </w:tc>
      </w:tr>
      <w:tr w:rsidR="00217A61" w14:paraId="0A558856" w14:textId="77777777">
        <w:trPr>
          <w:cantSplit/>
        </w:trPr>
        <w:tc>
          <w:tcPr>
            <w:tcW w:w="3098" w:type="dxa"/>
            <w:tcBorders>
              <w:top w:val="nil"/>
            </w:tcBorders>
          </w:tcPr>
          <w:p w14:paraId="69607442" w14:textId="77777777" w:rsidR="00217A61" w:rsidRDefault="001C2695">
            <w:pPr>
              <w:spacing w:beforeAutospacing="1" w:afterAutospacing="1"/>
            </w:pPr>
            <w:r>
              <w:rPr>
                <w:color w:val="000000"/>
              </w:rPr>
              <w:t>Mobile Clinics</w:t>
            </w:r>
          </w:p>
        </w:tc>
        <w:tc>
          <w:tcPr>
            <w:tcW w:w="2164" w:type="dxa"/>
            <w:tcBorders>
              <w:top w:val="nil"/>
            </w:tcBorders>
            <w:vAlign w:val="bottom"/>
          </w:tcPr>
          <w:p w14:paraId="345903AF" w14:textId="77777777" w:rsidR="00217A61" w:rsidRDefault="001C2695">
            <w:pPr>
              <w:spacing w:beforeAutospacing="1" w:afterAutospacing="1"/>
              <w:jc w:val="center"/>
            </w:pPr>
            <w:r>
              <w:rPr>
                <w:color w:val="000000"/>
              </w:rPr>
              <w:t>X</w:t>
            </w:r>
          </w:p>
        </w:tc>
        <w:tc>
          <w:tcPr>
            <w:tcW w:w="2164" w:type="dxa"/>
            <w:tcBorders>
              <w:top w:val="nil"/>
            </w:tcBorders>
            <w:vAlign w:val="bottom"/>
          </w:tcPr>
          <w:p w14:paraId="55EF2624" w14:textId="77777777" w:rsidR="00217A61" w:rsidRDefault="001C2695">
            <w:pPr>
              <w:spacing w:beforeAutospacing="1" w:afterAutospacing="1"/>
              <w:jc w:val="center"/>
            </w:pPr>
            <w:r>
              <w:rPr>
                <w:color w:val="000000"/>
              </w:rPr>
              <w:t>X</w:t>
            </w:r>
          </w:p>
        </w:tc>
        <w:tc>
          <w:tcPr>
            <w:tcW w:w="2164" w:type="dxa"/>
            <w:tcBorders>
              <w:top w:val="nil"/>
            </w:tcBorders>
            <w:vAlign w:val="bottom"/>
          </w:tcPr>
          <w:p w14:paraId="52971D8D" w14:textId="77777777" w:rsidR="00217A61" w:rsidRDefault="001C2695">
            <w:pPr>
              <w:spacing w:beforeAutospacing="1" w:afterAutospacing="1"/>
              <w:jc w:val="center"/>
            </w:pPr>
            <w:r>
              <w:rPr>
                <w:color w:val="000000"/>
              </w:rPr>
              <w:t>X</w:t>
            </w:r>
          </w:p>
        </w:tc>
      </w:tr>
      <w:tr w:rsidR="00217A61" w14:paraId="2D2ABD5B" w14:textId="77777777">
        <w:trPr>
          <w:cantSplit/>
        </w:trPr>
        <w:tc>
          <w:tcPr>
            <w:tcW w:w="3098" w:type="dxa"/>
            <w:tcBorders>
              <w:top w:val="nil"/>
            </w:tcBorders>
          </w:tcPr>
          <w:p w14:paraId="0E5C041E" w14:textId="77777777" w:rsidR="00217A61" w:rsidRDefault="001C2695">
            <w:pPr>
              <w:spacing w:beforeAutospacing="1" w:afterAutospacing="1"/>
            </w:pPr>
            <w:r>
              <w:rPr>
                <w:color w:val="000000"/>
              </w:rPr>
              <w:t>Other Street Outreach Services</w:t>
            </w:r>
          </w:p>
        </w:tc>
        <w:tc>
          <w:tcPr>
            <w:tcW w:w="2164" w:type="dxa"/>
            <w:tcBorders>
              <w:top w:val="nil"/>
            </w:tcBorders>
            <w:vAlign w:val="bottom"/>
          </w:tcPr>
          <w:p w14:paraId="7B16A133" w14:textId="77777777" w:rsidR="00217A61" w:rsidRDefault="001C2695">
            <w:pPr>
              <w:spacing w:beforeAutospacing="1" w:afterAutospacing="1"/>
              <w:jc w:val="center"/>
            </w:pPr>
            <w:r>
              <w:rPr>
                <w:color w:val="000000"/>
              </w:rPr>
              <w:t>X</w:t>
            </w:r>
          </w:p>
        </w:tc>
        <w:tc>
          <w:tcPr>
            <w:tcW w:w="2164" w:type="dxa"/>
            <w:tcBorders>
              <w:top w:val="nil"/>
            </w:tcBorders>
            <w:vAlign w:val="bottom"/>
          </w:tcPr>
          <w:p w14:paraId="2E332B79" w14:textId="77777777" w:rsidR="00217A61" w:rsidRDefault="001C2695">
            <w:pPr>
              <w:spacing w:beforeAutospacing="1" w:afterAutospacing="1"/>
              <w:jc w:val="center"/>
            </w:pPr>
            <w:r>
              <w:rPr>
                <w:color w:val="000000"/>
              </w:rPr>
              <w:t>X</w:t>
            </w:r>
          </w:p>
        </w:tc>
        <w:tc>
          <w:tcPr>
            <w:tcW w:w="2164" w:type="dxa"/>
            <w:tcBorders>
              <w:top w:val="nil"/>
            </w:tcBorders>
            <w:vAlign w:val="bottom"/>
          </w:tcPr>
          <w:p w14:paraId="7C1783DD" w14:textId="77777777" w:rsidR="00217A61" w:rsidRDefault="001C2695">
            <w:pPr>
              <w:spacing w:beforeAutospacing="1" w:afterAutospacing="1"/>
              <w:jc w:val="center"/>
            </w:pPr>
            <w:r>
              <w:rPr>
                <w:color w:val="000000"/>
              </w:rPr>
              <w:t>X</w:t>
            </w:r>
          </w:p>
        </w:tc>
      </w:tr>
    </w:tbl>
    <w:p w14:paraId="5BAF2080" w14:textId="77777777" w:rsidR="00217A61" w:rsidRDefault="00217A61">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217A61" w14:paraId="62205455" w14:textId="77777777">
        <w:trPr>
          <w:cantSplit/>
          <w:trHeight w:val="107"/>
          <w:tblHeader/>
        </w:trPr>
        <w:tc>
          <w:tcPr>
            <w:tcW w:w="9468" w:type="dxa"/>
            <w:gridSpan w:val="4"/>
          </w:tcPr>
          <w:p w14:paraId="687EC389" w14:textId="77777777" w:rsidR="00217A61" w:rsidRDefault="001C2695">
            <w:pPr>
              <w:keepNext/>
              <w:widowControl w:val="0"/>
              <w:spacing w:after="0" w:line="240" w:lineRule="auto"/>
              <w:jc w:val="center"/>
              <w:rPr>
                <w:rFonts w:cs="Arial"/>
              </w:rPr>
            </w:pPr>
            <w:r>
              <w:rPr>
                <w:b/>
                <w:bCs/>
              </w:rPr>
              <w:t>Supportive Services</w:t>
            </w:r>
          </w:p>
        </w:tc>
      </w:tr>
      <w:tr w:rsidR="00217A61" w14:paraId="1897A0D0" w14:textId="77777777">
        <w:trPr>
          <w:cantSplit/>
        </w:trPr>
        <w:tc>
          <w:tcPr>
            <w:tcW w:w="3098" w:type="dxa"/>
            <w:tcBorders>
              <w:top w:val="nil"/>
            </w:tcBorders>
          </w:tcPr>
          <w:p w14:paraId="0D501A7F" w14:textId="77777777" w:rsidR="00217A61" w:rsidRDefault="001C2695">
            <w:pPr>
              <w:spacing w:beforeAutospacing="1" w:afterAutospacing="1"/>
            </w:pPr>
            <w:r>
              <w:rPr>
                <w:color w:val="000000"/>
              </w:rPr>
              <w:t>Alcohol &amp; Drug Abuse</w:t>
            </w:r>
          </w:p>
        </w:tc>
        <w:tc>
          <w:tcPr>
            <w:tcW w:w="2164" w:type="dxa"/>
            <w:tcBorders>
              <w:top w:val="nil"/>
            </w:tcBorders>
            <w:vAlign w:val="bottom"/>
          </w:tcPr>
          <w:p w14:paraId="551536E7" w14:textId="77777777" w:rsidR="00217A61" w:rsidRDefault="001C2695">
            <w:pPr>
              <w:spacing w:beforeAutospacing="1" w:afterAutospacing="1"/>
              <w:jc w:val="center"/>
            </w:pPr>
            <w:r>
              <w:rPr>
                <w:color w:val="000000"/>
              </w:rPr>
              <w:t>X</w:t>
            </w:r>
          </w:p>
        </w:tc>
        <w:tc>
          <w:tcPr>
            <w:tcW w:w="2164" w:type="dxa"/>
            <w:tcBorders>
              <w:top w:val="nil"/>
            </w:tcBorders>
            <w:vAlign w:val="bottom"/>
          </w:tcPr>
          <w:p w14:paraId="29E821AC" w14:textId="77777777" w:rsidR="00217A61" w:rsidRDefault="001C2695">
            <w:pPr>
              <w:spacing w:beforeAutospacing="1" w:afterAutospacing="1"/>
              <w:jc w:val="center"/>
            </w:pPr>
            <w:r>
              <w:rPr>
                <w:color w:val="000000"/>
              </w:rPr>
              <w:t>X</w:t>
            </w:r>
          </w:p>
        </w:tc>
        <w:tc>
          <w:tcPr>
            <w:tcW w:w="2164" w:type="dxa"/>
            <w:tcBorders>
              <w:top w:val="nil"/>
            </w:tcBorders>
            <w:vAlign w:val="bottom"/>
          </w:tcPr>
          <w:p w14:paraId="49609096" w14:textId="77777777" w:rsidR="00217A61" w:rsidRDefault="001C2695">
            <w:pPr>
              <w:spacing w:beforeAutospacing="1" w:afterAutospacing="1"/>
              <w:jc w:val="center"/>
            </w:pPr>
            <w:r>
              <w:rPr>
                <w:color w:val="000000"/>
              </w:rPr>
              <w:t>X</w:t>
            </w:r>
          </w:p>
        </w:tc>
      </w:tr>
      <w:tr w:rsidR="00217A61" w14:paraId="7A6D3B17" w14:textId="77777777">
        <w:trPr>
          <w:cantSplit/>
        </w:trPr>
        <w:tc>
          <w:tcPr>
            <w:tcW w:w="3098" w:type="dxa"/>
            <w:tcBorders>
              <w:top w:val="nil"/>
            </w:tcBorders>
          </w:tcPr>
          <w:p w14:paraId="0C0108A2" w14:textId="77777777" w:rsidR="00217A61" w:rsidRDefault="001C2695">
            <w:pPr>
              <w:spacing w:beforeAutospacing="1" w:afterAutospacing="1"/>
            </w:pPr>
            <w:r>
              <w:rPr>
                <w:color w:val="000000"/>
              </w:rPr>
              <w:t>Child Care</w:t>
            </w:r>
          </w:p>
        </w:tc>
        <w:tc>
          <w:tcPr>
            <w:tcW w:w="2164" w:type="dxa"/>
            <w:tcBorders>
              <w:top w:val="nil"/>
            </w:tcBorders>
            <w:vAlign w:val="bottom"/>
          </w:tcPr>
          <w:p w14:paraId="1EB4E3C1" w14:textId="77777777" w:rsidR="00217A61" w:rsidRDefault="001C2695">
            <w:pPr>
              <w:spacing w:beforeAutospacing="1" w:afterAutospacing="1"/>
              <w:jc w:val="center"/>
            </w:pPr>
            <w:r>
              <w:rPr>
                <w:color w:val="000000"/>
              </w:rPr>
              <w:t>X</w:t>
            </w:r>
          </w:p>
        </w:tc>
        <w:tc>
          <w:tcPr>
            <w:tcW w:w="2164" w:type="dxa"/>
            <w:tcBorders>
              <w:top w:val="nil"/>
            </w:tcBorders>
            <w:vAlign w:val="bottom"/>
          </w:tcPr>
          <w:p w14:paraId="1C921FBC" w14:textId="77777777" w:rsidR="00217A61" w:rsidRDefault="001C2695">
            <w:pPr>
              <w:spacing w:beforeAutospacing="1" w:afterAutospacing="1"/>
              <w:jc w:val="center"/>
            </w:pPr>
            <w:r>
              <w:rPr>
                <w:color w:val="000000"/>
              </w:rPr>
              <w:t>X</w:t>
            </w:r>
          </w:p>
        </w:tc>
        <w:tc>
          <w:tcPr>
            <w:tcW w:w="2164" w:type="dxa"/>
            <w:tcBorders>
              <w:top w:val="nil"/>
            </w:tcBorders>
            <w:vAlign w:val="bottom"/>
          </w:tcPr>
          <w:p w14:paraId="2CD820C0" w14:textId="77777777" w:rsidR="00217A61" w:rsidRDefault="001C2695">
            <w:pPr>
              <w:spacing w:beforeAutospacing="1" w:afterAutospacing="1"/>
              <w:jc w:val="center"/>
            </w:pPr>
            <w:r>
              <w:rPr>
                <w:color w:val="000000"/>
              </w:rPr>
              <w:t>X</w:t>
            </w:r>
          </w:p>
        </w:tc>
      </w:tr>
      <w:tr w:rsidR="00217A61" w14:paraId="0D75A9D2" w14:textId="77777777">
        <w:trPr>
          <w:cantSplit/>
        </w:trPr>
        <w:tc>
          <w:tcPr>
            <w:tcW w:w="3098" w:type="dxa"/>
            <w:tcBorders>
              <w:top w:val="nil"/>
            </w:tcBorders>
          </w:tcPr>
          <w:p w14:paraId="4B80DD49" w14:textId="77777777" w:rsidR="00217A61" w:rsidRDefault="001C2695">
            <w:pPr>
              <w:spacing w:beforeAutospacing="1" w:afterAutospacing="1"/>
            </w:pPr>
            <w:r>
              <w:rPr>
                <w:color w:val="000000"/>
              </w:rPr>
              <w:t>Education</w:t>
            </w:r>
          </w:p>
        </w:tc>
        <w:tc>
          <w:tcPr>
            <w:tcW w:w="2164" w:type="dxa"/>
            <w:tcBorders>
              <w:top w:val="nil"/>
            </w:tcBorders>
            <w:vAlign w:val="bottom"/>
          </w:tcPr>
          <w:p w14:paraId="29B62425" w14:textId="77777777" w:rsidR="00217A61" w:rsidRDefault="001C2695">
            <w:pPr>
              <w:spacing w:beforeAutospacing="1" w:afterAutospacing="1"/>
              <w:jc w:val="center"/>
            </w:pPr>
            <w:r>
              <w:rPr>
                <w:color w:val="000000"/>
              </w:rPr>
              <w:t>X</w:t>
            </w:r>
          </w:p>
        </w:tc>
        <w:tc>
          <w:tcPr>
            <w:tcW w:w="2164" w:type="dxa"/>
            <w:tcBorders>
              <w:top w:val="nil"/>
            </w:tcBorders>
            <w:vAlign w:val="bottom"/>
          </w:tcPr>
          <w:p w14:paraId="4B956520" w14:textId="77777777" w:rsidR="00217A61" w:rsidRDefault="001C2695">
            <w:pPr>
              <w:spacing w:beforeAutospacing="1" w:afterAutospacing="1"/>
              <w:jc w:val="center"/>
            </w:pPr>
            <w:r>
              <w:rPr>
                <w:color w:val="000000"/>
              </w:rPr>
              <w:t>X</w:t>
            </w:r>
          </w:p>
        </w:tc>
        <w:tc>
          <w:tcPr>
            <w:tcW w:w="2164" w:type="dxa"/>
            <w:tcBorders>
              <w:top w:val="nil"/>
            </w:tcBorders>
            <w:vAlign w:val="bottom"/>
          </w:tcPr>
          <w:p w14:paraId="3D55539E" w14:textId="77777777" w:rsidR="00217A61" w:rsidRDefault="001C2695">
            <w:pPr>
              <w:spacing w:beforeAutospacing="1" w:afterAutospacing="1"/>
              <w:jc w:val="center"/>
            </w:pPr>
            <w:r>
              <w:rPr>
                <w:color w:val="000000"/>
              </w:rPr>
              <w:t>X</w:t>
            </w:r>
          </w:p>
        </w:tc>
      </w:tr>
      <w:tr w:rsidR="00217A61" w14:paraId="56B477C7" w14:textId="77777777">
        <w:trPr>
          <w:cantSplit/>
        </w:trPr>
        <w:tc>
          <w:tcPr>
            <w:tcW w:w="3098" w:type="dxa"/>
            <w:tcBorders>
              <w:top w:val="nil"/>
            </w:tcBorders>
          </w:tcPr>
          <w:p w14:paraId="76009376" w14:textId="77777777" w:rsidR="00217A61" w:rsidRDefault="001C2695">
            <w:pPr>
              <w:spacing w:beforeAutospacing="1" w:afterAutospacing="1"/>
            </w:pPr>
            <w:r>
              <w:rPr>
                <w:color w:val="000000"/>
              </w:rPr>
              <w:t>Employment and Employment Training</w:t>
            </w:r>
          </w:p>
        </w:tc>
        <w:tc>
          <w:tcPr>
            <w:tcW w:w="2164" w:type="dxa"/>
            <w:tcBorders>
              <w:top w:val="nil"/>
            </w:tcBorders>
            <w:vAlign w:val="bottom"/>
          </w:tcPr>
          <w:p w14:paraId="0F25FC39" w14:textId="77777777" w:rsidR="00217A61" w:rsidRDefault="001C2695">
            <w:pPr>
              <w:spacing w:beforeAutospacing="1" w:afterAutospacing="1"/>
              <w:jc w:val="center"/>
            </w:pPr>
            <w:r>
              <w:rPr>
                <w:color w:val="000000"/>
              </w:rPr>
              <w:t>X</w:t>
            </w:r>
          </w:p>
        </w:tc>
        <w:tc>
          <w:tcPr>
            <w:tcW w:w="2164" w:type="dxa"/>
            <w:tcBorders>
              <w:top w:val="nil"/>
            </w:tcBorders>
            <w:vAlign w:val="bottom"/>
          </w:tcPr>
          <w:p w14:paraId="3F49CEFB" w14:textId="77777777" w:rsidR="00217A61" w:rsidRDefault="001C2695">
            <w:pPr>
              <w:spacing w:beforeAutospacing="1" w:afterAutospacing="1"/>
              <w:jc w:val="center"/>
            </w:pPr>
            <w:r>
              <w:rPr>
                <w:color w:val="000000"/>
              </w:rPr>
              <w:t>X</w:t>
            </w:r>
          </w:p>
        </w:tc>
        <w:tc>
          <w:tcPr>
            <w:tcW w:w="2164" w:type="dxa"/>
            <w:tcBorders>
              <w:top w:val="nil"/>
            </w:tcBorders>
            <w:vAlign w:val="bottom"/>
          </w:tcPr>
          <w:p w14:paraId="0D963679" w14:textId="77777777" w:rsidR="00217A61" w:rsidRDefault="001C2695">
            <w:pPr>
              <w:spacing w:beforeAutospacing="1" w:afterAutospacing="1"/>
              <w:jc w:val="center"/>
            </w:pPr>
            <w:r>
              <w:rPr>
                <w:color w:val="000000"/>
              </w:rPr>
              <w:t>X</w:t>
            </w:r>
          </w:p>
        </w:tc>
      </w:tr>
      <w:tr w:rsidR="00217A61" w14:paraId="32CD7F57" w14:textId="77777777">
        <w:trPr>
          <w:cantSplit/>
        </w:trPr>
        <w:tc>
          <w:tcPr>
            <w:tcW w:w="3098" w:type="dxa"/>
            <w:tcBorders>
              <w:top w:val="nil"/>
            </w:tcBorders>
          </w:tcPr>
          <w:p w14:paraId="6463F37E" w14:textId="77777777" w:rsidR="00217A61" w:rsidRDefault="001C2695">
            <w:pPr>
              <w:spacing w:beforeAutospacing="1" w:afterAutospacing="1"/>
            </w:pPr>
            <w:r>
              <w:rPr>
                <w:color w:val="000000"/>
              </w:rPr>
              <w:t>Healthcare</w:t>
            </w:r>
          </w:p>
        </w:tc>
        <w:tc>
          <w:tcPr>
            <w:tcW w:w="2164" w:type="dxa"/>
            <w:tcBorders>
              <w:top w:val="nil"/>
            </w:tcBorders>
            <w:vAlign w:val="bottom"/>
          </w:tcPr>
          <w:p w14:paraId="69811FAF" w14:textId="77777777" w:rsidR="00217A61" w:rsidRDefault="001C2695">
            <w:pPr>
              <w:spacing w:beforeAutospacing="1" w:afterAutospacing="1"/>
              <w:jc w:val="center"/>
            </w:pPr>
            <w:r>
              <w:rPr>
                <w:color w:val="000000"/>
              </w:rPr>
              <w:t>X</w:t>
            </w:r>
          </w:p>
        </w:tc>
        <w:tc>
          <w:tcPr>
            <w:tcW w:w="2164" w:type="dxa"/>
            <w:tcBorders>
              <w:top w:val="nil"/>
            </w:tcBorders>
            <w:vAlign w:val="bottom"/>
          </w:tcPr>
          <w:p w14:paraId="19A96088" w14:textId="77777777" w:rsidR="00217A61" w:rsidRDefault="001C2695">
            <w:pPr>
              <w:spacing w:beforeAutospacing="1" w:afterAutospacing="1"/>
              <w:jc w:val="center"/>
            </w:pPr>
            <w:r>
              <w:rPr>
                <w:color w:val="000000"/>
              </w:rPr>
              <w:t>X</w:t>
            </w:r>
          </w:p>
        </w:tc>
        <w:tc>
          <w:tcPr>
            <w:tcW w:w="2164" w:type="dxa"/>
            <w:tcBorders>
              <w:top w:val="nil"/>
            </w:tcBorders>
            <w:vAlign w:val="bottom"/>
          </w:tcPr>
          <w:p w14:paraId="11E900B9" w14:textId="77777777" w:rsidR="00217A61" w:rsidRDefault="001C2695">
            <w:pPr>
              <w:spacing w:beforeAutospacing="1" w:afterAutospacing="1"/>
              <w:jc w:val="center"/>
            </w:pPr>
            <w:r>
              <w:rPr>
                <w:color w:val="000000"/>
              </w:rPr>
              <w:t>X</w:t>
            </w:r>
          </w:p>
        </w:tc>
      </w:tr>
      <w:tr w:rsidR="00217A61" w14:paraId="7AC32AB8" w14:textId="77777777">
        <w:trPr>
          <w:cantSplit/>
        </w:trPr>
        <w:tc>
          <w:tcPr>
            <w:tcW w:w="3098" w:type="dxa"/>
            <w:tcBorders>
              <w:top w:val="nil"/>
            </w:tcBorders>
          </w:tcPr>
          <w:p w14:paraId="109B070C" w14:textId="77777777" w:rsidR="00217A61" w:rsidRDefault="001C2695">
            <w:pPr>
              <w:spacing w:beforeAutospacing="1" w:afterAutospacing="1"/>
            </w:pPr>
            <w:r>
              <w:rPr>
                <w:color w:val="000000"/>
              </w:rPr>
              <w:t>HIV/AIDS</w:t>
            </w:r>
          </w:p>
        </w:tc>
        <w:tc>
          <w:tcPr>
            <w:tcW w:w="2164" w:type="dxa"/>
            <w:tcBorders>
              <w:top w:val="nil"/>
            </w:tcBorders>
            <w:vAlign w:val="bottom"/>
          </w:tcPr>
          <w:p w14:paraId="266A140E" w14:textId="77777777" w:rsidR="00217A61" w:rsidRDefault="001C2695">
            <w:pPr>
              <w:spacing w:beforeAutospacing="1" w:afterAutospacing="1"/>
              <w:jc w:val="center"/>
            </w:pPr>
            <w:r>
              <w:rPr>
                <w:color w:val="000000"/>
              </w:rPr>
              <w:t>X</w:t>
            </w:r>
          </w:p>
        </w:tc>
        <w:tc>
          <w:tcPr>
            <w:tcW w:w="2164" w:type="dxa"/>
            <w:tcBorders>
              <w:top w:val="nil"/>
            </w:tcBorders>
            <w:vAlign w:val="bottom"/>
          </w:tcPr>
          <w:p w14:paraId="4E901582" w14:textId="77777777" w:rsidR="00217A61" w:rsidRDefault="001C2695">
            <w:pPr>
              <w:spacing w:beforeAutospacing="1" w:afterAutospacing="1"/>
              <w:jc w:val="center"/>
            </w:pPr>
            <w:r>
              <w:rPr>
                <w:color w:val="000000"/>
              </w:rPr>
              <w:t>X</w:t>
            </w:r>
          </w:p>
        </w:tc>
        <w:tc>
          <w:tcPr>
            <w:tcW w:w="2164" w:type="dxa"/>
            <w:tcBorders>
              <w:top w:val="nil"/>
            </w:tcBorders>
            <w:vAlign w:val="bottom"/>
          </w:tcPr>
          <w:p w14:paraId="0895ED74" w14:textId="77777777" w:rsidR="00217A61" w:rsidRDefault="001C2695">
            <w:pPr>
              <w:spacing w:beforeAutospacing="1" w:afterAutospacing="1"/>
              <w:jc w:val="center"/>
            </w:pPr>
            <w:r>
              <w:rPr>
                <w:color w:val="000000"/>
              </w:rPr>
              <w:t>X</w:t>
            </w:r>
          </w:p>
        </w:tc>
      </w:tr>
      <w:tr w:rsidR="00217A61" w14:paraId="79812E8C" w14:textId="77777777">
        <w:trPr>
          <w:cantSplit/>
        </w:trPr>
        <w:tc>
          <w:tcPr>
            <w:tcW w:w="3098" w:type="dxa"/>
            <w:tcBorders>
              <w:top w:val="nil"/>
            </w:tcBorders>
          </w:tcPr>
          <w:p w14:paraId="2C4ABBCC" w14:textId="77777777" w:rsidR="00217A61" w:rsidRDefault="001C2695">
            <w:pPr>
              <w:spacing w:beforeAutospacing="1" w:afterAutospacing="1"/>
            </w:pPr>
            <w:r>
              <w:rPr>
                <w:color w:val="000000"/>
              </w:rPr>
              <w:lastRenderedPageBreak/>
              <w:t>Life Skills</w:t>
            </w:r>
          </w:p>
        </w:tc>
        <w:tc>
          <w:tcPr>
            <w:tcW w:w="2164" w:type="dxa"/>
            <w:tcBorders>
              <w:top w:val="nil"/>
            </w:tcBorders>
            <w:vAlign w:val="bottom"/>
          </w:tcPr>
          <w:p w14:paraId="4A134AC3" w14:textId="77777777" w:rsidR="00217A61" w:rsidRDefault="001C2695">
            <w:pPr>
              <w:spacing w:beforeAutospacing="1" w:afterAutospacing="1"/>
              <w:jc w:val="center"/>
            </w:pPr>
            <w:r>
              <w:rPr>
                <w:color w:val="000000"/>
              </w:rPr>
              <w:t>X</w:t>
            </w:r>
          </w:p>
        </w:tc>
        <w:tc>
          <w:tcPr>
            <w:tcW w:w="2164" w:type="dxa"/>
            <w:tcBorders>
              <w:top w:val="nil"/>
            </w:tcBorders>
            <w:vAlign w:val="bottom"/>
          </w:tcPr>
          <w:p w14:paraId="612809E2" w14:textId="77777777" w:rsidR="00217A61" w:rsidRDefault="001C2695">
            <w:pPr>
              <w:spacing w:beforeAutospacing="1" w:afterAutospacing="1"/>
              <w:jc w:val="center"/>
            </w:pPr>
            <w:r>
              <w:rPr>
                <w:color w:val="000000"/>
              </w:rPr>
              <w:t>X</w:t>
            </w:r>
          </w:p>
        </w:tc>
        <w:tc>
          <w:tcPr>
            <w:tcW w:w="2164" w:type="dxa"/>
            <w:tcBorders>
              <w:top w:val="nil"/>
            </w:tcBorders>
            <w:vAlign w:val="bottom"/>
          </w:tcPr>
          <w:p w14:paraId="58100448" w14:textId="77777777" w:rsidR="00217A61" w:rsidRDefault="001C2695">
            <w:pPr>
              <w:spacing w:beforeAutospacing="1" w:afterAutospacing="1"/>
              <w:jc w:val="center"/>
            </w:pPr>
            <w:r>
              <w:rPr>
                <w:color w:val="000000"/>
              </w:rPr>
              <w:t>X</w:t>
            </w:r>
          </w:p>
        </w:tc>
      </w:tr>
      <w:tr w:rsidR="00217A61" w14:paraId="479FD503" w14:textId="77777777">
        <w:trPr>
          <w:cantSplit/>
        </w:trPr>
        <w:tc>
          <w:tcPr>
            <w:tcW w:w="3098" w:type="dxa"/>
            <w:tcBorders>
              <w:top w:val="nil"/>
            </w:tcBorders>
          </w:tcPr>
          <w:p w14:paraId="6BE39C61" w14:textId="77777777" w:rsidR="00217A61" w:rsidRDefault="001C2695">
            <w:pPr>
              <w:spacing w:beforeAutospacing="1" w:afterAutospacing="1"/>
            </w:pPr>
            <w:r>
              <w:rPr>
                <w:color w:val="000000"/>
              </w:rPr>
              <w:t>Mental Health Counseling</w:t>
            </w:r>
          </w:p>
        </w:tc>
        <w:tc>
          <w:tcPr>
            <w:tcW w:w="2164" w:type="dxa"/>
            <w:tcBorders>
              <w:top w:val="nil"/>
            </w:tcBorders>
            <w:vAlign w:val="bottom"/>
          </w:tcPr>
          <w:p w14:paraId="15F32842" w14:textId="77777777" w:rsidR="00217A61" w:rsidRDefault="001C2695">
            <w:pPr>
              <w:spacing w:beforeAutospacing="1" w:afterAutospacing="1"/>
              <w:jc w:val="center"/>
            </w:pPr>
            <w:r>
              <w:rPr>
                <w:color w:val="000000"/>
              </w:rPr>
              <w:t>X</w:t>
            </w:r>
          </w:p>
        </w:tc>
        <w:tc>
          <w:tcPr>
            <w:tcW w:w="2164" w:type="dxa"/>
            <w:tcBorders>
              <w:top w:val="nil"/>
            </w:tcBorders>
            <w:vAlign w:val="bottom"/>
          </w:tcPr>
          <w:p w14:paraId="2C5C188F" w14:textId="77777777" w:rsidR="00217A61" w:rsidRDefault="001C2695">
            <w:pPr>
              <w:spacing w:beforeAutospacing="1" w:afterAutospacing="1"/>
              <w:jc w:val="center"/>
            </w:pPr>
            <w:r>
              <w:rPr>
                <w:color w:val="000000"/>
              </w:rPr>
              <w:t>X</w:t>
            </w:r>
          </w:p>
        </w:tc>
        <w:tc>
          <w:tcPr>
            <w:tcW w:w="2164" w:type="dxa"/>
            <w:tcBorders>
              <w:top w:val="nil"/>
            </w:tcBorders>
            <w:vAlign w:val="bottom"/>
          </w:tcPr>
          <w:p w14:paraId="642702B5" w14:textId="77777777" w:rsidR="00217A61" w:rsidRDefault="001C2695">
            <w:pPr>
              <w:spacing w:beforeAutospacing="1" w:afterAutospacing="1"/>
              <w:jc w:val="center"/>
            </w:pPr>
            <w:r>
              <w:rPr>
                <w:color w:val="000000"/>
              </w:rPr>
              <w:t>X</w:t>
            </w:r>
          </w:p>
        </w:tc>
      </w:tr>
      <w:tr w:rsidR="00217A61" w14:paraId="3F9168FF" w14:textId="77777777">
        <w:trPr>
          <w:cantSplit/>
        </w:trPr>
        <w:tc>
          <w:tcPr>
            <w:tcW w:w="3098" w:type="dxa"/>
            <w:tcBorders>
              <w:top w:val="nil"/>
            </w:tcBorders>
          </w:tcPr>
          <w:p w14:paraId="59BBA636" w14:textId="77777777" w:rsidR="00217A61" w:rsidRDefault="001C2695">
            <w:pPr>
              <w:spacing w:beforeAutospacing="1" w:afterAutospacing="1"/>
            </w:pPr>
            <w:r>
              <w:rPr>
                <w:color w:val="000000"/>
              </w:rPr>
              <w:t>Transportation</w:t>
            </w:r>
          </w:p>
        </w:tc>
        <w:tc>
          <w:tcPr>
            <w:tcW w:w="2164" w:type="dxa"/>
            <w:tcBorders>
              <w:top w:val="nil"/>
            </w:tcBorders>
            <w:vAlign w:val="bottom"/>
          </w:tcPr>
          <w:p w14:paraId="0EE44275" w14:textId="77777777" w:rsidR="00217A61" w:rsidRDefault="001C2695">
            <w:pPr>
              <w:spacing w:beforeAutospacing="1" w:afterAutospacing="1"/>
              <w:jc w:val="center"/>
            </w:pPr>
            <w:r>
              <w:rPr>
                <w:color w:val="000000"/>
              </w:rPr>
              <w:t xml:space="preserve">  </w:t>
            </w:r>
          </w:p>
        </w:tc>
        <w:tc>
          <w:tcPr>
            <w:tcW w:w="2164" w:type="dxa"/>
            <w:tcBorders>
              <w:top w:val="nil"/>
            </w:tcBorders>
            <w:vAlign w:val="bottom"/>
          </w:tcPr>
          <w:p w14:paraId="65D63800" w14:textId="77777777" w:rsidR="00217A61" w:rsidRDefault="001C2695">
            <w:pPr>
              <w:spacing w:beforeAutospacing="1" w:afterAutospacing="1"/>
              <w:jc w:val="center"/>
            </w:pPr>
            <w:r>
              <w:rPr>
                <w:color w:val="000000"/>
              </w:rPr>
              <w:t>X</w:t>
            </w:r>
          </w:p>
        </w:tc>
        <w:tc>
          <w:tcPr>
            <w:tcW w:w="2164" w:type="dxa"/>
            <w:tcBorders>
              <w:top w:val="nil"/>
            </w:tcBorders>
            <w:vAlign w:val="bottom"/>
          </w:tcPr>
          <w:p w14:paraId="662F4C5D" w14:textId="77777777" w:rsidR="00217A61" w:rsidRDefault="001C2695">
            <w:pPr>
              <w:spacing w:beforeAutospacing="1" w:afterAutospacing="1"/>
              <w:jc w:val="center"/>
            </w:pPr>
            <w:r>
              <w:rPr>
                <w:color w:val="000000"/>
              </w:rPr>
              <w:t>X</w:t>
            </w:r>
          </w:p>
        </w:tc>
      </w:tr>
    </w:tbl>
    <w:p w14:paraId="4875D6FA" w14:textId="77777777" w:rsidR="00217A61" w:rsidRDefault="00217A61">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217A61" w14:paraId="02B350DB" w14:textId="77777777">
        <w:trPr>
          <w:cantSplit/>
          <w:trHeight w:val="107"/>
          <w:tblHeader/>
        </w:trPr>
        <w:tc>
          <w:tcPr>
            <w:tcW w:w="9468" w:type="dxa"/>
            <w:gridSpan w:val="4"/>
          </w:tcPr>
          <w:p w14:paraId="6BC51494" w14:textId="77777777" w:rsidR="00217A61" w:rsidRDefault="001C2695">
            <w:pPr>
              <w:keepNext/>
              <w:widowControl w:val="0"/>
              <w:spacing w:after="0" w:line="240" w:lineRule="auto"/>
              <w:jc w:val="center"/>
              <w:rPr>
                <w:rFonts w:cs="Arial"/>
              </w:rPr>
            </w:pPr>
            <w:r>
              <w:rPr>
                <w:b/>
                <w:bCs/>
              </w:rPr>
              <w:t>Other</w:t>
            </w:r>
          </w:p>
        </w:tc>
      </w:tr>
      <w:tr w:rsidR="00217A61" w14:paraId="5840E6C1" w14:textId="77777777">
        <w:trPr>
          <w:cantSplit/>
        </w:trPr>
        <w:tc>
          <w:tcPr>
            <w:tcW w:w="3098" w:type="dxa"/>
            <w:tcBorders>
              <w:top w:val="nil"/>
            </w:tcBorders>
          </w:tcPr>
          <w:p w14:paraId="34318201" w14:textId="77777777" w:rsidR="00217A61" w:rsidRDefault="001C2695">
            <w:pPr>
              <w:spacing w:beforeAutospacing="1" w:afterAutospacing="1"/>
            </w:pPr>
            <w:r>
              <w:rPr>
                <w:color w:val="000000"/>
              </w:rPr>
              <w:t xml:space="preserve"> </w:t>
            </w:r>
          </w:p>
        </w:tc>
        <w:tc>
          <w:tcPr>
            <w:tcW w:w="2164" w:type="dxa"/>
            <w:tcBorders>
              <w:top w:val="nil"/>
            </w:tcBorders>
            <w:vAlign w:val="bottom"/>
          </w:tcPr>
          <w:p w14:paraId="6A552CCA" w14:textId="77777777" w:rsidR="00217A61" w:rsidRDefault="001C2695">
            <w:pPr>
              <w:spacing w:beforeAutospacing="1" w:afterAutospacing="1"/>
              <w:jc w:val="center"/>
            </w:pPr>
            <w:r>
              <w:rPr>
                <w:color w:val="000000"/>
              </w:rPr>
              <w:t xml:space="preserve"> </w:t>
            </w:r>
          </w:p>
        </w:tc>
        <w:tc>
          <w:tcPr>
            <w:tcW w:w="2164" w:type="dxa"/>
            <w:tcBorders>
              <w:top w:val="nil"/>
            </w:tcBorders>
            <w:vAlign w:val="bottom"/>
          </w:tcPr>
          <w:p w14:paraId="60A43CB7" w14:textId="77777777" w:rsidR="00217A61" w:rsidRDefault="001C2695">
            <w:pPr>
              <w:spacing w:beforeAutospacing="1" w:afterAutospacing="1"/>
              <w:jc w:val="center"/>
            </w:pPr>
            <w:r>
              <w:rPr>
                <w:color w:val="000000"/>
              </w:rPr>
              <w:t xml:space="preserve"> </w:t>
            </w:r>
          </w:p>
        </w:tc>
        <w:tc>
          <w:tcPr>
            <w:tcW w:w="2164" w:type="dxa"/>
            <w:tcBorders>
              <w:top w:val="nil"/>
            </w:tcBorders>
            <w:vAlign w:val="bottom"/>
          </w:tcPr>
          <w:p w14:paraId="17BA1193" w14:textId="77777777" w:rsidR="00217A61" w:rsidRDefault="001C2695">
            <w:pPr>
              <w:spacing w:beforeAutospacing="1" w:afterAutospacing="1"/>
              <w:jc w:val="center"/>
            </w:pPr>
            <w:r>
              <w:rPr>
                <w:color w:val="000000"/>
              </w:rPr>
              <w:t xml:space="preserve"> </w:t>
            </w:r>
          </w:p>
        </w:tc>
      </w:tr>
    </w:tbl>
    <w:p w14:paraId="4CE15659"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55</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14:paraId="7BBA852C" w14:textId="77777777" w:rsidR="00217A61" w:rsidRDefault="001C2695">
      <w:pPr>
        <w:rPr>
          <w:b/>
          <w:sz w:val="24"/>
          <w:szCs w:val="24"/>
        </w:rPr>
      </w:pPr>
      <w:r>
        <w:rPr>
          <w:b/>
          <w:sz w:val="24"/>
          <w:szCs w:val="24"/>
        </w:rPr>
        <w:t xml:space="preserve">Describe the extent to which services targeted to homeless person and persons with HIV and mainstream </w:t>
      </w:r>
      <w:r>
        <w:rPr>
          <w:b/>
          <w:sz w:val="24"/>
          <w:szCs w:val="24"/>
        </w:rPr>
        <w:t>services, such as health, mental health and employment services are made available to and used by homeless persons (particularly chronically homeless individuals and families, families with children, veterans and their families and unaccompanied youth) and</w:t>
      </w:r>
      <w:r>
        <w:rPr>
          <w:b/>
          <w:sz w:val="24"/>
          <w:szCs w:val="24"/>
        </w:rPr>
        <w:t xml:space="preserve"> persons with HIV within the </w:t>
      </w:r>
      <w:proofErr w:type="gramStart"/>
      <w:r>
        <w:rPr>
          <w:b/>
          <w:sz w:val="24"/>
          <w:szCs w:val="24"/>
        </w:rPr>
        <w:t>jurisdiction</w:t>
      </w:r>
      <w:proofErr w:type="gramEnd"/>
    </w:p>
    <w:p w14:paraId="3D93D7F4" w14:textId="77777777" w:rsidR="00217A61" w:rsidRDefault="001C2695">
      <w:pPr>
        <w:spacing w:beforeAutospacing="1" w:afterAutospacing="1"/>
        <w:rPr>
          <w:rFonts w:cs="Arial"/>
        </w:rPr>
      </w:pPr>
      <w:r>
        <w:rPr>
          <w:rFonts w:cs="Arial"/>
        </w:rPr>
        <w:t xml:space="preserve">ESG services are available throughout North Carolina. Each program offers an array of services in local communities that provide homelessness prevention, street outreach and supportive services. Service provision of these programs may include, but are not </w:t>
      </w:r>
      <w:r>
        <w:rPr>
          <w:rFonts w:cs="Arial"/>
        </w:rPr>
        <w:t xml:space="preserve">limited to, heath, mental health, employment services for homeless persons, chronically homeless individuals and </w:t>
      </w:r>
      <w:proofErr w:type="spellStart"/>
      <w:r>
        <w:rPr>
          <w:rFonts w:cs="Arial"/>
        </w:rPr>
        <w:t>familes</w:t>
      </w:r>
      <w:proofErr w:type="spellEnd"/>
      <w:r>
        <w:rPr>
          <w:rFonts w:cs="Arial"/>
        </w:rPr>
        <w:t xml:space="preserve">, families with children, veterans and their families, unaccompanied </w:t>
      </w:r>
      <w:proofErr w:type="gramStart"/>
      <w:r>
        <w:rPr>
          <w:rFonts w:cs="Arial"/>
        </w:rPr>
        <w:t>youth</w:t>
      </w:r>
      <w:proofErr w:type="gramEnd"/>
      <w:r>
        <w:rPr>
          <w:rFonts w:cs="Arial"/>
        </w:rPr>
        <w:t xml:space="preserve"> and persons with HIV/AIDS.</w:t>
      </w:r>
    </w:p>
    <w:p w14:paraId="6BD085ED" w14:textId="77777777" w:rsidR="00217A61" w:rsidRDefault="001C2695">
      <w:pPr>
        <w:rPr>
          <w:b/>
          <w:sz w:val="24"/>
          <w:szCs w:val="24"/>
        </w:rPr>
      </w:pPr>
      <w:r>
        <w:rPr>
          <w:b/>
          <w:sz w:val="24"/>
          <w:szCs w:val="24"/>
        </w:rPr>
        <w:t xml:space="preserve">Describe the strengths and </w:t>
      </w:r>
      <w:r>
        <w:rPr>
          <w:b/>
          <w:sz w:val="24"/>
          <w:szCs w:val="24"/>
        </w:rPr>
        <w:t xml:space="preserve">gaps of the service delivery system for special needs population and persons experiencing homelessness, including, but not limited to, the services listed </w:t>
      </w:r>
      <w:proofErr w:type="gramStart"/>
      <w:r>
        <w:rPr>
          <w:b/>
          <w:sz w:val="24"/>
          <w:szCs w:val="24"/>
        </w:rPr>
        <w:t>above</w:t>
      </w:r>
      <w:proofErr w:type="gramEnd"/>
    </w:p>
    <w:p w14:paraId="39AED095" w14:textId="77777777" w:rsidR="00217A61" w:rsidRDefault="001C2695">
      <w:pPr>
        <w:spacing w:beforeAutospacing="1" w:afterAutospacing="1"/>
        <w:rPr>
          <w:rFonts w:cs="Arial"/>
          <w:szCs w:val="24"/>
        </w:rPr>
      </w:pPr>
      <w:r>
        <w:rPr>
          <w:rFonts w:cs="Arial"/>
        </w:rPr>
        <w:t xml:space="preserve">The strength of the Emergency Solutions Grants delivery system is that is allows a broad range </w:t>
      </w:r>
      <w:r>
        <w:rPr>
          <w:rFonts w:cs="Arial"/>
        </w:rPr>
        <w:t>of providers to deliver services for the homeless or persons at risk of homelessness. In doing so, persons are often able to access services through multiple non-profits and local units of government that span North Carolina.</w:t>
      </w:r>
    </w:p>
    <w:p w14:paraId="0284A4CC" w14:textId="77777777" w:rsidR="00217A61" w:rsidRDefault="001C2695">
      <w:pPr>
        <w:spacing w:beforeAutospacing="1" w:afterAutospacing="1"/>
        <w:rPr>
          <w:rFonts w:cs="Arial"/>
          <w:szCs w:val="24"/>
        </w:rPr>
      </w:pPr>
      <w:r>
        <w:rPr>
          <w:rFonts w:cs="Arial"/>
        </w:rPr>
        <w:t>A gap in the Emergency Solutio</w:t>
      </w:r>
      <w:r>
        <w:rPr>
          <w:rFonts w:cs="Arial"/>
        </w:rPr>
        <w:t>ns Grants Program service delivery is limited funding. Providers must choose which services they may offer to homeless or persons at risk of homelessness and other special populations.</w:t>
      </w:r>
    </w:p>
    <w:p w14:paraId="35B2D038" w14:textId="77777777" w:rsidR="00217A61" w:rsidRDefault="001C2695">
      <w:pPr>
        <w:rPr>
          <w:b/>
          <w:sz w:val="24"/>
          <w:szCs w:val="24"/>
        </w:rPr>
      </w:pPr>
      <w:r>
        <w:rPr>
          <w:b/>
          <w:sz w:val="24"/>
          <w:szCs w:val="24"/>
        </w:rPr>
        <w:t>Provide a summary of the strategy for overcoming gaps in the institutio</w:t>
      </w:r>
      <w:r>
        <w:rPr>
          <w:b/>
          <w:sz w:val="24"/>
          <w:szCs w:val="24"/>
        </w:rPr>
        <w:t xml:space="preserve">nal structure and service delivery system for carrying out a strategy to address priority </w:t>
      </w:r>
      <w:proofErr w:type="gramStart"/>
      <w:r>
        <w:rPr>
          <w:b/>
          <w:sz w:val="24"/>
          <w:szCs w:val="24"/>
        </w:rPr>
        <w:t>needs</w:t>
      </w:r>
      <w:proofErr w:type="gramEnd"/>
    </w:p>
    <w:p w14:paraId="27EAD155" w14:textId="77777777" w:rsidR="00217A61" w:rsidRDefault="001C2695">
      <w:pPr>
        <w:spacing w:beforeAutospacing="1" w:afterAutospacing="1"/>
        <w:rPr>
          <w:rFonts w:cs="Arial"/>
        </w:rPr>
      </w:pPr>
      <w:r>
        <w:rPr>
          <w:rFonts w:cs="Arial"/>
        </w:rPr>
        <w:t>Administered by the North Carolina Department of Commerce, the CDBG Program provides grants to non-entitlement local governments for projects that enhance the v</w:t>
      </w:r>
      <w:r>
        <w:rPr>
          <w:rFonts w:cs="Arial"/>
        </w:rPr>
        <w:t>iability of communities by providing decent housing and suitable living environments and by expanding economic opportunities, principally for persons of low- and moderate-income. The state will continue to solicit feedback to determine where gaps are in pr</w:t>
      </w:r>
      <w:r>
        <w:rPr>
          <w:rFonts w:cs="Arial"/>
        </w:rPr>
        <w:t>oviding CDBG funding opportunities to local units of government and design programs that help fill some to those gaps.</w:t>
      </w:r>
    </w:p>
    <w:p w14:paraId="766D8450" w14:textId="77777777" w:rsidR="00217A61" w:rsidRDefault="001C2695">
      <w:pPr>
        <w:spacing w:beforeAutospacing="1" w:afterAutospacing="1"/>
        <w:rPr>
          <w:rFonts w:cs="Arial"/>
        </w:rPr>
      </w:pPr>
      <w:r>
        <w:rPr>
          <w:rFonts w:cs="Arial"/>
        </w:rPr>
        <w:lastRenderedPageBreak/>
        <w:t>The state leverages funding using Housing Opportunities for Persons with AIDS, Supportive Housing Development, Emergency Solutions Grants</w:t>
      </w:r>
      <w:r>
        <w:rPr>
          <w:rFonts w:cs="Arial"/>
        </w:rPr>
        <w:t xml:space="preserve"> and KEY Programs. Local providers are also encouraged to foster opportunities to leverage by requesting funding from local units of government and other non-HUD grant opportunities.</w:t>
      </w:r>
    </w:p>
    <w:p w14:paraId="6279FA7B" w14:textId="77777777" w:rsidR="00217A61" w:rsidRDefault="00217A61">
      <w:pPr>
        <w:rPr>
          <w:rFonts w:cs="Arial"/>
        </w:rPr>
        <w:sectPr w:rsidR="00217A61">
          <w:pgSz w:w="12240" w:h="15840"/>
          <w:pgMar w:top="1440" w:right="1440" w:bottom="1440" w:left="1440" w:header="720" w:footer="720" w:gutter="0"/>
          <w:cols w:space="720"/>
          <w:docGrid w:linePitch="360"/>
        </w:sectPr>
      </w:pPr>
    </w:p>
    <w:p w14:paraId="7C8B1F9D" w14:textId="77777777" w:rsidR="00217A61" w:rsidRDefault="001C2695">
      <w:pPr>
        <w:rPr>
          <w:b/>
          <w:sz w:val="28"/>
          <w:szCs w:val="28"/>
        </w:rPr>
      </w:pPr>
      <w:r>
        <w:rPr>
          <w:b/>
          <w:sz w:val="28"/>
          <w:szCs w:val="28"/>
        </w:rPr>
        <w:lastRenderedPageBreak/>
        <w:t>SP-45 Goals Summary – 91.315(a)(4)</w:t>
      </w:r>
    </w:p>
    <w:p w14:paraId="0048CF90" w14:textId="77777777" w:rsidR="00217A61" w:rsidRDefault="001C2695">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2084"/>
        <w:gridCol w:w="663"/>
        <w:gridCol w:w="663"/>
        <w:gridCol w:w="1860"/>
        <w:gridCol w:w="1185"/>
        <w:gridCol w:w="1922"/>
        <w:gridCol w:w="1517"/>
        <w:gridCol w:w="2922"/>
      </w:tblGrid>
      <w:tr w:rsidR="00217A61" w14:paraId="142B4220" w14:textId="77777777">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14:paraId="044F6ECE" w14:textId="77777777" w:rsidR="00217A61" w:rsidRDefault="001C2695">
            <w:pPr>
              <w:keepNext/>
              <w:widowControl w:val="0"/>
              <w:spacing w:after="0" w:line="240" w:lineRule="auto"/>
              <w:jc w:val="center"/>
              <w:rPr>
                <w:b/>
                <w:sz w:val="20"/>
                <w:szCs w:val="20"/>
              </w:rPr>
            </w:pPr>
            <w:r>
              <w:rPr>
                <w:b/>
                <w:sz w:val="20"/>
                <w:szCs w:val="20"/>
              </w:rPr>
              <w:t>Sort Or</w:t>
            </w:r>
            <w:r>
              <w:rPr>
                <w:b/>
                <w:sz w:val="20"/>
                <w:szCs w:val="20"/>
              </w:rPr>
              <w:t>der</w:t>
            </w:r>
          </w:p>
        </w:tc>
        <w:tc>
          <w:tcPr>
            <w:tcW w:w="1794" w:type="dxa"/>
            <w:tcBorders>
              <w:top w:val="single" w:sz="4" w:space="0" w:color="auto"/>
              <w:left w:val="single" w:sz="4" w:space="0" w:color="auto"/>
              <w:bottom w:val="single" w:sz="4" w:space="0" w:color="auto"/>
              <w:right w:val="single" w:sz="4" w:space="0" w:color="auto"/>
            </w:tcBorders>
            <w:hideMark/>
          </w:tcPr>
          <w:p w14:paraId="765A7DBF" w14:textId="77777777" w:rsidR="00217A61" w:rsidRDefault="001C2695">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14:paraId="0896F758" w14:textId="77777777" w:rsidR="00217A61" w:rsidRDefault="001C2695">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14:paraId="229BAE55" w14:textId="77777777" w:rsidR="00217A61" w:rsidRDefault="001C2695">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14:paraId="497BB1AB" w14:textId="77777777" w:rsidR="00217A61" w:rsidRDefault="001C2695">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14:paraId="295BCF34" w14:textId="77777777" w:rsidR="00217A61" w:rsidRDefault="001C2695">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14:paraId="4228CED0" w14:textId="77777777" w:rsidR="00217A61" w:rsidRDefault="001C2695">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14:paraId="3292E1FF" w14:textId="77777777" w:rsidR="00217A61" w:rsidRDefault="001C2695">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14:paraId="47F4C4B5" w14:textId="77777777" w:rsidR="00217A61" w:rsidRDefault="001C2695">
            <w:pPr>
              <w:keepNext/>
              <w:widowControl w:val="0"/>
              <w:spacing w:after="0" w:line="240" w:lineRule="auto"/>
              <w:jc w:val="center"/>
              <w:rPr>
                <w:b/>
                <w:sz w:val="20"/>
                <w:szCs w:val="20"/>
              </w:rPr>
            </w:pPr>
            <w:r>
              <w:rPr>
                <w:b/>
                <w:sz w:val="20"/>
                <w:szCs w:val="20"/>
              </w:rPr>
              <w:t>Goal Outcome Indicator</w:t>
            </w:r>
          </w:p>
        </w:tc>
      </w:tr>
      <w:tr w:rsidR="00217A61" w14:paraId="4DD589DD" w14:textId="77777777">
        <w:trPr>
          <w:cantSplit/>
        </w:trPr>
        <w:tc>
          <w:tcPr>
            <w:tcW w:w="0" w:type="auto"/>
            <w:tcBorders>
              <w:top w:val="single" w:sz="4" w:space="0" w:color="auto"/>
              <w:left w:val="single" w:sz="4" w:space="0" w:color="auto"/>
              <w:bottom w:val="single" w:sz="4" w:space="0" w:color="auto"/>
              <w:right w:val="single" w:sz="4" w:space="0" w:color="auto"/>
            </w:tcBorders>
          </w:tcPr>
          <w:p w14:paraId="5A948E74" w14:textId="77777777" w:rsidR="00217A61" w:rsidRDefault="001C2695">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14:paraId="1029E743" w14:textId="77777777" w:rsidR="00217A61" w:rsidRDefault="001C2695">
            <w:pPr>
              <w:spacing w:beforeAutospacing="1" w:afterAutospacing="1"/>
            </w:pPr>
            <w:r>
              <w:rPr>
                <w:color w:val="000000"/>
              </w:rPr>
              <w:t>Homeowner Housing Rehabilitation</w:t>
            </w:r>
          </w:p>
        </w:tc>
        <w:tc>
          <w:tcPr>
            <w:tcW w:w="0" w:type="auto"/>
            <w:tcBorders>
              <w:top w:val="single" w:sz="4" w:space="0" w:color="auto"/>
              <w:left w:val="single" w:sz="4" w:space="0" w:color="auto"/>
              <w:bottom w:val="single" w:sz="4" w:space="0" w:color="auto"/>
              <w:right w:val="single" w:sz="4" w:space="0" w:color="auto"/>
            </w:tcBorders>
          </w:tcPr>
          <w:p w14:paraId="3299B721"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4E1332E5"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51946716" w14:textId="77777777" w:rsidR="00217A61" w:rsidRDefault="001C2695">
            <w:pPr>
              <w:spacing w:beforeAutospacing="1" w:afterAutospacing="1"/>
            </w:pPr>
            <w:r>
              <w:rPr>
                <w:color w:val="000000"/>
              </w:rPr>
              <w:t>Non-Homeless Special Needs</w:t>
            </w:r>
          </w:p>
        </w:tc>
        <w:tc>
          <w:tcPr>
            <w:tcW w:w="0" w:type="auto"/>
            <w:tcBorders>
              <w:top w:val="single" w:sz="4" w:space="0" w:color="auto"/>
              <w:left w:val="single" w:sz="4" w:space="0" w:color="auto"/>
              <w:bottom w:val="single" w:sz="4" w:space="0" w:color="auto"/>
              <w:right w:val="single" w:sz="4" w:space="0" w:color="auto"/>
            </w:tcBorders>
          </w:tcPr>
          <w:p w14:paraId="4543A669"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4F53E7CE" w14:textId="77777777" w:rsidR="00217A61" w:rsidRDefault="001C2695">
            <w:pPr>
              <w:spacing w:beforeAutospacing="1" w:afterAutospacing="1"/>
            </w:pPr>
            <w:r>
              <w:rPr>
                <w:color w:val="000000"/>
              </w:rPr>
              <w:t>Housing for non-homeless persons w/ special needs</w:t>
            </w:r>
            <w:r>
              <w:rPr>
                <w:color w:val="000000"/>
              </w:rPr>
              <w:b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60F0A59F" w14:textId="77777777" w:rsidR="00217A61" w:rsidRDefault="001C2695">
            <w:pPr>
              <w:spacing w:beforeAutospacing="1" w:afterAutospacing="1"/>
              <w:jc w:val="right"/>
            </w:pPr>
            <w:r>
              <w:rPr>
                <w:color w:val="000000"/>
              </w:rPr>
              <w:t>HOME: $14,600,000</w:t>
            </w:r>
          </w:p>
        </w:tc>
        <w:tc>
          <w:tcPr>
            <w:tcW w:w="0" w:type="auto"/>
            <w:tcBorders>
              <w:top w:val="single" w:sz="4" w:space="0" w:color="auto"/>
              <w:left w:val="single" w:sz="4" w:space="0" w:color="auto"/>
              <w:bottom w:val="single" w:sz="4" w:space="0" w:color="auto"/>
              <w:right w:val="single" w:sz="4" w:space="0" w:color="auto"/>
            </w:tcBorders>
          </w:tcPr>
          <w:p w14:paraId="0B0EB229" w14:textId="77777777" w:rsidR="00217A61" w:rsidRDefault="001C2695">
            <w:pPr>
              <w:spacing w:beforeAutospacing="1" w:afterAutospacing="1"/>
            </w:pPr>
            <w:r>
              <w:rPr>
                <w:color w:val="000000"/>
              </w:rPr>
              <w:t>Homeowner Housing Rehabilitated:</w:t>
            </w:r>
            <w:r>
              <w:rPr>
                <w:color w:val="000000"/>
              </w:rPr>
              <w:br/>
              <w:t>760 Household Housing Unit</w:t>
            </w:r>
          </w:p>
        </w:tc>
      </w:tr>
      <w:tr w:rsidR="00217A61" w14:paraId="156CB56B" w14:textId="77777777">
        <w:trPr>
          <w:cantSplit/>
        </w:trPr>
        <w:tc>
          <w:tcPr>
            <w:tcW w:w="0" w:type="auto"/>
            <w:tcBorders>
              <w:top w:val="single" w:sz="4" w:space="0" w:color="auto"/>
              <w:left w:val="single" w:sz="4" w:space="0" w:color="auto"/>
              <w:bottom w:val="single" w:sz="4" w:space="0" w:color="auto"/>
              <w:right w:val="single" w:sz="4" w:space="0" w:color="auto"/>
            </w:tcBorders>
          </w:tcPr>
          <w:p w14:paraId="1416BB41" w14:textId="77777777" w:rsidR="00217A61" w:rsidRDefault="001C2695">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14:paraId="471A6988" w14:textId="77777777" w:rsidR="00217A61" w:rsidRDefault="001C2695">
            <w:pPr>
              <w:spacing w:beforeAutospacing="1" w:afterAutospacing="1"/>
            </w:pPr>
            <w:r>
              <w:rPr>
                <w:color w:val="000000"/>
              </w:rPr>
              <w:t>Affordable Homeownership</w:t>
            </w:r>
          </w:p>
        </w:tc>
        <w:tc>
          <w:tcPr>
            <w:tcW w:w="0" w:type="auto"/>
            <w:tcBorders>
              <w:top w:val="single" w:sz="4" w:space="0" w:color="auto"/>
              <w:left w:val="single" w:sz="4" w:space="0" w:color="auto"/>
              <w:bottom w:val="single" w:sz="4" w:space="0" w:color="auto"/>
              <w:right w:val="single" w:sz="4" w:space="0" w:color="auto"/>
            </w:tcBorders>
          </w:tcPr>
          <w:p w14:paraId="5B4F53BB"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0D4C1829"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3B478D99" w14:textId="77777777" w:rsidR="00217A61" w:rsidRDefault="001C2695">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14:paraId="431002F8"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584EBC82"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5FA2ADF4" w14:textId="77777777" w:rsidR="00217A61" w:rsidRDefault="001C2695">
            <w:pPr>
              <w:spacing w:beforeAutospacing="1" w:afterAutospacing="1"/>
              <w:jc w:val="right"/>
            </w:pPr>
            <w:r>
              <w:rPr>
                <w:color w:val="000000"/>
              </w:rPr>
              <w:t>HOME: $28,000,000</w:t>
            </w:r>
          </w:p>
        </w:tc>
        <w:tc>
          <w:tcPr>
            <w:tcW w:w="0" w:type="auto"/>
            <w:tcBorders>
              <w:top w:val="single" w:sz="4" w:space="0" w:color="auto"/>
              <w:left w:val="single" w:sz="4" w:space="0" w:color="auto"/>
              <w:bottom w:val="single" w:sz="4" w:space="0" w:color="auto"/>
              <w:right w:val="single" w:sz="4" w:space="0" w:color="auto"/>
            </w:tcBorders>
          </w:tcPr>
          <w:p w14:paraId="7EF8449A" w14:textId="77777777" w:rsidR="00217A61" w:rsidRDefault="001C2695">
            <w:pPr>
              <w:spacing w:beforeAutospacing="1" w:afterAutospacing="1"/>
            </w:pPr>
            <w:r>
              <w:rPr>
                <w:color w:val="000000"/>
              </w:rPr>
              <w:t>Direct Financial Assistance to Homebuyers:</w:t>
            </w:r>
            <w:r>
              <w:rPr>
                <w:color w:val="000000"/>
              </w:rPr>
              <w:br/>
              <w:t>1900 Households Assisted</w:t>
            </w:r>
          </w:p>
        </w:tc>
      </w:tr>
      <w:tr w:rsidR="00217A61" w14:paraId="32CABF41" w14:textId="77777777">
        <w:trPr>
          <w:cantSplit/>
        </w:trPr>
        <w:tc>
          <w:tcPr>
            <w:tcW w:w="0" w:type="auto"/>
            <w:tcBorders>
              <w:top w:val="single" w:sz="4" w:space="0" w:color="auto"/>
              <w:left w:val="single" w:sz="4" w:space="0" w:color="auto"/>
              <w:bottom w:val="single" w:sz="4" w:space="0" w:color="auto"/>
              <w:right w:val="single" w:sz="4" w:space="0" w:color="auto"/>
            </w:tcBorders>
          </w:tcPr>
          <w:p w14:paraId="06788BE3" w14:textId="77777777" w:rsidR="00217A61" w:rsidRDefault="001C2695">
            <w:pPr>
              <w:spacing w:beforeAutospacing="1" w:afterAutospacing="1"/>
            </w:pPr>
            <w:r>
              <w:rPr>
                <w:b/>
                <w:color w:val="000000"/>
              </w:rPr>
              <w:lastRenderedPageBreak/>
              <w:t>3</w:t>
            </w:r>
          </w:p>
        </w:tc>
        <w:tc>
          <w:tcPr>
            <w:tcW w:w="0" w:type="auto"/>
            <w:tcBorders>
              <w:top w:val="single" w:sz="4" w:space="0" w:color="auto"/>
              <w:left w:val="single" w:sz="4" w:space="0" w:color="auto"/>
              <w:bottom w:val="single" w:sz="4" w:space="0" w:color="auto"/>
              <w:right w:val="single" w:sz="4" w:space="0" w:color="auto"/>
            </w:tcBorders>
          </w:tcPr>
          <w:p w14:paraId="599B37EA" w14:textId="77777777" w:rsidR="00217A61" w:rsidRDefault="001C2695">
            <w:pPr>
              <w:spacing w:beforeAutospacing="1" w:afterAutospacing="1"/>
            </w:pPr>
            <w:r>
              <w:rPr>
                <w:color w:val="000000"/>
              </w:rPr>
              <w:t>Affordable Rental Housing</w:t>
            </w:r>
          </w:p>
        </w:tc>
        <w:tc>
          <w:tcPr>
            <w:tcW w:w="0" w:type="auto"/>
            <w:tcBorders>
              <w:top w:val="single" w:sz="4" w:space="0" w:color="auto"/>
              <w:left w:val="single" w:sz="4" w:space="0" w:color="auto"/>
              <w:bottom w:val="single" w:sz="4" w:space="0" w:color="auto"/>
              <w:right w:val="single" w:sz="4" w:space="0" w:color="auto"/>
            </w:tcBorders>
          </w:tcPr>
          <w:p w14:paraId="32BCEB8B"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14A4FDAE"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18A4A8F2" w14:textId="77777777" w:rsidR="00217A61" w:rsidRDefault="001C2695">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14:paraId="7FF2103F"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046633E8" w14:textId="77777777" w:rsidR="00217A61" w:rsidRDefault="001C2695">
            <w:pPr>
              <w:spacing w:beforeAutospacing="1" w:afterAutospacing="1"/>
            </w:pPr>
            <w:r>
              <w:rPr>
                <w:color w:val="000000"/>
              </w:rPr>
              <w:t>Housing for households under 30% AMI</w:t>
            </w:r>
            <w:r>
              <w:rPr>
                <w:color w:val="000000"/>
              </w:rPr>
              <w:br/>
              <w:t>Housing for households 31-60% AMI</w:t>
            </w:r>
          </w:p>
        </w:tc>
        <w:tc>
          <w:tcPr>
            <w:tcW w:w="0" w:type="auto"/>
            <w:tcBorders>
              <w:top w:val="single" w:sz="4" w:space="0" w:color="auto"/>
              <w:left w:val="single" w:sz="4" w:space="0" w:color="auto"/>
              <w:bottom w:val="single" w:sz="4" w:space="0" w:color="auto"/>
              <w:right w:val="single" w:sz="4" w:space="0" w:color="auto"/>
            </w:tcBorders>
          </w:tcPr>
          <w:p w14:paraId="5FE1F7DD" w14:textId="77777777" w:rsidR="00217A61" w:rsidRDefault="001C2695">
            <w:pPr>
              <w:spacing w:beforeAutospacing="1" w:afterAutospacing="1"/>
              <w:jc w:val="right"/>
            </w:pPr>
            <w:r>
              <w:rPr>
                <w:color w:val="000000"/>
              </w:rPr>
              <w:t>HOME: $13,000,000</w:t>
            </w:r>
            <w:r>
              <w:rPr>
                <w:color w:val="000000"/>
              </w:rPr>
              <w:br/>
              <w:t>HTF: $31,000,000</w:t>
            </w:r>
          </w:p>
        </w:tc>
        <w:tc>
          <w:tcPr>
            <w:tcW w:w="0" w:type="auto"/>
            <w:tcBorders>
              <w:top w:val="single" w:sz="4" w:space="0" w:color="auto"/>
              <w:left w:val="single" w:sz="4" w:space="0" w:color="auto"/>
              <w:bottom w:val="single" w:sz="4" w:space="0" w:color="auto"/>
              <w:right w:val="single" w:sz="4" w:space="0" w:color="auto"/>
            </w:tcBorders>
          </w:tcPr>
          <w:p w14:paraId="7AEEB60B" w14:textId="77777777" w:rsidR="00217A61" w:rsidRDefault="001C2695">
            <w:pPr>
              <w:spacing w:beforeAutospacing="1" w:afterAutospacing="1"/>
            </w:pPr>
            <w:r>
              <w:rPr>
                <w:color w:val="000000"/>
              </w:rPr>
              <w:t>Rental units constructed:</w:t>
            </w:r>
            <w:r>
              <w:rPr>
                <w:color w:val="000000"/>
              </w:rPr>
              <w:br/>
              <w:t>3000 Household Housing Unit</w:t>
            </w:r>
          </w:p>
        </w:tc>
      </w:tr>
      <w:tr w:rsidR="00217A61" w14:paraId="3F0DF942" w14:textId="77777777">
        <w:trPr>
          <w:cantSplit/>
        </w:trPr>
        <w:tc>
          <w:tcPr>
            <w:tcW w:w="0" w:type="auto"/>
            <w:tcBorders>
              <w:top w:val="single" w:sz="4" w:space="0" w:color="auto"/>
              <w:left w:val="single" w:sz="4" w:space="0" w:color="auto"/>
              <w:bottom w:val="single" w:sz="4" w:space="0" w:color="auto"/>
              <w:right w:val="single" w:sz="4" w:space="0" w:color="auto"/>
            </w:tcBorders>
          </w:tcPr>
          <w:p w14:paraId="2717F2D0" w14:textId="77777777" w:rsidR="00217A61" w:rsidRDefault="001C2695">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14:paraId="5CCAD301" w14:textId="77777777" w:rsidR="00217A61" w:rsidRDefault="001C2695">
            <w:pPr>
              <w:spacing w:beforeAutospacing="1" w:afterAutospacing="1"/>
            </w:pPr>
            <w:r>
              <w:rPr>
                <w:color w:val="000000"/>
              </w:rPr>
              <w:t>CDBG Neighborhood Revitalization</w:t>
            </w:r>
          </w:p>
        </w:tc>
        <w:tc>
          <w:tcPr>
            <w:tcW w:w="0" w:type="auto"/>
            <w:tcBorders>
              <w:top w:val="single" w:sz="4" w:space="0" w:color="auto"/>
              <w:left w:val="single" w:sz="4" w:space="0" w:color="auto"/>
              <w:bottom w:val="single" w:sz="4" w:space="0" w:color="auto"/>
              <w:right w:val="single" w:sz="4" w:space="0" w:color="auto"/>
            </w:tcBorders>
          </w:tcPr>
          <w:p w14:paraId="6C0DA51A"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6283CB2F"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7516A3E9" w14:textId="77777777" w:rsidR="00217A61" w:rsidRDefault="001C2695">
            <w:pPr>
              <w:spacing w:beforeAutospacing="1" w:afterAutospacing="1"/>
            </w:pPr>
            <w:r>
              <w:rPr>
                <w:color w:val="000000"/>
              </w:rPr>
              <w:t>Affordable Housing</w:t>
            </w:r>
            <w:r>
              <w:rPr>
                <w:color w:val="000000"/>
              </w:rPr>
              <w:br/>
              <w:t>Non-Housing Community Development</w:t>
            </w:r>
          </w:p>
        </w:tc>
        <w:tc>
          <w:tcPr>
            <w:tcW w:w="0" w:type="auto"/>
            <w:tcBorders>
              <w:top w:val="single" w:sz="4" w:space="0" w:color="auto"/>
              <w:left w:val="single" w:sz="4" w:space="0" w:color="auto"/>
              <w:bottom w:val="single" w:sz="4" w:space="0" w:color="auto"/>
              <w:right w:val="single" w:sz="4" w:space="0" w:color="auto"/>
            </w:tcBorders>
          </w:tcPr>
          <w:p w14:paraId="009B19AF" w14:textId="77777777" w:rsidR="00217A61" w:rsidRDefault="001C2695">
            <w:pPr>
              <w:spacing w:beforeAutospacing="1" w:afterAutospacing="1"/>
            </w:pPr>
            <w:r>
              <w:rPr>
                <w:color w:val="000000"/>
              </w:rPr>
              <w:t>Statewide</w:t>
            </w:r>
          </w:p>
        </w:tc>
        <w:tc>
          <w:tcPr>
            <w:tcW w:w="0" w:type="auto"/>
            <w:tcBorders>
              <w:top w:val="single" w:sz="4" w:space="0" w:color="auto"/>
              <w:left w:val="single" w:sz="4" w:space="0" w:color="auto"/>
              <w:bottom w:val="single" w:sz="4" w:space="0" w:color="auto"/>
              <w:right w:val="single" w:sz="4" w:space="0" w:color="auto"/>
            </w:tcBorders>
          </w:tcPr>
          <w:p w14:paraId="593501C0" w14:textId="77777777" w:rsidR="00217A61" w:rsidRDefault="001C2695">
            <w:pPr>
              <w:spacing w:beforeAutospacing="1" w:afterAutospacing="1"/>
            </w:pPr>
            <w:r>
              <w:rPr>
                <w:color w:val="000000"/>
              </w:rPr>
              <w:t>Housing for non-homeless persons w/ special needs</w:t>
            </w:r>
            <w:r>
              <w:rPr>
                <w:color w:val="000000"/>
              </w:rPr>
              <w:br/>
              <w:t>Housing for households under 30% AMI</w:t>
            </w:r>
            <w:r>
              <w:rPr>
                <w:color w:val="000000"/>
              </w:rPr>
              <w:br/>
              <w:t>Housin</w:t>
            </w:r>
            <w:r>
              <w:rPr>
                <w:color w:val="000000"/>
              </w:rPr>
              <w:t>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6190FEE9" w14:textId="77777777" w:rsidR="00217A61" w:rsidRDefault="001C2695">
            <w:pPr>
              <w:spacing w:beforeAutospacing="1" w:afterAutospacing="1"/>
              <w:jc w:val="right"/>
            </w:pPr>
            <w:r>
              <w:rPr>
                <w:color w:val="000000"/>
              </w:rPr>
              <w:t>CDBG: $10,000,000</w:t>
            </w:r>
          </w:p>
        </w:tc>
        <w:tc>
          <w:tcPr>
            <w:tcW w:w="0" w:type="auto"/>
            <w:tcBorders>
              <w:top w:val="single" w:sz="4" w:space="0" w:color="auto"/>
              <w:left w:val="single" w:sz="4" w:space="0" w:color="auto"/>
              <w:bottom w:val="single" w:sz="4" w:space="0" w:color="auto"/>
              <w:right w:val="single" w:sz="4" w:space="0" w:color="auto"/>
            </w:tcBorders>
          </w:tcPr>
          <w:p w14:paraId="129025FC" w14:textId="77777777" w:rsidR="00217A61" w:rsidRDefault="001C2695">
            <w:pPr>
              <w:spacing w:beforeAutospacing="1" w:afterAutospacing="1"/>
            </w:pPr>
            <w:r>
              <w:rPr>
                <w:color w:val="000000"/>
              </w:rPr>
              <w:t>Public Facility or Infrastructure Activities for Low/Moderate Income Housing Benefit:</w:t>
            </w:r>
            <w:r>
              <w:rPr>
                <w:color w:val="000000"/>
              </w:rPr>
              <w:br/>
              <w:t>12000 Households Assisted</w:t>
            </w:r>
            <w:r>
              <w:rPr>
                <w:color w:val="000000"/>
              </w:rPr>
              <w:br/>
              <w:t xml:space="preserve"> </w:t>
            </w:r>
            <w:r>
              <w:rPr>
                <w:color w:val="000000"/>
              </w:rPr>
              <w:br/>
              <w:t>Public service activities for Low/Moderate Income Housing Bene</w:t>
            </w:r>
            <w:r>
              <w:rPr>
                <w:color w:val="000000"/>
              </w:rPr>
              <w:t>fit:</w:t>
            </w:r>
            <w:r>
              <w:rPr>
                <w:color w:val="000000"/>
              </w:rPr>
              <w:br/>
              <w:t>1000 Households Assisted</w:t>
            </w:r>
            <w:r>
              <w:rPr>
                <w:color w:val="000000"/>
              </w:rPr>
              <w:br/>
              <w:t xml:space="preserve"> </w:t>
            </w:r>
            <w:r>
              <w:rPr>
                <w:color w:val="000000"/>
              </w:rPr>
              <w:br/>
              <w:t>Homeowner Housing Added:</w:t>
            </w:r>
            <w:r>
              <w:rPr>
                <w:color w:val="000000"/>
              </w:rPr>
              <w:br/>
              <w:t>120 Household Housing Unit</w:t>
            </w:r>
            <w:r>
              <w:rPr>
                <w:color w:val="000000"/>
              </w:rPr>
              <w:br/>
              <w:t xml:space="preserve"> </w:t>
            </w:r>
            <w:r>
              <w:rPr>
                <w:color w:val="000000"/>
              </w:rPr>
              <w:br/>
              <w:t>Homeowner Housing Rehabilitated:</w:t>
            </w:r>
            <w:r>
              <w:rPr>
                <w:color w:val="000000"/>
              </w:rPr>
              <w:br/>
              <w:t>1200 Household Housing Unit</w:t>
            </w:r>
          </w:p>
        </w:tc>
      </w:tr>
      <w:tr w:rsidR="00217A61" w14:paraId="32471EB6" w14:textId="77777777">
        <w:trPr>
          <w:cantSplit/>
        </w:trPr>
        <w:tc>
          <w:tcPr>
            <w:tcW w:w="0" w:type="auto"/>
            <w:tcBorders>
              <w:top w:val="single" w:sz="4" w:space="0" w:color="auto"/>
              <w:left w:val="single" w:sz="4" w:space="0" w:color="auto"/>
              <w:bottom w:val="single" w:sz="4" w:space="0" w:color="auto"/>
              <w:right w:val="single" w:sz="4" w:space="0" w:color="auto"/>
            </w:tcBorders>
          </w:tcPr>
          <w:p w14:paraId="1620221C" w14:textId="77777777" w:rsidR="00217A61" w:rsidRDefault="001C2695">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14:paraId="69C94A6F" w14:textId="77777777" w:rsidR="00217A61" w:rsidRDefault="001C2695">
            <w:pPr>
              <w:spacing w:beforeAutospacing="1" w:afterAutospacing="1"/>
            </w:pPr>
            <w:r>
              <w:rPr>
                <w:color w:val="000000"/>
              </w:rPr>
              <w:t>CDBG Economic Development</w:t>
            </w:r>
          </w:p>
        </w:tc>
        <w:tc>
          <w:tcPr>
            <w:tcW w:w="0" w:type="auto"/>
            <w:tcBorders>
              <w:top w:val="single" w:sz="4" w:space="0" w:color="auto"/>
              <w:left w:val="single" w:sz="4" w:space="0" w:color="auto"/>
              <w:bottom w:val="single" w:sz="4" w:space="0" w:color="auto"/>
              <w:right w:val="single" w:sz="4" w:space="0" w:color="auto"/>
            </w:tcBorders>
          </w:tcPr>
          <w:p w14:paraId="6A39825A"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3B4AA477"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3994470B" w14:textId="77777777" w:rsidR="00217A61" w:rsidRDefault="001C2695">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14:paraId="0876345C" w14:textId="77777777" w:rsidR="00217A61" w:rsidRDefault="001C2695">
            <w:pPr>
              <w:spacing w:beforeAutospacing="1" w:afterAutospacing="1"/>
            </w:pPr>
            <w:r>
              <w:rPr>
                <w:color w:val="000000"/>
              </w:rPr>
              <w:t>Statewide</w:t>
            </w:r>
          </w:p>
        </w:tc>
        <w:tc>
          <w:tcPr>
            <w:tcW w:w="0" w:type="auto"/>
            <w:tcBorders>
              <w:top w:val="single" w:sz="4" w:space="0" w:color="auto"/>
              <w:left w:val="single" w:sz="4" w:space="0" w:color="auto"/>
              <w:bottom w:val="single" w:sz="4" w:space="0" w:color="auto"/>
              <w:right w:val="single" w:sz="4" w:space="0" w:color="auto"/>
            </w:tcBorders>
          </w:tcPr>
          <w:p w14:paraId="39C36C36"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191B35B3" w14:textId="77777777" w:rsidR="00217A61" w:rsidRDefault="001C2695">
            <w:pPr>
              <w:spacing w:beforeAutospacing="1" w:afterAutospacing="1"/>
              <w:jc w:val="right"/>
            </w:pPr>
            <w:r>
              <w:rPr>
                <w:color w:val="000000"/>
              </w:rPr>
              <w:t>CDBG: $14,338,096</w:t>
            </w:r>
          </w:p>
        </w:tc>
        <w:tc>
          <w:tcPr>
            <w:tcW w:w="0" w:type="auto"/>
            <w:tcBorders>
              <w:top w:val="single" w:sz="4" w:space="0" w:color="auto"/>
              <w:left w:val="single" w:sz="4" w:space="0" w:color="auto"/>
              <w:bottom w:val="single" w:sz="4" w:space="0" w:color="auto"/>
              <w:right w:val="single" w:sz="4" w:space="0" w:color="auto"/>
            </w:tcBorders>
          </w:tcPr>
          <w:p w14:paraId="43E7E4F3" w14:textId="77777777" w:rsidR="00217A61" w:rsidRDefault="001C2695">
            <w:pPr>
              <w:spacing w:beforeAutospacing="1" w:afterAutospacing="1"/>
            </w:pPr>
            <w:r>
              <w:rPr>
                <w:color w:val="000000"/>
              </w:rPr>
              <w:t>Jobs created/retained:</w:t>
            </w:r>
            <w:r>
              <w:rPr>
                <w:color w:val="000000"/>
              </w:rPr>
              <w:br/>
              <w:t>1000 Jobs</w:t>
            </w:r>
          </w:p>
        </w:tc>
      </w:tr>
      <w:tr w:rsidR="00217A61" w14:paraId="0A24162E" w14:textId="77777777">
        <w:trPr>
          <w:cantSplit/>
        </w:trPr>
        <w:tc>
          <w:tcPr>
            <w:tcW w:w="0" w:type="auto"/>
            <w:tcBorders>
              <w:top w:val="single" w:sz="4" w:space="0" w:color="auto"/>
              <w:left w:val="single" w:sz="4" w:space="0" w:color="auto"/>
              <w:bottom w:val="single" w:sz="4" w:space="0" w:color="auto"/>
              <w:right w:val="single" w:sz="4" w:space="0" w:color="auto"/>
            </w:tcBorders>
          </w:tcPr>
          <w:p w14:paraId="6D71FD30" w14:textId="77777777" w:rsidR="00217A61" w:rsidRDefault="001C2695">
            <w:pPr>
              <w:spacing w:beforeAutospacing="1" w:afterAutospacing="1"/>
            </w:pPr>
            <w:r>
              <w:rPr>
                <w:b/>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tcPr>
          <w:p w14:paraId="490B08CF" w14:textId="77777777" w:rsidR="00217A61" w:rsidRDefault="001C2695">
            <w:pPr>
              <w:spacing w:beforeAutospacing="1" w:afterAutospacing="1"/>
            </w:pPr>
            <w:r>
              <w:rPr>
                <w:color w:val="000000"/>
              </w:rPr>
              <w:t>CDBG Infrastructure</w:t>
            </w:r>
          </w:p>
        </w:tc>
        <w:tc>
          <w:tcPr>
            <w:tcW w:w="0" w:type="auto"/>
            <w:tcBorders>
              <w:top w:val="single" w:sz="4" w:space="0" w:color="auto"/>
              <w:left w:val="single" w:sz="4" w:space="0" w:color="auto"/>
              <w:bottom w:val="single" w:sz="4" w:space="0" w:color="auto"/>
              <w:right w:val="single" w:sz="4" w:space="0" w:color="auto"/>
            </w:tcBorders>
          </w:tcPr>
          <w:p w14:paraId="475DB61B"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711FF988"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72B4BA6F" w14:textId="77777777" w:rsidR="00217A61" w:rsidRDefault="001C2695">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14:paraId="1A61210C" w14:textId="77777777" w:rsidR="00217A61" w:rsidRDefault="001C2695">
            <w:pPr>
              <w:spacing w:beforeAutospacing="1" w:afterAutospacing="1"/>
            </w:pPr>
            <w:r>
              <w:rPr>
                <w:color w:val="000000"/>
              </w:rPr>
              <w:t>Statewide</w:t>
            </w:r>
          </w:p>
        </w:tc>
        <w:tc>
          <w:tcPr>
            <w:tcW w:w="0" w:type="auto"/>
            <w:tcBorders>
              <w:top w:val="single" w:sz="4" w:space="0" w:color="auto"/>
              <w:left w:val="single" w:sz="4" w:space="0" w:color="auto"/>
              <w:bottom w:val="single" w:sz="4" w:space="0" w:color="auto"/>
              <w:right w:val="single" w:sz="4" w:space="0" w:color="auto"/>
            </w:tcBorders>
          </w:tcPr>
          <w:p w14:paraId="1B3D926B"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r>
            <w:r>
              <w:rPr>
                <w:color w:val="000000"/>
              </w:rP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2426CA2C" w14:textId="77777777" w:rsidR="00217A61" w:rsidRDefault="001C2695">
            <w:pPr>
              <w:spacing w:beforeAutospacing="1" w:afterAutospacing="1"/>
              <w:jc w:val="right"/>
            </w:pPr>
            <w:r>
              <w:rPr>
                <w:color w:val="000000"/>
              </w:rPr>
              <w:t>CDBG: $24,338,096</w:t>
            </w:r>
          </w:p>
        </w:tc>
        <w:tc>
          <w:tcPr>
            <w:tcW w:w="0" w:type="auto"/>
            <w:tcBorders>
              <w:top w:val="single" w:sz="4" w:space="0" w:color="auto"/>
              <w:left w:val="single" w:sz="4" w:space="0" w:color="auto"/>
              <w:bottom w:val="single" w:sz="4" w:space="0" w:color="auto"/>
              <w:right w:val="single" w:sz="4" w:space="0" w:color="auto"/>
            </w:tcBorders>
          </w:tcPr>
          <w:p w14:paraId="7F26AF68" w14:textId="77777777" w:rsidR="00217A61" w:rsidRDefault="001C2695">
            <w:pPr>
              <w:spacing w:beforeAutospacing="1" w:afterAutospacing="1"/>
            </w:pPr>
            <w:r>
              <w:rPr>
                <w:color w:val="000000"/>
              </w:rPr>
              <w:t>Public Facility or Infrastructure Activities for Low/Moderate Income Housing Benefit:</w:t>
            </w:r>
            <w:r>
              <w:rPr>
                <w:color w:val="000000"/>
              </w:rPr>
              <w:br/>
              <w:t>12000 Households Assisted</w:t>
            </w:r>
          </w:p>
        </w:tc>
      </w:tr>
      <w:tr w:rsidR="00217A61" w14:paraId="50ED738B" w14:textId="77777777">
        <w:trPr>
          <w:cantSplit/>
        </w:trPr>
        <w:tc>
          <w:tcPr>
            <w:tcW w:w="0" w:type="auto"/>
            <w:tcBorders>
              <w:top w:val="single" w:sz="4" w:space="0" w:color="auto"/>
              <w:left w:val="single" w:sz="4" w:space="0" w:color="auto"/>
              <w:bottom w:val="single" w:sz="4" w:space="0" w:color="auto"/>
              <w:right w:val="single" w:sz="4" w:space="0" w:color="auto"/>
            </w:tcBorders>
          </w:tcPr>
          <w:p w14:paraId="25739DAE" w14:textId="77777777" w:rsidR="00217A61" w:rsidRDefault="001C2695">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14:paraId="5F74F42D" w14:textId="77777777" w:rsidR="00217A61" w:rsidRDefault="001C2695">
            <w:pPr>
              <w:spacing w:beforeAutospacing="1" w:afterAutospacing="1"/>
            </w:pPr>
            <w:r>
              <w:rPr>
                <w:color w:val="000000"/>
              </w:rPr>
              <w:t>CDBG Contingency and Urgent Needs</w:t>
            </w:r>
          </w:p>
        </w:tc>
        <w:tc>
          <w:tcPr>
            <w:tcW w:w="0" w:type="auto"/>
            <w:tcBorders>
              <w:top w:val="single" w:sz="4" w:space="0" w:color="auto"/>
              <w:left w:val="single" w:sz="4" w:space="0" w:color="auto"/>
              <w:bottom w:val="single" w:sz="4" w:space="0" w:color="auto"/>
              <w:right w:val="single" w:sz="4" w:space="0" w:color="auto"/>
            </w:tcBorders>
          </w:tcPr>
          <w:p w14:paraId="24C845A1"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3223FED1"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29F35CC9"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783B6215" w14:textId="77777777" w:rsidR="00217A61" w:rsidRDefault="001C2695">
            <w:pPr>
              <w:spacing w:beforeAutospacing="1" w:afterAutospacing="1"/>
            </w:pPr>
            <w:r>
              <w:rPr>
                <w:color w:val="000000"/>
              </w:rPr>
              <w:t>Statewide</w:t>
            </w:r>
          </w:p>
        </w:tc>
        <w:tc>
          <w:tcPr>
            <w:tcW w:w="0" w:type="auto"/>
            <w:tcBorders>
              <w:top w:val="single" w:sz="4" w:space="0" w:color="auto"/>
              <w:left w:val="single" w:sz="4" w:space="0" w:color="auto"/>
              <w:bottom w:val="single" w:sz="4" w:space="0" w:color="auto"/>
              <w:right w:val="single" w:sz="4" w:space="0" w:color="auto"/>
            </w:tcBorders>
          </w:tcPr>
          <w:p w14:paraId="192EC262" w14:textId="77777777" w:rsidR="00217A61" w:rsidRDefault="001C2695">
            <w:pPr>
              <w:spacing w:beforeAutospacing="1" w:afterAutospacing="1"/>
            </w:pPr>
            <w:r>
              <w:rPr>
                <w:color w:val="000000"/>
              </w:rPr>
              <w:t>Housing for households under 30% AMI</w:t>
            </w:r>
            <w:r>
              <w:rPr>
                <w:color w:val="000000"/>
              </w:rPr>
              <w:br/>
              <w:t>Housing for households 31-60% AMI</w:t>
            </w:r>
          </w:p>
        </w:tc>
        <w:tc>
          <w:tcPr>
            <w:tcW w:w="0" w:type="auto"/>
            <w:tcBorders>
              <w:top w:val="single" w:sz="4" w:space="0" w:color="auto"/>
              <w:left w:val="single" w:sz="4" w:space="0" w:color="auto"/>
              <w:bottom w:val="single" w:sz="4" w:space="0" w:color="auto"/>
              <w:right w:val="single" w:sz="4" w:space="0" w:color="auto"/>
            </w:tcBorders>
          </w:tcPr>
          <w:p w14:paraId="31E3DBBB" w14:textId="77777777" w:rsidR="00217A61" w:rsidRDefault="001C2695">
            <w:pPr>
              <w:spacing w:beforeAutospacing="1" w:afterAutospacing="1"/>
              <w:jc w:val="right"/>
            </w:pPr>
            <w:r>
              <w:rPr>
                <w:color w:val="000000"/>
              </w:rPr>
              <w:t>CDBG: $1,000,000</w:t>
            </w:r>
          </w:p>
        </w:tc>
        <w:tc>
          <w:tcPr>
            <w:tcW w:w="0" w:type="auto"/>
            <w:tcBorders>
              <w:top w:val="single" w:sz="4" w:space="0" w:color="auto"/>
              <w:left w:val="single" w:sz="4" w:space="0" w:color="auto"/>
              <w:bottom w:val="single" w:sz="4" w:space="0" w:color="auto"/>
              <w:right w:val="single" w:sz="4" w:space="0" w:color="auto"/>
            </w:tcBorders>
          </w:tcPr>
          <w:p w14:paraId="0D715C45" w14:textId="77777777" w:rsidR="00217A61" w:rsidRDefault="001C2695">
            <w:pPr>
              <w:spacing w:beforeAutospacing="1" w:afterAutospacing="1"/>
            </w:pPr>
            <w:r>
              <w:rPr>
                <w:color w:val="000000"/>
              </w:rPr>
              <w:t>Other:</w:t>
            </w:r>
            <w:r>
              <w:rPr>
                <w:color w:val="000000"/>
              </w:rPr>
              <w:br/>
              <w:t>5 Other</w:t>
            </w:r>
          </w:p>
        </w:tc>
      </w:tr>
      <w:tr w:rsidR="00217A61" w14:paraId="1510F2C1" w14:textId="77777777">
        <w:trPr>
          <w:cantSplit/>
        </w:trPr>
        <w:tc>
          <w:tcPr>
            <w:tcW w:w="0" w:type="auto"/>
            <w:tcBorders>
              <w:top w:val="single" w:sz="4" w:space="0" w:color="auto"/>
              <w:left w:val="single" w:sz="4" w:space="0" w:color="auto"/>
              <w:bottom w:val="single" w:sz="4" w:space="0" w:color="auto"/>
              <w:right w:val="single" w:sz="4" w:space="0" w:color="auto"/>
            </w:tcBorders>
          </w:tcPr>
          <w:p w14:paraId="40768957" w14:textId="77777777" w:rsidR="00217A61" w:rsidRDefault="001C2695">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14:paraId="1E7FB363" w14:textId="77777777" w:rsidR="00217A61" w:rsidRDefault="001C2695">
            <w:pPr>
              <w:spacing w:beforeAutospacing="1" w:afterAutospacing="1"/>
            </w:pPr>
            <w:r>
              <w:rPr>
                <w:color w:val="000000"/>
              </w:rPr>
              <w:t>HOPWA-Short-Term Rent and Utilities</w:t>
            </w:r>
          </w:p>
        </w:tc>
        <w:tc>
          <w:tcPr>
            <w:tcW w:w="0" w:type="auto"/>
            <w:tcBorders>
              <w:top w:val="single" w:sz="4" w:space="0" w:color="auto"/>
              <w:left w:val="single" w:sz="4" w:space="0" w:color="auto"/>
              <w:bottom w:val="single" w:sz="4" w:space="0" w:color="auto"/>
              <w:right w:val="single" w:sz="4" w:space="0" w:color="auto"/>
            </w:tcBorders>
          </w:tcPr>
          <w:p w14:paraId="24119C35"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52A25C6B"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39C0536E" w14:textId="77777777" w:rsidR="00217A61" w:rsidRDefault="001C2695">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14:paraId="224D85A5" w14:textId="77777777" w:rsidR="00217A61" w:rsidRDefault="001C2695">
            <w:pPr>
              <w:spacing w:beforeAutospacing="1" w:afterAutospacing="1"/>
            </w:pPr>
            <w:r>
              <w:rPr>
                <w:color w:val="000000"/>
              </w:rPr>
              <w:t>Statewide</w:t>
            </w:r>
          </w:p>
        </w:tc>
        <w:tc>
          <w:tcPr>
            <w:tcW w:w="0" w:type="auto"/>
            <w:tcBorders>
              <w:top w:val="single" w:sz="4" w:space="0" w:color="auto"/>
              <w:left w:val="single" w:sz="4" w:space="0" w:color="auto"/>
              <w:bottom w:val="single" w:sz="4" w:space="0" w:color="auto"/>
              <w:right w:val="single" w:sz="4" w:space="0" w:color="auto"/>
            </w:tcBorders>
          </w:tcPr>
          <w:p w14:paraId="130CC6E3" w14:textId="77777777" w:rsidR="00217A61" w:rsidRDefault="001C2695">
            <w:pPr>
              <w:spacing w:beforeAutospacing="1" w:afterAutospacing="1"/>
            </w:pPr>
            <w:r>
              <w:rPr>
                <w:color w:val="000000"/>
              </w:rPr>
              <w:t>Housing for non-homeless persons w/ special needs</w:t>
            </w:r>
            <w:r>
              <w:rPr>
                <w:color w:val="000000"/>
              </w:rPr>
              <w:br/>
              <w:t>Housing for households under 30% AMI</w:t>
            </w:r>
          </w:p>
        </w:tc>
        <w:tc>
          <w:tcPr>
            <w:tcW w:w="0" w:type="auto"/>
            <w:tcBorders>
              <w:top w:val="single" w:sz="4" w:space="0" w:color="auto"/>
              <w:left w:val="single" w:sz="4" w:space="0" w:color="auto"/>
              <w:bottom w:val="single" w:sz="4" w:space="0" w:color="auto"/>
              <w:right w:val="single" w:sz="4" w:space="0" w:color="auto"/>
            </w:tcBorders>
          </w:tcPr>
          <w:p w14:paraId="6C36B1ED" w14:textId="77777777" w:rsidR="00217A61" w:rsidRDefault="001C2695">
            <w:pPr>
              <w:spacing w:beforeAutospacing="1" w:afterAutospacing="1"/>
              <w:jc w:val="right"/>
            </w:pPr>
            <w:r>
              <w:rPr>
                <w:color w:val="000000"/>
              </w:rPr>
              <w:t>HOPWA: $1,000,000</w:t>
            </w:r>
          </w:p>
        </w:tc>
        <w:tc>
          <w:tcPr>
            <w:tcW w:w="0" w:type="auto"/>
            <w:tcBorders>
              <w:top w:val="single" w:sz="4" w:space="0" w:color="auto"/>
              <w:left w:val="single" w:sz="4" w:space="0" w:color="auto"/>
              <w:bottom w:val="single" w:sz="4" w:space="0" w:color="auto"/>
              <w:right w:val="single" w:sz="4" w:space="0" w:color="auto"/>
            </w:tcBorders>
          </w:tcPr>
          <w:p w14:paraId="0954CB89" w14:textId="77777777" w:rsidR="00217A61" w:rsidRDefault="001C2695">
            <w:pPr>
              <w:spacing w:beforeAutospacing="1" w:afterAutospacing="1"/>
            </w:pPr>
            <w:r>
              <w:rPr>
                <w:color w:val="000000"/>
              </w:rPr>
              <w:t>Housing for People with HIV/AIDS added:</w:t>
            </w:r>
            <w:r>
              <w:rPr>
                <w:color w:val="000000"/>
              </w:rPr>
              <w:br/>
              <w:t>300 Household Housing Unit</w:t>
            </w:r>
          </w:p>
        </w:tc>
      </w:tr>
      <w:tr w:rsidR="00217A61" w14:paraId="34E339F8" w14:textId="77777777">
        <w:trPr>
          <w:cantSplit/>
        </w:trPr>
        <w:tc>
          <w:tcPr>
            <w:tcW w:w="0" w:type="auto"/>
            <w:tcBorders>
              <w:top w:val="single" w:sz="4" w:space="0" w:color="auto"/>
              <w:left w:val="single" w:sz="4" w:space="0" w:color="auto"/>
              <w:bottom w:val="single" w:sz="4" w:space="0" w:color="auto"/>
              <w:right w:val="single" w:sz="4" w:space="0" w:color="auto"/>
            </w:tcBorders>
          </w:tcPr>
          <w:p w14:paraId="463DA17E" w14:textId="77777777" w:rsidR="00217A61" w:rsidRDefault="001C2695">
            <w:pPr>
              <w:spacing w:beforeAutospacing="1" w:afterAutospacing="1"/>
            </w:pPr>
            <w:r>
              <w:rPr>
                <w:b/>
                <w:color w:val="000000"/>
              </w:rPr>
              <w:lastRenderedPageBreak/>
              <w:t>9</w:t>
            </w:r>
          </w:p>
        </w:tc>
        <w:tc>
          <w:tcPr>
            <w:tcW w:w="0" w:type="auto"/>
            <w:tcBorders>
              <w:top w:val="single" w:sz="4" w:space="0" w:color="auto"/>
              <w:left w:val="single" w:sz="4" w:space="0" w:color="auto"/>
              <w:bottom w:val="single" w:sz="4" w:space="0" w:color="auto"/>
              <w:right w:val="single" w:sz="4" w:space="0" w:color="auto"/>
            </w:tcBorders>
          </w:tcPr>
          <w:p w14:paraId="45692E46" w14:textId="77777777" w:rsidR="00217A61" w:rsidRDefault="001C2695">
            <w:pPr>
              <w:spacing w:beforeAutospacing="1" w:afterAutospacing="1"/>
            </w:pPr>
            <w:r>
              <w:rPr>
                <w:color w:val="000000"/>
              </w:rPr>
              <w:t>HOPWA Supportive Services</w:t>
            </w:r>
          </w:p>
        </w:tc>
        <w:tc>
          <w:tcPr>
            <w:tcW w:w="0" w:type="auto"/>
            <w:tcBorders>
              <w:top w:val="single" w:sz="4" w:space="0" w:color="auto"/>
              <w:left w:val="single" w:sz="4" w:space="0" w:color="auto"/>
              <w:bottom w:val="single" w:sz="4" w:space="0" w:color="auto"/>
              <w:right w:val="single" w:sz="4" w:space="0" w:color="auto"/>
            </w:tcBorders>
          </w:tcPr>
          <w:p w14:paraId="6F21028D"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606BD43B"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23B9C2C3" w14:textId="77777777" w:rsidR="00217A61" w:rsidRDefault="001C2695">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14:paraId="287178D3" w14:textId="77777777" w:rsidR="00217A61" w:rsidRDefault="001C2695">
            <w:pPr>
              <w:spacing w:beforeAutospacing="1" w:afterAutospacing="1"/>
            </w:pPr>
            <w:r>
              <w:rPr>
                <w:color w:val="000000"/>
              </w:rPr>
              <w:t>Statewide</w:t>
            </w:r>
          </w:p>
        </w:tc>
        <w:tc>
          <w:tcPr>
            <w:tcW w:w="0" w:type="auto"/>
            <w:tcBorders>
              <w:top w:val="single" w:sz="4" w:space="0" w:color="auto"/>
              <w:left w:val="single" w:sz="4" w:space="0" w:color="auto"/>
              <w:bottom w:val="single" w:sz="4" w:space="0" w:color="auto"/>
              <w:right w:val="single" w:sz="4" w:space="0" w:color="auto"/>
            </w:tcBorders>
          </w:tcPr>
          <w:p w14:paraId="24350328"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20C6DA78" w14:textId="77777777" w:rsidR="00217A61" w:rsidRDefault="001C2695">
            <w:pPr>
              <w:spacing w:beforeAutospacing="1" w:afterAutospacing="1"/>
              <w:jc w:val="right"/>
            </w:pPr>
            <w:r>
              <w:rPr>
                <w:color w:val="000000"/>
              </w:rPr>
              <w:t>HOPWA: $910,980</w:t>
            </w:r>
          </w:p>
        </w:tc>
        <w:tc>
          <w:tcPr>
            <w:tcW w:w="0" w:type="auto"/>
            <w:tcBorders>
              <w:top w:val="single" w:sz="4" w:space="0" w:color="auto"/>
              <w:left w:val="single" w:sz="4" w:space="0" w:color="auto"/>
              <w:bottom w:val="single" w:sz="4" w:space="0" w:color="auto"/>
              <w:right w:val="single" w:sz="4" w:space="0" w:color="auto"/>
            </w:tcBorders>
          </w:tcPr>
          <w:p w14:paraId="07B7E545" w14:textId="77777777" w:rsidR="00217A61" w:rsidRDefault="001C2695">
            <w:pPr>
              <w:spacing w:beforeAutospacing="1" w:afterAutospacing="1"/>
            </w:pPr>
            <w:r>
              <w:rPr>
                <w:color w:val="000000"/>
              </w:rPr>
              <w:t>Housing for People with HIV/AIDS added:</w:t>
            </w:r>
            <w:r>
              <w:rPr>
                <w:color w:val="000000"/>
              </w:rPr>
              <w:br/>
              <w:t>2000 Household Housing Unit</w:t>
            </w:r>
          </w:p>
        </w:tc>
      </w:tr>
      <w:tr w:rsidR="00217A61" w14:paraId="464E3217" w14:textId="77777777">
        <w:trPr>
          <w:cantSplit/>
        </w:trPr>
        <w:tc>
          <w:tcPr>
            <w:tcW w:w="0" w:type="auto"/>
            <w:tcBorders>
              <w:top w:val="single" w:sz="4" w:space="0" w:color="auto"/>
              <w:left w:val="single" w:sz="4" w:space="0" w:color="auto"/>
              <w:bottom w:val="single" w:sz="4" w:space="0" w:color="auto"/>
              <w:right w:val="single" w:sz="4" w:space="0" w:color="auto"/>
            </w:tcBorders>
          </w:tcPr>
          <w:p w14:paraId="0C33B7E3" w14:textId="77777777" w:rsidR="00217A61" w:rsidRDefault="001C2695">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14:paraId="37223C4F" w14:textId="77777777" w:rsidR="00217A61" w:rsidRDefault="001C2695">
            <w:pPr>
              <w:spacing w:beforeAutospacing="1" w:afterAutospacing="1"/>
            </w:pPr>
            <w:r>
              <w:rPr>
                <w:color w:val="000000"/>
              </w:rPr>
              <w:t>HOPWA Facility-Based</w:t>
            </w:r>
          </w:p>
        </w:tc>
        <w:tc>
          <w:tcPr>
            <w:tcW w:w="0" w:type="auto"/>
            <w:tcBorders>
              <w:top w:val="single" w:sz="4" w:space="0" w:color="auto"/>
              <w:left w:val="single" w:sz="4" w:space="0" w:color="auto"/>
              <w:bottom w:val="single" w:sz="4" w:space="0" w:color="auto"/>
              <w:right w:val="single" w:sz="4" w:space="0" w:color="auto"/>
            </w:tcBorders>
          </w:tcPr>
          <w:p w14:paraId="3770690F"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6E7B2D6D"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068AABA8" w14:textId="77777777" w:rsidR="00217A61" w:rsidRDefault="001C2695">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14:paraId="10E805A8"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302DA54C" w14:textId="77777777" w:rsidR="00217A61" w:rsidRDefault="001C2695">
            <w:pPr>
              <w:spacing w:beforeAutospacing="1" w:afterAutospacing="1"/>
            </w:pPr>
            <w:r>
              <w:rPr>
                <w:color w:val="000000"/>
              </w:rPr>
              <w:t>Housing for</w:t>
            </w:r>
            <w:r>
              <w:rPr>
                <w:color w:val="000000"/>
              </w:rPr>
              <w:t xml:space="preserve">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622B0EFA" w14:textId="77777777" w:rsidR="00217A61" w:rsidRDefault="001C2695">
            <w:pPr>
              <w:spacing w:beforeAutospacing="1" w:afterAutospacing="1"/>
              <w:jc w:val="right"/>
            </w:pPr>
            <w:r>
              <w:rPr>
                <w:color w:val="000000"/>
              </w:rPr>
              <w:t>HOPWA: $750,000</w:t>
            </w:r>
          </w:p>
        </w:tc>
        <w:tc>
          <w:tcPr>
            <w:tcW w:w="0" w:type="auto"/>
            <w:tcBorders>
              <w:top w:val="single" w:sz="4" w:space="0" w:color="auto"/>
              <w:left w:val="single" w:sz="4" w:space="0" w:color="auto"/>
              <w:bottom w:val="single" w:sz="4" w:space="0" w:color="auto"/>
              <w:right w:val="single" w:sz="4" w:space="0" w:color="auto"/>
            </w:tcBorders>
          </w:tcPr>
          <w:p w14:paraId="28EA79C5" w14:textId="77777777" w:rsidR="00217A61" w:rsidRDefault="001C2695">
            <w:pPr>
              <w:spacing w:beforeAutospacing="1" w:afterAutospacing="1"/>
            </w:pPr>
            <w:r>
              <w:rPr>
                <w:color w:val="000000"/>
              </w:rPr>
              <w:t>HIV/AIDS Housing Operations:</w:t>
            </w:r>
            <w:r>
              <w:rPr>
                <w:color w:val="000000"/>
              </w:rPr>
              <w:br/>
              <w:t>75 Household Housing Unit</w:t>
            </w:r>
          </w:p>
        </w:tc>
      </w:tr>
      <w:tr w:rsidR="00217A61" w14:paraId="292BA797" w14:textId="77777777">
        <w:trPr>
          <w:cantSplit/>
        </w:trPr>
        <w:tc>
          <w:tcPr>
            <w:tcW w:w="0" w:type="auto"/>
            <w:tcBorders>
              <w:top w:val="single" w:sz="4" w:space="0" w:color="auto"/>
              <w:left w:val="single" w:sz="4" w:space="0" w:color="auto"/>
              <w:bottom w:val="single" w:sz="4" w:space="0" w:color="auto"/>
              <w:right w:val="single" w:sz="4" w:space="0" w:color="auto"/>
            </w:tcBorders>
          </w:tcPr>
          <w:p w14:paraId="40E466AF" w14:textId="77777777" w:rsidR="00217A61" w:rsidRDefault="001C2695">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14:paraId="1544289C" w14:textId="77777777" w:rsidR="00217A61" w:rsidRDefault="001C2695">
            <w:pPr>
              <w:spacing w:beforeAutospacing="1" w:afterAutospacing="1"/>
            </w:pPr>
            <w:r>
              <w:rPr>
                <w:color w:val="000000"/>
              </w:rPr>
              <w:t>HOPWA Permanent Housing Placement</w:t>
            </w:r>
          </w:p>
        </w:tc>
        <w:tc>
          <w:tcPr>
            <w:tcW w:w="0" w:type="auto"/>
            <w:tcBorders>
              <w:top w:val="single" w:sz="4" w:space="0" w:color="auto"/>
              <w:left w:val="single" w:sz="4" w:space="0" w:color="auto"/>
              <w:bottom w:val="single" w:sz="4" w:space="0" w:color="auto"/>
              <w:right w:val="single" w:sz="4" w:space="0" w:color="auto"/>
            </w:tcBorders>
          </w:tcPr>
          <w:p w14:paraId="72D6A4C3"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2F7BC09B"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3998C636" w14:textId="77777777" w:rsidR="00217A61" w:rsidRDefault="001C2695">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14:paraId="34F8DF88" w14:textId="77777777" w:rsidR="00217A61" w:rsidRDefault="001C2695">
            <w:pPr>
              <w:spacing w:beforeAutospacing="1" w:afterAutospacing="1"/>
            </w:pPr>
            <w:r>
              <w:rPr>
                <w:color w:val="000000"/>
              </w:rPr>
              <w:t>Statewide</w:t>
            </w:r>
          </w:p>
        </w:tc>
        <w:tc>
          <w:tcPr>
            <w:tcW w:w="0" w:type="auto"/>
            <w:tcBorders>
              <w:top w:val="single" w:sz="4" w:space="0" w:color="auto"/>
              <w:left w:val="single" w:sz="4" w:space="0" w:color="auto"/>
              <w:bottom w:val="single" w:sz="4" w:space="0" w:color="auto"/>
              <w:right w:val="single" w:sz="4" w:space="0" w:color="auto"/>
            </w:tcBorders>
          </w:tcPr>
          <w:p w14:paraId="4AA43D0C"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19C6CAA1" w14:textId="77777777" w:rsidR="00217A61" w:rsidRDefault="001C2695">
            <w:pPr>
              <w:spacing w:beforeAutospacing="1" w:afterAutospacing="1"/>
              <w:jc w:val="right"/>
            </w:pPr>
            <w:r>
              <w:rPr>
                <w:color w:val="000000"/>
              </w:rPr>
              <w:t>HOPWA: $150,000</w:t>
            </w:r>
          </w:p>
        </w:tc>
        <w:tc>
          <w:tcPr>
            <w:tcW w:w="0" w:type="auto"/>
            <w:tcBorders>
              <w:top w:val="single" w:sz="4" w:space="0" w:color="auto"/>
              <w:left w:val="single" w:sz="4" w:space="0" w:color="auto"/>
              <w:bottom w:val="single" w:sz="4" w:space="0" w:color="auto"/>
              <w:right w:val="single" w:sz="4" w:space="0" w:color="auto"/>
            </w:tcBorders>
          </w:tcPr>
          <w:p w14:paraId="7A585116" w14:textId="77777777" w:rsidR="00217A61" w:rsidRDefault="001C2695">
            <w:pPr>
              <w:spacing w:beforeAutospacing="1" w:afterAutospacing="1"/>
            </w:pPr>
            <w:r>
              <w:rPr>
                <w:color w:val="000000"/>
              </w:rPr>
              <w:t>Housing for People with HIV/AIDS added:</w:t>
            </w:r>
            <w:r>
              <w:rPr>
                <w:color w:val="000000"/>
              </w:rPr>
              <w:br/>
              <w:t>215 Household Housing Unit</w:t>
            </w:r>
          </w:p>
        </w:tc>
      </w:tr>
      <w:tr w:rsidR="00217A61" w14:paraId="77EA01E6" w14:textId="77777777">
        <w:trPr>
          <w:cantSplit/>
        </w:trPr>
        <w:tc>
          <w:tcPr>
            <w:tcW w:w="0" w:type="auto"/>
            <w:tcBorders>
              <w:top w:val="single" w:sz="4" w:space="0" w:color="auto"/>
              <w:left w:val="single" w:sz="4" w:space="0" w:color="auto"/>
              <w:bottom w:val="single" w:sz="4" w:space="0" w:color="auto"/>
              <w:right w:val="single" w:sz="4" w:space="0" w:color="auto"/>
            </w:tcBorders>
          </w:tcPr>
          <w:p w14:paraId="0AC9033B" w14:textId="77777777" w:rsidR="00217A61" w:rsidRDefault="001C2695">
            <w:pPr>
              <w:spacing w:beforeAutospacing="1" w:afterAutospacing="1"/>
            </w:pPr>
            <w:r>
              <w:rPr>
                <w:b/>
                <w:color w:val="000000"/>
              </w:rPr>
              <w:lastRenderedPageBreak/>
              <w:t>12</w:t>
            </w:r>
          </w:p>
        </w:tc>
        <w:tc>
          <w:tcPr>
            <w:tcW w:w="0" w:type="auto"/>
            <w:tcBorders>
              <w:top w:val="single" w:sz="4" w:space="0" w:color="auto"/>
              <w:left w:val="single" w:sz="4" w:space="0" w:color="auto"/>
              <w:bottom w:val="single" w:sz="4" w:space="0" w:color="auto"/>
              <w:right w:val="single" w:sz="4" w:space="0" w:color="auto"/>
            </w:tcBorders>
          </w:tcPr>
          <w:p w14:paraId="5C8DAAD3" w14:textId="77777777" w:rsidR="00217A61" w:rsidRDefault="001C2695">
            <w:pPr>
              <w:spacing w:beforeAutospacing="1" w:afterAutospacing="1"/>
            </w:pPr>
            <w:r>
              <w:rPr>
                <w:color w:val="000000"/>
              </w:rPr>
              <w:t>ESG</w:t>
            </w:r>
          </w:p>
        </w:tc>
        <w:tc>
          <w:tcPr>
            <w:tcW w:w="0" w:type="auto"/>
            <w:tcBorders>
              <w:top w:val="single" w:sz="4" w:space="0" w:color="auto"/>
              <w:left w:val="single" w:sz="4" w:space="0" w:color="auto"/>
              <w:bottom w:val="single" w:sz="4" w:space="0" w:color="auto"/>
              <w:right w:val="single" w:sz="4" w:space="0" w:color="auto"/>
            </w:tcBorders>
          </w:tcPr>
          <w:p w14:paraId="41DF49ED"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2E23EACE"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32F3B548"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4A7E59D5"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6C490F93"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49E77A61" w14:textId="77777777" w:rsidR="00217A61" w:rsidRDefault="001C2695">
            <w:pPr>
              <w:spacing w:beforeAutospacing="1" w:afterAutospacing="1"/>
              <w:jc w:val="right"/>
            </w:pPr>
            <w:r>
              <w:rPr>
                <w:color w:val="000000"/>
              </w:rPr>
              <w:t>ESG: $5,315,950</w:t>
            </w:r>
          </w:p>
        </w:tc>
        <w:tc>
          <w:tcPr>
            <w:tcW w:w="0" w:type="auto"/>
            <w:tcBorders>
              <w:top w:val="single" w:sz="4" w:space="0" w:color="auto"/>
              <w:left w:val="single" w:sz="4" w:space="0" w:color="auto"/>
              <w:bottom w:val="single" w:sz="4" w:space="0" w:color="auto"/>
              <w:right w:val="single" w:sz="4" w:space="0" w:color="auto"/>
            </w:tcBorders>
          </w:tcPr>
          <w:p w14:paraId="504EBE5E" w14:textId="77777777" w:rsidR="00217A61" w:rsidRDefault="001C2695">
            <w:pPr>
              <w:spacing w:beforeAutospacing="1" w:afterAutospacing="1"/>
            </w:pPr>
            <w:r>
              <w:rPr>
                <w:color w:val="000000"/>
              </w:rPr>
              <w:t>Housing for Homeless added:</w:t>
            </w:r>
            <w:r>
              <w:rPr>
                <w:color w:val="000000"/>
              </w:rPr>
              <w:br/>
              <w:t>1500 Household Housing Unit</w:t>
            </w:r>
          </w:p>
        </w:tc>
      </w:tr>
    </w:tbl>
    <w:p w14:paraId="6757C804"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56</w:t>
      </w:r>
      <w:r>
        <w:rPr>
          <w:rFonts w:asciiTheme="minorHAnsi" w:hAnsiTheme="minorHAnsi"/>
        </w:rPr>
        <w:fldChar w:fldCharType="end"/>
      </w:r>
      <w:r>
        <w:rPr>
          <w:rFonts w:asciiTheme="minorHAnsi" w:hAnsiTheme="minorHAnsi"/>
        </w:rPr>
        <w:t xml:space="preserve"> – Goals Summary</w:t>
      </w:r>
    </w:p>
    <w:p w14:paraId="2DA13E36" w14:textId="77777777" w:rsidR="00217A61" w:rsidRDefault="00217A61">
      <w:pPr>
        <w:rPr>
          <w:b/>
          <w:sz w:val="24"/>
          <w:szCs w:val="24"/>
        </w:rPr>
      </w:pPr>
    </w:p>
    <w:p w14:paraId="1DDC61A8" w14:textId="77777777" w:rsidR="00217A61" w:rsidRDefault="001C2695">
      <w:pPr>
        <w:rPr>
          <w:b/>
          <w:sz w:val="24"/>
          <w:szCs w:val="24"/>
        </w:rPr>
      </w:pPr>
      <w:r>
        <w:rPr>
          <w:b/>
          <w:sz w:val="24"/>
          <w:szCs w:val="24"/>
        </w:rPr>
        <w:t>Goal Descriptions</w:t>
      </w:r>
    </w:p>
    <w:p w14:paraId="2A9B1AD0" w14:textId="77777777" w:rsidR="00217A61" w:rsidRDefault="00217A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32"/>
        <w:gridCol w:w="11078"/>
      </w:tblGrid>
      <w:tr w:rsidR="00217A61" w14:paraId="04786A8D" w14:textId="77777777">
        <w:trPr>
          <w:cantSplit/>
        </w:trPr>
        <w:tc>
          <w:tcPr>
            <w:tcW w:w="0" w:type="auto"/>
            <w:vMerge w:val="restart"/>
          </w:tcPr>
          <w:p w14:paraId="1B605A8F" w14:textId="77777777" w:rsidR="00217A61" w:rsidRDefault="001C2695">
            <w:pPr>
              <w:keepNext/>
              <w:spacing w:before="100" w:after="0"/>
            </w:pPr>
            <w:r>
              <w:rPr>
                <w:b/>
                <w:color w:val="000000"/>
              </w:rPr>
              <w:t>1</w:t>
            </w:r>
          </w:p>
        </w:tc>
        <w:tc>
          <w:tcPr>
            <w:tcW w:w="0" w:type="auto"/>
          </w:tcPr>
          <w:p w14:paraId="5A7ECDE1" w14:textId="77777777" w:rsidR="00217A61" w:rsidRDefault="001C2695">
            <w:pPr>
              <w:keepNext/>
              <w:spacing w:before="100" w:after="0"/>
              <w:rPr>
                <w:b/>
              </w:rPr>
            </w:pPr>
            <w:r>
              <w:rPr>
                <w:b/>
              </w:rPr>
              <w:t>Goal Na</w:t>
            </w:r>
            <w:r>
              <w:rPr>
                <w:b/>
              </w:rPr>
              <w:t>me</w:t>
            </w:r>
          </w:p>
        </w:tc>
        <w:tc>
          <w:tcPr>
            <w:tcW w:w="0" w:type="auto"/>
          </w:tcPr>
          <w:p w14:paraId="4DAD17D7" w14:textId="77777777" w:rsidR="00217A61" w:rsidRDefault="001C2695">
            <w:pPr>
              <w:spacing w:before="100" w:after="0"/>
            </w:pPr>
            <w:r>
              <w:rPr>
                <w:color w:val="000000"/>
              </w:rPr>
              <w:t>Homeowner Housing Rehabilitation</w:t>
            </w:r>
          </w:p>
        </w:tc>
      </w:tr>
      <w:tr w:rsidR="00217A61" w14:paraId="2D9FB276" w14:textId="77777777">
        <w:trPr>
          <w:cantSplit/>
        </w:trPr>
        <w:tc>
          <w:tcPr>
            <w:tcW w:w="0" w:type="auto"/>
            <w:vMerge/>
          </w:tcPr>
          <w:p w14:paraId="1A9C55BA" w14:textId="77777777" w:rsidR="00217A61" w:rsidRDefault="00217A61"/>
        </w:tc>
        <w:tc>
          <w:tcPr>
            <w:tcW w:w="0" w:type="auto"/>
          </w:tcPr>
          <w:p w14:paraId="7A918461" w14:textId="77777777" w:rsidR="00217A61" w:rsidRDefault="001C2695">
            <w:pPr>
              <w:keepNext/>
              <w:spacing w:before="100" w:after="0"/>
              <w:rPr>
                <w:b/>
              </w:rPr>
            </w:pPr>
            <w:r>
              <w:rPr>
                <w:b/>
              </w:rPr>
              <w:t>Goal Description</w:t>
            </w:r>
          </w:p>
        </w:tc>
        <w:tc>
          <w:tcPr>
            <w:tcW w:w="0" w:type="auto"/>
          </w:tcPr>
          <w:p w14:paraId="3B9065D7" w14:textId="77777777" w:rsidR="00217A61" w:rsidRDefault="001C2695">
            <w:pPr>
              <w:spacing w:before="100" w:after="0"/>
            </w:pPr>
            <w:r>
              <w:rPr>
                <w:color w:val="000000"/>
              </w:rPr>
              <w:t xml:space="preserve">Rehabilitate homes owned by elderly and/or disabled persons through the North Carolina Housing Finance Agency's rehab programs, such as the </w:t>
            </w:r>
            <w:proofErr w:type="gramStart"/>
            <w:r>
              <w:rPr>
                <w:color w:val="000000"/>
              </w:rPr>
              <w:t>Single Family</w:t>
            </w:r>
            <w:proofErr w:type="gramEnd"/>
            <w:r>
              <w:rPr>
                <w:color w:val="000000"/>
              </w:rPr>
              <w:t xml:space="preserve"> Rehabilitation Program.</w:t>
            </w:r>
          </w:p>
        </w:tc>
      </w:tr>
      <w:tr w:rsidR="00217A61" w14:paraId="7C38BF17" w14:textId="77777777">
        <w:trPr>
          <w:cantSplit/>
        </w:trPr>
        <w:tc>
          <w:tcPr>
            <w:tcW w:w="0" w:type="auto"/>
            <w:vMerge w:val="restart"/>
          </w:tcPr>
          <w:p w14:paraId="628E2C09" w14:textId="77777777" w:rsidR="00217A61" w:rsidRDefault="001C2695">
            <w:pPr>
              <w:keepNext/>
              <w:spacing w:before="100" w:after="0"/>
            </w:pPr>
            <w:r>
              <w:rPr>
                <w:b/>
                <w:color w:val="000000"/>
              </w:rPr>
              <w:t>2</w:t>
            </w:r>
          </w:p>
        </w:tc>
        <w:tc>
          <w:tcPr>
            <w:tcW w:w="0" w:type="auto"/>
          </w:tcPr>
          <w:p w14:paraId="033C46F1" w14:textId="77777777" w:rsidR="00217A61" w:rsidRDefault="001C2695">
            <w:pPr>
              <w:keepNext/>
              <w:spacing w:before="100" w:after="0"/>
              <w:rPr>
                <w:b/>
              </w:rPr>
            </w:pPr>
            <w:r>
              <w:rPr>
                <w:b/>
              </w:rPr>
              <w:t>Goal Name</w:t>
            </w:r>
          </w:p>
        </w:tc>
        <w:tc>
          <w:tcPr>
            <w:tcW w:w="0" w:type="auto"/>
          </w:tcPr>
          <w:p w14:paraId="3A7A2DB8" w14:textId="77777777" w:rsidR="00217A61" w:rsidRDefault="001C2695">
            <w:pPr>
              <w:spacing w:before="100" w:after="0"/>
            </w:pPr>
            <w:r>
              <w:rPr>
                <w:color w:val="000000"/>
              </w:rPr>
              <w:t>Affordable Homeownership</w:t>
            </w:r>
          </w:p>
        </w:tc>
      </w:tr>
      <w:tr w:rsidR="00217A61" w14:paraId="7317AB3C" w14:textId="77777777">
        <w:trPr>
          <w:cantSplit/>
        </w:trPr>
        <w:tc>
          <w:tcPr>
            <w:tcW w:w="0" w:type="auto"/>
            <w:vMerge/>
          </w:tcPr>
          <w:p w14:paraId="2807BEA2" w14:textId="77777777" w:rsidR="00217A61" w:rsidRDefault="00217A61"/>
        </w:tc>
        <w:tc>
          <w:tcPr>
            <w:tcW w:w="0" w:type="auto"/>
          </w:tcPr>
          <w:p w14:paraId="4C290845" w14:textId="77777777" w:rsidR="00217A61" w:rsidRDefault="001C2695">
            <w:pPr>
              <w:keepNext/>
              <w:spacing w:before="100" w:after="0"/>
              <w:rPr>
                <w:b/>
              </w:rPr>
            </w:pPr>
            <w:r>
              <w:rPr>
                <w:b/>
              </w:rPr>
              <w:t>Goal Description</w:t>
            </w:r>
          </w:p>
        </w:tc>
        <w:tc>
          <w:tcPr>
            <w:tcW w:w="0" w:type="auto"/>
          </w:tcPr>
          <w:p w14:paraId="5D2F1A7A" w14:textId="77777777" w:rsidR="00217A61" w:rsidRDefault="001C2695">
            <w:pPr>
              <w:spacing w:before="100" w:after="0"/>
            </w:pPr>
            <w:r>
              <w:rPr>
                <w:color w:val="000000"/>
              </w:rPr>
              <w:t>Enable hous</w:t>
            </w:r>
            <w:r>
              <w:rPr>
                <w:color w:val="000000"/>
              </w:rPr>
              <w:t xml:space="preserve">eholds to afford homes through North Carolina Housing Finance Agency’s Homeownership programs, such as the Community Partners Loan Pool and the </w:t>
            </w:r>
            <w:proofErr w:type="gramStart"/>
            <w:r>
              <w:rPr>
                <w:color w:val="000000"/>
              </w:rPr>
              <w:t>Self Help</w:t>
            </w:r>
            <w:proofErr w:type="gramEnd"/>
            <w:r>
              <w:rPr>
                <w:color w:val="000000"/>
              </w:rPr>
              <w:t xml:space="preserve"> Loan Pool</w:t>
            </w:r>
          </w:p>
        </w:tc>
      </w:tr>
      <w:tr w:rsidR="00217A61" w14:paraId="5AE39479" w14:textId="77777777">
        <w:trPr>
          <w:cantSplit/>
        </w:trPr>
        <w:tc>
          <w:tcPr>
            <w:tcW w:w="0" w:type="auto"/>
            <w:vMerge w:val="restart"/>
          </w:tcPr>
          <w:p w14:paraId="6E1112BB" w14:textId="77777777" w:rsidR="00217A61" w:rsidRDefault="001C2695">
            <w:pPr>
              <w:keepNext/>
              <w:spacing w:before="100" w:after="0"/>
            </w:pPr>
            <w:r>
              <w:rPr>
                <w:b/>
                <w:color w:val="000000"/>
              </w:rPr>
              <w:t>3</w:t>
            </w:r>
          </w:p>
        </w:tc>
        <w:tc>
          <w:tcPr>
            <w:tcW w:w="0" w:type="auto"/>
          </w:tcPr>
          <w:p w14:paraId="20088C8B" w14:textId="77777777" w:rsidR="00217A61" w:rsidRDefault="001C2695">
            <w:pPr>
              <w:keepNext/>
              <w:spacing w:before="100" w:after="0"/>
              <w:rPr>
                <w:b/>
              </w:rPr>
            </w:pPr>
            <w:r>
              <w:rPr>
                <w:b/>
              </w:rPr>
              <w:t>Goal Name</w:t>
            </w:r>
          </w:p>
        </w:tc>
        <w:tc>
          <w:tcPr>
            <w:tcW w:w="0" w:type="auto"/>
          </w:tcPr>
          <w:p w14:paraId="030466AC" w14:textId="77777777" w:rsidR="00217A61" w:rsidRDefault="001C2695">
            <w:pPr>
              <w:spacing w:before="100" w:after="0"/>
            </w:pPr>
            <w:r>
              <w:rPr>
                <w:color w:val="000000"/>
              </w:rPr>
              <w:t>Affordable Rental Housing</w:t>
            </w:r>
          </w:p>
        </w:tc>
      </w:tr>
      <w:tr w:rsidR="00217A61" w14:paraId="7AE7C396" w14:textId="77777777">
        <w:trPr>
          <w:cantSplit/>
        </w:trPr>
        <w:tc>
          <w:tcPr>
            <w:tcW w:w="0" w:type="auto"/>
            <w:vMerge/>
          </w:tcPr>
          <w:p w14:paraId="67C3C471" w14:textId="77777777" w:rsidR="00217A61" w:rsidRDefault="00217A61"/>
        </w:tc>
        <w:tc>
          <w:tcPr>
            <w:tcW w:w="0" w:type="auto"/>
          </w:tcPr>
          <w:p w14:paraId="5C5415C4" w14:textId="77777777" w:rsidR="00217A61" w:rsidRDefault="001C2695">
            <w:pPr>
              <w:keepNext/>
              <w:spacing w:before="100" w:after="0"/>
              <w:rPr>
                <w:b/>
              </w:rPr>
            </w:pPr>
            <w:r>
              <w:rPr>
                <w:b/>
              </w:rPr>
              <w:t>Goal Description</w:t>
            </w:r>
          </w:p>
        </w:tc>
        <w:tc>
          <w:tcPr>
            <w:tcW w:w="0" w:type="auto"/>
          </w:tcPr>
          <w:p w14:paraId="20D3DD91" w14:textId="77777777" w:rsidR="00217A61" w:rsidRDefault="001C2695">
            <w:pPr>
              <w:spacing w:before="100" w:after="0"/>
            </w:pPr>
            <w:r>
              <w:rPr>
                <w:color w:val="000000"/>
              </w:rPr>
              <w:t>Finance the development of affordable rental units through the North Carolina Housing Finance Agency’s Rental Production Program</w:t>
            </w:r>
          </w:p>
        </w:tc>
      </w:tr>
      <w:tr w:rsidR="00217A61" w14:paraId="1EDD2DCB" w14:textId="77777777">
        <w:trPr>
          <w:cantSplit/>
        </w:trPr>
        <w:tc>
          <w:tcPr>
            <w:tcW w:w="0" w:type="auto"/>
            <w:vMerge w:val="restart"/>
          </w:tcPr>
          <w:p w14:paraId="28474F60" w14:textId="77777777" w:rsidR="00217A61" w:rsidRDefault="001C2695">
            <w:pPr>
              <w:keepNext/>
              <w:spacing w:before="100" w:after="0"/>
            </w:pPr>
            <w:r>
              <w:rPr>
                <w:b/>
                <w:color w:val="000000"/>
              </w:rPr>
              <w:lastRenderedPageBreak/>
              <w:t>4</w:t>
            </w:r>
          </w:p>
        </w:tc>
        <w:tc>
          <w:tcPr>
            <w:tcW w:w="0" w:type="auto"/>
          </w:tcPr>
          <w:p w14:paraId="52BCCF58" w14:textId="77777777" w:rsidR="00217A61" w:rsidRDefault="001C2695">
            <w:pPr>
              <w:keepNext/>
              <w:spacing w:before="100" w:after="0"/>
              <w:rPr>
                <w:b/>
              </w:rPr>
            </w:pPr>
            <w:r>
              <w:rPr>
                <w:b/>
              </w:rPr>
              <w:t>Goal Name</w:t>
            </w:r>
          </w:p>
        </w:tc>
        <w:tc>
          <w:tcPr>
            <w:tcW w:w="0" w:type="auto"/>
          </w:tcPr>
          <w:p w14:paraId="306B4906" w14:textId="77777777" w:rsidR="00217A61" w:rsidRDefault="001C2695">
            <w:pPr>
              <w:spacing w:before="100" w:after="0"/>
            </w:pPr>
            <w:r>
              <w:rPr>
                <w:color w:val="000000"/>
              </w:rPr>
              <w:t>CDBG Neighborhood Revitalization</w:t>
            </w:r>
          </w:p>
        </w:tc>
      </w:tr>
      <w:tr w:rsidR="00217A61" w14:paraId="6E19DE8A" w14:textId="77777777">
        <w:trPr>
          <w:cantSplit/>
        </w:trPr>
        <w:tc>
          <w:tcPr>
            <w:tcW w:w="0" w:type="auto"/>
            <w:vMerge/>
          </w:tcPr>
          <w:p w14:paraId="26328A95" w14:textId="77777777" w:rsidR="00217A61" w:rsidRDefault="00217A61"/>
        </w:tc>
        <w:tc>
          <w:tcPr>
            <w:tcW w:w="0" w:type="auto"/>
          </w:tcPr>
          <w:p w14:paraId="7BFB34B1" w14:textId="77777777" w:rsidR="00217A61" w:rsidRDefault="001C2695">
            <w:pPr>
              <w:keepNext/>
              <w:spacing w:before="100" w:after="0"/>
              <w:rPr>
                <w:b/>
              </w:rPr>
            </w:pPr>
            <w:r>
              <w:rPr>
                <w:b/>
              </w:rPr>
              <w:t>Goal Description</w:t>
            </w:r>
          </w:p>
        </w:tc>
        <w:tc>
          <w:tcPr>
            <w:tcW w:w="0" w:type="auto"/>
          </w:tcPr>
          <w:p w14:paraId="6F215DD6" w14:textId="77777777" w:rsidR="00217A61" w:rsidRDefault="001C2695">
            <w:pPr>
              <w:spacing w:before="100" w:after="0"/>
            </w:pPr>
            <w:r>
              <w:rPr>
                <w:color w:val="000000"/>
              </w:rPr>
              <w:t>CDBG Neighborhood Revitalization will focus on providing and p</w:t>
            </w:r>
            <w:r>
              <w:rPr>
                <w:color w:val="000000"/>
              </w:rPr>
              <w:t>reserve affordable, decent housing and other non-housing community development through the public facilities and public services eligible activities.</w:t>
            </w:r>
          </w:p>
        </w:tc>
      </w:tr>
      <w:tr w:rsidR="00217A61" w14:paraId="218567F2" w14:textId="77777777">
        <w:trPr>
          <w:cantSplit/>
        </w:trPr>
        <w:tc>
          <w:tcPr>
            <w:tcW w:w="0" w:type="auto"/>
            <w:vMerge w:val="restart"/>
          </w:tcPr>
          <w:p w14:paraId="717B4173" w14:textId="77777777" w:rsidR="00217A61" w:rsidRDefault="001C2695">
            <w:pPr>
              <w:keepNext/>
              <w:spacing w:before="100" w:after="0"/>
            </w:pPr>
            <w:r>
              <w:rPr>
                <w:b/>
                <w:color w:val="000000"/>
              </w:rPr>
              <w:t>5</w:t>
            </w:r>
          </w:p>
        </w:tc>
        <w:tc>
          <w:tcPr>
            <w:tcW w:w="0" w:type="auto"/>
          </w:tcPr>
          <w:p w14:paraId="208AD995" w14:textId="77777777" w:rsidR="00217A61" w:rsidRDefault="001C2695">
            <w:pPr>
              <w:keepNext/>
              <w:spacing w:before="100" w:after="0"/>
              <w:rPr>
                <w:b/>
              </w:rPr>
            </w:pPr>
            <w:r>
              <w:rPr>
                <w:b/>
              </w:rPr>
              <w:t>Goal Name</w:t>
            </w:r>
          </w:p>
        </w:tc>
        <w:tc>
          <w:tcPr>
            <w:tcW w:w="0" w:type="auto"/>
          </w:tcPr>
          <w:p w14:paraId="09C9E5E6" w14:textId="77777777" w:rsidR="00217A61" w:rsidRDefault="001C2695">
            <w:pPr>
              <w:spacing w:before="100" w:after="0"/>
            </w:pPr>
            <w:r>
              <w:rPr>
                <w:color w:val="000000"/>
              </w:rPr>
              <w:t>CDBG Economic Development</w:t>
            </w:r>
          </w:p>
        </w:tc>
      </w:tr>
      <w:tr w:rsidR="00217A61" w14:paraId="09216CFA" w14:textId="77777777">
        <w:trPr>
          <w:cantSplit/>
        </w:trPr>
        <w:tc>
          <w:tcPr>
            <w:tcW w:w="0" w:type="auto"/>
            <w:vMerge/>
          </w:tcPr>
          <w:p w14:paraId="15F17C05" w14:textId="77777777" w:rsidR="00217A61" w:rsidRDefault="00217A61"/>
        </w:tc>
        <w:tc>
          <w:tcPr>
            <w:tcW w:w="0" w:type="auto"/>
          </w:tcPr>
          <w:p w14:paraId="6C2F7BC5" w14:textId="77777777" w:rsidR="00217A61" w:rsidRDefault="001C2695">
            <w:pPr>
              <w:keepNext/>
              <w:spacing w:before="100" w:after="0"/>
              <w:rPr>
                <w:b/>
              </w:rPr>
            </w:pPr>
            <w:r>
              <w:rPr>
                <w:b/>
              </w:rPr>
              <w:t>Goal Description</w:t>
            </w:r>
          </w:p>
        </w:tc>
        <w:tc>
          <w:tcPr>
            <w:tcW w:w="0" w:type="auto"/>
          </w:tcPr>
          <w:p w14:paraId="74AC17FE" w14:textId="77777777" w:rsidR="00217A61" w:rsidRDefault="001C2695">
            <w:pPr>
              <w:spacing w:before="100" w:after="0"/>
            </w:pPr>
            <w:r>
              <w:rPr>
                <w:color w:val="000000"/>
              </w:rPr>
              <w:t xml:space="preserve">CDBG Economic Development will spur economic </w:t>
            </w:r>
            <w:proofErr w:type="spellStart"/>
            <w:r>
              <w:rPr>
                <w:color w:val="000000"/>
              </w:rPr>
              <w:t>activty</w:t>
            </w:r>
            <w:proofErr w:type="spellEnd"/>
            <w:r>
              <w:rPr>
                <w:color w:val="000000"/>
              </w:rPr>
              <w:t xml:space="preserve"> through job creation and retention.</w:t>
            </w:r>
          </w:p>
        </w:tc>
      </w:tr>
      <w:tr w:rsidR="00217A61" w14:paraId="2AF846E2" w14:textId="77777777">
        <w:trPr>
          <w:cantSplit/>
        </w:trPr>
        <w:tc>
          <w:tcPr>
            <w:tcW w:w="0" w:type="auto"/>
            <w:vMerge w:val="restart"/>
          </w:tcPr>
          <w:p w14:paraId="625E767B" w14:textId="77777777" w:rsidR="00217A61" w:rsidRDefault="001C2695">
            <w:pPr>
              <w:keepNext/>
              <w:spacing w:before="100" w:after="0"/>
            </w:pPr>
            <w:r>
              <w:rPr>
                <w:b/>
                <w:color w:val="000000"/>
              </w:rPr>
              <w:t>6</w:t>
            </w:r>
          </w:p>
        </w:tc>
        <w:tc>
          <w:tcPr>
            <w:tcW w:w="0" w:type="auto"/>
          </w:tcPr>
          <w:p w14:paraId="5CF42758" w14:textId="77777777" w:rsidR="00217A61" w:rsidRDefault="001C2695">
            <w:pPr>
              <w:keepNext/>
              <w:spacing w:before="100" w:after="0"/>
              <w:rPr>
                <w:b/>
              </w:rPr>
            </w:pPr>
            <w:r>
              <w:rPr>
                <w:b/>
              </w:rPr>
              <w:t>Goal Name</w:t>
            </w:r>
          </w:p>
        </w:tc>
        <w:tc>
          <w:tcPr>
            <w:tcW w:w="0" w:type="auto"/>
          </w:tcPr>
          <w:p w14:paraId="1D9652EE" w14:textId="77777777" w:rsidR="00217A61" w:rsidRDefault="001C2695">
            <w:pPr>
              <w:spacing w:before="100" w:after="0"/>
            </w:pPr>
            <w:r>
              <w:rPr>
                <w:color w:val="000000"/>
              </w:rPr>
              <w:t>CDBG Infrastructure</w:t>
            </w:r>
          </w:p>
        </w:tc>
      </w:tr>
      <w:tr w:rsidR="00217A61" w14:paraId="3479ED08" w14:textId="77777777">
        <w:trPr>
          <w:cantSplit/>
        </w:trPr>
        <w:tc>
          <w:tcPr>
            <w:tcW w:w="0" w:type="auto"/>
            <w:vMerge/>
          </w:tcPr>
          <w:p w14:paraId="11C41E73" w14:textId="77777777" w:rsidR="00217A61" w:rsidRDefault="00217A61"/>
        </w:tc>
        <w:tc>
          <w:tcPr>
            <w:tcW w:w="0" w:type="auto"/>
          </w:tcPr>
          <w:p w14:paraId="2BD0ED28" w14:textId="77777777" w:rsidR="00217A61" w:rsidRDefault="001C2695">
            <w:pPr>
              <w:keepNext/>
              <w:spacing w:before="100" w:after="0"/>
              <w:rPr>
                <w:b/>
              </w:rPr>
            </w:pPr>
            <w:r>
              <w:rPr>
                <w:b/>
              </w:rPr>
              <w:t>Goal Description</w:t>
            </w:r>
          </w:p>
        </w:tc>
        <w:tc>
          <w:tcPr>
            <w:tcW w:w="0" w:type="auto"/>
          </w:tcPr>
          <w:p w14:paraId="0926E709" w14:textId="77777777" w:rsidR="00217A61" w:rsidRDefault="001C2695">
            <w:pPr>
              <w:spacing w:before="100" w:after="0"/>
            </w:pPr>
            <w:r>
              <w:rPr>
                <w:color w:val="000000"/>
              </w:rPr>
              <w:t>CDBG Infrastructure is designed to make water and sewer improvements, especially for communities that have deteriorated systems. </w:t>
            </w:r>
          </w:p>
        </w:tc>
      </w:tr>
      <w:tr w:rsidR="00217A61" w14:paraId="161D1CDE" w14:textId="77777777">
        <w:trPr>
          <w:cantSplit/>
        </w:trPr>
        <w:tc>
          <w:tcPr>
            <w:tcW w:w="0" w:type="auto"/>
            <w:vMerge w:val="restart"/>
          </w:tcPr>
          <w:p w14:paraId="44871E8D" w14:textId="77777777" w:rsidR="00217A61" w:rsidRDefault="001C2695">
            <w:pPr>
              <w:keepNext/>
              <w:spacing w:before="100" w:after="0"/>
            </w:pPr>
            <w:r>
              <w:rPr>
                <w:b/>
                <w:color w:val="000000"/>
              </w:rPr>
              <w:t>7</w:t>
            </w:r>
          </w:p>
        </w:tc>
        <w:tc>
          <w:tcPr>
            <w:tcW w:w="0" w:type="auto"/>
          </w:tcPr>
          <w:p w14:paraId="0EABEE7A" w14:textId="77777777" w:rsidR="00217A61" w:rsidRDefault="001C2695">
            <w:pPr>
              <w:keepNext/>
              <w:spacing w:before="100" w:after="0"/>
              <w:rPr>
                <w:b/>
              </w:rPr>
            </w:pPr>
            <w:r>
              <w:rPr>
                <w:b/>
              </w:rPr>
              <w:t>Goal Name</w:t>
            </w:r>
          </w:p>
        </w:tc>
        <w:tc>
          <w:tcPr>
            <w:tcW w:w="0" w:type="auto"/>
          </w:tcPr>
          <w:p w14:paraId="74E87D55" w14:textId="77777777" w:rsidR="00217A61" w:rsidRDefault="001C2695">
            <w:pPr>
              <w:spacing w:before="100" w:after="0"/>
            </w:pPr>
            <w:r>
              <w:rPr>
                <w:color w:val="000000"/>
              </w:rPr>
              <w:t>CDBG Contingency and Urgent Needs</w:t>
            </w:r>
          </w:p>
        </w:tc>
      </w:tr>
      <w:tr w:rsidR="00217A61" w14:paraId="7E511E32" w14:textId="77777777">
        <w:trPr>
          <w:cantSplit/>
        </w:trPr>
        <w:tc>
          <w:tcPr>
            <w:tcW w:w="0" w:type="auto"/>
            <w:vMerge/>
          </w:tcPr>
          <w:p w14:paraId="75E93534" w14:textId="77777777" w:rsidR="00217A61" w:rsidRDefault="00217A61"/>
        </w:tc>
        <w:tc>
          <w:tcPr>
            <w:tcW w:w="0" w:type="auto"/>
          </w:tcPr>
          <w:p w14:paraId="0EAB13D0" w14:textId="77777777" w:rsidR="00217A61" w:rsidRDefault="001C2695">
            <w:pPr>
              <w:keepNext/>
              <w:spacing w:before="100" w:after="0"/>
              <w:rPr>
                <w:b/>
              </w:rPr>
            </w:pPr>
            <w:r>
              <w:rPr>
                <w:b/>
              </w:rPr>
              <w:t>Goal Description</w:t>
            </w:r>
          </w:p>
        </w:tc>
        <w:tc>
          <w:tcPr>
            <w:tcW w:w="0" w:type="auto"/>
          </w:tcPr>
          <w:p w14:paraId="5423D938" w14:textId="77777777" w:rsidR="00217A61" w:rsidRDefault="001C2695">
            <w:pPr>
              <w:spacing w:before="100" w:after="0"/>
            </w:pPr>
            <w:r>
              <w:rPr>
                <w:color w:val="000000"/>
              </w:rPr>
              <w:t>CDBG de-obligated funds and program income up to $1 million annually will be used to provide contingency and/or urgent needs funding for CDBG eligible projects.  Special consideration will be given to projects that respond to, prevent, or prepare for COVID</w:t>
            </w:r>
            <w:r>
              <w:rPr>
                <w:color w:val="000000"/>
              </w:rPr>
              <w:t>-19 or other imminent health and safety concerns. </w:t>
            </w:r>
          </w:p>
        </w:tc>
      </w:tr>
      <w:tr w:rsidR="00217A61" w14:paraId="013EF635" w14:textId="77777777">
        <w:trPr>
          <w:cantSplit/>
        </w:trPr>
        <w:tc>
          <w:tcPr>
            <w:tcW w:w="0" w:type="auto"/>
            <w:vMerge w:val="restart"/>
          </w:tcPr>
          <w:p w14:paraId="090050BD" w14:textId="77777777" w:rsidR="00217A61" w:rsidRDefault="001C2695">
            <w:pPr>
              <w:keepNext/>
              <w:spacing w:before="100" w:after="0"/>
            </w:pPr>
            <w:r>
              <w:rPr>
                <w:b/>
                <w:color w:val="000000"/>
              </w:rPr>
              <w:t>8</w:t>
            </w:r>
          </w:p>
        </w:tc>
        <w:tc>
          <w:tcPr>
            <w:tcW w:w="0" w:type="auto"/>
          </w:tcPr>
          <w:p w14:paraId="6C261DC7" w14:textId="77777777" w:rsidR="00217A61" w:rsidRDefault="001C2695">
            <w:pPr>
              <w:keepNext/>
              <w:spacing w:before="100" w:after="0"/>
              <w:rPr>
                <w:b/>
              </w:rPr>
            </w:pPr>
            <w:r>
              <w:rPr>
                <w:b/>
              </w:rPr>
              <w:t>Goal Name</w:t>
            </w:r>
          </w:p>
        </w:tc>
        <w:tc>
          <w:tcPr>
            <w:tcW w:w="0" w:type="auto"/>
          </w:tcPr>
          <w:p w14:paraId="0D514133" w14:textId="77777777" w:rsidR="00217A61" w:rsidRDefault="001C2695">
            <w:pPr>
              <w:spacing w:before="100" w:after="0"/>
            </w:pPr>
            <w:r>
              <w:rPr>
                <w:color w:val="000000"/>
              </w:rPr>
              <w:t>HOPWA-Short-Term Rent and Utilities</w:t>
            </w:r>
          </w:p>
        </w:tc>
      </w:tr>
      <w:tr w:rsidR="00217A61" w14:paraId="1DB2FDA3" w14:textId="77777777">
        <w:trPr>
          <w:cantSplit/>
        </w:trPr>
        <w:tc>
          <w:tcPr>
            <w:tcW w:w="0" w:type="auto"/>
            <w:vMerge/>
          </w:tcPr>
          <w:p w14:paraId="6777F6F7" w14:textId="77777777" w:rsidR="00217A61" w:rsidRDefault="00217A61"/>
        </w:tc>
        <w:tc>
          <w:tcPr>
            <w:tcW w:w="0" w:type="auto"/>
          </w:tcPr>
          <w:p w14:paraId="004A45EA" w14:textId="77777777" w:rsidR="00217A61" w:rsidRDefault="001C2695">
            <w:pPr>
              <w:keepNext/>
              <w:spacing w:before="100" w:after="0"/>
              <w:rPr>
                <w:b/>
              </w:rPr>
            </w:pPr>
            <w:r>
              <w:rPr>
                <w:b/>
              </w:rPr>
              <w:t>Goal Description</w:t>
            </w:r>
          </w:p>
        </w:tc>
        <w:tc>
          <w:tcPr>
            <w:tcW w:w="0" w:type="auto"/>
          </w:tcPr>
          <w:p w14:paraId="3C68DB54" w14:textId="77777777" w:rsidR="00217A61" w:rsidRDefault="001C2695">
            <w:pPr>
              <w:spacing w:before="100" w:after="0"/>
            </w:pPr>
            <w:r>
              <w:rPr>
                <w:color w:val="000000"/>
              </w:rPr>
              <w:t>HOPWA will provide short-term rent and utilities for persons with HIV/AIDS.</w:t>
            </w:r>
          </w:p>
        </w:tc>
      </w:tr>
      <w:tr w:rsidR="00217A61" w14:paraId="65E2F22D" w14:textId="77777777">
        <w:trPr>
          <w:cantSplit/>
        </w:trPr>
        <w:tc>
          <w:tcPr>
            <w:tcW w:w="0" w:type="auto"/>
            <w:vMerge w:val="restart"/>
          </w:tcPr>
          <w:p w14:paraId="76B90917" w14:textId="77777777" w:rsidR="00217A61" w:rsidRDefault="001C2695">
            <w:pPr>
              <w:keepNext/>
              <w:spacing w:before="100" w:after="0"/>
            </w:pPr>
            <w:r>
              <w:rPr>
                <w:b/>
                <w:color w:val="000000"/>
              </w:rPr>
              <w:t>9</w:t>
            </w:r>
          </w:p>
        </w:tc>
        <w:tc>
          <w:tcPr>
            <w:tcW w:w="0" w:type="auto"/>
          </w:tcPr>
          <w:p w14:paraId="339E9E02" w14:textId="77777777" w:rsidR="00217A61" w:rsidRDefault="001C2695">
            <w:pPr>
              <w:keepNext/>
              <w:spacing w:before="100" w:after="0"/>
              <w:rPr>
                <w:b/>
              </w:rPr>
            </w:pPr>
            <w:r>
              <w:rPr>
                <w:b/>
              </w:rPr>
              <w:t>Goal Name</w:t>
            </w:r>
          </w:p>
        </w:tc>
        <w:tc>
          <w:tcPr>
            <w:tcW w:w="0" w:type="auto"/>
          </w:tcPr>
          <w:p w14:paraId="672086DE" w14:textId="77777777" w:rsidR="00217A61" w:rsidRDefault="001C2695">
            <w:pPr>
              <w:spacing w:before="100" w:after="0"/>
            </w:pPr>
            <w:r>
              <w:rPr>
                <w:color w:val="000000"/>
              </w:rPr>
              <w:t>HOPWA Supportive Services</w:t>
            </w:r>
          </w:p>
        </w:tc>
      </w:tr>
      <w:tr w:rsidR="00217A61" w14:paraId="1AEAB66E" w14:textId="77777777">
        <w:trPr>
          <w:cantSplit/>
        </w:trPr>
        <w:tc>
          <w:tcPr>
            <w:tcW w:w="0" w:type="auto"/>
            <w:vMerge/>
          </w:tcPr>
          <w:p w14:paraId="4E718808" w14:textId="77777777" w:rsidR="00217A61" w:rsidRDefault="00217A61"/>
        </w:tc>
        <w:tc>
          <w:tcPr>
            <w:tcW w:w="0" w:type="auto"/>
          </w:tcPr>
          <w:p w14:paraId="747C7305" w14:textId="77777777" w:rsidR="00217A61" w:rsidRDefault="001C2695">
            <w:pPr>
              <w:keepNext/>
              <w:spacing w:before="100" w:after="0"/>
              <w:rPr>
                <w:b/>
              </w:rPr>
            </w:pPr>
            <w:r>
              <w:rPr>
                <w:b/>
              </w:rPr>
              <w:t>Goal Description</w:t>
            </w:r>
          </w:p>
        </w:tc>
        <w:tc>
          <w:tcPr>
            <w:tcW w:w="0" w:type="auto"/>
          </w:tcPr>
          <w:p w14:paraId="65557808" w14:textId="77777777" w:rsidR="00217A61" w:rsidRDefault="001C2695">
            <w:pPr>
              <w:spacing w:before="100" w:after="0"/>
            </w:pPr>
            <w:r>
              <w:rPr>
                <w:color w:val="000000"/>
              </w:rPr>
              <w:t>These HOPWA funds are to be used for supportive services.</w:t>
            </w:r>
          </w:p>
        </w:tc>
      </w:tr>
      <w:tr w:rsidR="00217A61" w14:paraId="7DD432B7" w14:textId="77777777">
        <w:trPr>
          <w:cantSplit/>
        </w:trPr>
        <w:tc>
          <w:tcPr>
            <w:tcW w:w="0" w:type="auto"/>
            <w:vMerge w:val="restart"/>
          </w:tcPr>
          <w:p w14:paraId="3965668A" w14:textId="77777777" w:rsidR="00217A61" w:rsidRDefault="001C2695">
            <w:pPr>
              <w:keepNext/>
              <w:spacing w:before="100" w:after="0"/>
            </w:pPr>
            <w:r>
              <w:rPr>
                <w:b/>
                <w:color w:val="000000"/>
              </w:rPr>
              <w:t>10</w:t>
            </w:r>
          </w:p>
        </w:tc>
        <w:tc>
          <w:tcPr>
            <w:tcW w:w="0" w:type="auto"/>
          </w:tcPr>
          <w:p w14:paraId="021B880A" w14:textId="77777777" w:rsidR="00217A61" w:rsidRDefault="001C2695">
            <w:pPr>
              <w:keepNext/>
              <w:spacing w:before="100" w:after="0"/>
              <w:rPr>
                <w:b/>
              </w:rPr>
            </w:pPr>
            <w:r>
              <w:rPr>
                <w:b/>
              </w:rPr>
              <w:t>Goal Name</w:t>
            </w:r>
          </w:p>
        </w:tc>
        <w:tc>
          <w:tcPr>
            <w:tcW w:w="0" w:type="auto"/>
          </w:tcPr>
          <w:p w14:paraId="753E9B2E" w14:textId="77777777" w:rsidR="00217A61" w:rsidRDefault="001C2695">
            <w:pPr>
              <w:spacing w:before="100" w:after="0"/>
            </w:pPr>
            <w:r>
              <w:rPr>
                <w:color w:val="000000"/>
              </w:rPr>
              <w:t>HOPWA Facility-Based</w:t>
            </w:r>
          </w:p>
        </w:tc>
      </w:tr>
      <w:tr w:rsidR="00217A61" w14:paraId="1672F8FA" w14:textId="77777777">
        <w:trPr>
          <w:cantSplit/>
        </w:trPr>
        <w:tc>
          <w:tcPr>
            <w:tcW w:w="0" w:type="auto"/>
            <w:vMerge/>
          </w:tcPr>
          <w:p w14:paraId="50AA82C0" w14:textId="77777777" w:rsidR="00217A61" w:rsidRDefault="00217A61"/>
        </w:tc>
        <w:tc>
          <w:tcPr>
            <w:tcW w:w="0" w:type="auto"/>
          </w:tcPr>
          <w:p w14:paraId="3866EBB9" w14:textId="77777777" w:rsidR="00217A61" w:rsidRDefault="001C2695">
            <w:pPr>
              <w:keepNext/>
              <w:spacing w:before="100" w:after="0"/>
              <w:rPr>
                <w:b/>
              </w:rPr>
            </w:pPr>
            <w:r>
              <w:rPr>
                <w:b/>
              </w:rPr>
              <w:t>Goal Description</w:t>
            </w:r>
          </w:p>
        </w:tc>
        <w:tc>
          <w:tcPr>
            <w:tcW w:w="0" w:type="auto"/>
          </w:tcPr>
          <w:p w14:paraId="5F6DE83B" w14:textId="77777777" w:rsidR="00217A61" w:rsidRDefault="001C2695">
            <w:pPr>
              <w:spacing w:before="100" w:after="0"/>
            </w:pPr>
            <w:r>
              <w:rPr>
                <w:color w:val="000000"/>
              </w:rPr>
              <w:t>Facility Based-Assistance using HOPWA funds</w:t>
            </w:r>
          </w:p>
        </w:tc>
      </w:tr>
      <w:tr w:rsidR="00217A61" w14:paraId="77B99D5E" w14:textId="77777777">
        <w:trPr>
          <w:cantSplit/>
        </w:trPr>
        <w:tc>
          <w:tcPr>
            <w:tcW w:w="0" w:type="auto"/>
            <w:vMerge w:val="restart"/>
          </w:tcPr>
          <w:p w14:paraId="53C6449E" w14:textId="77777777" w:rsidR="00217A61" w:rsidRDefault="001C2695">
            <w:pPr>
              <w:keepNext/>
              <w:spacing w:before="100" w:after="0"/>
            </w:pPr>
            <w:r>
              <w:rPr>
                <w:b/>
                <w:color w:val="000000"/>
              </w:rPr>
              <w:lastRenderedPageBreak/>
              <w:t>11</w:t>
            </w:r>
          </w:p>
        </w:tc>
        <w:tc>
          <w:tcPr>
            <w:tcW w:w="0" w:type="auto"/>
          </w:tcPr>
          <w:p w14:paraId="78434B45" w14:textId="77777777" w:rsidR="00217A61" w:rsidRDefault="001C2695">
            <w:pPr>
              <w:keepNext/>
              <w:spacing w:before="100" w:after="0"/>
              <w:rPr>
                <w:b/>
              </w:rPr>
            </w:pPr>
            <w:r>
              <w:rPr>
                <w:b/>
              </w:rPr>
              <w:t>Goal Name</w:t>
            </w:r>
          </w:p>
        </w:tc>
        <w:tc>
          <w:tcPr>
            <w:tcW w:w="0" w:type="auto"/>
          </w:tcPr>
          <w:p w14:paraId="48AB8928" w14:textId="77777777" w:rsidR="00217A61" w:rsidRDefault="001C2695">
            <w:pPr>
              <w:spacing w:before="100" w:after="0"/>
            </w:pPr>
            <w:r>
              <w:rPr>
                <w:color w:val="000000"/>
              </w:rPr>
              <w:t>HOPWA Permanent Housing Placement</w:t>
            </w:r>
          </w:p>
        </w:tc>
      </w:tr>
      <w:tr w:rsidR="00217A61" w14:paraId="2D1BD60A" w14:textId="77777777">
        <w:trPr>
          <w:cantSplit/>
        </w:trPr>
        <w:tc>
          <w:tcPr>
            <w:tcW w:w="0" w:type="auto"/>
            <w:vMerge/>
          </w:tcPr>
          <w:p w14:paraId="26D7172F" w14:textId="77777777" w:rsidR="00217A61" w:rsidRDefault="00217A61"/>
        </w:tc>
        <w:tc>
          <w:tcPr>
            <w:tcW w:w="0" w:type="auto"/>
          </w:tcPr>
          <w:p w14:paraId="24A13F9E" w14:textId="77777777" w:rsidR="00217A61" w:rsidRDefault="001C2695">
            <w:pPr>
              <w:keepNext/>
              <w:spacing w:before="100" w:after="0"/>
              <w:rPr>
                <w:b/>
              </w:rPr>
            </w:pPr>
            <w:r>
              <w:rPr>
                <w:b/>
              </w:rPr>
              <w:t>Goal Description</w:t>
            </w:r>
          </w:p>
        </w:tc>
        <w:tc>
          <w:tcPr>
            <w:tcW w:w="0" w:type="auto"/>
          </w:tcPr>
          <w:p w14:paraId="59124632" w14:textId="77777777" w:rsidR="00217A61" w:rsidRDefault="001C2695">
            <w:pPr>
              <w:spacing w:before="100" w:after="0"/>
            </w:pPr>
            <w:r>
              <w:rPr>
                <w:color w:val="000000"/>
              </w:rPr>
              <w:t xml:space="preserve">Assist persons with HIV/AIDS with permanent housing </w:t>
            </w:r>
            <w:proofErr w:type="spellStart"/>
            <w:r>
              <w:rPr>
                <w:color w:val="000000"/>
              </w:rPr>
              <w:t>placment</w:t>
            </w:r>
            <w:proofErr w:type="spellEnd"/>
          </w:p>
        </w:tc>
      </w:tr>
      <w:tr w:rsidR="00217A61" w14:paraId="03BF657C" w14:textId="77777777">
        <w:trPr>
          <w:cantSplit/>
        </w:trPr>
        <w:tc>
          <w:tcPr>
            <w:tcW w:w="0" w:type="auto"/>
            <w:vMerge w:val="restart"/>
          </w:tcPr>
          <w:p w14:paraId="1FEF0A5D" w14:textId="77777777" w:rsidR="00217A61" w:rsidRDefault="001C2695">
            <w:pPr>
              <w:keepNext/>
              <w:spacing w:before="100" w:after="0"/>
            </w:pPr>
            <w:r>
              <w:rPr>
                <w:b/>
                <w:color w:val="000000"/>
              </w:rPr>
              <w:t>12</w:t>
            </w:r>
          </w:p>
        </w:tc>
        <w:tc>
          <w:tcPr>
            <w:tcW w:w="0" w:type="auto"/>
          </w:tcPr>
          <w:p w14:paraId="306D4543" w14:textId="77777777" w:rsidR="00217A61" w:rsidRDefault="001C2695">
            <w:pPr>
              <w:keepNext/>
              <w:spacing w:before="100" w:after="0"/>
              <w:rPr>
                <w:b/>
              </w:rPr>
            </w:pPr>
            <w:r>
              <w:rPr>
                <w:b/>
              </w:rPr>
              <w:t>Goal Name</w:t>
            </w:r>
          </w:p>
        </w:tc>
        <w:tc>
          <w:tcPr>
            <w:tcW w:w="0" w:type="auto"/>
          </w:tcPr>
          <w:p w14:paraId="6B06ED02" w14:textId="77777777" w:rsidR="00217A61" w:rsidRDefault="001C2695">
            <w:pPr>
              <w:spacing w:before="100" w:after="0"/>
            </w:pPr>
            <w:r>
              <w:rPr>
                <w:color w:val="000000"/>
              </w:rPr>
              <w:t>ESG</w:t>
            </w:r>
          </w:p>
        </w:tc>
      </w:tr>
      <w:tr w:rsidR="00217A61" w14:paraId="11E08BFF" w14:textId="77777777">
        <w:trPr>
          <w:cantSplit/>
        </w:trPr>
        <w:tc>
          <w:tcPr>
            <w:tcW w:w="0" w:type="auto"/>
            <w:vMerge/>
          </w:tcPr>
          <w:p w14:paraId="60A4EDFB" w14:textId="77777777" w:rsidR="00217A61" w:rsidRDefault="00217A61"/>
        </w:tc>
        <w:tc>
          <w:tcPr>
            <w:tcW w:w="0" w:type="auto"/>
          </w:tcPr>
          <w:p w14:paraId="324AAF45" w14:textId="77777777" w:rsidR="00217A61" w:rsidRDefault="001C2695">
            <w:pPr>
              <w:keepNext/>
              <w:spacing w:before="100" w:after="0"/>
              <w:rPr>
                <w:b/>
              </w:rPr>
            </w:pPr>
            <w:r>
              <w:rPr>
                <w:b/>
              </w:rPr>
              <w:t>Goal Description</w:t>
            </w:r>
          </w:p>
        </w:tc>
        <w:tc>
          <w:tcPr>
            <w:tcW w:w="0" w:type="auto"/>
          </w:tcPr>
          <w:p w14:paraId="7632B1EB" w14:textId="77777777" w:rsidR="00217A61" w:rsidRDefault="001C2695">
            <w:pPr>
              <w:spacing w:before="100" w:after="0"/>
            </w:pPr>
            <w:r>
              <w:rPr>
                <w:color w:val="000000"/>
              </w:rPr>
              <w:t>ESG Funds all categories</w:t>
            </w:r>
          </w:p>
        </w:tc>
      </w:tr>
    </w:tbl>
    <w:p w14:paraId="6E67606B" w14:textId="77777777" w:rsidR="00217A61" w:rsidRDefault="001C2695">
      <w:pPr>
        <w:rPr>
          <w:b/>
          <w:sz w:val="24"/>
          <w:szCs w:val="24"/>
        </w:rPr>
      </w:pPr>
      <w:r>
        <w:rPr>
          <w:b/>
          <w:sz w:val="24"/>
          <w:szCs w:val="24"/>
        </w:rPr>
        <w:t>Estimate the number of extremely low-income, low-income, and moderate-income families to whom the jurisdiction will provide affordable housing as defined by HOME 91.315(b)(2)</w:t>
      </w:r>
    </w:p>
    <w:p w14:paraId="0EEADE36" w14:textId="77777777" w:rsidR="00217A61" w:rsidRDefault="001C2695">
      <w:pPr>
        <w:spacing w:beforeAutospacing="1" w:afterAutospacing="1"/>
        <w:rPr>
          <w:szCs w:val="24"/>
        </w:rPr>
      </w:pPr>
      <w:r>
        <w:t xml:space="preserve">Based on </w:t>
      </w:r>
      <w:proofErr w:type="gramStart"/>
      <w:r>
        <w:t>5 year</w:t>
      </w:r>
      <w:proofErr w:type="gramEnd"/>
      <w:r>
        <w:t xml:space="preserve"> estimates from previous years, HOME fun</w:t>
      </w:r>
      <w:r>
        <w:t>ding will assist 2,100 extremely low-income households (&lt; 30 AMI) and 2,800 low-income households through homeownership, rental production, housing preservation and supportive housing activities.</w:t>
      </w:r>
    </w:p>
    <w:p w14:paraId="635B8279" w14:textId="77777777" w:rsidR="00217A61" w:rsidRDefault="00217A61">
      <w:pPr>
        <w:rPr>
          <w:rFonts w:cs="Arial"/>
        </w:rPr>
      </w:pPr>
    </w:p>
    <w:p w14:paraId="48A95963" w14:textId="77777777" w:rsidR="00217A61" w:rsidRDefault="00217A61">
      <w:pPr>
        <w:pStyle w:val="Heading2"/>
        <w:pageBreakBefore/>
        <w:rPr>
          <w:rFonts w:ascii="Calibri" w:hAnsi="Calibri"/>
          <w:i w:val="0"/>
        </w:rPr>
        <w:sectPr w:rsidR="00217A61">
          <w:pgSz w:w="15840" w:h="12240" w:orient="landscape" w:code="1"/>
          <w:pgMar w:top="1440" w:right="1440" w:bottom="1440" w:left="1440" w:header="720" w:footer="720" w:gutter="0"/>
          <w:cols w:space="720"/>
          <w:docGrid w:linePitch="360"/>
        </w:sectPr>
      </w:pPr>
    </w:p>
    <w:p w14:paraId="23D7075A" w14:textId="77777777" w:rsidR="00217A61" w:rsidRDefault="001C2695">
      <w:pPr>
        <w:pStyle w:val="Heading2"/>
        <w:pageBreakBefore/>
        <w:rPr>
          <w:rFonts w:ascii="Calibri" w:hAnsi="Calibri"/>
          <w:i w:val="0"/>
        </w:rPr>
      </w:pPr>
      <w:r>
        <w:rPr>
          <w:rFonts w:ascii="Calibri" w:hAnsi="Calibri"/>
          <w:i w:val="0"/>
        </w:rPr>
        <w:lastRenderedPageBreak/>
        <w:t xml:space="preserve">SP-50 Public Housing Accessibility and </w:t>
      </w:r>
      <w:r>
        <w:rPr>
          <w:rFonts w:ascii="Calibri" w:hAnsi="Calibri"/>
          <w:i w:val="0"/>
        </w:rPr>
        <w:t>Involvement – 91.315(c)</w:t>
      </w:r>
    </w:p>
    <w:p w14:paraId="0B41E01D" w14:textId="77777777" w:rsidR="00217A61" w:rsidRDefault="001C2695">
      <w:pPr>
        <w:rPr>
          <w:b/>
          <w:sz w:val="24"/>
          <w:szCs w:val="24"/>
        </w:rPr>
      </w:pPr>
      <w:r>
        <w:rPr>
          <w:b/>
          <w:sz w:val="24"/>
          <w:szCs w:val="24"/>
        </w:rPr>
        <w:t xml:space="preserve">Need to Increase the Number of Accessible Units (if Required by a Section 504 Voluntary Compliance Agreement) </w:t>
      </w:r>
    </w:p>
    <w:p w14:paraId="793F78E5" w14:textId="77777777" w:rsidR="00217A61" w:rsidRDefault="00217A61">
      <w:pPr>
        <w:rPr>
          <w:rFonts w:cs="Arial"/>
        </w:rPr>
      </w:pPr>
    </w:p>
    <w:p w14:paraId="130DEA85" w14:textId="77777777" w:rsidR="00217A61" w:rsidRDefault="001C2695">
      <w:pPr>
        <w:rPr>
          <w:b/>
          <w:sz w:val="24"/>
          <w:szCs w:val="24"/>
        </w:rPr>
      </w:pPr>
      <w:r>
        <w:rPr>
          <w:b/>
          <w:sz w:val="24"/>
          <w:szCs w:val="24"/>
        </w:rPr>
        <w:t>Activities to Increase Resident Involvements</w:t>
      </w:r>
    </w:p>
    <w:p w14:paraId="17EAB793" w14:textId="77777777" w:rsidR="00217A61" w:rsidRDefault="00217A61">
      <w:pPr>
        <w:rPr>
          <w:rFonts w:cs="Arial"/>
        </w:rPr>
      </w:pPr>
    </w:p>
    <w:p w14:paraId="22915247" w14:textId="77777777" w:rsidR="00217A61" w:rsidRDefault="001C2695">
      <w:pPr>
        <w:rPr>
          <w:rFonts w:cs="Arial"/>
          <w:b/>
          <w:sz w:val="24"/>
          <w:szCs w:val="24"/>
        </w:rPr>
      </w:pPr>
      <w:r>
        <w:rPr>
          <w:rFonts w:cs="Arial"/>
          <w:b/>
          <w:sz w:val="24"/>
          <w:szCs w:val="24"/>
        </w:rPr>
        <w:t>Is the public housing agency designated as troubled under 24 CFR part 902?</w:t>
      </w:r>
    </w:p>
    <w:p w14:paraId="3C0E3965" w14:textId="77777777" w:rsidR="00217A61" w:rsidRDefault="001C2695">
      <w:pPr>
        <w:rPr>
          <w:b/>
          <w:sz w:val="24"/>
          <w:szCs w:val="24"/>
        </w:rPr>
      </w:pPr>
      <w:r>
        <w:rPr>
          <w:b/>
          <w:sz w:val="24"/>
          <w:szCs w:val="24"/>
        </w:rPr>
        <w:t xml:space="preserve">Plan to remove the ‘troubled’ </w:t>
      </w:r>
      <w:proofErr w:type="gramStart"/>
      <w:r>
        <w:rPr>
          <w:b/>
          <w:sz w:val="24"/>
          <w:szCs w:val="24"/>
        </w:rPr>
        <w:t>designation</w:t>
      </w:r>
      <w:proofErr w:type="gramEnd"/>
      <w:r>
        <w:rPr>
          <w:b/>
          <w:sz w:val="24"/>
          <w:szCs w:val="24"/>
        </w:rPr>
        <w:t xml:space="preserve"> </w:t>
      </w:r>
    </w:p>
    <w:p w14:paraId="08BCBC19" w14:textId="77777777" w:rsidR="00217A61" w:rsidRDefault="00217A61">
      <w:pPr>
        <w:rPr>
          <w:rFonts w:cs="Arial"/>
        </w:rPr>
      </w:pPr>
    </w:p>
    <w:p w14:paraId="4B88CDD8" w14:textId="77777777" w:rsidR="00217A61" w:rsidRDefault="00217A61">
      <w:pPr>
        <w:keepNext/>
        <w:widowControl w:val="0"/>
        <w:rPr>
          <w:b/>
          <w:sz w:val="24"/>
          <w:szCs w:val="24"/>
        </w:rPr>
      </w:pPr>
    </w:p>
    <w:p w14:paraId="5A4DAB3D" w14:textId="77777777" w:rsidR="00217A61" w:rsidRDefault="00217A61">
      <w:pPr>
        <w:keepNext/>
        <w:widowControl w:val="0"/>
        <w:rPr>
          <w:b/>
          <w:sz w:val="24"/>
          <w:szCs w:val="24"/>
        </w:rPr>
      </w:pPr>
    </w:p>
    <w:p w14:paraId="70AF1FD8" w14:textId="77777777" w:rsidR="00217A61" w:rsidRDefault="001C2695">
      <w:pPr>
        <w:pStyle w:val="Heading2"/>
        <w:pageBreakBefore/>
        <w:rPr>
          <w:rFonts w:ascii="Calibri" w:hAnsi="Calibri"/>
          <w:i w:val="0"/>
        </w:rPr>
      </w:pPr>
      <w:r>
        <w:rPr>
          <w:rFonts w:ascii="Calibri" w:hAnsi="Calibri"/>
          <w:i w:val="0"/>
        </w:rPr>
        <w:lastRenderedPageBreak/>
        <w:t>SP-55 Barriers to affordable housing – 91.315(h)</w:t>
      </w:r>
    </w:p>
    <w:p w14:paraId="096595C3" w14:textId="77777777" w:rsidR="00217A61" w:rsidRDefault="001C2695">
      <w:pPr>
        <w:rPr>
          <w:b/>
          <w:sz w:val="24"/>
          <w:szCs w:val="24"/>
        </w:rPr>
      </w:pPr>
      <w:r>
        <w:rPr>
          <w:b/>
          <w:sz w:val="24"/>
          <w:szCs w:val="24"/>
        </w:rPr>
        <w:t>Barriers to Affordable Housing</w:t>
      </w:r>
    </w:p>
    <w:p w14:paraId="192F09B9" w14:textId="77777777" w:rsidR="00217A61" w:rsidRDefault="001C2695">
      <w:pPr>
        <w:spacing w:beforeAutospacing="1" w:afterAutospacing="1"/>
        <w:rPr>
          <w:rFonts w:cs="Arial"/>
        </w:rPr>
      </w:pPr>
      <w:r>
        <w:rPr>
          <w:rFonts w:cs="Arial"/>
        </w:rPr>
        <w:t>The State of North Carolina recently updated its Analysis to Impediments to Fair Housing (AI). This process involves a thorough examination of the laws and regulations that impact the construction of affordable housing as well as a review of industry pract</w:t>
      </w:r>
      <w:r>
        <w:rPr>
          <w:rFonts w:cs="Arial"/>
        </w:rPr>
        <w:t>ices and conditions that limit fair housing choice. Previous analysis from 2015 highlighted patterns in mortgage lending, discrimination in the housing market, and policies and practices of individuals and businesses in the housing market. In the latest ve</w:t>
      </w:r>
      <w:r>
        <w:rPr>
          <w:rFonts w:cs="Arial"/>
        </w:rPr>
        <w:t>rsion, the AI evaluated residential segregation patterns, how private and public sectors policies expand or restrict housing choice for the protected classes and identified barriers to fair housing choice.</w:t>
      </w:r>
    </w:p>
    <w:p w14:paraId="3C94B44E" w14:textId="77777777" w:rsidR="00217A61" w:rsidRDefault="001C2695">
      <w:pPr>
        <w:spacing w:beforeAutospacing="1" w:afterAutospacing="1"/>
        <w:rPr>
          <w:rFonts w:cs="Arial"/>
        </w:rPr>
      </w:pPr>
      <w:r>
        <w:rPr>
          <w:rFonts w:cs="Arial"/>
        </w:rPr>
        <w:br/>
        <w:t>Key findings included:</w:t>
      </w:r>
      <w:r>
        <w:rPr>
          <w:rFonts w:cs="Arial"/>
        </w:rPr>
        <w:br/>
        <w:t>â¿¢ Residential segregatio</w:t>
      </w:r>
      <w:r>
        <w:rPr>
          <w:rFonts w:cs="Arial"/>
        </w:rPr>
        <w:t>n across the state is decreasing overall, with only three counties showing indicators of high levels of segregation.</w:t>
      </w:r>
      <w:r>
        <w:rPr>
          <w:rFonts w:cs="Arial"/>
        </w:rPr>
        <w:br/>
        <w:t>â¿¢ North Carolina has 67 racially and ethnically concentrated areas of poverty, primarily located in urban metropolitan counties.</w:t>
      </w:r>
      <w:r>
        <w:rPr>
          <w:rFonts w:cs="Arial"/>
        </w:rPr>
        <w:br/>
        <w:t>â¿¢ Almo</w:t>
      </w:r>
      <w:r>
        <w:rPr>
          <w:rFonts w:cs="Arial"/>
        </w:rPr>
        <w:t>st 40% of the inventory of assisted housing is found in the seven largest counties near their urban centers.</w:t>
      </w:r>
      <w:r>
        <w:rPr>
          <w:rFonts w:cs="Arial"/>
        </w:rPr>
        <w:br/>
        <w:t>â¿¢ Discrimination in the rental housing market persists with disability and race as the two most often cited alleged bases of discrimination.</w:t>
      </w:r>
      <w:r>
        <w:rPr>
          <w:rFonts w:cs="Arial"/>
        </w:rPr>
        <w:br/>
        <w:t xml:space="preserve">â¿¢ </w:t>
      </w:r>
      <w:r>
        <w:rPr>
          <w:rFonts w:cs="Arial"/>
        </w:rPr>
        <w:t>The most commonly cited issues in housing discrimination complaints were discriminatory terms, conditions and privileges; failure to make reasonable accommodation; discrimination in the terms, conditions and privileges related to renting; denying or making</w:t>
      </w:r>
      <w:r>
        <w:rPr>
          <w:rFonts w:cs="Arial"/>
        </w:rPr>
        <w:t xml:space="preserve"> housing unavailable; refusing to rent; coercive acts; and discriminatory advertising.</w:t>
      </w:r>
      <w:r>
        <w:rPr>
          <w:rFonts w:cs="Arial"/>
        </w:rPr>
        <w:br/>
        <w:t>â¿¢ A lack of knowledge of fair housing laws among consumers and providers restricts housing choice where enforcement resources are the most limited but where housing is</w:t>
      </w:r>
      <w:r>
        <w:rPr>
          <w:rFonts w:cs="Arial"/>
        </w:rPr>
        <w:t xml:space="preserve"> more affordable. </w:t>
      </w:r>
      <w:r>
        <w:rPr>
          <w:rFonts w:cs="Arial"/>
        </w:rPr>
        <w:br/>
        <w:t xml:space="preserve">â¿¢ An inadequate supply of rental housing that is affordable, as well as persons with disabilities, severely limits housing choices. </w:t>
      </w:r>
      <w:r>
        <w:rPr>
          <w:rFonts w:cs="Arial"/>
        </w:rPr>
        <w:br/>
        <w:t>â¿¢ Most North Carolina residents are homeowners, but Black and Hispanic households showed lower homeo</w:t>
      </w:r>
      <w:r>
        <w:rPr>
          <w:rFonts w:cs="Arial"/>
        </w:rPr>
        <w:t>wnership rates than White or Asian Households.</w:t>
      </w:r>
      <w:r>
        <w:rPr>
          <w:rFonts w:cs="Arial"/>
        </w:rPr>
        <w:br/>
        <w:t>â¿¢ Black applicants faced higher denial rates and lower origination rates (approvals) than White applicants; denial rates for Blacks and Whites were 35.0% and 18.4%, respectively. Hispanic applicants also sho</w:t>
      </w:r>
      <w:r>
        <w:rPr>
          <w:rFonts w:cs="Arial"/>
        </w:rPr>
        <w:t>wed above average loan denial rates (21.6%)</w:t>
      </w:r>
    </w:p>
    <w:p w14:paraId="2FD5F3B9" w14:textId="77777777" w:rsidR="00217A61" w:rsidRDefault="001C2695">
      <w:pPr>
        <w:spacing w:beforeAutospacing="1" w:afterAutospacing="1"/>
        <w:rPr>
          <w:rFonts w:cs="Arial"/>
        </w:rPr>
      </w:pPr>
      <w:r>
        <w:rPr>
          <w:rFonts w:cs="Arial"/>
        </w:rPr>
        <w:t>The Consolidated Plan partners will enhance outreach and education efforts targeting consumers, housing providers and other stakeholders focused on rights and obligations under state and federal fair housing laws</w:t>
      </w:r>
      <w:r>
        <w:rPr>
          <w:rFonts w:cs="Arial"/>
        </w:rPr>
        <w:t>.</w:t>
      </w:r>
    </w:p>
    <w:p w14:paraId="3DF3BC73" w14:textId="77777777" w:rsidR="00217A61" w:rsidRDefault="001C2695">
      <w:pPr>
        <w:rPr>
          <w:b/>
          <w:sz w:val="24"/>
          <w:szCs w:val="24"/>
        </w:rPr>
      </w:pPr>
      <w:r>
        <w:rPr>
          <w:b/>
          <w:sz w:val="24"/>
          <w:szCs w:val="24"/>
        </w:rPr>
        <w:t>Strategy to Remove or Ameliorate the Barriers to Affordable Housing</w:t>
      </w:r>
    </w:p>
    <w:p w14:paraId="4A91631D" w14:textId="77777777" w:rsidR="00217A61" w:rsidRDefault="001C2695">
      <w:pPr>
        <w:spacing w:beforeAutospacing="1" w:afterAutospacing="1"/>
        <w:rPr>
          <w:rFonts w:cs="Arial"/>
        </w:rPr>
      </w:pPr>
      <w:r>
        <w:rPr>
          <w:rFonts w:cs="Arial"/>
        </w:rPr>
        <w:lastRenderedPageBreak/>
        <w:t>The Analysis of Impediments provides a list of actions along with measurable objectives for the state to pursue. </w:t>
      </w:r>
    </w:p>
    <w:p w14:paraId="4694397C" w14:textId="77777777" w:rsidR="00217A61" w:rsidRDefault="001C2695">
      <w:pPr>
        <w:spacing w:beforeAutospacing="1" w:afterAutospacing="1"/>
        <w:rPr>
          <w:rFonts w:cs="Arial"/>
        </w:rPr>
      </w:pPr>
      <w:r>
        <w:rPr>
          <w:rFonts w:cs="Arial"/>
        </w:rPr>
        <w:br/>
        <w:t>Suggested Actions:</w:t>
      </w:r>
      <w:r>
        <w:rPr>
          <w:rFonts w:cs="Arial"/>
        </w:rPr>
        <w:br/>
        <w:t>• The Department of Commerce will collaborate with i</w:t>
      </w:r>
      <w:r>
        <w:rPr>
          <w:rFonts w:cs="Arial"/>
        </w:rPr>
        <w:t>ts AI partner agencies to expand hair housing education and enforcement.</w:t>
      </w:r>
      <w:r>
        <w:rPr>
          <w:rFonts w:cs="Arial"/>
        </w:rPr>
        <w:br/>
        <w:t>• NCHFA will continue expanding new rental housing production through the LIHTC and HTF programs and state programs and prioritizing the preservation of rental housing with expiring s</w:t>
      </w:r>
      <w:r>
        <w:rPr>
          <w:rFonts w:cs="Arial"/>
        </w:rPr>
        <w:t>ubsidies.</w:t>
      </w:r>
      <w:r>
        <w:rPr>
          <w:rFonts w:cs="Arial"/>
        </w:rPr>
        <w:br/>
        <w:t>• NCHFA and NCDHHS will continue its planning initiative to meet the state’s obligation under Olmstead to provide appropriate housing for persons with disabilities.</w:t>
      </w:r>
      <w:r>
        <w:rPr>
          <w:rFonts w:cs="Arial"/>
        </w:rPr>
        <w:br/>
        <w:t>• The Department of Commerce and its AI partner agencies will provide funding for</w:t>
      </w:r>
      <w:r>
        <w:rPr>
          <w:rFonts w:cs="Arial"/>
        </w:rPr>
        <w:t xml:space="preserve"> homeownership counseling and economic development initiatives aimed at improving the financial stability of households and communities. </w:t>
      </w:r>
      <w:r>
        <w:rPr>
          <w:rFonts w:cs="Arial"/>
        </w:rPr>
        <w:br/>
        <w:t>• Department of Commerce and its AI partner agencies will each maintain complete Language Access Plans and review them</w:t>
      </w:r>
      <w:r>
        <w:rPr>
          <w:rFonts w:cs="Arial"/>
        </w:rPr>
        <w:t xml:space="preserve"> annually to identify changes in population trends, which might require updating the Plans.</w:t>
      </w:r>
    </w:p>
    <w:p w14:paraId="3F6E1DBE" w14:textId="77777777" w:rsidR="00217A61" w:rsidRDefault="001C2695">
      <w:pPr>
        <w:spacing w:beforeAutospacing="1" w:afterAutospacing="1"/>
        <w:rPr>
          <w:rFonts w:cs="Arial"/>
        </w:rPr>
      </w:pPr>
      <w:r>
        <w:rPr>
          <w:rFonts w:cs="Arial"/>
        </w:rPr>
        <w:t xml:space="preserve">Given the trends and conditions underlying the impediments occurred over decades, it is unlikely they will be resolved within the next five </w:t>
      </w:r>
      <w:proofErr w:type="gramStart"/>
      <w:r>
        <w:rPr>
          <w:rFonts w:cs="Arial"/>
        </w:rPr>
        <w:t>years</w:t>
      </w:r>
      <w:proofErr w:type="gramEnd"/>
      <w:r>
        <w:rPr>
          <w:rFonts w:cs="Arial"/>
        </w:rPr>
        <w:t xml:space="preserve"> but the Consolidat</w:t>
      </w:r>
      <w:r>
        <w:rPr>
          <w:rFonts w:cs="Arial"/>
        </w:rPr>
        <w:t>ed Planning Partners are committed to addressing barriers and making progress.</w:t>
      </w:r>
    </w:p>
    <w:p w14:paraId="7E77D7BD" w14:textId="77777777" w:rsidR="00217A61" w:rsidRDefault="001C2695">
      <w:pPr>
        <w:pStyle w:val="Heading2"/>
        <w:pageBreakBefore/>
        <w:rPr>
          <w:rFonts w:ascii="Calibri" w:hAnsi="Calibri"/>
          <w:i w:val="0"/>
        </w:rPr>
      </w:pPr>
      <w:r>
        <w:rPr>
          <w:rFonts w:ascii="Calibri" w:hAnsi="Calibri"/>
          <w:i w:val="0"/>
        </w:rPr>
        <w:lastRenderedPageBreak/>
        <w:t>SP-60 Homelessness Strategy – 91.315(d)</w:t>
      </w:r>
    </w:p>
    <w:p w14:paraId="569C6612" w14:textId="77777777" w:rsidR="00217A61" w:rsidRDefault="001C2695">
      <w:pPr>
        <w:rPr>
          <w:b/>
          <w:sz w:val="24"/>
          <w:szCs w:val="24"/>
        </w:rPr>
      </w:pPr>
      <w:r>
        <w:rPr>
          <w:b/>
          <w:sz w:val="24"/>
          <w:szCs w:val="24"/>
        </w:rPr>
        <w:t>Reaching out to homeless persons (especially unsheltered persons) and assessing their individual needs</w:t>
      </w:r>
    </w:p>
    <w:p w14:paraId="4904967B" w14:textId="77777777" w:rsidR="00217A61" w:rsidRDefault="00217A61">
      <w:pPr>
        <w:rPr>
          <w:rFonts w:cs="Arial"/>
        </w:rPr>
      </w:pPr>
    </w:p>
    <w:p w14:paraId="500DD3A2" w14:textId="77777777" w:rsidR="00217A61" w:rsidRDefault="001C2695">
      <w:pPr>
        <w:rPr>
          <w:b/>
          <w:sz w:val="24"/>
          <w:szCs w:val="24"/>
        </w:rPr>
      </w:pPr>
      <w:r>
        <w:rPr>
          <w:b/>
          <w:sz w:val="24"/>
          <w:szCs w:val="24"/>
        </w:rPr>
        <w:t>Addressing the emergency and tran</w:t>
      </w:r>
      <w:r>
        <w:rPr>
          <w:b/>
          <w:sz w:val="24"/>
          <w:szCs w:val="24"/>
        </w:rPr>
        <w:t>sitional housing needs of homeless persons</w:t>
      </w:r>
    </w:p>
    <w:p w14:paraId="3D7CDDB8" w14:textId="77777777" w:rsidR="00217A61" w:rsidRDefault="00217A61">
      <w:pPr>
        <w:rPr>
          <w:rFonts w:cs="Arial"/>
        </w:rPr>
      </w:pPr>
    </w:p>
    <w:p w14:paraId="7A52BCF3" w14:textId="77777777" w:rsidR="00217A61" w:rsidRDefault="001C2695">
      <w:pPr>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w:t>
      </w:r>
      <w:r>
        <w:rPr>
          <w:b/>
          <w:sz w:val="24"/>
          <w:szCs w:val="24"/>
        </w:rPr>
        <w:t>endent living, including shortening the period of time that individuals and families experience homelessness, facilitating access for homeless individuals and families to affordable housing units, and preventing individuals and families who were recently h</w:t>
      </w:r>
      <w:r>
        <w:rPr>
          <w:b/>
          <w:sz w:val="24"/>
          <w:szCs w:val="24"/>
        </w:rPr>
        <w:t>omeless from becoming homeless again.</w:t>
      </w:r>
    </w:p>
    <w:p w14:paraId="53279FB3" w14:textId="77777777" w:rsidR="00217A61" w:rsidRDefault="00217A61">
      <w:pPr>
        <w:rPr>
          <w:b/>
          <w:sz w:val="24"/>
          <w:szCs w:val="24"/>
        </w:rPr>
      </w:pPr>
    </w:p>
    <w:p w14:paraId="322685BF" w14:textId="77777777" w:rsidR="00217A61" w:rsidRDefault="001C2695">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w:t>
      </w:r>
      <w:r>
        <w:rPr>
          <w:b/>
          <w:sz w:val="24"/>
          <w:szCs w:val="24"/>
        </w:rPr>
        <w:t xml:space="preserve"> system of care, or who are receiving assistance from public and private agencies that address housing, health, social services, employment, education or youth </w:t>
      </w:r>
      <w:proofErr w:type="gramStart"/>
      <w:r>
        <w:rPr>
          <w:b/>
          <w:sz w:val="24"/>
          <w:szCs w:val="24"/>
        </w:rPr>
        <w:t>needs</w:t>
      </w:r>
      <w:proofErr w:type="gramEnd"/>
    </w:p>
    <w:p w14:paraId="0AE5C390" w14:textId="77777777" w:rsidR="00217A61" w:rsidRDefault="00217A61">
      <w:pPr>
        <w:rPr>
          <w:rFonts w:cs="Arial"/>
        </w:rPr>
      </w:pPr>
    </w:p>
    <w:p w14:paraId="2B8C1041" w14:textId="77777777" w:rsidR="00217A61" w:rsidRDefault="00217A61">
      <w:pPr>
        <w:rPr>
          <w:rFonts w:cs="Arial"/>
        </w:rPr>
      </w:pPr>
    </w:p>
    <w:p w14:paraId="37585625" w14:textId="77777777" w:rsidR="00217A61" w:rsidRDefault="001C2695">
      <w:pPr>
        <w:pStyle w:val="Heading2"/>
        <w:pageBreakBefore/>
        <w:rPr>
          <w:rFonts w:ascii="Calibri" w:hAnsi="Calibri"/>
          <w:i w:val="0"/>
        </w:rPr>
      </w:pPr>
      <w:r>
        <w:rPr>
          <w:rFonts w:ascii="Calibri" w:hAnsi="Calibri"/>
          <w:i w:val="0"/>
        </w:rPr>
        <w:lastRenderedPageBreak/>
        <w:t>SP-65 Lead based paint Hazards – 91.315(i)</w:t>
      </w:r>
    </w:p>
    <w:p w14:paraId="52ED9CB0" w14:textId="77777777" w:rsidR="00217A61" w:rsidRDefault="001C2695">
      <w:pPr>
        <w:rPr>
          <w:b/>
          <w:sz w:val="24"/>
          <w:szCs w:val="24"/>
        </w:rPr>
      </w:pPr>
      <w:r>
        <w:rPr>
          <w:b/>
          <w:sz w:val="24"/>
          <w:szCs w:val="24"/>
        </w:rPr>
        <w:t>Actions to address LBP hazards and increase a</w:t>
      </w:r>
      <w:r>
        <w:rPr>
          <w:b/>
          <w:sz w:val="24"/>
          <w:szCs w:val="24"/>
        </w:rPr>
        <w:t xml:space="preserve">ccess to housing without LBP </w:t>
      </w:r>
      <w:proofErr w:type="gramStart"/>
      <w:r>
        <w:rPr>
          <w:b/>
          <w:sz w:val="24"/>
          <w:szCs w:val="24"/>
        </w:rPr>
        <w:t>hazards</w:t>
      </w:r>
      <w:proofErr w:type="gramEnd"/>
    </w:p>
    <w:p w14:paraId="00A0DE37" w14:textId="77777777" w:rsidR="00217A61" w:rsidRDefault="001C2695">
      <w:pPr>
        <w:spacing w:beforeAutospacing="1" w:afterAutospacing="1"/>
        <w:rPr>
          <w:rFonts w:cs="Arial"/>
        </w:rPr>
      </w:pPr>
      <w:r>
        <w:rPr>
          <w:rFonts w:cs="Arial"/>
        </w:rPr>
        <w:t xml:space="preserve">Lead-based paint policies in effect for program utilizing HOME funds. The North Carolina Housing Finance Agency operates </w:t>
      </w:r>
      <w:proofErr w:type="gramStart"/>
      <w:r>
        <w:rPr>
          <w:rFonts w:cs="Arial"/>
        </w:rPr>
        <w:t>a number of</w:t>
      </w:r>
      <w:proofErr w:type="gramEnd"/>
      <w:r>
        <w:rPr>
          <w:rFonts w:cs="Arial"/>
        </w:rPr>
        <w:t xml:space="preserve"> home rehabilitation programs that adhere to the 24 CFR 35 lead paint standards. Additi</w:t>
      </w:r>
      <w:r>
        <w:rPr>
          <w:rFonts w:cs="Arial"/>
        </w:rPr>
        <w:t xml:space="preserve">onally, several programs provide forgivable loans to low-income homeowners for emergency repairs to correct safety hazards that pose an imminent threat to the safety of the household, including lead hazards. </w:t>
      </w:r>
    </w:p>
    <w:p w14:paraId="36798207" w14:textId="77777777" w:rsidR="00217A61" w:rsidRDefault="001C2695">
      <w:pPr>
        <w:spacing w:beforeAutospacing="1" w:afterAutospacing="1"/>
        <w:rPr>
          <w:rFonts w:cs="Arial"/>
        </w:rPr>
      </w:pPr>
      <w:r>
        <w:rPr>
          <w:rFonts w:cs="Arial"/>
        </w:rPr>
        <w:t>The Agency will continue to participate quarter</w:t>
      </w:r>
      <w:r>
        <w:rPr>
          <w:rFonts w:cs="Arial"/>
        </w:rPr>
        <w:t>ly in an ad hoc lead hazards advisory group made up of concerned individuals from the public health, environmental protection, affordable housing, and occupational safety sector.</w:t>
      </w:r>
    </w:p>
    <w:p w14:paraId="6E7E1A29" w14:textId="77777777" w:rsidR="00217A61" w:rsidRDefault="001C2695">
      <w:pPr>
        <w:rPr>
          <w:b/>
          <w:sz w:val="24"/>
          <w:szCs w:val="24"/>
        </w:rPr>
      </w:pPr>
      <w:r>
        <w:rPr>
          <w:b/>
          <w:sz w:val="24"/>
          <w:szCs w:val="24"/>
        </w:rPr>
        <w:t>How are the actions listed above integrated into housing policies and procedu</w:t>
      </w:r>
      <w:r>
        <w:rPr>
          <w:b/>
          <w:sz w:val="24"/>
          <w:szCs w:val="24"/>
        </w:rPr>
        <w:t>res?</w:t>
      </w:r>
    </w:p>
    <w:p w14:paraId="76BE9778" w14:textId="77777777" w:rsidR="00217A61" w:rsidRDefault="001C2695">
      <w:pPr>
        <w:spacing w:beforeAutospacing="1" w:afterAutospacing="1"/>
        <w:rPr>
          <w:rFonts w:cs="Arial"/>
        </w:rPr>
      </w:pPr>
      <w:r>
        <w:rPr>
          <w:rFonts w:cs="Arial"/>
        </w:rPr>
        <w:t>See above.</w:t>
      </w:r>
    </w:p>
    <w:p w14:paraId="08C5CB1C" w14:textId="77777777" w:rsidR="00217A61" w:rsidRDefault="00217A61">
      <w:pPr>
        <w:keepNext/>
        <w:widowControl w:val="0"/>
        <w:rPr>
          <w:b/>
          <w:sz w:val="24"/>
          <w:szCs w:val="24"/>
        </w:rPr>
      </w:pPr>
    </w:p>
    <w:p w14:paraId="270DB608" w14:textId="77777777" w:rsidR="00217A61" w:rsidRDefault="00217A61">
      <w:pPr>
        <w:keepNext/>
        <w:widowControl w:val="0"/>
        <w:rPr>
          <w:b/>
          <w:sz w:val="24"/>
          <w:szCs w:val="24"/>
        </w:rPr>
      </w:pPr>
    </w:p>
    <w:p w14:paraId="540D27F9" w14:textId="77777777" w:rsidR="00217A61" w:rsidRDefault="00217A61">
      <w:pPr>
        <w:keepNext/>
        <w:widowControl w:val="0"/>
        <w:rPr>
          <w:b/>
          <w:sz w:val="24"/>
          <w:szCs w:val="24"/>
        </w:rPr>
      </w:pPr>
    </w:p>
    <w:p w14:paraId="17C357D9" w14:textId="77777777" w:rsidR="00217A61" w:rsidRDefault="00217A61">
      <w:pPr>
        <w:keepNext/>
        <w:widowControl w:val="0"/>
        <w:rPr>
          <w:b/>
          <w:sz w:val="24"/>
          <w:szCs w:val="24"/>
        </w:rPr>
      </w:pPr>
    </w:p>
    <w:p w14:paraId="3C0DD1E2" w14:textId="77777777" w:rsidR="00217A61" w:rsidRDefault="00217A61">
      <w:pPr>
        <w:keepNext/>
        <w:widowControl w:val="0"/>
        <w:rPr>
          <w:b/>
          <w:sz w:val="24"/>
          <w:szCs w:val="24"/>
        </w:rPr>
      </w:pPr>
    </w:p>
    <w:p w14:paraId="7939B1D3" w14:textId="77777777" w:rsidR="00217A61" w:rsidRDefault="001C2695">
      <w:pPr>
        <w:pStyle w:val="Heading2"/>
        <w:pageBreakBefore/>
        <w:rPr>
          <w:rFonts w:ascii="Calibri" w:hAnsi="Calibri"/>
          <w:i w:val="0"/>
        </w:rPr>
      </w:pPr>
      <w:r>
        <w:rPr>
          <w:rFonts w:ascii="Calibri" w:hAnsi="Calibri"/>
          <w:i w:val="0"/>
        </w:rPr>
        <w:lastRenderedPageBreak/>
        <w:t>SP-70 Anti-Poverty Strategy – 91.315(j)</w:t>
      </w:r>
    </w:p>
    <w:p w14:paraId="3567ECFB" w14:textId="77777777" w:rsidR="00217A61" w:rsidRDefault="001C2695">
      <w:pPr>
        <w:rPr>
          <w:b/>
          <w:sz w:val="24"/>
          <w:szCs w:val="24"/>
        </w:rPr>
      </w:pPr>
      <w:r>
        <w:rPr>
          <w:b/>
          <w:sz w:val="24"/>
          <w:szCs w:val="24"/>
        </w:rPr>
        <w:t>Jurisdiction Goals, Programs and Policies for reducing the number of Poverty-Level Families</w:t>
      </w:r>
    </w:p>
    <w:p w14:paraId="6EFB2070" w14:textId="77777777" w:rsidR="00217A61" w:rsidRDefault="001C2695">
      <w:pPr>
        <w:spacing w:beforeAutospacing="1" w:afterAutospacing="1"/>
        <w:rPr>
          <w:rFonts w:cs="Arial"/>
          <w:szCs w:val="26"/>
        </w:rPr>
      </w:pPr>
      <w:r>
        <w:rPr>
          <w:rFonts w:cs="Arial"/>
        </w:rPr>
        <w:t xml:space="preserve">The HOME, HTF and CBDG programs address the needs of </w:t>
      </w:r>
      <w:proofErr w:type="gramStart"/>
      <w:r>
        <w:rPr>
          <w:rFonts w:cs="Arial"/>
        </w:rPr>
        <w:t>extremely-low</w:t>
      </w:r>
      <w:proofErr w:type="gramEnd"/>
      <w:r>
        <w:rPr>
          <w:rFonts w:cs="Arial"/>
        </w:rPr>
        <w:t>, very-low and moderate income families and households across the state. </w:t>
      </w:r>
    </w:p>
    <w:p w14:paraId="33185EED" w14:textId="77777777" w:rsidR="00217A61" w:rsidRDefault="001C2695">
      <w:pPr>
        <w:spacing w:beforeAutospacing="1" w:afterAutospacing="1"/>
        <w:rPr>
          <w:rFonts w:cs="Arial"/>
          <w:szCs w:val="26"/>
        </w:rPr>
      </w:pPr>
      <w:r>
        <w:rPr>
          <w:rFonts w:cs="Arial"/>
        </w:rPr>
        <w:t xml:space="preserve">HOME - The HOME Program serves very-low and low-income household </w:t>
      </w:r>
      <w:proofErr w:type="gramStart"/>
      <w:r>
        <w:rPr>
          <w:rFonts w:cs="Arial"/>
        </w:rPr>
        <w:t>providing assistance</w:t>
      </w:r>
      <w:proofErr w:type="gramEnd"/>
      <w:r>
        <w:rPr>
          <w:rFonts w:cs="Arial"/>
        </w:rPr>
        <w:t xml:space="preserve"> for homeownership, financing f</w:t>
      </w:r>
      <w:r>
        <w:rPr>
          <w:rFonts w:cs="Arial"/>
        </w:rPr>
        <w:t xml:space="preserve">or rental development and funds for essential rehabilitation. The Agency's homeownership program </w:t>
      </w:r>
      <w:proofErr w:type="gramStart"/>
      <w:r>
        <w:rPr>
          <w:rFonts w:cs="Arial"/>
        </w:rPr>
        <w:t>allow</w:t>
      </w:r>
      <w:proofErr w:type="gramEnd"/>
      <w:r>
        <w:rPr>
          <w:rFonts w:cs="Arial"/>
        </w:rPr>
        <w:t xml:space="preserve"> low income borrowers to purchase a home which in turn creates a pathway to economic stability and generational wealth building. Rental development effort</w:t>
      </w:r>
      <w:r>
        <w:rPr>
          <w:rFonts w:cs="Arial"/>
        </w:rPr>
        <w:t xml:space="preserve">s result in the creation of more units available at rents affordable to </w:t>
      </w:r>
      <w:proofErr w:type="gramStart"/>
      <w:r>
        <w:rPr>
          <w:rFonts w:cs="Arial"/>
        </w:rPr>
        <w:t>extremely-low</w:t>
      </w:r>
      <w:proofErr w:type="gramEnd"/>
      <w:r>
        <w:rPr>
          <w:rFonts w:cs="Arial"/>
        </w:rPr>
        <w:t xml:space="preserve"> and very-low income households. Living in an affordable </w:t>
      </w:r>
      <w:proofErr w:type="spellStart"/>
      <w:r>
        <w:rPr>
          <w:rFonts w:cs="Arial"/>
        </w:rPr>
        <w:t>appartment</w:t>
      </w:r>
      <w:proofErr w:type="spellEnd"/>
      <w:r>
        <w:rPr>
          <w:rFonts w:cs="Arial"/>
        </w:rPr>
        <w:t xml:space="preserve"> reduces cost burden and allows renters to divert funds toward other essential expenses. The rehabilitat</w:t>
      </w:r>
      <w:r>
        <w:rPr>
          <w:rFonts w:cs="Arial"/>
        </w:rPr>
        <w:t xml:space="preserve">ion of </w:t>
      </w:r>
      <w:proofErr w:type="gramStart"/>
      <w:r>
        <w:rPr>
          <w:rFonts w:cs="Arial"/>
        </w:rPr>
        <w:t>single family</w:t>
      </w:r>
      <w:proofErr w:type="gramEnd"/>
      <w:r>
        <w:rPr>
          <w:rFonts w:cs="Arial"/>
        </w:rPr>
        <w:t xml:space="preserve"> homes ensures individuals and families can remain in their homes, avoiding costly medical care. </w:t>
      </w:r>
    </w:p>
    <w:p w14:paraId="48FE75DA" w14:textId="77777777" w:rsidR="00217A61" w:rsidRDefault="001C2695">
      <w:pPr>
        <w:spacing w:beforeAutospacing="1" w:afterAutospacing="1"/>
        <w:rPr>
          <w:rFonts w:cs="Arial"/>
          <w:szCs w:val="26"/>
        </w:rPr>
      </w:pPr>
      <w:r>
        <w:rPr>
          <w:rFonts w:cs="Arial"/>
        </w:rPr>
        <w:t xml:space="preserve">Housing Trust Fund - HTF provides funding for the production, </w:t>
      </w:r>
      <w:proofErr w:type="gramStart"/>
      <w:r>
        <w:rPr>
          <w:rFonts w:cs="Arial"/>
        </w:rPr>
        <w:t>preservation</w:t>
      </w:r>
      <w:proofErr w:type="gramEnd"/>
      <w:r>
        <w:rPr>
          <w:rFonts w:cs="Arial"/>
        </w:rPr>
        <w:t xml:space="preserve"> and rehabilitation of affordable rental housing for extremely l</w:t>
      </w:r>
      <w:r>
        <w:rPr>
          <w:rFonts w:cs="Arial"/>
        </w:rPr>
        <w:t xml:space="preserve">ow income </w:t>
      </w:r>
      <w:proofErr w:type="spellStart"/>
      <w:r>
        <w:rPr>
          <w:rFonts w:cs="Arial"/>
        </w:rPr>
        <w:t>househods</w:t>
      </w:r>
      <w:proofErr w:type="spellEnd"/>
      <w:r>
        <w:rPr>
          <w:rFonts w:cs="Arial"/>
        </w:rPr>
        <w:t xml:space="preserve"> and persons with disabilities.  </w:t>
      </w:r>
    </w:p>
    <w:p w14:paraId="64FBF82C" w14:textId="77777777" w:rsidR="00217A61" w:rsidRDefault="001C2695">
      <w:pPr>
        <w:rPr>
          <w:b/>
          <w:sz w:val="24"/>
          <w:szCs w:val="24"/>
        </w:rPr>
      </w:pPr>
      <w:r>
        <w:rPr>
          <w:b/>
          <w:sz w:val="24"/>
          <w:szCs w:val="24"/>
        </w:rPr>
        <w:t xml:space="preserve">How are the Jurisdiction poverty reducing goals, programs, and policies coordinated with this affordable </w:t>
      </w:r>
      <w:proofErr w:type="gramStart"/>
      <w:r>
        <w:rPr>
          <w:b/>
          <w:sz w:val="24"/>
          <w:szCs w:val="24"/>
        </w:rPr>
        <w:t>housing plan</w:t>
      </w:r>
      <w:proofErr w:type="gramEnd"/>
    </w:p>
    <w:p w14:paraId="316C90DE" w14:textId="77777777" w:rsidR="00217A61" w:rsidRDefault="001C2695">
      <w:pPr>
        <w:spacing w:beforeAutospacing="1" w:afterAutospacing="1"/>
        <w:rPr>
          <w:rFonts w:cs="Arial"/>
        </w:rPr>
      </w:pPr>
      <w:r>
        <w:rPr>
          <w:rFonts w:cs="Arial"/>
        </w:rPr>
        <w:t>The State of North Carolina’s poverty reduction goals, programs and policies are inex</w:t>
      </w:r>
      <w:r>
        <w:rPr>
          <w:rFonts w:cs="Arial"/>
        </w:rPr>
        <w:t>tricably linked to its affordable housing plan in so far as a lack of affordable housing contributes to poverty. Efforts are coordinated between government agencies to ensure gaps in services and funding are addressed, and resources are used effectively an</w:t>
      </w:r>
      <w:r>
        <w:rPr>
          <w:rFonts w:cs="Arial"/>
        </w:rPr>
        <w:t>d efficiently. The North Carolina Housing Finance Agency has established partnerships with other government agencies, nonprofits, and private sector organizations to connect housing program participants to job-training, workforce development and other econ</w:t>
      </w:r>
      <w:r>
        <w:rPr>
          <w:rFonts w:cs="Arial"/>
        </w:rPr>
        <w:t>omic development initiatives.  </w:t>
      </w:r>
      <w:proofErr w:type="spellStart"/>
      <w:r>
        <w:rPr>
          <w:rFonts w:cs="Arial"/>
        </w:rPr>
        <w:t>tiatives</w:t>
      </w:r>
      <w:proofErr w:type="spellEnd"/>
      <w:r>
        <w:rPr>
          <w:rFonts w:cs="Arial"/>
        </w:rPr>
        <w:t>.  </w:t>
      </w:r>
    </w:p>
    <w:p w14:paraId="2CFE692B" w14:textId="77777777" w:rsidR="00217A61" w:rsidRDefault="001C2695">
      <w:pPr>
        <w:pStyle w:val="Heading2"/>
        <w:pageBreakBefore/>
        <w:rPr>
          <w:rFonts w:ascii="Calibri" w:hAnsi="Calibri"/>
          <w:i w:val="0"/>
        </w:rPr>
      </w:pPr>
      <w:r>
        <w:rPr>
          <w:rFonts w:ascii="Calibri" w:hAnsi="Calibri"/>
          <w:i w:val="0"/>
        </w:rPr>
        <w:lastRenderedPageBreak/>
        <w:t>SP-80 Monitoring – 91.330</w:t>
      </w:r>
    </w:p>
    <w:p w14:paraId="37156C44" w14:textId="77777777" w:rsidR="00217A61" w:rsidRDefault="001C2695">
      <w:pPr>
        <w:rPr>
          <w:b/>
          <w:sz w:val="24"/>
          <w:szCs w:val="24"/>
        </w:rPr>
      </w:pPr>
      <w:r>
        <w:rPr>
          <w:b/>
          <w:sz w:val="24"/>
          <w:szCs w:val="24"/>
        </w:rPr>
        <w:t xml:space="preserve">Describe the standards and procedures that the state will use to monitor activities carried out in furtherance of the plan and will use to ensure long-term compliance with </w:t>
      </w:r>
      <w:r>
        <w:rPr>
          <w:b/>
          <w:sz w:val="24"/>
          <w:szCs w:val="24"/>
        </w:rPr>
        <w:t xml:space="preserve">requirements of the programs involved, including minority business outreach and the comprehensive planning </w:t>
      </w:r>
      <w:proofErr w:type="gramStart"/>
      <w:r>
        <w:rPr>
          <w:b/>
          <w:sz w:val="24"/>
          <w:szCs w:val="24"/>
        </w:rPr>
        <w:t>requirements</w:t>
      </w:r>
      <w:proofErr w:type="gramEnd"/>
    </w:p>
    <w:p w14:paraId="4BE737C8" w14:textId="77777777" w:rsidR="00217A61" w:rsidRDefault="001C2695">
      <w:pPr>
        <w:spacing w:beforeAutospacing="1" w:afterAutospacing="1"/>
        <w:rPr>
          <w:rFonts w:cs="Arial"/>
        </w:rPr>
      </w:pPr>
      <w:r>
        <w:rPr>
          <w:rFonts w:cs="Arial"/>
        </w:rPr>
        <w:t>Each of the Consolidated Plan Partners administering a HUD program has developed standards and procedures for monitoring and ensuring co</w:t>
      </w:r>
      <w:r>
        <w:rPr>
          <w:rFonts w:cs="Arial"/>
        </w:rPr>
        <w:t>mpliance. Activities are monitored through site visits, file-reviews, and reporting on federal and state regulations (</w:t>
      </w:r>
      <w:proofErr w:type="gramStart"/>
      <w:r>
        <w:rPr>
          <w:rFonts w:cs="Arial"/>
        </w:rPr>
        <w:t>e.g.</w:t>
      </w:r>
      <w:proofErr w:type="gramEnd"/>
      <w:r>
        <w:rPr>
          <w:rFonts w:cs="Arial"/>
        </w:rPr>
        <w:t xml:space="preserve"> Davis-Bacon, Section 3, Fair Housing, etc.) These activities ensure that recipients of program funds are carrying out the objectives </w:t>
      </w:r>
      <w:r>
        <w:rPr>
          <w:rFonts w:cs="Arial"/>
        </w:rPr>
        <w:t>of each respective program as described in the five-year Consolidated Plan and annual action plans.  </w:t>
      </w:r>
    </w:p>
    <w:p w14:paraId="0053CDA6" w14:textId="77777777" w:rsidR="00217A61" w:rsidRDefault="00217A61">
      <w:pPr>
        <w:rPr>
          <w:rFonts w:cs="Arial"/>
        </w:rPr>
        <w:sectPr w:rsidR="00217A61">
          <w:pgSz w:w="12240" w:h="15840" w:code="1"/>
          <w:pgMar w:top="1440" w:right="1440" w:bottom="1440" w:left="1440" w:header="720" w:footer="720" w:gutter="0"/>
          <w:cols w:space="720"/>
          <w:docGrid w:linePitch="360"/>
        </w:sectPr>
      </w:pPr>
    </w:p>
    <w:p w14:paraId="2A05128D" w14:textId="77777777" w:rsidR="00217A61" w:rsidRDefault="001C2695">
      <w:pPr>
        <w:pStyle w:val="Heading1"/>
        <w:jc w:val="center"/>
        <w:rPr>
          <w:rFonts w:ascii="Calibri" w:hAnsi="Calibri"/>
          <w:color w:val="auto"/>
          <w:sz w:val="32"/>
          <w:szCs w:val="32"/>
        </w:rPr>
      </w:pPr>
      <w:r>
        <w:rPr>
          <w:rFonts w:ascii="Calibri" w:hAnsi="Calibri"/>
          <w:color w:val="auto"/>
          <w:sz w:val="32"/>
          <w:szCs w:val="32"/>
        </w:rPr>
        <w:lastRenderedPageBreak/>
        <w:t>Expected Resources</w:t>
      </w:r>
    </w:p>
    <w:p w14:paraId="1FA57C60" w14:textId="77777777" w:rsidR="00217A61" w:rsidRDefault="00217A61">
      <w:pPr>
        <w:rPr>
          <w:b/>
          <w:sz w:val="28"/>
          <w:szCs w:val="28"/>
        </w:rPr>
      </w:pPr>
    </w:p>
    <w:p w14:paraId="2AA125E0" w14:textId="77777777" w:rsidR="00217A61" w:rsidRDefault="001C2695">
      <w:pPr>
        <w:pStyle w:val="Heading2"/>
        <w:rPr>
          <w:rFonts w:ascii="Calibri" w:hAnsi="Calibri"/>
          <w:i w:val="0"/>
        </w:rPr>
      </w:pPr>
      <w:r>
        <w:rPr>
          <w:rFonts w:ascii="Calibri" w:hAnsi="Calibri"/>
          <w:i w:val="0"/>
        </w:rPr>
        <w:t>AP-15 Expected Resources – 91.320(c</w:t>
      </w:r>
      <w:proofErr w:type="gramStart"/>
      <w:r>
        <w:rPr>
          <w:rFonts w:ascii="Calibri" w:hAnsi="Calibri"/>
          <w:i w:val="0"/>
        </w:rPr>
        <w:t>)(</w:t>
      </w:r>
      <w:proofErr w:type="gramEnd"/>
      <w:r>
        <w:rPr>
          <w:rFonts w:ascii="Calibri" w:hAnsi="Calibri"/>
          <w:i w:val="0"/>
        </w:rPr>
        <w:t>1,2)</w:t>
      </w:r>
    </w:p>
    <w:p w14:paraId="0336C24B" w14:textId="77777777" w:rsidR="00217A61" w:rsidRDefault="001C2695">
      <w:pPr>
        <w:keepNext/>
        <w:widowControl w:val="0"/>
        <w:spacing w:line="204" w:lineRule="auto"/>
        <w:rPr>
          <w:b/>
          <w:sz w:val="28"/>
          <w:szCs w:val="28"/>
        </w:rPr>
      </w:pPr>
      <w:r>
        <w:rPr>
          <w:b/>
          <w:sz w:val="24"/>
          <w:szCs w:val="24"/>
        </w:rPr>
        <w:t>Introduction</w:t>
      </w:r>
    </w:p>
    <w:p w14:paraId="66C86866" w14:textId="77777777" w:rsidR="00217A61" w:rsidRDefault="001C2695">
      <w:pPr>
        <w:keepNext/>
        <w:widowControl w:val="0"/>
        <w:spacing w:beforeAutospacing="1" w:afterAutospacing="1"/>
        <w:rPr>
          <w:b/>
          <w:sz w:val="24"/>
          <w:szCs w:val="24"/>
        </w:rPr>
      </w:pPr>
      <w:r>
        <w:t xml:space="preserve">The following table summarized the anticipated resources, broken down by </w:t>
      </w:r>
      <w:r>
        <w:t>program type, allocated to the State of North Carolina between FY 2021 - 2025.</w:t>
      </w:r>
    </w:p>
    <w:p w14:paraId="3159F0E4" w14:textId="77777777" w:rsidR="00217A61" w:rsidRDefault="001C2695">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913"/>
        <w:gridCol w:w="1768"/>
        <w:gridCol w:w="1218"/>
        <w:gridCol w:w="1120"/>
        <w:gridCol w:w="1128"/>
        <w:gridCol w:w="1218"/>
        <w:gridCol w:w="1330"/>
        <w:gridCol w:w="3244"/>
      </w:tblGrid>
      <w:tr w:rsidR="00217A61" w14:paraId="5B39E5A9" w14:textId="77777777">
        <w:trPr>
          <w:cantSplit/>
          <w:tblHeader/>
        </w:trPr>
        <w:tc>
          <w:tcPr>
            <w:tcW w:w="1793" w:type="dxa"/>
            <w:vMerge w:val="restart"/>
          </w:tcPr>
          <w:p w14:paraId="627B3185" w14:textId="77777777" w:rsidR="00217A61" w:rsidRDefault="001C2695">
            <w:pPr>
              <w:keepNext/>
              <w:widowControl w:val="0"/>
              <w:spacing w:after="0" w:line="240" w:lineRule="auto"/>
              <w:jc w:val="center"/>
              <w:rPr>
                <w:b/>
                <w:sz w:val="24"/>
                <w:szCs w:val="24"/>
              </w:rPr>
            </w:pPr>
            <w:r>
              <w:rPr>
                <w:b/>
                <w:sz w:val="20"/>
                <w:szCs w:val="20"/>
              </w:rPr>
              <w:t>Program</w:t>
            </w:r>
          </w:p>
        </w:tc>
        <w:tc>
          <w:tcPr>
            <w:tcW w:w="820" w:type="dxa"/>
            <w:vMerge w:val="restart"/>
          </w:tcPr>
          <w:p w14:paraId="2B279B3A" w14:textId="77777777" w:rsidR="00217A61" w:rsidRDefault="001C2695">
            <w:pPr>
              <w:keepNext/>
              <w:widowControl w:val="0"/>
              <w:spacing w:after="0" w:line="240" w:lineRule="auto"/>
              <w:jc w:val="center"/>
              <w:rPr>
                <w:b/>
                <w:sz w:val="24"/>
                <w:szCs w:val="24"/>
              </w:rPr>
            </w:pPr>
            <w:r>
              <w:rPr>
                <w:b/>
                <w:sz w:val="20"/>
                <w:szCs w:val="20"/>
              </w:rPr>
              <w:t>Source of Funds</w:t>
            </w:r>
          </w:p>
        </w:tc>
        <w:tc>
          <w:tcPr>
            <w:tcW w:w="1936" w:type="dxa"/>
            <w:vMerge w:val="restart"/>
          </w:tcPr>
          <w:p w14:paraId="297AC6BB" w14:textId="77777777" w:rsidR="00217A61" w:rsidRDefault="001C2695">
            <w:pPr>
              <w:keepNext/>
              <w:widowControl w:val="0"/>
              <w:spacing w:after="0" w:line="240" w:lineRule="auto"/>
              <w:jc w:val="center"/>
              <w:rPr>
                <w:b/>
                <w:sz w:val="24"/>
                <w:szCs w:val="24"/>
              </w:rPr>
            </w:pPr>
            <w:r>
              <w:rPr>
                <w:b/>
                <w:sz w:val="20"/>
                <w:szCs w:val="20"/>
              </w:rPr>
              <w:t>Uses of Funds</w:t>
            </w:r>
          </w:p>
        </w:tc>
        <w:tc>
          <w:tcPr>
            <w:tcW w:w="4804" w:type="dxa"/>
            <w:gridSpan w:val="4"/>
          </w:tcPr>
          <w:p w14:paraId="6626B26C" w14:textId="77777777" w:rsidR="00217A61" w:rsidRDefault="001C2695">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7597C5CD" w14:textId="77777777" w:rsidR="00217A61" w:rsidRDefault="001C2695">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14:paraId="5A8C513E" w14:textId="77777777" w:rsidR="00217A61" w:rsidRDefault="001C2695">
            <w:pPr>
              <w:keepNext/>
              <w:widowControl w:val="0"/>
              <w:spacing w:after="0" w:line="240" w:lineRule="auto"/>
              <w:jc w:val="center"/>
              <w:rPr>
                <w:b/>
                <w:sz w:val="24"/>
                <w:szCs w:val="24"/>
              </w:rPr>
            </w:pPr>
            <w:r>
              <w:rPr>
                <w:b/>
                <w:sz w:val="20"/>
                <w:szCs w:val="20"/>
              </w:rPr>
              <w:t>$</w:t>
            </w:r>
          </w:p>
        </w:tc>
        <w:tc>
          <w:tcPr>
            <w:tcW w:w="2448" w:type="dxa"/>
            <w:vMerge w:val="restart"/>
          </w:tcPr>
          <w:p w14:paraId="54159675" w14:textId="77777777" w:rsidR="00217A61" w:rsidRDefault="001C2695">
            <w:pPr>
              <w:keepNext/>
              <w:widowControl w:val="0"/>
              <w:spacing w:after="0" w:line="240" w:lineRule="auto"/>
              <w:jc w:val="center"/>
              <w:rPr>
                <w:b/>
                <w:sz w:val="24"/>
                <w:szCs w:val="24"/>
              </w:rPr>
            </w:pPr>
            <w:r>
              <w:rPr>
                <w:b/>
                <w:sz w:val="20"/>
                <w:szCs w:val="20"/>
              </w:rPr>
              <w:t>Narrative Description</w:t>
            </w:r>
          </w:p>
        </w:tc>
      </w:tr>
      <w:tr w:rsidR="00217A61" w14:paraId="2E68E5CD" w14:textId="77777777">
        <w:trPr>
          <w:cantSplit/>
          <w:tblHeader/>
        </w:trPr>
        <w:tc>
          <w:tcPr>
            <w:tcW w:w="1793" w:type="dxa"/>
            <w:vMerge/>
          </w:tcPr>
          <w:p w14:paraId="572C7875" w14:textId="77777777" w:rsidR="00217A61" w:rsidRDefault="00217A61">
            <w:pPr>
              <w:keepNext/>
              <w:widowControl w:val="0"/>
              <w:spacing w:after="0" w:line="240" w:lineRule="auto"/>
              <w:jc w:val="center"/>
              <w:rPr>
                <w:b/>
                <w:sz w:val="24"/>
                <w:szCs w:val="24"/>
              </w:rPr>
            </w:pPr>
          </w:p>
        </w:tc>
        <w:tc>
          <w:tcPr>
            <w:tcW w:w="820" w:type="dxa"/>
            <w:vMerge/>
          </w:tcPr>
          <w:p w14:paraId="60160834" w14:textId="77777777" w:rsidR="00217A61" w:rsidRDefault="00217A61">
            <w:pPr>
              <w:keepNext/>
              <w:widowControl w:val="0"/>
              <w:spacing w:after="0" w:line="240" w:lineRule="auto"/>
              <w:jc w:val="center"/>
              <w:rPr>
                <w:b/>
                <w:sz w:val="24"/>
                <w:szCs w:val="24"/>
              </w:rPr>
            </w:pPr>
          </w:p>
        </w:tc>
        <w:tc>
          <w:tcPr>
            <w:tcW w:w="1936" w:type="dxa"/>
            <w:vMerge/>
          </w:tcPr>
          <w:p w14:paraId="48459BB7" w14:textId="77777777" w:rsidR="00217A61" w:rsidRDefault="00217A61">
            <w:pPr>
              <w:keepNext/>
              <w:widowControl w:val="0"/>
              <w:spacing w:after="0" w:line="240" w:lineRule="auto"/>
              <w:jc w:val="center"/>
              <w:rPr>
                <w:b/>
                <w:sz w:val="24"/>
                <w:szCs w:val="24"/>
              </w:rPr>
            </w:pPr>
          </w:p>
        </w:tc>
        <w:tc>
          <w:tcPr>
            <w:tcW w:w="1204" w:type="dxa"/>
          </w:tcPr>
          <w:p w14:paraId="317399BE" w14:textId="77777777" w:rsidR="00217A61" w:rsidRDefault="001C2695">
            <w:pPr>
              <w:keepNext/>
              <w:widowControl w:val="0"/>
              <w:spacing w:after="0" w:line="240" w:lineRule="auto"/>
              <w:jc w:val="center"/>
              <w:rPr>
                <w:b/>
                <w:sz w:val="24"/>
                <w:szCs w:val="24"/>
              </w:rPr>
            </w:pPr>
            <w:r>
              <w:rPr>
                <w:b/>
                <w:sz w:val="20"/>
                <w:szCs w:val="20"/>
              </w:rPr>
              <w:t>Annual Allocation: $</w:t>
            </w:r>
          </w:p>
        </w:tc>
        <w:tc>
          <w:tcPr>
            <w:tcW w:w="1260" w:type="dxa"/>
          </w:tcPr>
          <w:p w14:paraId="3ADDD4D5" w14:textId="77777777" w:rsidR="00217A61" w:rsidRDefault="001C2695">
            <w:pPr>
              <w:keepNext/>
              <w:widowControl w:val="0"/>
              <w:spacing w:after="0" w:line="240" w:lineRule="auto"/>
              <w:jc w:val="center"/>
              <w:rPr>
                <w:b/>
                <w:sz w:val="24"/>
                <w:szCs w:val="24"/>
              </w:rPr>
            </w:pPr>
            <w:r>
              <w:rPr>
                <w:b/>
                <w:sz w:val="20"/>
                <w:szCs w:val="20"/>
              </w:rPr>
              <w:t>Program Income: $</w:t>
            </w:r>
          </w:p>
        </w:tc>
        <w:tc>
          <w:tcPr>
            <w:tcW w:w="1260" w:type="dxa"/>
          </w:tcPr>
          <w:p w14:paraId="6B3ABBCE" w14:textId="77777777" w:rsidR="00217A61" w:rsidRDefault="001C2695">
            <w:pPr>
              <w:keepNext/>
              <w:widowControl w:val="0"/>
              <w:spacing w:after="0" w:line="240" w:lineRule="auto"/>
              <w:jc w:val="center"/>
              <w:rPr>
                <w:b/>
                <w:sz w:val="24"/>
                <w:szCs w:val="24"/>
              </w:rPr>
            </w:pPr>
            <w:r>
              <w:rPr>
                <w:b/>
                <w:sz w:val="20"/>
                <w:szCs w:val="20"/>
              </w:rPr>
              <w:t>Prior Year Resources: $</w:t>
            </w:r>
          </w:p>
        </w:tc>
        <w:tc>
          <w:tcPr>
            <w:tcW w:w="1080" w:type="dxa"/>
          </w:tcPr>
          <w:p w14:paraId="4743B22A" w14:textId="77777777" w:rsidR="00217A61" w:rsidRDefault="001C2695">
            <w:pPr>
              <w:keepNext/>
              <w:widowControl w:val="0"/>
              <w:spacing w:after="0" w:line="240" w:lineRule="auto"/>
              <w:jc w:val="center"/>
              <w:rPr>
                <w:b/>
                <w:sz w:val="20"/>
                <w:szCs w:val="20"/>
              </w:rPr>
            </w:pPr>
            <w:r>
              <w:rPr>
                <w:b/>
                <w:sz w:val="20"/>
                <w:szCs w:val="20"/>
              </w:rPr>
              <w:t>Total:</w:t>
            </w:r>
          </w:p>
          <w:p w14:paraId="0B16D77E" w14:textId="77777777" w:rsidR="00217A61" w:rsidRDefault="001C2695">
            <w:pPr>
              <w:keepNext/>
              <w:widowControl w:val="0"/>
              <w:spacing w:after="0" w:line="240" w:lineRule="auto"/>
              <w:jc w:val="center"/>
              <w:rPr>
                <w:b/>
                <w:sz w:val="24"/>
                <w:szCs w:val="24"/>
              </w:rPr>
            </w:pPr>
            <w:r>
              <w:rPr>
                <w:b/>
                <w:sz w:val="20"/>
                <w:szCs w:val="20"/>
              </w:rPr>
              <w:t>$</w:t>
            </w:r>
          </w:p>
        </w:tc>
        <w:tc>
          <w:tcPr>
            <w:tcW w:w="1260" w:type="dxa"/>
            <w:vMerge/>
          </w:tcPr>
          <w:p w14:paraId="0655B546" w14:textId="77777777" w:rsidR="00217A61" w:rsidRDefault="00217A61">
            <w:pPr>
              <w:keepNext/>
              <w:widowControl w:val="0"/>
              <w:spacing w:after="0" w:line="240" w:lineRule="auto"/>
              <w:jc w:val="center"/>
              <w:rPr>
                <w:b/>
                <w:sz w:val="24"/>
                <w:szCs w:val="24"/>
              </w:rPr>
            </w:pPr>
          </w:p>
        </w:tc>
        <w:tc>
          <w:tcPr>
            <w:tcW w:w="2448" w:type="dxa"/>
            <w:vMerge/>
          </w:tcPr>
          <w:p w14:paraId="2117F042" w14:textId="77777777" w:rsidR="00217A61" w:rsidRDefault="00217A61">
            <w:pPr>
              <w:keepNext/>
              <w:widowControl w:val="0"/>
              <w:spacing w:after="0" w:line="240" w:lineRule="auto"/>
              <w:jc w:val="center"/>
              <w:rPr>
                <w:b/>
                <w:sz w:val="24"/>
                <w:szCs w:val="24"/>
              </w:rPr>
            </w:pPr>
          </w:p>
        </w:tc>
      </w:tr>
      <w:tr w:rsidR="00217A61" w14:paraId="380C04FA" w14:textId="77777777">
        <w:trPr>
          <w:cantSplit/>
        </w:trPr>
        <w:tc>
          <w:tcPr>
            <w:tcW w:w="0" w:type="auto"/>
          </w:tcPr>
          <w:p w14:paraId="0944AA70" w14:textId="77777777" w:rsidR="00217A61" w:rsidRDefault="001C2695">
            <w:pPr>
              <w:spacing w:beforeAutospacing="1" w:afterAutospacing="1"/>
            </w:pPr>
            <w:r>
              <w:rPr>
                <w:color w:val="000000"/>
              </w:rPr>
              <w:t>CDBG</w:t>
            </w:r>
          </w:p>
        </w:tc>
        <w:tc>
          <w:tcPr>
            <w:tcW w:w="0" w:type="auto"/>
          </w:tcPr>
          <w:p w14:paraId="2A4B50AC" w14:textId="77777777" w:rsidR="00217A61" w:rsidRDefault="001C2695">
            <w:pPr>
              <w:spacing w:beforeAutospacing="1" w:afterAutospacing="1"/>
            </w:pPr>
            <w:r>
              <w:rPr>
                <w:color w:val="000000"/>
              </w:rPr>
              <w:t>public - federal</w:t>
            </w:r>
          </w:p>
        </w:tc>
        <w:tc>
          <w:tcPr>
            <w:tcW w:w="0" w:type="auto"/>
          </w:tcPr>
          <w:p w14:paraId="2662A2FD" w14:textId="77777777" w:rsidR="00217A61" w:rsidRDefault="001C2695">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r>
            <w:r>
              <w:rPr>
                <w:color w:val="000000"/>
              </w:rPr>
              <w:t>Public Improvements</w:t>
            </w:r>
            <w:r>
              <w:rPr>
                <w:color w:val="000000"/>
              </w:rPr>
              <w:br/>
              <w:t>Public Services</w:t>
            </w:r>
          </w:p>
        </w:tc>
        <w:tc>
          <w:tcPr>
            <w:tcW w:w="0" w:type="auto"/>
            <w:vAlign w:val="bottom"/>
          </w:tcPr>
          <w:p w14:paraId="311388D8" w14:textId="77777777" w:rsidR="00217A61" w:rsidRDefault="001C2695">
            <w:pPr>
              <w:spacing w:beforeAutospacing="1" w:afterAutospacing="1"/>
              <w:jc w:val="right"/>
            </w:pPr>
            <w:r>
              <w:rPr>
                <w:color w:val="000000"/>
              </w:rPr>
              <w:t>48,676,191</w:t>
            </w:r>
          </w:p>
        </w:tc>
        <w:tc>
          <w:tcPr>
            <w:tcW w:w="0" w:type="auto"/>
            <w:vAlign w:val="bottom"/>
          </w:tcPr>
          <w:p w14:paraId="5575A481" w14:textId="77777777" w:rsidR="00217A61" w:rsidRDefault="001C2695">
            <w:pPr>
              <w:spacing w:beforeAutospacing="1" w:afterAutospacing="1"/>
              <w:jc w:val="right"/>
            </w:pPr>
            <w:r>
              <w:rPr>
                <w:color w:val="000000"/>
              </w:rPr>
              <w:t>0</w:t>
            </w:r>
          </w:p>
        </w:tc>
        <w:tc>
          <w:tcPr>
            <w:tcW w:w="0" w:type="auto"/>
            <w:vAlign w:val="bottom"/>
          </w:tcPr>
          <w:p w14:paraId="1D34C122" w14:textId="77777777" w:rsidR="00217A61" w:rsidRDefault="001C2695">
            <w:pPr>
              <w:spacing w:beforeAutospacing="1" w:afterAutospacing="1"/>
              <w:jc w:val="right"/>
            </w:pPr>
            <w:r>
              <w:rPr>
                <w:color w:val="000000"/>
              </w:rPr>
              <w:t>0</w:t>
            </w:r>
          </w:p>
        </w:tc>
        <w:tc>
          <w:tcPr>
            <w:tcW w:w="0" w:type="auto"/>
            <w:vAlign w:val="bottom"/>
          </w:tcPr>
          <w:p w14:paraId="0BE1E7C8" w14:textId="77777777" w:rsidR="00217A61" w:rsidRDefault="001C2695">
            <w:pPr>
              <w:spacing w:beforeAutospacing="1" w:afterAutospacing="1"/>
              <w:jc w:val="right"/>
            </w:pPr>
            <w:r>
              <w:rPr>
                <w:color w:val="000000"/>
              </w:rPr>
              <w:t>48,676,191</w:t>
            </w:r>
          </w:p>
        </w:tc>
        <w:tc>
          <w:tcPr>
            <w:tcW w:w="0" w:type="auto"/>
            <w:vAlign w:val="bottom"/>
          </w:tcPr>
          <w:p w14:paraId="7485A07F" w14:textId="77777777" w:rsidR="00217A61" w:rsidRDefault="001C2695">
            <w:pPr>
              <w:spacing w:beforeAutospacing="1" w:afterAutospacing="1"/>
              <w:jc w:val="right"/>
            </w:pPr>
            <w:r>
              <w:rPr>
                <w:color w:val="000000"/>
              </w:rPr>
              <w:t>194,704,764</w:t>
            </w:r>
          </w:p>
        </w:tc>
        <w:tc>
          <w:tcPr>
            <w:tcW w:w="0" w:type="auto"/>
          </w:tcPr>
          <w:p w14:paraId="456B14DC" w14:textId="77777777" w:rsidR="00217A61" w:rsidRDefault="001C2695">
            <w:pPr>
              <w:spacing w:beforeAutospacing="1" w:afterAutospacing="1"/>
            </w:pPr>
            <w:r>
              <w:rPr>
                <w:color w:val="000000"/>
              </w:rPr>
              <w:t xml:space="preserve">NC Commerce receives CDBG funds for </w:t>
            </w:r>
            <w:proofErr w:type="spellStart"/>
            <w:r>
              <w:rPr>
                <w:color w:val="000000"/>
              </w:rPr>
              <w:t>nonentitlement</w:t>
            </w:r>
            <w:proofErr w:type="spellEnd"/>
            <w:r>
              <w:rPr>
                <w:color w:val="000000"/>
              </w:rPr>
              <w:t xml:space="preserve"> areas. The funds and program income are used primarily for economic development, housing </w:t>
            </w:r>
            <w:proofErr w:type="spellStart"/>
            <w:r>
              <w:rPr>
                <w:color w:val="000000"/>
              </w:rPr>
              <w:t>rehabilition</w:t>
            </w:r>
            <w:proofErr w:type="spellEnd"/>
            <w:r>
              <w:rPr>
                <w:color w:val="000000"/>
              </w:rPr>
              <w:t xml:space="preserve"> and development support, public facilities, and infrastructure.</w:t>
            </w:r>
          </w:p>
        </w:tc>
      </w:tr>
      <w:tr w:rsidR="00217A61" w14:paraId="561A6F71" w14:textId="77777777">
        <w:trPr>
          <w:cantSplit/>
        </w:trPr>
        <w:tc>
          <w:tcPr>
            <w:tcW w:w="0" w:type="auto"/>
          </w:tcPr>
          <w:p w14:paraId="4027C87B" w14:textId="77777777" w:rsidR="00217A61" w:rsidRDefault="001C2695">
            <w:pPr>
              <w:spacing w:beforeAutospacing="1" w:afterAutospacing="1"/>
            </w:pPr>
            <w:r>
              <w:rPr>
                <w:color w:val="000000"/>
              </w:rPr>
              <w:lastRenderedPageBreak/>
              <w:t>HOME</w:t>
            </w:r>
          </w:p>
        </w:tc>
        <w:tc>
          <w:tcPr>
            <w:tcW w:w="0" w:type="auto"/>
          </w:tcPr>
          <w:p w14:paraId="5142F278" w14:textId="77777777" w:rsidR="00217A61" w:rsidRDefault="001C2695">
            <w:pPr>
              <w:spacing w:beforeAutospacing="1" w:afterAutospacing="1"/>
            </w:pPr>
            <w:r>
              <w:rPr>
                <w:color w:val="000000"/>
              </w:rPr>
              <w:t>public - federal</w:t>
            </w:r>
          </w:p>
        </w:tc>
        <w:tc>
          <w:tcPr>
            <w:tcW w:w="0" w:type="auto"/>
          </w:tcPr>
          <w:p w14:paraId="105CD2FE" w14:textId="77777777" w:rsidR="00217A61" w:rsidRDefault="001C2695">
            <w:pPr>
              <w:spacing w:beforeAutospacing="1" w:afterAutospacing="1"/>
            </w:pPr>
            <w:r>
              <w:rPr>
                <w:color w:val="000000"/>
              </w:rPr>
              <w:t>Acquisition</w:t>
            </w:r>
            <w:r>
              <w:rPr>
                <w:color w:val="000000"/>
              </w:rPr>
              <w:br/>
              <w:t>Home</w:t>
            </w:r>
            <w:r>
              <w:rPr>
                <w:color w:val="000000"/>
              </w:rPr>
              <w:t>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5417153E" w14:textId="77777777" w:rsidR="00217A61" w:rsidRDefault="001C2695">
            <w:pPr>
              <w:spacing w:beforeAutospacing="1" w:afterAutospacing="1"/>
              <w:jc w:val="right"/>
            </w:pPr>
            <w:r>
              <w:rPr>
                <w:color w:val="000000"/>
              </w:rPr>
              <w:t>17,688,422</w:t>
            </w:r>
          </w:p>
        </w:tc>
        <w:tc>
          <w:tcPr>
            <w:tcW w:w="0" w:type="auto"/>
            <w:vAlign w:val="bottom"/>
          </w:tcPr>
          <w:p w14:paraId="1496C37E" w14:textId="77777777" w:rsidR="00217A61" w:rsidRDefault="001C2695">
            <w:pPr>
              <w:spacing w:beforeAutospacing="1" w:afterAutospacing="1"/>
              <w:jc w:val="right"/>
            </w:pPr>
            <w:r>
              <w:rPr>
                <w:color w:val="000000"/>
              </w:rPr>
              <w:t>9,000,000</w:t>
            </w:r>
          </w:p>
        </w:tc>
        <w:tc>
          <w:tcPr>
            <w:tcW w:w="0" w:type="auto"/>
            <w:vAlign w:val="bottom"/>
          </w:tcPr>
          <w:p w14:paraId="76D675B0" w14:textId="77777777" w:rsidR="00217A61" w:rsidRDefault="001C2695">
            <w:pPr>
              <w:spacing w:beforeAutospacing="1" w:afterAutospacing="1"/>
              <w:jc w:val="right"/>
            </w:pPr>
            <w:r>
              <w:rPr>
                <w:color w:val="000000"/>
              </w:rPr>
              <w:t>0</w:t>
            </w:r>
          </w:p>
        </w:tc>
        <w:tc>
          <w:tcPr>
            <w:tcW w:w="0" w:type="auto"/>
            <w:vAlign w:val="bottom"/>
          </w:tcPr>
          <w:p w14:paraId="1C6DD4A1" w14:textId="77777777" w:rsidR="00217A61" w:rsidRDefault="001C2695">
            <w:pPr>
              <w:spacing w:beforeAutospacing="1" w:afterAutospacing="1"/>
              <w:jc w:val="right"/>
            </w:pPr>
            <w:r>
              <w:rPr>
                <w:color w:val="000000"/>
              </w:rPr>
              <w:t>26,688,422</w:t>
            </w:r>
          </w:p>
        </w:tc>
        <w:tc>
          <w:tcPr>
            <w:tcW w:w="0" w:type="auto"/>
            <w:vAlign w:val="bottom"/>
          </w:tcPr>
          <w:p w14:paraId="3C82E959" w14:textId="77777777" w:rsidR="00217A61" w:rsidRDefault="001C2695">
            <w:pPr>
              <w:spacing w:beforeAutospacing="1" w:afterAutospacing="1"/>
              <w:jc w:val="right"/>
            </w:pPr>
            <w:r>
              <w:rPr>
                <w:color w:val="000000"/>
              </w:rPr>
              <w:t>61,500,000</w:t>
            </w:r>
          </w:p>
        </w:tc>
        <w:tc>
          <w:tcPr>
            <w:tcW w:w="0" w:type="auto"/>
          </w:tcPr>
          <w:p w14:paraId="053ED267" w14:textId="77777777" w:rsidR="00217A61" w:rsidRDefault="001C2695">
            <w:pPr>
              <w:spacing w:beforeAutospacing="1" w:afterAutospacing="1"/>
            </w:pPr>
            <w:r>
              <w:rPr>
                <w:color w:val="000000"/>
              </w:rPr>
              <w:t>NCHFA received HOME funds for the areas outside of local participating jurisdicti</w:t>
            </w:r>
            <w:r>
              <w:rPr>
                <w:color w:val="000000"/>
              </w:rPr>
              <w:t xml:space="preserve">on. The funds and any program income are used to promote the production, </w:t>
            </w:r>
            <w:proofErr w:type="gramStart"/>
            <w:r>
              <w:rPr>
                <w:color w:val="000000"/>
              </w:rPr>
              <w:t>ownership</w:t>
            </w:r>
            <w:proofErr w:type="gramEnd"/>
            <w:r>
              <w:rPr>
                <w:color w:val="000000"/>
              </w:rPr>
              <w:t xml:space="preserve"> and rehabilitation of housing.</w:t>
            </w:r>
          </w:p>
        </w:tc>
      </w:tr>
      <w:tr w:rsidR="00217A61" w14:paraId="2F2DF9C1" w14:textId="77777777">
        <w:trPr>
          <w:cantSplit/>
        </w:trPr>
        <w:tc>
          <w:tcPr>
            <w:tcW w:w="0" w:type="auto"/>
          </w:tcPr>
          <w:p w14:paraId="4F321A77" w14:textId="77777777" w:rsidR="00217A61" w:rsidRDefault="001C2695">
            <w:pPr>
              <w:spacing w:beforeAutospacing="1" w:afterAutospacing="1"/>
            </w:pPr>
            <w:r>
              <w:rPr>
                <w:color w:val="000000"/>
              </w:rPr>
              <w:lastRenderedPageBreak/>
              <w:t>HOPWA</w:t>
            </w:r>
          </w:p>
        </w:tc>
        <w:tc>
          <w:tcPr>
            <w:tcW w:w="0" w:type="auto"/>
          </w:tcPr>
          <w:p w14:paraId="502E2DF5" w14:textId="77777777" w:rsidR="00217A61" w:rsidRDefault="001C2695">
            <w:pPr>
              <w:spacing w:beforeAutospacing="1" w:afterAutospacing="1"/>
            </w:pPr>
            <w:r>
              <w:rPr>
                <w:color w:val="000000"/>
              </w:rPr>
              <w:t>public - federal</w:t>
            </w:r>
          </w:p>
        </w:tc>
        <w:tc>
          <w:tcPr>
            <w:tcW w:w="0" w:type="auto"/>
          </w:tcPr>
          <w:p w14:paraId="16A5EAF8" w14:textId="77777777" w:rsidR="00217A61" w:rsidRDefault="001C2695">
            <w:pPr>
              <w:spacing w:beforeAutospacing="1" w:afterAutospacing="1"/>
            </w:pPr>
            <w:r>
              <w:rPr>
                <w:color w:val="000000"/>
              </w:rPr>
              <w:t>Permanent housing in facilities</w:t>
            </w:r>
            <w:r>
              <w:rPr>
                <w:color w:val="000000"/>
              </w:rPr>
              <w:br/>
              <w:t>Permanent housing placement</w:t>
            </w:r>
            <w:r>
              <w:rPr>
                <w:color w:val="000000"/>
              </w:rPr>
              <w:br/>
            </w:r>
            <w:r>
              <w:rPr>
                <w:color w:val="000000"/>
              </w:rPr>
              <w:t>Short term or transitional housing facilities</w:t>
            </w:r>
            <w:r>
              <w:rPr>
                <w:color w:val="000000"/>
              </w:rPr>
              <w:br/>
              <w:t>STRMU</w:t>
            </w:r>
            <w:r>
              <w:rPr>
                <w:color w:val="000000"/>
              </w:rPr>
              <w:br/>
              <w:t>Supportive services</w:t>
            </w:r>
            <w:r>
              <w:rPr>
                <w:color w:val="000000"/>
              </w:rPr>
              <w:br/>
              <w:t>TBRA</w:t>
            </w:r>
          </w:p>
        </w:tc>
        <w:tc>
          <w:tcPr>
            <w:tcW w:w="0" w:type="auto"/>
            <w:vAlign w:val="bottom"/>
          </w:tcPr>
          <w:p w14:paraId="7633F333" w14:textId="77777777" w:rsidR="00217A61" w:rsidRDefault="001C2695">
            <w:pPr>
              <w:spacing w:beforeAutospacing="1" w:afterAutospacing="1"/>
              <w:jc w:val="right"/>
            </w:pPr>
            <w:r>
              <w:rPr>
                <w:color w:val="000000"/>
              </w:rPr>
              <w:t>4,053,435</w:t>
            </w:r>
          </w:p>
        </w:tc>
        <w:tc>
          <w:tcPr>
            <w:tcW w:w="0" w:type="auto"/>
            <w:vAlign w:val="bottom"/>
          </w:tcPr>
          <w:p w14:paraId="4205D3D4" w14:textId="77777777" w:rsidR="00217A61" w:rsidRDefault="001C2695">
            <w:pPr>
              <w:spacing w:beforeAutospacing="1" w:afterAutospacing="1"/>
              <w:jc w:val="right"/>
            </w:pPr>
            <w:r>
              <w:rPr>
                <w:color w:val="000000"/>
              </w:rPr>
              <w:t>0</w:t>
            </w:r>
          </w:p>
        </w:tc>
        <w:tc>
          <w:tcPr>
            <w:tcW w:w="0" w:type="auto"/>
            <w:vAlign w:val="bottom"/>
          </w:tcPr>
          <w:p w14:paraId="749C3FDC" w14:textId="77777777" w:rsidR="00217A61" w:rsidRDefault="001C2695">
            <w:pPr>
              <w:spacing w:beforeAutospacing="1" w:afterAutospacing="1"/>
              <w:jc w:val="right"/>
            </w:pPr>
            <w:r>
              <w:rPr>
                <w:color w:val="000000"/>
              </w:rPr>
              <w:t>0</w:t>
            </w:r>
          </w:p>
        </w:tc>
        <w:tc>
          <w:tcPr>
            <w:tcW w:w="0" w:type="auto"/>
            <w:vAlign w:val="bottom"/>
          </w:tcPr>
          <w:p w14:paraId="294ABE94" w14:textId="77777777" w:rsidR="00217A61" w:rsidRDefault="001C2695">
            <w:pPr>
              <w:spacing w:beforeAutospacing="1" w:afterAutospacing="1"/>
              <w:jc w:val="right"/>
            </w:pPr>
            <w:r>
              <w:rPr>
                <w:color w:val="000000"/>
              </w:rPr>
              <w:t>4,053,435</w:t>
            </w:r>
          </w:p>
        </w:tc>
        <w:tc>
          <w:tcPr>
            <w:tcW w:w="0" w:type="auto"/>
            <w:vAlign w:val="bottom"/>
          </w:tcPr>
          <w:p w14:paraId="337DFDB9" w14:textId="77777777" w:rsidR="00217A61" w:rsidRDefault="001C2695">
            <w:pPr>
              <w:spacing w:beforeAutospacing="1" w:afterAutospacing="1"/>
              <w:jc w:val="right"/>
            </w:pPr>
            <w:r>
              <w:rPr>
                <w:color w:val="000000"/>
              </w:rPr>
              <w:t>16,213,740</w:t>
            </w:r>
          </w:p>
        </w:tc>
        <w:tc>
          <w:tcPr>
            <w:tcW w:w="0" w:type="auto"/>
          </w:tcPr>
          <w:p w14:paraId="037B6067" w14:textId="77777777" w:rsidR="00217A61" w:rsidRDefault="001C2695">
            <w:pPr>
              <w:spacing w:beforeAutospacing="1" w:afterAutospacing="1"/>
            </w:pPr>
            <w:r>
              <w:rPr>
                <w:color w:val="000000"/>
              </w:rPr>
              <w:t>NC DHHS administers HOPWA funding which assists with housing needs for persons with AIDS and HIV.</w:t>
            </w:r>
          </w:p>
        </w:tc>
      </w:tr>
      <w:tr w:rsidR="00217A61" w14:paraId="19373F87" w14:textId="77777777">
        <w:trPr>
          <w:cantSplit/>
        </w:trPr>
        <w:tc>
          <w:tcPr>
            <w:tcW w:w="0" w:type="auto"/>
          </w:tcPr>
          <w:p w14:paraId="11D32CA5" w14:textId="77777777" w:rsidR="00217A61" w:rsidRDefault="001C2695">
            <w:pPr>
              <w:spacing w:beforeAutospacing="1" w:afterAutospacing="1"/>
            </w:pPr>
            <w:r>
              <w:rPr>
                <w:color w:val="000000"/>
              </w:rPr>
              <w:lastRenderedPageBreak/>
              <w:t>ESG</w:t>
            </w:r>
          </w:p>
        </w:tc>
        <w:tc>
          <w:tcPr>
            <w:tcW w:w="0" w:type="auto"/>
          </w:tcPr>
          <w:p w14:paraId="6D646D03" w14:textId="77777777" w:rsidR="00217A61" w:rsidRDefault="001C2695">
            <w:pPr>
              <w:spacing w:beforeAutospacing="1" w:afterAutospacing="1"/>
            </w:pPr>
            <w:r>
              <w:rPr>
                <w:color w:val="000000"/>
              </w:rPr>
              <w:t>public - federal</w:t>
            </w:r>
          </w:p>
        </w:tc>
        <w:tc>
          <w:tcPr>
            <w:tcW w:w="0" w:type="auto"/>
          </w:tcPr>
          <w:p w14:paraId="40B6F956" w14:textId="77777777" w:rsidR="00217A61" w:rsidRDefault="001C2695">
            <w:pPr>
              <w:spacing w:beforeAutospacing="1" w:afterAutospacing="1"/>
            </w:pPr>
            <w:r>
              <w:rPr>
                <w:color w:val="000000"/>
              </w:rPr>
              <w:t>Conversion and rehab for</w:t>
            </w:r>
            <w:r>
              <w:rPr>
                <w:color w:val="000000"/>
              </w:rPr>
              <w:t xml:space="preserve">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14:paraId="46882BCA" w14:textId="77777777" w:rsidR="00217A61" w:rsidRDefault="001C2695">
            <w:pPr>
              <w:spacing w:beforeAutospacing="1" w:afterAutospacing="1"/>
              <w:jc w:val="right"/>
            </w:pPr>
            <w:r>
              <w:rPr>
                <w:color w:val="000000"/>
              </w:rPr>
              <w:t>5,315,950</w:t>
            </w:r>
          </w:p>
        </w:tc>
        <w:tc>
          <w:tcPr>
            <w:tcW w:w="0" w:type="auto"/>
            <w:vAlign w:val="bottom"/>
          </w:tcPr>
          <w:p w14:paraId="7104AC29" w14:textId="77777777" w:rsidR="00217A61" w:rsidRDefault="001C2695">
            <w:pPr>
              <w:spacing w:beforeAutospacing="1" w:afterAutospacing="1"/>
              <w:jc w:val="right"/>
            </w:pPr>
            <w:r>
              <w:rPr>
                <w:color w:val="000000"/>
              </w:rPr>
              <w:t>0</w:t>
            </w:r>
          </w:p>
        </w:tc>
        <w:tc>
          <w:tcPr>
            <w:tcW w:w="0" w:type="auto"/>
            <w:vAlign w:val="bottom"/>
          </w:tcPr>
          <w:p w14:paraId="5B4DA18C" w14:textId="77777777" w:rsidR="00217A61" w:rsidRDefault="001C2695">
            <w:pPr>
              <w:spacing w:beforeAutospacing="1" w:afterAutospacing="1"/>
              <w:jc w:val="right"/>
            </w:pPr>
            <w:r>
              <w:rPr>
                <w:color w:val="000000"/>
              </w:rPr>
              <w:t>0</w:t>
            </w:r>
          </w:p>
        </w:tc>
        <w:tc>
          <w:tcPr>
            <w:tcW w:w="0" w:type="auto"/>
            <w:vAlign w:val="bottom"/>
          </w:tcPr>
          <w:p w14:paraId="4C3B4D0D" w14:textId="77777777" w:rsidR="00217A61" w:rsidRDefault="001C2695">
            <w:pPr>
              <w:spacing w:beforeAutospacing="1" w:afterAutospacing="1"/>
              <w:jc w:val="right"/>
            </w:pPr>
            <w:r>
              <w:rPr>
                <w:color w:val="000000"/>
              </w:rPr>
              <w:t>5,315,950</w:t>
            </w:r>
          </w:p>
        </w:tc>
        <w:tc>
          <w:tcPr>
            <w:tcW w:w="0" w:type="auto"/>
            <w:vAlign w:val="bottom"/>
          </w:tcPr>
          <w:p w14:paraId="1A07D9B8" w14:textId="77777777" w:rsidR="00217A61" w:rsidRDefault="001C2695">
            <w:pPr>
              <w:spacing w:beforeAutospacing="1" w:afterAutospacing="1"/>
              <w:jc w:val="right"/>
            </w:pPr>
            <w:r>
              <w:rPr>
                <w:color w:val="000000"/>
              </w:rPr>
              <w:t>21,263,800</w:t>
            </w:r>
          </w:p>
        </w:tc>
        <w:tc>
          <w:tcPr>
            <w:tcW w:w="0" w:type="auto"/>
          </w:tcPr>
          <w:p w14:paraId="3A383432" w14:textId="77777777" w:rsidR="00217A61" w:rsidRDefault="001C2695">
            <w:pPr>
              <w:spacing w:beforeAutospacing="1" w:afterAutospacing="1"/>
            </w:pPr>
            <w:r>
              <w:rPr>
                <w:color w:val="000000"/>
              </w:rPr>
              <w:t xml:space="preserve">ESG funding is </w:t>
            </w:r>
            <w:proofErr w:type="spellStart"/>
            <w:r>
              <w:rPr>
                <w:color w:val="000000"/>
              </w:rPr>
              <w:t>administerd</w:t>
            </w:r>
            <w:proofErr w:type="spellEnd"/>
            <w:r>
              <w:rPr>
                <w:color w:val="000000"/>
              </w:rPr>
              <w:t xml:space="preserve"> by NC DHHS and supports housing stabilization and emergency shelter activities.</w:t>
            </w:r>
          </w:p>
        </w:tc>
      </w:tr>
      <w:tr w:rsidR="00217A61" w14:paraId="2ACC69FD" w14:textId="77777777">
        <w:trPr>
          <w:cantSplit/>
        </w:trPr>
        <w:tc>
          <w:tcPr>
            <w:tcW w:w="0" w:type="auto"/>
          </w:tcPr>
          <w:p w14:paraId="778CDDF4" w14:textId="77777777" w:rsidR="00217A61" w:rsidRDefault="001C2695">
            <w:pPr>
              <w:spacing w:beforeAutospacing="1" w:afterAutospacing="1"/>
            </w:pPr>
            <w:r>
              <w:rPr>
                <w:color w:val="000000"/>
              </w:rPr>
              <w:lastRenderedPageBreak/>
              <w:t>HTF</w:t>
            </w:r>
          </w:p>
        </w:tc>
        <w:tc>
          <w:tcPr>
            <w:tcW w:w="0" w:type="auto"/>
          </w:tcPr>
          <w:p w14:paraId="722BD784" w14:textId="77777777" w:rsidR="00217A61" w:rsidRDefault="001C2695">
            <w:pPr>
              <w:spacing w:beforeAutospacing="1" w:afterAutospacing="1"/>
            </w:pPr>
            <w:r>
              <w:rPr>
                <w:color w:val="000000"/>
              </w:rPr>
              <w:t>public - federal</w:t>
            </w:r>
          </w:p>
        </w:tc>
        <w:tc>
          <w:tcPr>
            <w:tcW w:w="0" w:type="auto"/>
          </w:tcPr>
          <w:p w14:paraId="16F7E927" w14:textId="77777777" w:rsidR="00217A61" w:rsidRDefault="001C2695">
            <w:pPr>
              <w:spacing w:beforeAutospacing="1" w:afterAutospacing="1"/>
            </w:pPr>
            <w:r>
              <w:rPr>
                <w:color w:val="000000"/>
              </w:rPr>
              <w:t>Acquisition</w:t>
            </w:r>
            <w:r>
              <w:rPr>
                <w:color w:val="000000"/>
              </w:rPr>
              <w:br/>
              <w:t>Admin and Planning</w:t>
            </w:r>
            <w:r>
              <w:rPr>
                <w:color w:val="000000"/>
              </w:rPr>
              <w:br/>
              <w:t>Homebuyer assistance</w:t>
            </w:r>
            <w:r>
              <w:rPr>
                <w:color w:val="000000"/>
              </w:rPr>
              <w:br/>
              <w:t>Multifamily rental new construction</w:t>
            </w:r>
            <w:r>
              <w:rPr>
                <w:color w:val="000000"/>
              </w:rPr>
              <w:br/>
              <w:t>Multifamily rental rehab</w:t>
            </w:r>
            <w:r>
              <w:rPr>
                <w:color w:val="000000"/>
              </w:rPr>
              <w:br/>
              <w:t>New constructi</w:t>
            </w:r>
            <w:r>
              <w:rPr>
                <w:color w:val="000000"/>
              </w:rPr>
              <w:t>on for ownership</w:t>
            </w:r>
          </w:p>
        </w:tc>
        <w:tc>
          <w:tcPr>
            <w:tcW w:w="0" w:type="auto"/>
            <w:vAlign w:val="bottom"/>
          </w:tcPr>
          <w:p w14:paraId="3FB83CEF" w14:textId="77777777" w:rsidR="00217A61" w:rsidRDefault="001C2695">
            <w:pPr>
              <w:spacing w:beforeAutospacing="1" w:afterAutospacing="1"/>
              <w:jc w:val="right"/>
            </w:pPr>
            <w:r>
              <w:rPr>
                <w:color w:val="000000"/>
              </w:rPr>
              <w:t>17,700,000</w:t>
            </w:r>
          </w:p>
        </w:tc>
        <w:tc>
          <w:tcPr>
            <w:tcW w:w="0" w:type="auto"/>
            <w:vAlign w:val="bottom"/>
          </w:tcPr>
          <w:p w14:paraId="1A066668" w14:textId="77777777" w:rsidR="00217A61" w:rsidRDefault="001C2695">
            <w:pPr>
              <w:spacing w:beforeAutospacing="1" w:afterAutospacing="1"/>
              <w:jc w:val="right"/>
            </w:pPr>
            <w:r>
              <w:rPr>
                <w:color w:val="000000"/>
              </w:rPr>
              <w:t>0</w:t>
            </w:r>
          </w:p>
        </w:tc>
        <w:tc>
          <w:tcPr>
            <w:tcW w:w="0" w:type="auto"/>
            <w:vAlign w:val="bottom"/>
          </w:tcPr>
          <w:p w14:paraId="0293657F" w14:textId="77777777" w:rsidR="00217A61" w:rsidRDefault="001C2695">
            <w:pPr>
              <w:spacing w:beforeAutospacing="1" w:afterAutospacing="1"/>
              <w:jc w:val="right"/>
            </w:pPr>
            <w:r>
              <w:rPr>
                <w:color w:val="000000"/>
              </w:rPr>
              <w:t>0</w:t>
            </w:r>
          </w:p>
        </w:tc>
        <w:tc>
          <w:tcPr>
            <w:tcW w:w="0" w:type="auto"/>
            <w:vAlign w:val="bottom"/>
          </w:tcPr>
          <w:p w14:paraId="6BA97813" w14:textId="77777777" w:rsidR="00217A61" w:rsidRDefault="001C2695">
            <w:pPr>
              <w:spacing w:beforeAutospacing="1" w:afterAutospacing="1"/>
              <w:jc w:val="right"/>
            </w:pPr>
            <w:r>
              <w:rPr>
                <w:color w:val="000000"/>
              </w:rPr>
              <w:t>17,700,000</w:t>
            </w:r>
          </w:p>
        </w:tc>
        <w:tc>
          <w:tcPr>
            <w:tcW w:w="0" w:type="auto"/>
            <w:vAlign w:val="bottom"/>
          </w:tcPr>
          <w:p w14:paraId="5F7060EC" w14:textId="77777777" w:rsidR="00217A61" w:rsidRDefault="001C2695">
            <w:pPr>
              <w:spacing w:beforeAutospacing="1" w:afterAutospacing="1"/>
              <w:jc w:val="right"/>
            </w:pPr>
            <w:r>
              <w:rPr>
                <w:color w:val="000000"/>
              </w:rPr>
              <w:t>31,000,000</w:t>
            </w:r>
          </w:p>
        </w:tc>
        <w:tc>
          <w:tcPr>
            <w:tcW w:w="0" w:type="auto"/>
          </w:tcPr>
          <w:p w14:paraId="75431D6A" w14:textId="77777777" w:rsidR="00217A61" w:rsidRDefault="001C2695">
            <w:pPr>
              <w:spacing w:beforeAutospacing="1" w:afterAutospacing="1"/>
            </w:pPr>
            <w:r>
              <w:rPr>
                <w:color w:val="000000"/>
              </w:rPr>
              <w:t xml:space="preserve">Annual allocations for HTF have not yet been announced but are expected to be unusually high for FY 2021. Available remainder based on </w:t>
            </w:r>
            <w:proofErr w:type="gramStart"/>
            <w:r>
              <w:rPr>
                <w:color w:val="000000"/>
              </w:rPr>
              <w:t>5 year</w:t>
            </w:r>
            <w:proofErr w:type="gramEnd"/>
            <w:r>
              <w:rPr>
                <w:color w:val="000000"/>
              </w:rPr>
              <w:t xml:space="preserve"> historical average and assumes the FY21 increase will not be</w:t>
            </w:r>
            <w:r>
              <w:rPr>
                <w:color w:val="000000"/>
              </w:rPr>
              <w:t xml:space="preserve"> sustained.</w:t>
            </w:r>
          </w:p>
        </w:tc>
      </w:tr>
    </w:tbl>
    <w:p w14:paraId="7F0AD9C3"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 Expected Resources – Priority Table</w:t>
      </w:r>
    </w:p>
    <w:p w14:paraId="5E50F949" w14:textId="77777777" w:rsidR="00217A61" w:rsidRDefault="00217A61">
      <w:pPr>
        <w:spacing w:after="0" w:line="240" w:lineRule="auto"/>
        <w:rPr>
          <w:b/>
          <w:sz w:val="24"/>
          <w:szCs w:val="24"/>
        </w:rPr>
      </w:pPr>
    </w:p>
    <w:p w14:paraId="637851A4" w14:textId="77777777" w:rsidR="00217A61" w:rsidRDefault="001C2695">
      <w:pPr>
        <w:widowControl w:val="0"/>
        <w:rPr>
          <w:b/>
          <w:sz w:val="24"/>
          <w:szCs w:val="24"/>
        </w:rPr>
      </w:pPr>
      <w:r>
        <w:rPr>
          <w:b/>
          <w:sz w:val="24"/>
          <w:szCs w:val="24"/>
        </w:rPr>
        <w:t xml:space="preserve">Explain how federal funds will leverage those additional resources (private, state and local funds), including a description of how matching requirements will be </w:t>
      </w:r>
      <w:proofErr w:type="gramStart"/>
      <w:r>
        <w:rPr>
          <w:b/>
          <w:sz w:val="24"/>
          <w:szCs w:val="24"/>
        </w:rPr>
        <w:t>satisfied</w:t>
      </w:r>
      <w:proofErr w:type="gramEnd"/>
    </w:p>
    <w:p w14:paraId="19E0DE8A" w14:textId="77777777" w:rsidR="00217A61" w:rsidRDefault="001C2695">
      <w:pPr>
        <w:widowControl w:val="0"/>
        <w:spacing w:beforeAutospacing="1" w:afterAutospacing="1"/>
        <w:rPr>
          <w:szCs w:val="24"/>
        </w:rPr>
      </w:pPr>
      <w:r>
        <w:t>The North Carolina General Assembly provides the required 25% match for HOME as a recurring appropriation. HOME provides crucial support for multiple statewide housing programs, ranging from rental financing to home buyer assistance to home rehab</w:t>
      </w:r>
      <w:r>
        <w:t xml:space="preserve">ilitation. HOME funds used to finance rental development are leveraged in </w:t>
      </w:r>
      <w:proofErr w:type="spellStart"/>
      <w:r>
        <w:t>conjuction</w:t>
      </w:r>
      <w:proofErr w:type="spellEnd"/>
      <w:r>
        <w:t xml:space="preserve"> with Low-Income Housing Tax Credits, state appropriations, as well as private and local funds. HOME funds used for homeownership provide shared mortgage financing used in </w:t>
      </w:r>
      <w:r>
        <w:t>conjunction with other loan products and funds from nonprofits.</w:t>
      </w:r>
    </w:p>
    <w:p w14:paraId="62C6256E" w14:textId="77777777" w:rsidR="00217A61" w:rsidRDefault="001C2695">
      <w:pPr>
        <w:widowControl w:val="0"/>
        <w:spacing w:beforeAutospacing="1" w:afterAutospacing="1"/>
        <w:rPr>
          <w:szCs w:val="24"/>
        </w:rPr>
      </w:pPr>
      <w:r>
        <w:t xml:space="preserve">HOME that helps finance loans for NCHFA's RPP program are used in conjunction with Low Income Housing Tax Credits, state-appropriated </w:t>
      </w:r>
      <w:r>
        <w:lastRenderedPageBreak/>
        <w:t>Workforce Housing Loan Program funds, and other private an</w:t>
      </w:r>
      <w:r>
        <w:t>d local funding. In NCHFA's CPLP program, HOME funds finance second mortgages that are combined with NCHFA's NC Home Advantage Mortgage™ program or a USDA Section 502 Loan. HOME- funded SHLP loans are used to compliment funds from Habitat for Humanity or o</w:t>
      </w:r>
      <w:r>
        <w:t>ther sources.</w:t>
      </w:r>
    </w:p>
    <w:p w14:paraId="6696C9DF" w14:textId="77777777" w:rsidR="00217A61" w:rsidRDefault="001C2695">
      <w:pPr>
        <w:widowControl w:val="0"/>
        <w:spacing w:beforeAutospacing="1" w:afterAutospacing="1"/>
        <w:rPr>
          <w:szCs w:val="24"/>
        </w:rPr>
      </w:pPr>
      <w:r>
        <w:t>The NC HOPWA program consistently emphasizes the importance of leveraging HOPWA funding with other resources. Our HOPWA Project Sponsors leverage HOPWA funding with other sources such as Ryan White, Shelter Plus Care, city government, grants,</w:t>
      </w:r>
      <w:r>
        <w:t xml:space="preserve"> private funding, and resident rent payments to landlords. Increased leveraging of HOPWA funding with other sources is one of our primary goals in hopes of reducing staff costs and operating expenses.</w:t>
      </w:r>
    </w:p>
    <w:p w14:paraId="41CB52D8" w14:textId="77777777" w:rsidR="00217A61" w:rsidRDefault="001C2695">
      <w:pPr>
        <w:widowControl w:val="0"/>
        <w:spacing w:beforeAutospacing="1" w:afterAutospacing="1"/>
        <w:rPr>
          <w:szCs w:val="24"/>
        </w:rPr>
      </w:pPr>
      <w:r>
        <w:t>CDBG Funds will be used to increase and preserve afford</w:t>
      </w:r>
      <w:r>
        <w:t>able housing and spur economic development for job creation and retention. The neighborhood revitalization and economic development component of the CDBG Program is administered by the Rural Economic Development Division within the North Carolina Departmen</w:t>
      </w:r>
      <w:r>
        <w:t xml:space="preserve">t of Commerce. CDBG Infrastructure funds administered by the North Carolina Department of Environmental Quality will be used to help with environmental issues caused </w:t>
      </w:r>
      <w:proofErr w:type="spellStart"/>
      <w:r>
        <w:t>bydue</w:t>
      </w:r>
      <w:proofErr w:type="spellEnd"/>
      <w:r>
        <w:t xml:space="preserve"> to </w:t>
      </w:r>
      <w:proofErr w:type="gramStart"/>
      <w:r>
        <w:t>aging</w:t>
      </w:r>
      <w:proofErr w:type="gramEnd"/>
      <w:r>
        <w:t xml:space="preserve"> sewer systems and contaminated drinking water, and improve the quality of l</w:t>
      </w:r>
      <w:r>
        <w:t>ife for many citizens across the state because of improved systems.</w:t>
      </w:r>
    </w:p>
    <w:p w14:paraId="3035F259" w14:textId="77777777" w:rsidR="00217A61" w:rsidRDefault="001C2695">
      <w:pPr>
        <w:widowControl w:val="0"/>
        <w:spacing w:beforeAutospacing="1" w:afterAutospacing="1"/>
        <w:rPr>
          <w:szCs w:val="24"/>
        </w:rPr>
      </w:pPr>
      <w:r>
        <w:t>The Emergency Solutions Grants Program leverages these funds in concert with the NC Key Program (funded in part with HOME Match) through the provision of grants and loans to develop and op</w:t>
      </w:r>
      <w:r>
        <w:t>erate shelters and, supportive and permanent housing. ESG funding is also leveraged to combat chronic homelessness through the provision of preventive programs and activities by the Supportive Housing Development Program (SHDP) and Housing Opportunities fo</w:t>
      </w:r>
      <w:r>
        <w:t>r Persons with AIDS Program (HOPWA). SHDP helps partners develop permanent housing for persons with disabilities; Key provides operating subsidies for housing for persons with disabilities; and HOPWA provides tenant- based rental assistance, short-term mor</w:t>
      </w:r>
      <w:r>
        <w:t xml:space="preserve">tgage and utility assistance, housing information, supportive </w:t>
      </w:r>
      <w:proofErr w:type="gramStart"/>
      <w:r>
        <w:t>services</w:t>
      </w:r>
      <w:proofErr w:type="gramEnd"/>
      <w:r>
        <w:t xml:space="preserve"> and resource identification to persons with HIV/AIDS.</w:t>
      </w:r>
    </w:p>
    <w:p w14:paraId="209F1DEB" w14:textId="77777777" w:rsidR="00217A61" w:rsidRDefault="001C2695">
      <w:pPr>
        <w:widowControl w:val="0"/>
        <w:spacing w:beforeAutospacing="1" w:afterAutospacing="1"/>
        <w:rPr>
          <w:szCs w:val="24"/>
        </w:rPr>
      </w:pPr>
      <w:r>
        <w:t>ESG funding is a dollar- for dollar- match. Local non-profits and units of government use cash, non-cash (in-kind), donated value o</w:t>
      </w:r>
      <w:r>
        <w:t>f a building/materials and or volunteer hours to match ESG funding.</w:t>
      </w:r>
    </w:p>
    <w:p w14:paraId="134B9531" w14:textId="77777777" w:rsidR="00217A61" w:rsidRDefault="00217A61">
      <w:pPr>
        <w:keepNext/>
        <w:widowControl w:val="0"/>
        <w:rPr>
          <w:b/>
          <w:sz w:val="24"/>
          <w:szCs w:val="24"/>
        </w:rPr>
        <w:sectPr w:rsidR="00217A61">
          <w:headerReference w:type="even" r:id="rId24"/>
          <w:headerReference w:type="default" r:id="rId25"/>
          <w:footerReference w:type="even" r:id="rId26"/>
          <w:headerReference w:type="first" r:id="rId27"/>
          <w:footerReference w:type="first" r:id="rId28"/>
          <w:pgSz w:w="15840" w:h="12240" w:orient="landscape" w:code="1"/>
          <w:pgMar w:top="1440" w:right="1440" w:bottom="1440" w:left="1440" w:header="720" w:footer="720" w:gutter="0"/>
          <w:cols w:space="720"/>
          <w:docGrid w:linePitch="360"/>
        </w:sectPr>
      </w:pPr>
    </w:p>
    <w:p w14:paraId="55A743F4" w14:textId="77777777" w:rsidR="00217A61" w:rsidRDefault="001C2695">
      <w:pPr>
        <w:keepNext/>
        <w:widowControl w:val="0"/>
        <w:rPr>
          <w:b/>
          <w:sz w:val="24"/>
          <w:szCs w:val="24"/>
        </w:rPr>
      </w:pPr>
      <w:r>
        <w:rPr>
          <w:b/>
          <w:sz w:val="24"/>
          <w:szCs w:val="24"/>
        </w:rPr>
        <w:lastRenderedPageBreak/>
        <w:t xml:space="preserve">If appropriate, describe </w:t>
      </w:r>
      <w:proofErr w:type="spellStart"/>
      <w:r>
        <w:rPr>
          <w:b/>
          <w:sz w:val="24"/>
          <w:szCs w:val="24"/>
        </w:rPr>
        <w:t>publically</w:t>
      </w:r>
      <w:proofErr w:type="spellEnd"/>
      <w:r>
        <w:rPr>
          <w:b/>
          <w:sz w:val="24"/>
          <w:szCs w:val="24"/>
        </w:rPr>
        <w:t xml:space="preserve"> owned land or property located within the jurisdiction that may be used to address the needs identified in the </w:t>
      </w:r>
      <w:proofErr w:type="gramStart"/>
      <w:r>
        <w:rPr>
          <w:b/>
          <w:sz w:val="24"/>
          <w:szCs w:val="24"/>
        </w:rPr>
        <w:t>plan</w:t>
      </w:r>
      <w:proofErr w:type="gramEnd"/>
    </w:p>
    <w:p w14:paraId="0CE6C89A" w14:textId="77777777" w:rsidR="00217A61" w:rsidRDefault="001C2695">
      <w:pPr>
        <w:keepNext/>
        <w:widowControl w:val="0"/>
        <w:spacing w:beforeAutospacing="1" w:afterAutospacing="1"/>
        <w:rPr>
          <w:szCs w:val="24"/>
        </w:rPr>
      </w:pPr>
      <w:r>
        <w:t>HOME -N/A</w:t>
      </w:r>
    </w:p>
    <w:p w14:paraId="0CAA7113" w14:textId="77777777" w:rsidR="00217A61" w:rsidRDefault="001C2695">
      <w:pPr>
        <w:keepNext/>
        <w:widowControl w:val="0"/>
        <w:spacing w:beforeAutospacing="1" w:afterAutospacing="1"/>
        <w:rPr>
          <w:szCs w:val="24"/>
        </w:rPr>
      </w:pPr>
      <w:r>
        <w:t>HOPW</w:t>
      </w:r>
      <w:r>
        <w:t xml:space="preserve">A - The NC HOPWA Project Sponsors may use Resource Identification and/or other sources to identify landlords, facility –based housing and public housing organizations to establish relationships </w:t>
      </w:r>
      <w:proofErr w:type="gramStart"/>
      <w:r>
        <w:t>in order to</w:t>
      </w:r>
      <w:proofErr w:type="gramEnd"/>
      <w:r>
        <w:t xml:space="preserve"> gain buy-in to participating in the HOPWA Tenant-B</w:t>
      </w:r>
      <w:r>
        <w:t>ased Rental Program.</w:t>
      </w:r>
    </w:p>
    <w:p w14:paraId="01C09111" w14:textId="77777777" w:rsidR="00217A61" w:rsidRDefault="001C2695">
      <w:pPr>
        <w:keepNext/>
        <w:widowControl w:val="0"/>
        <w:spacing w:beforeAutospacing="1" w:afterAutospacing="1"/>
        <w:rPr>
          <w:szCs w:val="24"/>
        </w:rPr>
      </w:pPr>
      <w:r>
        <w:t>CDBG - N/A</w:t>
      </w:r>
    </w:p>
    <w:p w14:paraId="5389DE44" w14:textId="77777777" w:rsidR="00217A61" w:rsidRDefault="001C2695">
      <w:pPr>
        <w:keepNext/>
        <w:widowControl w:val="0"/>
        <w:spacing w:beforeAutospacing="1" w:afterAutospacing="1"/>
        <w:rPr>
          <w:szCs w:val="24"/>
        </w:rPr>
      </w:pPr>
      <w:r>
        <w:t>ESG - N/A</w:t>
      </w:r>
    </w:p>
    <w:p w14:paraId="6B20AD2C" w14:textId="77777777" w:rsidR="00217A61" w:rsidRDefault="001C2695">
      <w:pPr>
        <w:rPr>
          <w:b/>
          <w:sz w:val="24"/>
          <w:szCs w:val="24"/>
        </w:rPr>
      </w:pPr>
      <w:r>
        <w:rPr>
          <w:b/>
          <w:sz w:val="24"/>
          <w:szCs w:val="24"/>
        </w:rPr>
        <w:t>Discussion</w:t>
      </w:r>
    </w:p>
    <w:p w14:paraId="5FA052FD" w14:textId="77777777" w:rsidR="00217A61" w:rsidRDefault="00217A61"/>
    <w:p w14:paraId="249CA43B" w14:textId="77777777" w:rsidR="00217A61" w:rsidRDefault="00217A61">
      <w:pPr>
        <w:pStyle w:val="Heading1"/>
        <w:pageBreakBefore/>
        <w:jc w:val="center"/>
        <w:rPr>
          <w:rFonts w:ascii="Calibri" w:hAnsi="Calibri"/>
          <w:color w:val="auto"/>
          <w:sz w:val="32"/>
          <w:szCs w:val="32"/>
        </w:rPr>
        <w:sectPr w:rsidR="00217A61">
          <w:pgSz w:w="12240" w:h="15840" w:code="1"/>
          <w:pgMar w:top="1440" w:right="1440" w:bottom="1440" w:left="1440" w:header="720" w:footer="720" w:gutter="0"/>
          <w:cols w:space="720"/>
          <w:docGrid w:linePitch="360"/>
        </w:sectPr>
      </w:pPr>
    </w:p>
    <w:p w14:paraId="285529A0" w14:textId="77777777" w:rsidR="00217A61" w:rsidRDefault="001C2695">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662AAFD2" w14:textId="77777777" w:rsidR="00217A61" w:rsidRDefault="001C2695">
      <w:pPr>
        <w:rPr>
          <w:b/>
          <w:sz w:val="28"/>
          <w:szCs w:val="28"/>
        </w:rPr>
      </w:pPr>
      <w:r>
        <w:rPr>
          <w:b/>
          <w:sz w:val="28"/>
          <w:szCs w:val="28"/>
        </w:rPr>
        <w:t>AP-20 Annual Goals and Objectives – 91.320(c)(</w:t>
      </w:r>
      <w:proofErr w:type="gramStart"/>
      <w:r>
        <w:rPr>
          <w:b/>
          <w:sz w:val="28"/>
          <w:szCs w:val="28"/>
        </w:rPr>
        <w:t>3)&amp;</w:t>
      </w:r>
      <w:proofErr w:type="gramEnd"/>
      <w:r>
        <w:rPr>
          <w:b/>
          <w:sz w:val="28"/>
          <w:szCs w:val="28"/>
        </w:rPr>
        <w:t>(e)</w:t>
      </w:r>
    </w:p>
    <w:p w14:paraId="0EA7FD2F" w14:textId="77777777" w:rsidR="00217A61" w:rsidRDefault="001C2695">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2029"/>
        <w:gridCol w:w="663"/>
        <w:gridCol w:w="663"/>
        <w:gridCol w:w="1799"/>
        <w:gridCol w:w="1184"/>
        <w:gridCol w:w="1826"/>
        <w:gridCol w:w="1494"/>
        <w:gridCol w:w="3298"/>
      </w:tblGrid>
      <w:tr w:rsidR="00217A61" w14:paraId="07F93359" w14:textId="77777777">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14:paraId="5DA8AB25" w14:textId="77777777" w:rsidR="00217A61" w:rsidRDefault="001C2695">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14:paraId="2ABA97B0" w14:textId="77777777" w:rsidR="00217A61" w:rsidRDefault="001C2695">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14:paraId="535A0E55" w14:textId="77777777" w:rsidR="00217A61" w:rsidRDefault="001C2695">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14:paraId="40E4B316" w14:textId="77777777" w:rsidR="00217A61" w:rsidRDefault="001C2695">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14:paraId="20B73586" w14:textId="77777777" w:rsidR="00217A61" w:rsidRDefault="001C2695">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14:paraId="2F8D2A0D" w14:textId="77777777" w:rsidR="00217A61" w:rsidRDefault="001C2695">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14:paraId="5592FC6E" w14:textId="77777777" w:rsidR="00217A61" w:rsidRDefault="001C2695">
            <w:pPr>
              <w:keepNext/>
              <w:widowControl w:val="0"/>
              <w:spacing w:after="0" w:line="240" w:lineRule="auto"/>
              <w:jc w:val="center"/>
              <w:rPr>
                <w:b/>
                <w:sz w:val="20"/>
                <w:szCs w:val="20"/>
              </w:rPr>
            </w:pPr>
            <w:r>
              <w:rPr>
                <w:b/>
                <w:sz w:val="20"/>
                <w:szCs w:val="20"/>
              </w:rPr>
              <w:t xml:space="preserve">Needs </w:t>
            </w:r>
            <w:r>
              <w:rPr>
                <w:b/>
                <w:sz w:val="20"/>
                <w:szCs w:val="20"/>
              </w:rPr>
              <w:t>Addressed</w:t>
            </w:r>
          </w:p>
        </w:tc>
        <w:tc>
          <w:tcPr>
            <w:tcW w:w="2345" w:type="dxa"/>
            <w:tcBorders>
              <w:top w:val="single" w:sz="4" w:space="0" w:color="auto"/>
              <w:left w:val="single" w:sz="4" w:space="0" w:color="auto"/>
              <w:bottom w:val="single" w:sz="4" w:space="0" w:color="auto"/>
              <w:right w:val="single" w:sz="4" w:space="0" w:color="auto"/>
            </w:tcBorders>
            <w:hideMark/>
          </w:tcPr>
          <w:p w14:paraId="02EADB49" w14:textId="77777777" w:rsidR="00217A61" w:rsidRDefault="001C2695">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14:paraId="06EB3266" w14:textId="77777777" w:rsidR="00217A61" w:rsidRDefault="001C2695">
            <w:pPr>
              <w:keepNext/>
              <w:widowControl w:val="0"/>
              <w:spacing w:after="0" w:line="240" w:lineRule="auto"/>
              <w:jc w:val="center"/>
              <w:rPr>
                <w:b/>
                <w:sz w:val="20"/>
                <w:szCs w:val="20"/>
              </w:rPr>
            </w:pPr>
            <w:r>
              <w:rPr>
                <w:b/>
                <w:sz w:val="20"/>
                <w:szCs w:val="20"/>
              </w:rPr>
              <w:t>Goal Outcome Indicator</w:t>
            </w:r>
          </w:p>
        </w:tc>
      </w:tr>
      <w:tr w:rsidR="00217A61" w14:paraId="63CF60F8" w14:textId="77777777">
        <w:trPr>
          <w:cantSplit/>
        </w:trPr>
        <w:tc>
          <w:tcPr>
            <w:tcW w:w="0" w:type="auto"/>
            <w:tcBorders>
              <w:top w:val="single" w:sz="4" w:space="0" w:color="auto"/>
              <w:left w:val="single" w:sz="4" w:space="0" w:color="auto"/>
              <w:bottom w:val="single" w:sz="4" w:space="0" w:color="auto"/>
              <w:right w:val="single" w:sz="4" w:space="0" w:color="auto"/>
            </w:tcBorders>
          </w:tcPr>
          <w:p w14:paraId="7E33A1F4" w14:textId="77777777" w:rsidR="00217A61" w:rsidRDefault="001C2695">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14:paraId="1DD90D46" w14:textId="77777777" w:rsidR="00217A61" w:rsidRDefault="001C2695">
            <w:pPr>
              <w:spacing w:beforeAutospacing="1" w:afterAutospacing="1"/>
            </w:pPr>
            <w:r>
              <w:rPr>
                <w:color w:val="000000"/>
              </w:rPr>
              <w:t>Homeowner Housing Rehabilitation</w:t>
            </w:r>
          </w:p>
        </w:tc>
        <w:tc>
          <w:tcPr>
            <w:tcW w:w="0" w:type="auto"/>
            <w:tcBorders>
              <w:top w:val="single" w:sz="4" w:space="0" w:color="auto"/>
              <w:left w:val="single" w:sz="4" w:space="0" w:color="auto"/>
              <w:bottom w:val="single" w:sz="4" w:space="0" w:color="auto"/>
              <w:right w:val="single" w:sz="4" w:space="0" w:color="auto"/>
            </w:tcBorders>
          </w:tcPr>
          <w:p w14:paraId="2ADEFE23"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47C85809"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6BE62A82" w14:textId="77777777" w:rsidR="00217A61" w:rsidRDefault="001C2695">
            <w:pPr>
              <w:spacing w:beforeAutospacing="1" w:afterAutospacing="1"/>
            </w:pPr>
            <w:r>
              <w:rPr>
                <w:color w:val="000000"/>
              </w:rPr>
              <w:t>Non-Homeless Special Needs</w:t>
            </w:r>
          </w:p>
        </w:tc>
        <w:tc>
          <w:tcPr>
            <w:tcW w:w="0" w:type="auto"/>
            <w:tcBorders>
              <w:top w:val="single" w:sz="4" w:space="0" w:color="auto"/>
              <w:left w:val="single" w:sz="4" w:space="0" w:color="auto"/>
              <w:bottom w:val="single" w:sz="4" w:space="0" w:color="auto"/>
              <w:right w:val="single" w:sz="4" w:space="0" w:color="auto"/>
            </w:tcBorders>
          </w:tcPr>
          <w:p w14:paraId="77F9A3E0"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3F10C2E2" w14:textId="77777777" w:rsidR="00217A61" w:rsidRDefault="001C2695">
            <w:pPr>
              <w:spacing w:beforeAutospacing="1" w:afterAutospacing="1"/>
            </w:pPr>
            <w:r>
              <w:rPr>
                <w:color w:val="000000"/>
              </w:rPr>
              <w:t>Housing for non-homeless persons w/ special needs</w:t>
            </w:r>
            <w:r>
              <w:rPr>
                <w:color w:val="000000"/>
              </w:rPr>
              <w:br/>
              <w:t>Housing for households under 30% AMI</w:t>
            </w:r>
            <w:r>
              <w:rPr>
                <w:color w:val="000000"/>
              </w:rPr>
              <w:br/>
            </w:r>
            <w:r>
              <w:rPr>
                <w:color w:val="000000"/>
              </w:rP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01113158" w14:textId="77777777" w:rsidR="00217A61" w:rsidRDefault="001C2695">
            <w:pPr>
              <w:spacing w:beforeAutospacing="1" w:afterAutospacing="1"/>
              <w:jc w:val="right"/>
            </w:pPr>
            <w:r>
              <w:rPr>
                <w:color w:val="000000"/>
              </w:rPr>
              <w:t>HOME: $6,300,000</w:t>
            </w:r>
          </w:p>
        </w:tc>
        <w:tc>
          <w:tcPr>
            <w:tcW w:w="0" w:type="auto"/>
            <w:tcBorders>
              <w:top w:val="single" w:sz="4" w:space="0" w:color="auto"/>
              <w:left w:val="single" w:sz="4" w:space="0" w:color="auto"/>
              <w:bottom w:val="single" w:sz="4" w:space="0" w:color="auto"/>
              <w:right w:val="single" w:sz="4" w:space="0" w:color="auto"/>
            </w:tcBorders>
          </w:tcPr>
          <w:p w14:paraId="0B9EBD43" w14:textId="77777777" w:rsidR="00217A61" w:rsidRDefault="001C2695">
            <w:pPr>
              <w:spacing w:beforeAutospacing="1" w:afterAutospacing="1"/>
            </w:pPr>
            <w:r>
              <w:rPr>
                <w:color w:val="000000"/>
              </w:rPr>
              <w:t>Homeowner Housing Rehabilitated: 190 Household Housing Unit</w:t>
            </w:r>
          </w:p>
        </w:tc>
      </w:tr>
      <w:tr w:rsidR="00217A61" w14:paraId="60DC6328" w14:textId="77777777">
        <w:trPr>
          <w:cantSplit/>
        </w:trPr>
        <w:tc>
          <w:tcPr>
            <w:tcW w:w="0" w:type="auto"/>
            <w:tcBorders>
              <w:top w:val="single" w:sz="4" w:space="0" w:color="auto"/>
              <w:left w:val="single" w:sz="4" w:space="0" w:color="auto"/>
              <w:bottom w:val="single" w:sz="4" w:space="0" w:color="auto"/>
              <w:right w:val="single" w:sz="4" w:space="0" w:color="auto"/>
            </w:tcBorders>
          </w:tcPr>
          <w:p w14:paraId="25C80730" w14:textId="77777777" w:rsidR="00217A61" w:rsidRDefault="001C2695">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14:paraId="05C88C9D" w14:textId="77777777" w:rsidR="00217A61" w:rsidRDefault="001C2695">
            <w:pPr>
              <w:spacing w:beforeAutospacing="1" w:afterAutospacing="1"/>
            </w:pPr>
            <w:r>
              <w:rPr>
                <w:color w:val="000000"/>
              </w:rPr>
              <w:t>Affordable Homeownership</w:t>
            </w:r>
          </w:p>
        </w:tc>
        <w:tc>
          <w:tcPr>
            <w:tcW w:w="0" w:type="auto"/>
            <w:tcBorders>
              <w:top w:val="single" w:sz="4" w:space="0" w:color="auto"/>
              <w:left w:val="single" w:sz="4" w:space="0" w:color="auto"/>
              <w:bottom w:val="single" w:sz="4" w:space="0" w:color="auto"/>
              <w:right w:val="single" w:sz="4" w:space="0" w:color="auto"/>
            </w:tcBorders>
          </w:tcPr>
          <w:p w14:paraId="79C72425"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67C299B9"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2F9038D5" w14:textId="77777777" w:rsidR="00217A61" w:rsidRDefault="001C2695">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14:paraId="4AE10910" w14:textId="77777777" w:rsidR="00217A61" w:rsidRDefault="001C2695">
            <w:pPr>
              <w:spacing w:beforeAutospacing="1" w:afterAutospacing="1"/>
            </w:pPr>
            <w:r>
              <w:rPr>
                <w:color w:val="000000"/>
              </w:rPr>
              <w:t>Statewide</w:t>
            </w:r>
          </w:p>
        </w:tc>
        <w:tc>
          <w:tcPr>
            <w:tcW w:w="0" w:type="auto"/>
            <w:tcBorders>
              <w:top w:val="single" w:sz="4" w:space="0" w:color="auto"/>
              <w:left w:val="single" w:sz="4" w:space="0" w:color="auto"/>
              <w:bottom w:val="single" w:sz="4" w:space="0" w:color="auto"/>
              <w:right w:val="single" w:sz="4" w:space="0" w:color="auto"/>
            </w:tcBorders>
          </w:tcPr>
          <w:p w14:paraId="362581CE"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57F19141" w14:textId="77777777" w:rsidR="00217A61" w:rsidRDefault="001C2695">
            <w:pPr>
              <w:spacing w:beforeAutospacing="1" w:afterAutospacing="1"/>
              <w:jc w:val="right"/>
            </w:pPr>
            <w:r>
              <w:rPr>
                <w:color w:val="000000"/>
              </w:rPr>
              <w:t>HOME: $12,200,000</w:t>
            </w:r>
          </w:p>
        </w:tc>
        <w:tc>
          <w:tcPr>
            <w:tcW w:w="0" w:type="auto"/>
            <w:tcBorders>
              <w:top w:val="single" w:sz="4" w:space="0" w:color="auto"/>
              <w:left w:val="single" w:sz="4" w:space="0" w:color="auto"/>
              <w:bottom w:val="single" w:sz="4" w:space="0" w:color="auto"/>
              <w:right w:val="single" w:sz="4" w:space="0" w:color="auto"/>
            </w:tcBorders>
          </w:tcPr>
          <w:p w14:paraId="695E4726" w14:textId="77777777" w:rsidR="00217A61" w:rsidRDefault="001C2695">
            <w:pPr>
              <w:spacing w:beforeAutospacing="1" w:afterAutospacing="1"/>
            </w:pPr>
            <w:r>
              <w:rPr>
                <w:color w:val="000000"/>
              </w:rPr>
              <w:t>Direct Financial Assistance to Homebuyers: 360 Households Assisted</w:t>
            </w:r>
          </w:p>
        </w:tc>
      </w:tr>
      <w:tr w:rsidR="00217A61" w14:paraId="4E9DD2D4" w14:textId="77777777">
        <w:trPr>
          <w:cantSplit/>
        </w:trPr>
        <w:tc>
          <w:tcPr>
            <w:tcW w:w="0" w:type="auto"/>
            <w:tcBorders>
              <w:top w:val="single" w:sz="4" w:space="0" w:color="auto"/>
              <w:left w:val="single" w:sz="4" w:space="0" w:color="auto"/>
              <w:bottom w:val="single" w:sz="4" w:space="0" w:color="auto"/>
              <w:right w:val="single" w:sz="4" w:space="0" w:color="auto"/>
            </w:tcBorders>
          </w:tcPr>
          <w:p w14:paraId="01D4D405" w14:textId="77777777" w:rsidR="00217A61" w:rsidRDefault="001C2695">
            <w:pPr>
              <w:spacing w:beforeAutospacing="1" w:afterAutospacing="1"/>
            </w:pPr>
            <w:r>
              <w:rPr>
                <w:b/>
                <w:color w:val="000000"/>
              </w:rPr>
              <w:lastRenderedPageBreak/>
              <w:t>3</w:t>
            </w:r>
          </w:p>
        </w:tc>
        <w:tc>
          <w:tcPr>
            <w:tcW w:w="0" w:type="auto"/>
            <w:tcBorders>
              <w:top w:val="single" w:sz="4" w:space="0" w:color="auto"/>
              <w:left w:val="single" w:sz="4" w:space="0" w:color="auto"/>
              <w:bottom w:val="single" w:sz="4" w:space="0" w:color="auto"/>
              <w:right w:val="single" w:sz="4" w:space="0" w:color="auto"/>
            </w:tcBorders>
          </w:tcPr>
          <w:p w14:paraId="5CD6792A" w14:textId="77777777" w:rsidR="00217A61" w:rsidRDefault="001C2695">
            <w:pPr>
              <w:spacing w:beforeAutospacing="1" w:afterAutospacing="1"/>
            </w:pPr>
            <w:r>
              <w:rPr>
                <w:color w:val="000000"/>
              </w:rPr>
              <w:t>Affordable Rental Housing</w:t>
            </w:r>
          </w:p>
        </w:tc>
        <w:tc>
          <w:tcPr>
            <w:tcW w:w="0" w:type="auto"/>
            <w:tcBorders>
              <w:top w:val="single" w:sz="4" w:space="0" w:color="auto"/>
              <w:left w:val="single" w:sz="4" w:space="0" w:color="auto"/>
              <w:bottom w:val="single" w:sz="4" w:space="0" w:color="auto"/>
              <w:right w:val="single" w:sz="4" w:space="0" w:color="auto"/>
            </w:tcBorders>
          </w:tcPr>
          <w:p w14:paraId="2AF326B0"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4D200408"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6047756E" w14:textId="77777777" w:rsidR="00217A61" w:rsidRDefault="001C2695">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14:paraId="3070E497" w14:textId="77777777" w:rsidR="00217A61" w:rsidRDefault="001C2695">
            <w:pPr>
              <w:spacing w:beforeAutospacing="1" w:afterAutospacing="1"/>
            </w:pPr>
            <w:r>
              <w:rPr>
                <w:color w:val="000000"/>
              </w:rPr>
              <w:t>Statewide</w:t>
            </w:r>
          </w:p>
        </w:tc>
        <w:tc>
          <w:tcPr>
            <w:tcW w:w="0" w:type="auto"/>
            <w:tcBorders>
              <w:top w:val="single" w:sz="4" w:space="0" w:color="auto"/>
              <w:left w:val="single" w:sz="4" w:space="0" w:color="auto"/>
              <w:bottom w:val="single" w:sz="4" w:space="0" w:color="auto"/>
              <w:right w:val="single" w:sz="4" w:space="0" w:color="auto"/>
            </w:tcBorders>
          </w:tcPr>
          <w:p w14:paraId="75FE3058" w14:textId="77777777" w:rsidR="00217A61" w:rsidRDefault="001C2695">
            <w:pPr>
              <w:spacing w:beforeAutospacing="1" w:afterAutospacing="1"/>
            </w:pPr>
            <w:r>
              <w:rPr>
                <w:color w:val="000000"/>
              </w:rPr>
              <w:t>Housing for households under 30% AMI</w:t>
            </w:r>
            <w:r>
              <w:rPr>
                <w:color w:val="000000"/>
              </w:rPr>
              <w:br/>
              <w:t>Housing for households 31-60% AMI</w:t>
            </w:r>
          </w:p>
        </w:tc>
        <w:tc>
          <w:tcPr>
            <w:tcW w:w="0" w:type="auto"/>
            <w:tcBorders>
              <w:top w:val="single" w:sz="4" w:space="0" w:color="auto"/>
              <w:left w:val="single" w:sz="4" w:space="0" w:color="auto"/>
              <w:bottom w:val="single" w:sz="4" w:space="0" w:color="auto"/>
              <w:right w:val="single" w:sz="4" w:space="0" w:color="auto"/>
            </w:tcBorders>
          </w:tcPr>
          <w:p w14:paraId="3391A8B7" w14:textId="77777777" w:rsidR="00217A61" w:rsidRDefault="001C2695">
            <w:pPr>
              <w:spacing w:beforeAutospacing="1" w:afterAutospacing="1"/>
              <w:jc w:val="right"/>
            </w:pPr>
            <w:r>
              <w:rPr>
                <w:color w:val="000000"/>
              </w:rPr>
              <w:t>HOME: $5,500,000</w:t>
            </w:r>
            <w:r>
              <w:rPr>
                <w:color w:val="000000"/>
              </w:rPr>
              <w:br/>
              <w:t>HTF: $15,930,000</w:t>
            </w:r>
          </w:p>
        </w:tc>
        <w:tc>
          <w:tcPr>
            <w:tcW w:w="0" w:type="auto"/>
            <w:tcBorders>
              <w:top w:val="single" w:sz="4" w:space="0" w:color="auto"/>
              <w:left w:val="single" w:sz="4" w:space="0" w:color="auto"/>
              <w:bottom w:val="single" w:sz="4" w:space="0" w:color="auto"/>
              <w:right w:val="single" w:sz="4" w:space="0" w:color="auto"/>
            </w:tcBorders>
          </w:tcPr>
          <w:p w14:paraId="76023AFC" w14:textId="77777777" w:rsidR="00217A61" w:rsidRDefault="001C2695">
            <w:pPr>
              <w:spacing w:beforeAutospacing="1" w:afterAutospacing="1"/>
            </w:pPr>
            <w:r>
              <w:rPr>
                <w:color w:val="000000"/>
              </w:rPr>
              <w:t>Rental units constructed: 1465 Household Housing Unit</w:t>
            </w:r>
          </w:p>
        </w:tc>
      </w:tr>
      <w:tr w:rsidR="00217A61" w14:paraId="1E72A759" w14:textId="77777777">
        <w:trPr>
          <w:cantSplit/>
        </w:trPr>
        <w:tc>
          <w:tcPr>
            <w:tcW w:w="0" w:type="auto"/>
            <w:tcBorders>
              <w:top w:val="single" w:sz="4" w:space="0" w:color="auto"/>
              <w:left w:val="single" w:sz="4" w:space="0" w:color="auto"/>
              <w:bottom w:val="single" w:sz="4" w:space="0" w:color="auto"/>
              <w:right w:val="single" w:sz="4" w:space="0" w:color="auto"/>
            </w:tcBorders>
          </w:tcPr>
          <w:p w14:paraId="17ADDD78" w14:textId="77777777" w:rsidR="00217A61" w:rsidRDefault="001C2695">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14:paraId="0415FEE4" w14:textId="77777777" w:rsidR="00217A61" w:rsidRDefault="001C2695">
            <w:pPr>
              <w:spacing w:beforeAutospacing="1" w:afterAutospacing="1"/>
            </w:pPr>
            <w:r>
              <w:rPr>
                <w:color w:val="000000"/>
              </w:rPr>
              <w:t>CDBG Neighborhood Revitalization</w:t>
            </w:r>
          </w:p>
        </w:tc>
        <w:tc>
          <w:tcPr>
            <w:tcW w:w="0" w:type="auto"/>
            <w:tcBorders>
              <w:top w:val="single" w:sz="4" w:space="0" w:color="auto"/>
              <w:left w:val="single" w:sz="4" w:space="0" w:color="auto"/>
              <w:bottom w:val="single" w:sz="4" w:space="0" w:color="auto"/>
              <w:right w:val="single" w:sz="4" w:space="0" w:color="auto"/>
            </w:tcBorders>
          </w:tcPr>
          <w:p w14:paraId="5AE03071"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65AF410E"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0F5FA668" w14:textId="77777777" w:rsidR="00217A61" w:rsidRDefault="001C2695">
            <w:pPr>
              <w:spacing w:beforeAutospacing="1" w:afterAutospacing="1"/>
            </w:pPr>
            <w:r>
              <w:rPr>
                <w:color w:val="000000"/>
              </w:rPr>
              <w:t>Affordable Housing</w:t>
            </w:r>
            <w:r>
              <w:rPr>
                <w:color w:val="000000"/>
              </w:rPr>
              <w:br/>
              <w:t>Non</w:t>
            </w:r>
            <w:r>
              <w:rPr>
                <w:color w:val="000000"/>
              </w:rPr>
              <w:t>-Housing Community Development</w:t>
            </w:r>
          </w:p>
        </w:tc>
        <w:tc>
          <w:tcPr>
            <w:tcW w:w="0" w:type="auto"/>
            <w:tcBorders>
              <w:top w:val="single" w:sz="4" w:space="0" w:color="auto"/>
              <w:left w:val="single" w:sz="4" w:space="0" w:color="auto"/>
              <w:bottom w:val="single" w:sz="4" w:space="0" w:color="auto"/>
              <w:right w:val="single" w:sz="4" w:space="0" w:color="auto"/>
            </w:tcBorders>
          </w:tcPr>
          <w:p w14:paraId="637FA1F8"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32759E28"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6541300F" w14:textId="77777777" w:rsidR="00217A61" w:rsidRDefault="001C2695">
            <w:pPr>
              <w:spacing w:beforeAutospacing="1" w:afterAutospacing="1"/>
              <w:jc w:val="right"/>
            </w:pPr>
            <w:r>
              <w:rPr>
                <w:color w:val="000000"/>
              </w:rPr>
              <w:t>CDBG: $10,000,000</w:t>
            </w:r>
          </w:p>
        </w:tc>
        <w:tc>
          <w:tcPr>
            <w:tcW w:w="0" w:type="auto"/>
            <w:tcBorders>
              <w:top w:val="single" w:sz="4" w:space="0" w:color="auto"/>
              <w:left w:val="single" w:sz="4" w:space="0" w:color="auto"/>
              <w:bottom w:val="single" w:sz="4" w:space="0" w:color="auto"/>
              <w:right w:val="single" w:sz="4" w:space="0" w:color="auto"/>
            </w:tcBorders>
          </w:tcPr>
          <w:p w14:paraId="10DD8CE3" w14:textId="77777777" w:rsidR="00217A61" w:rsidRDefault="001C2695">
            <w:pPr>
              <w:spacing w:beforeAutospacing="1" w:afterAutospacing="1"/>
            </w:pPr>
            <w:r>
              <w:rPr>
                <w:color w:val="000000"/>
              </w:rPr>
              <w:t xml:space="preserve">Public Facility or Infrastructure Activities for Low/Moderate Income Housing Benefit: 10 Households </w:t>
            </w:r>
            <w:r>
              <w:rPr>
                <w:color w:val="000000"/>
              </w:rPr>
              <w:t>Assisted</w:t>
            </w:r>
            <w:r>
              <w:rPr>
                <w:color w:val="000000"/>
              </w:rPr>
              <w:br/>
              <w:t>Facade treatment/business building rehabilitation: 10 Business</w:t>
            </w:r>
            <w:r>
              <w:rPr>
                <w:color w:val="000000"/>
              </w:rPr>
              <w:br/>
              <w:t>Homeowner Housing Rehabilitated: 100 Household Housing Unit</w:t>
            </w:r>
          </w:p>
        </w:tc>
      </w:tr>
      <w:tr w:rsidR="00217A61" w14:paraId="5E2F886E" w14:textId="77777777">
        <w:trPr>
          <w:cantSplit/>
        </w:trPr>
        <w:tc>
          <w:tcPr>
            <w:tcW w:w="0" w:type="auto"/>
            <w:tcBorders>
              <w:top w:val="single" w:sz="4" w:space="0" w:color="auto"/>
              <w:left w:val="single" w:sz="4" w:space="0" w:color="auto"/>
              <w:bottom w:val="single" w:sz="4" w:space="0" w:color="auto"/>
              <w:right w:val="single" w:sz="4" w:space="0" w:color="auto"/>
            </w:tcBorders>
          </w:tcPr>
          <w:p w14:paraId="2F8AD4BB" w14:textId="77777777" w:rsidR="00217A61" w:rsidRDefault="001C2695">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14:paraId="7C0FC3C6" w14:textId="77777777" w:rsidR="00217A61" w:rsidRDefault="001C2695">
            <w:pPr>
              <w:spacing w:beforeAutospacing="1" w:afterAutospacing="1"/>
            </w:pPr>
            <w:r>
              <w:rPr>
                <w:color w:val="000000"/>
              </w:rPr>
              <w:t>CDBG Economic Development</w:t>
            </w:r>
          </w:p>
        </w:tc>
        <w:tc>
          <w:tcPr>
            <w:tcW w:w="0" w:type="auto"/>
            <w:tcBorders>
              <w:top w:val="single" w:sz="4" w:space="0" w:color="auto"/>
              <w:left w:val="single" w:sz="4" w:space="0" w:color="auto"/>
              <w:bottom w:val="single" w:sz="4" w:space="0" w:color="auto"/>
              <w:right w:val="single" w:sz="4" w:space="0" w:color="auto"/>
            </w:tcBorders>
          </w:tcPr>
          <w:p w14:paraId="03D68BD4"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58BEF218"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305A77C2" w14:textId="77777777" w:rsidR="00217A61" w:rsidRDefault="001C2695">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14:paraId="19B11CAE"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3AA5F276"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0B537C00" w14:textId="77777777" w:rsidR="00217A61" w:rsidRDefault="001C2695">
            <w:pPr>
              <w:spacing w:beforeAutospacing="1" w:afterAutospacing="1"/>
              <w:jc w:val="right"/>
            </w:pPr>
            <w:r>
              <w:rPr>
                <w:color w:val="000000"/>
              </w:rPr>
              <w:t>CDBG: $14,000,000</w:t>
            </w:r>
          </w:p>
        </w:tc>
        <w:tc>
          <w:tcPr>
            <w:tcW w:w="0" w:type="auto"/>
            <w:tcBorders>
              <w:top w:val="single" w:sz="4" w:space="0" w:color="auto"/>
              <w:left w:val="single" w:sz="4" w:space="0" w:color="auto"/>
              <w:bottom w:val="single" w:sz="4" w:space="0" w:color="auto"/>
              <w:right w:val="single" w:sz="4" w:space="0" w:color="auto"/>
            </w:tcBorders>
          </w:tcPr>
          <w:p w14:paraId="1CC8CB64" w14:textId="77777777" w:rsidR="00217A61" w:rsidRDefault="001C2695">
            <w:pPr>
              <w:spacing w:beforeAutospacing="1" w:afterAutospacing="1"/>
            </w:pPr>
            <w:r>
              <w:rPr>
                <w:color w:val="000000"/>
              </w:rPr>
              <w:t>Jobs created/retained: 600 Jobs</w:t>
            </w:r>
          </w:p>
        </w:tc>
      </w:tr>
      <w:tr w:rsidR="00217A61" w14:paraId="6F2E2F6D" w14:textId="77777777">
        <w:trPr>
          <w:cantSplit/>
        </w:trPr>
        <w:tc>
          <w:tcPr>
            <w:tcW w:w="0" w:type="auto"/>
            <w:tcBorders>
              <w:top w:val="single" w:sz="4" w:space="0" w:color="auto"/>
              <w:left w:val="single" w:sz="4" w:space="0" w:color="auto"/>
              <w:bottom w:val="single" w:sz="4" w:space="0" w:color="auto"/>
              <w:right w:val="single" w:sz="4" w:space="0" w:color="auto"/>
            </w:tcBorders>
          </w:tcPr>
          <w:p w14:paraId="6091BA47" w14:textId="77777777" w:rsidR="00217A61" w:rsidRDefault="001C2695">
            <w:pPr>
              <w:spacing w:beforeAutospacing="1" w:afterAutospacing="1"/>
            </w:pPr>
            <w:r>
              <w:rPr>
                <w:b/>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tcPr>
          <w:p w14:paraId="51A41939" w14:textId="77777777" w:rsidR="00217A61" w:rsidRDefault="001C2695">
            <w:pPr>
              <w:spacing w:beforeAutospacing="1" w:afterAutospacing="1"/>
            </w:pPr>
            <w:r>
              <w:rPr>
                <w:color w:val="000000"/>
              </w:rPr>
              <w:t>CDBG Infrastructure</w:t>
            </w:r>
          </w:p>
        </w:tc>
        <w:tc>
          <w:tcPr>
            <w:tcW w:w="0" w:type="auto"/>
            <w:tcBorders>
              <w:top w:val="single" w:sz="4" w:space="0" w:color="auto"/>
              <w:left w:val="single" w:sz="4" w:space="0" w:color="auto"/>
              <w:bottom w:val="single" w:sz="4" w:space="0" w:color="auto"/>
              <w:right w:val="single" w:sz="4" w:space="0" w:color="auto"/>
            </w:tcBorders>
          </w:tcPr>
          <w:p w14:paraId="1F687AF9"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06425F14"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3B4633B8" w14:textId="77777777" w:rsidR="00217A61" w:rsidRDefault="001C2695">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14:paraId="0F3AEF31"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62F6DA01"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331642D6" w14:textId="77777777" w:rsidR="00217A61" w:rsidRDefault="001C2695">
            <w:pPr>
              <w:spacing w:beforeAutospacing="1" w:afterAutospacing="1"/>
              <w:jc w:val="right"/>
            </w:pPr>
            <w:r>
              <w:rPr>
                <w:color w:val="000000"/>
              </w:rPr>
              <w:t>CDBG: $24,000,000</w:t>
            </w:r>
          </w:p>
        </w:tc>
        <w:tc>
          <w:tcPr>
            <w:tcW w:w="0" w:type="auto"/>
            <w:tcBorders>
              <w:top w:val="single" w:sz="4" w:space="0" w:color="auto"/>
              <w:left w:val="single" w:sz="4" w:space="0" w:color="auto"/>
              <w:bottom w:val="single" w:sz="4" w:space="0" w:color="auto"/>
              <w:right w:val="single" w:sz="4" w:space="0" w:color="auto"/>
            </w:tcBorders>
          </w:tcPr>
          <w:p w14:paraId="780EE9D9" w14:textId="77777777" w:rsidR="00217A61" w:rsidRDefault="001C2695">
            <w:pPr>
              <w:spacing w:beforeAutospacing="1" w:afterAutospacing="1"/>
            </w:pPr>
            <w:r>
              <w:rPr>
                <w:color w:val="000000"/>
              </w:rPr>
              <w:t>Public Facility or Infrastructure Activities for Low/Moderate Income Housing Benefit: 1000 Households Assisted</w:t>
            </w:r>
          </w:p>
        </w:tc>
      </w:tr>
      <w:tr w:rsidR="00217A61" w14:paraId="1766A57F" w14:textId="77777777">
        <w:trPr>
          <w:cantSplit/>
        </w:trPr>
        <w:tc>
          <w:tcPr>
            <w:tcW w:w="0" w:type="auto"/>
            <w:tcBorders>
              <w:top w:val="single" w:sz="4" w:space="0" w:color="auto"/>
              <w:left w:val="single" w:sz="4" w:space="0" w:color="auto"/>
              <w:bottom w:val="single" w:sz="4" w:space="0" w:color="auto"/>
              <w:right w:val="single" w:sz="4" w:space="0" w:color="auto"/>
            </w:tcBorders>
          </w:tcPr>
          <w:p w14:paraId="59DE63B4" w14:textId="77777777" w:rsidR="00217A61" w:rsidRDefault="001C2695">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14:paraId="43A3DB04" w14:textId="77777777" w:rsidR="00217A61" w:rsidRDefault="001C2695">
            <w:pPr>
              <w:spacing w:beforeAutospacing="1" w:afterAutospacing="1"/>
            </w:pPr>
            <w:r>
              <w:rPr>
                <w:color w:val="000000"/>
              </w:rPr>
              <w:t>HOPWA-Short-Term Rent and Utilities</w:t>
            </w:r>
          </w:p>
        </w:tc>
        <w:tc>
          <w:tcPr>
            <w:tcW w:w="0" w:type="auto"/>
            <w:tcBorders>
              <w:top w:val="single" w:sz="4" w:space="0" w:color="auto"/>
              <w:left w:val="single" w:sz="4" w:space="0" w:color="auto"/>
              <w:bottom w:val="single" w:sz="4" w:space="0" w:color="auto"/>
              <w:right w:val="single" w:sz="4" w:space="0" w:color="auto"/>
            </w:tcBorders>
          </w:tcPr>
          <w:p w14:paraId="0015EE24"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645D8BB4"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73C5742C" w14:textId="77777777" w:rsidR="00217A61" w:rsidRDefault="001C2695">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14:paraId="7906A628"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0F213536" w14:textId="77777777" w:rsidR="00217A61" w:rsidRDefault="001C2695">
            <w:pPr>
              <w:spacing w:beforeAutospacing="1" w:afterAutospacing="1"/>
            </w:pPr>
            <w:r>
              <w:rPr>
                <w:color w:val="000000"/>
              </w:rPr>
              <w:t>Housing for households under 30% AMI</w:t>
            </w:r>
            <w:r>
              <w:rPr>
                <w:color w:val="000000"/>
              </w:rPr>
              <w:br/>
              <w:t>Housing for househol</w:t>
            </w:r>
            <w:r>
              <w:rPr>
                <w:color w:val="000000"/>
              </w:rPr>
              <w:t>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080302A8" w14:textId="77777777" w:rsidR="00217A61" w:rsidRDefault="001C2695">
            <w:pPr>
              <w:spacing w:beforeAutospacing="1" w:afterAutospacing="1"/>
              <w:jc w:val="right"/>
            </w:pPr>
            <w:r>
              <w:rPr>
                <w:color w:val="000000"/>
              </w:rPr>
              <w:t>HOPWA: $1,000</w:t>
            </w:r>
          </w:p>
        </w:tc>
        <w:tc>
          <w:tcPr>
            <w:tcW w:w="0" w:type="auto"/>
            <w:tcBorders>
              <w:top w:val="single" w:sz="4" w:space="0" w:color="auto"/>
              <w:left w:val="single" w:sz="4" w:space="0" w:color="auto"/>
              <w:bottom w:val="single" w:sz="4" w:space="0" w:color="auto"/>
              <w:right w:val="single" w:sz="4" w:space="0" w:color="auto"/>
            </w:tcBorders>
          </w:tcPr>
          <w:p w14:paraId="768996AF" w14:textId="77777777" w:rsidR="00217A61" w:rsidRDefault="001C2695">
            <w:pPr>
              <w:spacing w:beforeAutospacing="1" w:afterAutospacing="1"/>
            </w:pPr>
            <w:r>
              <w:rPr>
                <w:color w:val="000000"/>
              </w:rPr>
              <w:t>Housing for People with HIV/AIDS added: 1000 Household Housing Unit</w:t>
            </w:r>
          </w:p>
        </w:tc>
      </w:tr>
      <w:tr w:rsidR="00217A61" w14:paraId="1AAA97CB" w14:textId="77777777">
        <w:trPr>
          <w:cantSplit/>
        </w:trPr>
        <w:tc>
          <w:tcPr>
            <w:tcW w:w="0" w:type="auto"/>
            <w:tcBorders>
              <w:top w:val="single" w:sz="4" w:space="0" w:color="auto"/>
              <w:left w:val="single" w:sz="4" w:space="0" w:color="auto"/>
              <w:bottom w:val="single" w:sz="4" w:space="0" w:color="auto"/>
              <w:right w:val="single" w:sz="4" w:space="0" w:color="auto"/>
            </w:tcBorders>
          </w:tcPr>
          <w:p w14:paraId="57E7BE98" w14:textId="77777777" w:rsidR="00217A61" w:rsidRDefault="001C2695">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14:paraId="7087B5AB" w14:textId="77777777" w:rsidR="00217A61" w:rsidRDefault="001C2695">
            <w:pPr>
              <w:spacing w:beforeAutospacing="1" w:afterAutospacing="1"/>
            </w:pPr>
            <w:r>
              <w:rPr>
                <w:color w:val="000000"/>
              </w:rPr>
              <w:t>HOPWA Facility-Based</w:t>
            </w:r>
          </w:p>
        </w:tc>
        <w:tc>
          <w:tcPr>
            <w:tcW w:w="0" w:type="auto"/>
            <w:tcBorders>
              <w:top w:val="single" w:sz="4" w:space="0" w:color="auto"/>
              <w:left w:val="single" w:sz="4" w:space="0" w:color="auto"/>
              <w:bottom w:val="single" w:sz="4" w:space="0" w:color="auto"/>
              <w:right w:val="single" w:sz="4" w:space="0" w:color="auto"/>
            </w:tcBorders>
          </w:tcPr>
          <w:p w14:paraId="215142E8"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45807368"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6BD82E4D" w14:textId="77777777" w:rsidR="00217A61" w:rsidRDefault="001C2695">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14:paraId="5F7531CA"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2E03E8ED"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670B9E11" w14:textId="77777777" w:rsidR="00217A61" w:rsidRDefault="001C2695">
            <w:pPr>
              <w:spacing w:beforeAutospacing="1" w:afterAutospacing="1"/>
              <w:jc w:val="right"/>
            </w:pPr>
            <w:r>
              <w:rPr>
                <w:color w:val="000000"/>
              </w:rPr>
              <w:t>HOPWA: $750,150</w:t>
            </w:r>
          </w:p>
        </w:tc>
        <w:tc>
          <w:tcPr>
            <w:tcW w:w="0" w:type="auto"/>
            <w:tcBorders>
              <w:top w:val="single" w:sz="4" w:space="0" w:color="auto"/>
              <w:left w:val="single" w:sz="4" w:space="0" w:color="auto"/>
              <w:bottom w:val="single" w:sz="4" w:space="0" w:color="auto"/>
              <w:right w:val="single" w:sz="4" w:space="0" w:color="auto"/>
            </w:tcBorders>
          </w:tcPr>
          <w:p w14:paraId="43BBE770" w14:textId="77777777" w:rsidR="00217A61" w:rsidRDefault="001C2695">
            <w:pPr>
              <w:spacing w:beforeAutospacing="1" w:afterAutospacing="1"/>
            </w:pPr>
            <w:r>
              <w:rPr>
                <w:color w:val="000000"/>
              </w:rPr>
              <w:t>HIV/AIDS Housing Operations: 75 Household Housing Unit</w:t>
            </w:r>
          </w:p>
        </w:tc>
      </w:tr>
      <w:tr w:rsidR="00217A61" w14:paraId="2FA5DE34" w14:textId="77777777">
        <w:trPr>
          <w:cantSplit/>
        </w:trPr>
        <w:tc>
          <w:tcPr>
            <w:tcW w:w="0" w:type="auto"/>
            <w:tcBorders>
              <w:top w:val="single" w:sz="4" w:space="0" w:color="auto"/>
              <w:left w:val="single" w:sz="4" w:space="0" w:color="auto"/>
              <w:bottom w:val="single" w:sz="4" w:space="0" w:color="auto"/>
              <w:right w:val="single" w:sz="4" w:space="0" w:color="auto"/>
            </w:tcBorders>
          </w:tcPr>
          <w:p w14:paraId="1D8E1400" w14:textId="77777777" w:rsidR="00217A61" w:rsidRDefault="001C2695">
            <w:pPr>
              <w:spacing w:beforeAutospacing="1" w:afterAutospacing="1"/>
            </w:pPr>
            <w:r>
              <w:rPr>
                <w:b/>
                <w:color w:val="000000"/>
              </w:rPr>
              <w:lastRenderedPageBreak/>
              <w:t>9</w:t>
            </w:r>
          </w:p>
        </w:tc>
        <w:tc>
          <w:tcPr>
            <w:tcW w:w="0" w:type="auto"/>
            <w:tcBorders>
              <w:top w:val="single" w:sz="4" w:space="0" w:color="auto"/>
              <w:left w:val="single" w:sz="4" w:space="0" w:color="auto"/>
              <w:bottom w:val="single" w:sz="4" w:space="0" w:color="auto"/>
              <w:right w:val="single" w:sz="4" w:space="0" w:color="auto"/>
            </w:tcBorders>
          </w:tcPr>
          <w:p w14:paraId="6EA201E3" w14:textId="77777777" w:rsidR="00217A61" w:rsidRDefault="001C2695">
            <w:pPr>
              <w:spacing w:beforeAutospacing="1" w:afterAutospacing="1"/>
            </w:pPr>
            <w:r>
              <w:rPr>
                <w:color w:val="000000"/>
              </w:rPr>
              <w:t>HOPWA Permanent Housing Placement</w:t>
            </w:r>
          </w:p>
        </w:tc>
        <w:tc>
          <w:tcPr>
            <w:tcW w:w="0" w:type="auto"/>
            <w:tcBorders>
              <w:top w:val="single" w:sz="4" w:space="0" w:color="auto"/>
              <w:left w:val="single" w:sz="4" w:space="0" w:color="auto"/>
              <w:bottom w:val="single" w:sz="4" w:space="0" w:color="auto"/>
              <w:right w:val="single" w:sz="4" w:space="0" w:color="auto"/>
            </w:tcBorders>
          </w:tcPr>
          <w:p w14:paraId="582F6304"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2CF66C8B"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04AECD0B" w14:textId="77777777" w:rsidR="00217A61" w:rsidRDefault="001C2695">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14:paraId="40FCC97B"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3CCA4D26"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37FE8000" w14:textId="77777777" w:rsidR="00217A61" w:rsidRDefault="001C2695">
            <w:pPr>
              <w:spacing w:beforeAutospacing="1" w:afterAutospacing="1"/>
              <w:jc w:val="right"/>
            </w:pPr>
            <w:r>
              <w:rPr>
                <w:color w:val="000000"/>
              </w:rPr>
              <w:t>HOPWA: $150,000</w:t>
            </w:r>
          </w:p>
        </w:tc>
        <w:tc>
          <w:tcPr>
            <w:tcW w:w="0" w:type="auto"/>
            <w:tcBorders>
              <w:top w:val="single" w:sz="4" w:space="0" w:color="auto"/>
              <w:left w:val="single" w:sz="4" w:space="0" w:color="auto"/>
              <w:bottom w:val="single" w:sz="4" w:space="0" w:color="auto"/>
              <w:right w:val="single" w:sz="4" w:space="0" w:color="auto"/>
            </w:tcBorders>
          </w:tcPr>
          <w:p w14:paraId="398147A2" w14:textId="77777777" w:rsidR="00217A61" w:rsidRDefault="001C2695">
            <w:pPr>
              <w:spacing w:beforeAutospacing="1" w:afterAutospacing="1"/>
            </w:pPr>
            <w:r>
              <w:rPr>
                <w:color w:val="000000"/>
              </w:rPr>
              <w:t>Housing for People with HIV/AIDS added: 60 Household Housing Unit</w:t>
            </w:r>
          </w:p>
        </w:tc>
      </w:tr>
      <w:tr w:rsidR="00217A61" w14:paraId="2109A09C" w14:textId="77777777">
        <w:trPr>
          <w:cantSplit/>
        </w:trPr>
        <w:tc>
          <w:tcPr>
            <w:tcW w:w="0" w:type="auto"/>
            <w:tcBorders>
              <w:top w:val="single" w:sz="4" w:space="0" w:color="auto"/>
              <w:left w:val="single" w:sz="4" w:space="0" w:color="auto"/>
              <w:bottom w:val="single" w:sz="4" w:space="0" w:color="auto"/>
              <w:right w:val="single" w:sz="4" w:space="0" w:color="auto"/>
            </w:tcBorders>
          </w:tcPr>
          <w:p w14:paraId="094A4E41" w14:textId="77777777" w:rsidR="00217A61" w:rsidRDefault="001C2695">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14:paraId="02A8D388" w14:textId="77777777" w:rsidR="00217A61" w:rsidRDefault="001C2695">
            <w:pPr>
              <w:spacing w:beforeAutospacing="1" w:afterAutospacing="1"/>
            </w:pPr>
            <w:r>
              <w:rPr>
                <w:color w:val="000000"/>
              </w:rPr>
              <w:t>CDBG Contingency and Urgent Needs</w:t>
            </w:r>
          </w:p>
        </w:tc>
        <w:tc>
          <w:tcPr>
            <w:tcW w:w="0" w:type="auto"/>
            <w:tcBorders>
              <w:top w:val="single" w:sz="4" w:space="0" w:color="auto"/>
              <w:left w:val="single" w:sz="4" w:space="0" w:color="auto"/>
              <w:bottom w:val="single" w:sz="4" w:space="0" w:color="auto"/>
              <w:right w:val="single" w:sz="4" w:space="0" w:color="auto"/>
            </w:tcBorders>
          </w:tcPr>
          <w:p w14:paraId="21C7B990"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062682CA"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0E742FB7"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1A573907"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1F338834"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16FCF162" w14:textId="77777777" w:rsidR="00217A61" w:rsidRDefault="001C2695">
            <w:pPr>
              <w:spacing w:beforeAutospacing="1" w:afterAutospacing="1"/>
              <w:jc w:val="right"/>
            </w:pPr>
            <w:r>
              <w:rPr>
                <w:color w:val="000000"/>
              </w:rPr>
              <w:t>CDBG: $1,000,000</w:t>
            </w:r>
          </w:p>
        </w:tc>
        <w:tc>
          <w:tcPr>
            <w:tcW w:w="0" w:type="auto"/>
            <w:tcBorders>
              <w:top w:val="single" w:sz="4" w:space="0" w:color="auto"/>
              <w:left w:val="single" w:sz="4" w:space="0" w:color="auto"/>
              <w:bottom w:val="single" w:sz="4" w:space="0" w:color="auto"/>
              <w:right w:val="single" w:sz="4" w:space="0" w:color="auto"/>
            </w:tcBorders>
          </w:tcPr>
          <w:p w14:paraId="00C502D0" w14:textId="77777777" w:rsidR="00217A61" w:rsidRDefault="001C2695">
            <w:pPr>
              <w:spacing w:beforeAutospacing="1" w:afterAutospacing="1"/>
            </w:pPr>
            <w:r>
              <w:rPr>
                <w:color w:val="000000"/>
              </w:rPr>
              <w:t>Other: 2 Other</w:t>
            </w:r>
          </w:p>
        </w:tc>
      </w:tr>
      <w:tr w:rsidR="00217A61" w14:paraId="48911F5D" w14:textId="77777777">
        <w:trPr>
          <w:cantSplit/>
        </w:trPr>
        <w:tc>
          <w:tcPr>
            <w:tcW w:w="0" w:type="auto"/>
            <w:tcBorders>
              <w:top w:val="single" w:sz="4" w:space="0" w:color="auto"/>
              <w:left w:val="single" w:sz="4" w:space="0" w:color="auto"/>
              <w:bottom w:val="single" w:sz="4" w:space="0" w:color="auto"/>
              <w:right w:val="single" w:sz="4" w:space="0" w:color="auto"/>
            </w:tcBorders>
          </w:tcPr>
          <w:p w14:paraId="0963393F" w14:textId="77777777" w:rsidR="00217A61" w:rsidRDefault="001C2695">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14:paraId="3E97EA2F" w14:textId="77777777" w:rsidR="00217A61" w:rsidRDefault="001C2695">
            <w:pPr>
              <w:spacing w:beforeAutospacing="1" w:afterAutospacing="1"/>
            </w:pPr>
            <w:r>
              <w:rPr>
                <w:color w:val="000000"/>
              </w:rPr>
              <w:t>HOPWA Supportive Services</w:t>
            </w:r>
          </w:p>
        </w:tc>
        <w:tc>
          <w:tcPr>
            <w:tcW w:w="0" w:type="auto"/>
            <w:tcBorders>
              <w:top w:val="single" w:sz="4" w:space="0" w:color="auto"/>
              <w:left w:val="single" w:sz="4" w:space="0" w:color="auto"/>
              <w:bottom w:val="single" w:sz="4" w:space="0" w:color="auto"/>
              <w:right w:val="single" w:sz="4" w:space="0" w:color="auto"/>
            </w:tcBorders>
          </w:tcPr>
          <w:p w14:paraId="64FFE96C"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48AABC62"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5909E7DF" w14:textId="77777777" w:rsidR="00217A61" w:rsidRDefault="001C2695">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14:paraId="6C1141E8"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6D1A50B2"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2596C0C4" w14:textId="77777777" w:rsidR="00217A61" w:rsidRDefault="001C2695">
            <w:pPr>
              <w:spacing w:beforeAutospacing="1" w:afterAutospacing="1"/>
              <w:jc w:val="right"/>
            </w:pPr>
            <w:r>
              <w:rPr>
                <w:color w:val="000000"/>
              </w:rPr>
              <w:t>HOPWA: $200,000</w:t>
            </w:r>
          </w:p>
        </w:tc>
        <w:tc>
          <w:tcPr>
            <w:tcW w:w="0" w:type="auto"/>
            <w:tcBorders>
              <w:top w:val="single" w:sz="4" w:space="0" w:color="auto"/>
              <w:left w:val="single" w:sz="4" w:space="0" w:color="auto"/>
              <w:bottom w:val="single" w:sz="4" w:space="0" w:color="auto"/>
              <w:right w:val="single" w:sz="4" w:space="0" w:color="auto"/>
            </w:tcBorders>
          </w:tcPr>
          <w:p w14:paraId="236DDBAC" w14:textId="77777777" w:rsidR="00217A61" w:rsidRDefault="001C2695">
            <w:pPr>
              <w:spacing w:beforeAutospacing="1" w:afterAutospacing="1"/>
            </w:pPr>
            <w:r>
              <w:rPr>
                <w:color w:val="000000"/>
              </w:rPr>
              <w:t>Housing for People with HIV/AIDS added: 100 Household Housing Unit</w:t>
            </w:r>
          </w:p>
        </w:tc>
      </w:tr>
      <w:tr w:rsidR="00217A61" w14:paraId="5A8CDDFD" w14:textId="77777777">
        <w:trPr>
          <w:cantSplit/>
        </w:trPr>
        <w:tc>
          <w:tcPr>
            <w:tcW w:w="0" w:type="auto"/>
            <w:tcBorders>
              <w:top w:val="single" w:sz="4" w:space="0" w:color="auto"/>
              <w:left w:val="single" w:sz="4" w:space="0" w:color="auto"/>
              <w:bottom w:val="single" w:sz="4" w:space="0" w:color="auto"/>
              <w:right w:val="single" w:sz="4" w:space="0" w:color="auto"/>
            </w:tcBorders>
          </w:tcPr>
          <w:p w14:paraId="026D1060" w14:textId="77777777" w:rsidR="00217A61" w:rsidRDefault="001C2695">
            <w:pPr>
              <w:spacing w:beforeAutospacing="1" w:afterAutospacing="1"/>
            </w:pPr>
            <w:r>
              <w:rPr>
                <w:b/>
                <w:color w:val="000000"/>
              </w:rPr>
              <w:lastRenderedPageBreak/>
              <w:t>12</w:t>
            </w:r>
          </w:p>
        </w:tc>
        <w:tc>
          <w:tcPr>
            <w:tcW w:w="0" w:type="auto"/>
            <w:tcBorders>
              <w:top w:val="single" w:sz="4" w:space="0" w:color="auto"/>
              <w:left w:val="single" w:sz="4" w:space="0" w:color="auto"/>
              <w:bottom w:val="single" w:sz="4" w:space="0" w:color="auto"/>
              <w:right w:val="single" w:sz="4" w:space="0" w:color="auto"/>
            </w:tcBorders>
          </w:tcPr>
          <w:p w14:paraId="2D19E155" w14:textId="77777777" w:rsidR="00217A61" w:rsidRDefault="001C2695">
            <w:pPr>
              <w:spacing w:beforeAutospacing="1" w:afterAutospacing="1"/>
            </w:pPr>
            <w:r>
              <w:rPr>
                <w:color w:val="000000"/>
              </w:rPr>
              <w:t>ESG</w:t>
            </w:r>
          </w:p>
        </w:tc>
        <w:tc>
          <w:tcPr>
            <w:tcW w:w="0" w:type="auto"/>
            <w:tcBorders>
              <w:top w:val="single" w:sz="4" w:space="0" w:color="auto"/>
              <w:left w:val="single" w:sz="4" w:space="0" w:color="auto"/>
              <w:bottom w:val="single" w:sz="4" w:space="0" w:color="auto"/>
              <w:right w:val="single" w:sz="4" w:space="0" w:color="auto"/>
            </w:tcBorders>
          </w:tcPr>
          <w:p w14:paraId="54E64509" w14:textId="77777777" w:rsidR="00217A61" w:rsidRDefault="001C2695">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14:paraId="20F33BDE" w14:textId="77777777" w:rsidR="00217A61" w:rsidRDefault="001C2695">
            <w:pPr>
              <w:spacing w:beforeAutospacing="1" w:afterAutospacing="1"/>
              <w:jc w:val="right"/>
            </w:pPr>
            <w:r>
              <w:rPr>
                <w:color w:val="000000"/>
              </w:rPr>
              <w:t>2025</w:t>
            </w:r>
          </w:p>
        </w:tc>
        <w:tc>
          <w:tcPr>
            <w:tcW w:w="0" w:type="auto"/>
            <w:tcBorders>
              <w:top w:val="single" w:sz="4" w:space="0" w:color="auto"/>
              <w:left w:val="single" w:sz="4" w:space="0" w:color="auto"/>
              <w:bottom w:val="single" w:sz="4" w:space="0" w:color="auto"/>
              <w:right w:val="single" w:sz="4" w:space="0" w:color="auto"/>
            </w:tcBorders>
          </w:tcPr>
          <w:p w14:paraId="2E4C8612"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48C032E3" w14:textId="77777777" w:rsidR="00217A61" w:rsidRDefault="001C2695">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14:paraId="106CF9D9" w14:textId="77777777" w:rsidR="00217A61" w:rsidRDefault="001C2695">
            <w:pPr>
              <w:spacing w:beforeAutospacing="1" w:afterAutospacing="1"/>
            </w:pPr>
            <w:r>
              <w:rPr>
                <w:color w:val="000000"/>
              </w:rPr>
              <w:t>Housing for households under 30% AMI</w:t>
            </w:r>
            <w:r>
              <w:rPr>
                <w:color w:val="000000"/>
              </w:rPr>
              <w:br/>
              <w:t>Housing for households 31-60% AMI</w:t>
            </w:r>
            <w:r>
              <w:rPr>
                <w:color w:val="000000"/>
              </w:rPr>
              <w:br/>
              <w:t>Housing for households 61-80% AMI</w:t>
            </w:r>
          </w:p>
        </w:tc>
        <w:tc>
          <w:tcPr>
            <w:tcW w:w="0" w:type="auto"/>
            <w:tcBorders>
              <w:top w:val="single" w:sz="4" w:space="0" w:color="auto"/>
              <w:left w:val="single" w:sz="4" w:space="0" w:color="auto"/>
              <w:bottom w:val="single" w:sz="4" w:space="0" w:color="auto"/>
              <w:right w:val="single" w:sz="4" w:space="0" w:color="auto"/>
            </w:tcBorders>
          </w:tcPr>
          <w:p w14:paraId="3FB9A2F8" w14:textId="77777777" w:rsidR="00217A61" w:rsidRDefault="001C2695">
            <w:pPr>
              <w:spacing w:beforeAutospacing="1" w:afterAutospacing="1"/>
              <w:jc w:val="right"/>
            </w:pPr>
            <w:r>
              <w:rPr>
                <w:color w:val="000000"/>
              </w:rPr>
              <w:t>ESG: $1,000,000</w:t>
            </w:r>
          </w:p>
        </w:tc>
        <w:tc>
          <w:tcPr>
            <w:tcW w:w="0" w:type="auto"/>
            <w:tcBorders>
              <w:top w:val="single" w:sz="4" w:space="0" w:color="auto"/>
              <w:left w:val="single" w:sz="4" w:space="0" w:color="auto"/>
              <w:bottom w:val="single" w:sz="4" w:space="0" w:color="auto"/>
              <w:right w:val="single" w:sz="4" w:space="0" w:color="auto"/>
            </w:tcBorders>
          </w:tcPr>
          <w:p w14:paraId="4FADD338" w14:textId="77777777" w:rsidR="00217A61" w:rsidRDefault="001C2695">
            <w:pPr>
              <w:spacing w:beforeAutospacing="1" w:afterAutospacing="1"/>
            </w:pPr>
            <w:r>
              <w:rPr>
                <w:color w:val="000000"/>
              </w:rPr>
              <w:t>Homelessness Prevention: 100 Persons Assisted</w:t>
            </w:r>
          </w:p>
        </w:tc>
      </w:tr>
    </w:tbl>
    <w:p w14:paraId="692D1A29"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Goals Summary</w:t>
      </w:r>
    </w:p>
    <w:p w14:paraId="02517C47" w14:textId="77777777" w:rsidR="00217A61" w:rsidRDefault="00217A61"/>
    <w:p w14:paraId="0B195A0E" w14:textId="77777777" w:rsidR="00217A61" w:rsidRDefault="001C2695">
      <w:pPr>
        <w:rPr>
          <w:b/>
          <w:sz w:val="24"/>
          <w:szCs w:val="24"/>
        </w:rPr>
      </w:pPr>
      <w:r>
        <w:rPr>
          <w:b/>
          <w:sz w:val="24"/>
          <w:szCs w:val="24"/>
        </w:rPr>
        <w:t>Goal Descriptions</w:t>
      </w:r>
    </w:p>
    <w:p w14:paraId="66A08FA5" w14:textId="77777777" w:rsidR="00217A61" w:rsidRDefault="00217A6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734"/>
        <w:gridCol w:w="8501"/>
      </w:tblGrid>
      <w:tr w:rsidR="00217A61" w14:paraId="78479EE7" w14:textId="77777777">
        <w:trPr>
          <w:cantSplit/>
        </w:trPr>
        <w:tc>
          <w:tcPr>
            <w:tcW w:w="0" w:type="auto"/>
            <w:vMerge w:val="restart"/>
          </w:tcPr>
          <w:p w14:paraId="38B3A57E" w14:textId="77777777" w:rsidR="00217A61" w:rsidRDefault="001C2695">
            <w:pPr>
              <w:keepNext/>
              <w:spacing w:before="100" w:after="0"/>
            </w:pPr>
            <w:r>
              <w:rPr>
                <w:b/>
                <w:color w:val="000000"/>
              </w:rPr>
              <w:t>1</w:t>
            </w:r>
          </w:p>
        </w:tc>
        <w:tc>
          <w:tcPr>
            <w:tcW w:w="0" w:type="auto"/>
          </w:tcPr>
          <w:p w14:paraId="5EE0A74A" w14:textId="77777777" w:rsidR="00217A61" w:rsidRDefault="001C2695">
            <w:pPr>
              <w:keepNext/>
              <w:spacing w:before="100" w:after="0"/>
              <w:rPr>
                <w:b/>
              </w:rPr>
            </w:pPr>
            <w:r>
              <w:rPr>
                <w:b/>
              </w:rPr>
              <w:t>Goal Name</w:t>
            </w:r>
          </w:p>
        </w:tc>
        <w:tc>
          <w:tcPr>
            <w:tcW w:w="0" w:type="auto"/>
          </w:tcPr>
          <w:p w14:paraId="6B7EBDE3" w14:textId="77777777" w:rsidR="00217A61" w:rsidRDefault="001C2695">
            <w:pPr>
              <w:spacing w:before="100" w:after="0"/>
            </w:pPr>
            <w:r>
              <w:rPr>
                <w:color w:val="000000"/>
              </w:rPr>
              <w:t>Homeowner Housing Rehabilitation</w:t>
            </w:r>
          </w:p>
        </w:tc>
      </w:tr>
      <w:tr w:rsidR="00217A61" w14:paraId="17B512C8" w14:textId="77777777">
        <w:trPr>
          <w:cantSplit/>
        </w:trPr>
        <w:tc>
          <w:tcPr>
            <w:tcW w:w="0" w:type="auto"/>
            <w:vMerge/>
          </w:tcPr>
          <w:p w14:paraId="6EA8046B" w14:textId="77777777" w:rsidR="00217A61" w:rsidRDefault="00217A61"/>
        </w:tc>
        <w:tc>
          <w:tcPr>
            <w:tcW w:w="0" w:type="auto"/>
          </w:tcPr>
          <w:p w14:paraId="3EBE6A7E" w14:textId="77777777" w:rsidR="00217A61" w:rsidRDefault="001C2695">
            <w:pPr>
              <w:keepNext/>
              <w:spacing w:before="100" w:after="0"/>
              <w:rPr>
                <w:b/>
              </w:rPr>
            </w:pPr>
            <w:r>
              <w:rPr>
                <w:b/>
              </w:rPr>
              <w:t>Goal Description</w:t>
            </w:r>
          </w:p>
        </w:tc>
        <w:tc>
          <w:tcPr>
            <w:tcW w:w="0" w:type="auto"/>
          </w:tcPr>
          <w:p w14:paraId="2A0833B9" w14:textId="77777777" w:rsidR="00217A61" w:rsidRDefault="001C2695">
            <w:pPr>
              <w:spacing w:before="100" w:after="0"/>
            </w:pPr>
            <w:r>
              <w:rPr>
                <w:color w:val="000000"/>
              </w:rPr>
              <w:t xml:space="preserve"> </w:t>
            </w:r>
          </w:p>
        </w:tc>
      </w:tr>
      <w:tr w:rsidR="00217A61" w14:paraId="3D37CBB4" w14:textId="77777777">
        <w:trPr>
          <w:cantSplit/>
        </w:trPr>
        <w:tc>
          <w:tcPr>
            <w:tcW w:w="0" w:type="auto"/>
            <w:vMerge w:val="restart"/>
          </w:tcPr>
          <w:p w14:paraId="189E3C94" w14:textId="77777777" w:rsidR="00217A61" w:rsidRDefault="001C2695">
            <w:pPr>
              <w:keepNext/>
              <w:spacing w:before="100" w:after="0"/>
            </w:pPr>
            <w:r>
              <w:rPr>
                <w:b/>
                <w:color w:val="000000"/>
              </w:rPr>
              <w:t>2</w:t>
            </w:r>
          </w:p>
        </w:tc>
        <w:tc>
          <w:tcPr>
            <w:tcW w:w="0" w:type="auto"/>
          </w:tcPr>
          <w:p w14:paraId="0986BCE8" w14:textId="77777777" w:rsidR="00217A61" w:rsidRDefault="001C2695">
            <w:pPr>
              <w:keepNext/>
              <w:spacing w:before="100" w:after="0"/>
              <w:rPr>
                <w:b/>
              </w:rPr>
            </w:pPr>
            <w:r>
              <w:rPr>
                <w:b/>
              </w:rPr>
              <w:t>Goal Name</w:t>
            </w:r>
          </w:p>
        </w:tc>
        <w:tc>
          <w:tcPr>
            <w:tcW w:w="0" w:type="auto"/>
          </w:tcPr>
          <w:p w14:paraId="1109BA2B" w14:textId="77777777" w:rsidR="00217A61" w:rsidRDefault="001C2695">
            <w:pPr>
              <w:spacing w:before="100" w:after="0"/>
            </w:pPr>
            <w:r>
              <w:rPr>
                <w:color w:val="000000"/>
              </w:rPr>
              <w:t>Affordable Homeownership</w:t>
            </w:r>
          </w:p>
        </w:tc>
      </w:tr>
      <w:tr w:rsidR="00217A61" w14:paraId="6BE33394" w14:textId="77777777">
        <w:trPr>
          <w:cantSplit/>
        </w:trPr>
        <w:tc>
          <w:tcPr>
            <w:tcW w:w="0" w:type="auto"/>
            <w:vMerge/>
          </w:tcPr>
          <w:p w14:paraId="208E8831" w14:textId="77777777" w:rsidR="00217A61" w:rsidRDefault="00217A61"/>
        </w:tc>
        <w:tc>
          <w:tcPr>
            <w:tcW w:w="0" w:type="auto"/>
          </w:tcPr>
          <w:p w14:paraId="170B8470" w14:textId="77777777" w:rsidR="00217A61" w:rsidRDefault="001C2695">
            <w:pPr>
              <w:keepNext/>
              <w:spacing w:before="100" w:after="0"/>
              <w:rPr>
                <w:b/>
              </w:rPr>
            </w:pPr>
            <w:r>
              <w:rPr>
                <w:b/>
              </w:rPr>
              <w:t>Goal Description</w:t>
            </w:r>
          </w:p>
        </w:tc>
        <w:tc>
          <w:tcPr>
            <w:tcW w:w="0" w:type="auto"/>
          </w:tcPr>
          <w:p w14:paraId="2FE47EDA" w14:textId="77777777" w:rsidR="00217A61" w:rsidRDefault="001C2695">
            <w:pPr>
              <w:spacing w:before="100" w:after="0"/>
            </w:pPr>
            <w:r>
              <w:rPr>
                <w:color w:val="000000"/>
              </w:rPr>
              <w:t xml:space="preserve"> </w:t>
            </w:r>
          </w:p>
        </w:tc>
      </w:tr>
      <w:tr w:rsidR="00217A61" w14:paraId="39544771" w14:textId="77777777">
        <w:trPr>
          <w:cantSplit/>
        </w:trPr>
        <w:tc>
          <w:tcPr>
            <w:tcW w:w="0" w:type="auto"/>
            <w:vMerge w:val="restart"/>
          </w:tcPr>
          <w:p w14:paraId="063EB26D" w14:textId="77777777" w:rsidR="00217A61" w:rsidRDefault="001C2695">
            <w:pPr>
              <w:keepNext/>
              <w:spacing w:before="100" w:after="0"/>
            </w:pPr>
            <w:r>
              <w:rPr>
                <w:b/>
                <w:color w:val="000000"/>
              </w:rPr>
              <w:t>3</w:t>
            </w:r>
          </w:p>
        </w:tc>
        <w:tc>
          <w:tcPr>
            <w:tcW w:w="0" w:type="auto"/>
          </w:tcPr>
          <w:p w14:paraId="2E4FA43D" w14:textId="77777777" w:rsidR="00217A61" w:rsidRDefault="001C2695">
            <w:pPr>
              <w:keepNext/>
              <w:spacing w:before="100" w:after="0"/>
              <w:rPr>
                <w:b/>
              </w:rPr>
            </w:pPr>
            <w:r>
              <w:rPr>
                <w:b/>
              </w:rPr>
              <w:t>Goal Name</w:t>
            </w:r>
          </w:p>
        </w:tc>
        <w:tc>
          <w:tcPr>
            <w:tcW w:w="0" w:type="auto"/>
          </w:tcPr>
          <w:p w14:paraId="405C8B2E" w14:textId="77777777" w:rsidR="00217A61" w:rsidRDefault="001C2695">
            <w:pPr>
              <w:spacing w:before="100" w:after="0"/>
            </w:pPr>
            <w:r>
              <w:rPr>
                <w:color w:val="000000"/>
              </w:rPr>
              <w:t>Affordable Rental Housing</w:t>
            </w:r>
          </w:p>
        </w:tc>
      </w:tr>
      <w:tr w:rsidR="00217A61" w14:paraId="6DF03663" w14:textId="77777777">
        <w:trPr>
          <w:cantSplit/>
        </w:trPr>
        <w:tc>
          <w:tcPr>
            <w:tcW w:w="0" w:type="auto"/>
            <w:vMerge/>
          </w:tcPr>
          <w:p w14:paraId="71458AD2" w14:textId="77777777" w:rsidR="00217A61" w:rsidRDefault="00217A61"/>
        </w:tc>
        <w:tc>
          <w:tcPr>
            <w:tcW w:w="0" w:type="auto"/>
          </w:tcPr>
          <w:p w14:paraId="13EB9327" w14:textId="77777777" w:rsidR="00217A61" w:rsidRDefault="001C2695">
            <w:pPr>
              <w:keepNext/>
              <w:spacing w:before="100" w:after="0"/>
              <w:rPr>
                <w:b/>
              </w:rPr>
            </w:pPr>
            <w:r>
              <w:rPr>
                <w:b/>
              </w:rPr>
              <w:t>Goal Description</w:t>
            </w:r>
          </w:p>
        </w:tc>
        <w:tc>
          <w:tcPr>
            <w:tcW w:w="0" w:type="auto"/>
          </w:tcPr>
          <w:p w14:paraId="4F78F232" w14:textId="77777777" w:rsidR="00217A61" w:rsidRDefault="001C2695">
            <w:pPr>
              <w:spacing w:before="100" w:after="0"/>
            </w:pPr>
            <w:r>
              <w:rPr>
                <w:color w:val="000000"/>
              </w:rPr>
              <w:t xml:space="preserve"> </w:t>
            </w:r>
          </w:p>
        </w:tc>
      </w:tr>
      <w:tr w:rsidR="00217A61" w14:paraId="4F8C9C36" w14:textId="77777777">
        <w:trPr>
          <w:cantSplit/>
        </w:trPr>
        <w:tc>
          <w:tcPr>
            <w:tcW w:w="0" w:type="auto"/>
            <w:vMerge w:val="restart"/>
          </w:tcPr>
          <w:p w14:paraId="33636615" w14:textId="77777777" w:rsidR="00217A61" w:rsidRDefault="001C2695">
            <w:pPr>
              <w:keepNext/>
              <w:spacing w:before="100" w:after="0"/>
            </w:pPr>
            <w:r>
              <w:rPr>
                <w:b/>
                <w:color w:val="000000"/>
              </w:rPr>
              <w:t>4</w:t>
            </w:r>
          </w:p>
        </w:tc>
        <w:tc>
          <w:tcPr>
            <w:tcW w:w="0" w:type="auto"/>
          </w:tcPr>
          <w:p w14:paraId="074FFFAF" w14:textId="77777777" w:rsidR="00217A61" w:rsidRDefault="001C2695">
            <w:pPr>
              <w:keepNext/>
              <w:spacing w:before="100" w:after="0"/>
              <w:rPr>
                <w:b/>
              </w:rPr>
            </w:pPr>
            <w:r>
              <w:rPr>
                <w:b/>
              </w:rPr>
              <w:t>Goal Name</w:t>
            </w:r>
          </w:p>
        </w:tc>
        <w:tc>
          <w:tcPr>
            <w:tcW w:w="0" w:type="auto"/>
          </w:tcPr>
          <w:p w14:paraId="23109E10" w14:textId="77777777" w:rsidR="00217A61" w:rsidRDefault="001C2695">
            <w:pPr>
              <w:spacing w:before="100" w:after="0"/>
            </w:pPr>
            <w:r>
              <w:rPr>
                <w:color w:val="000000"/>
              </w:rPr>
              <w:t>CDBG Neighborhood Revitalization</w:t>
            </w:r>
          </w:p>
        </w:tc>
      </w:tr>
      <w:tr w:rsidR="00217A61" w14:paraId="1603BC8C" w14:textId="77777777">
        <w:trPr>
          <w:cantSplit/>
        </w:trPr>
        <w:tc>
          <w:tcPr>
            <w:tcW w:w="0" w:type="auto"/>
            <w:vMerge/>
          </w:tcPr>
          <w:p w14:paraId="605199A2" w14:textId="77777777" w:rsidR="00217A61" w:rsidRDefault="00217A61"/>
        </w:tc>
        <w:tc>
          <w:tcPr>
            <w:tcW w:w="0" w:type="auto"/>
          </w:tcPr>
          <w:p w14:paraId="357FC9C6" w14:textId="77777777" w:rsidR="00217A61" w:rsidRDefault="001C2695">
            <w:pPr>
              <w:keepNext/>
              <w:spacing w:before="100" w:after="0"/>
              <w:rPr>
                <w:b/>
              </w:rPr>
            </w:pPr>
            <w:r>
              <w:rPr>
                <w:b/>
              </w:rPr>
              <w:t>Goal Description</w:t>
            </w:r>
          </w:p>
        </w:tc>
        <w:tc>
          <w:tcPr>
            <w:tcW w:w="0" w:type="auto"/>
          </w:tcPr>
          <w:p w14:paraId="026C7651" w14:textId="77777777" w:rsidR="00217A61" w:rsidRDefault="001C2695">
            <w:pPr>
              <w:spacing w:before="100" w:after="0"/>
            </w:pPr>
            <w:r>
              <w:rPr>
                <w:color w:val="000000"/>
              </w:rPr>
              <w:t>NR for housing and public facilities including emergency shelters and transitional housing</w:t>
            </w:r>
          </w:p>
        </w:tc>
      </w:tr>
      <w:tr w:rsidR="00217A61" w14:paraId="320ABC5C" w14:textId="77777777">
        <w:trPr>
          <w:cantSplit/>
        </w:trPr>
        <w:tc>
          <w:tcPr>
            <w:tcW w:w="0" w:type="auto"/>
            <w:vMerge w:val="restart"/>
          </w:tcPr>
          <w:p w14:paraId="28650667" w14:textId="77777777" w:rsidR="00217A61" w:rsidRDefault="001C2695">
            <w:pPr>
              <w:keepNext/>
              <w:spacing w:before="100" w:after="0"/>
            </w:pPr>
            <w:r>
              <w:rPr>
                <w:b/>
                <w:color w:val="000000"/>
              </w:rPr>
              <w:t>5</w:t>
            </w:r>
          </w:p>
        </w:tc>
        <w:tc>
          <w:tcPr>
            <w:tcW w:w="0" w:type="auto"/>
          </w:tcPr>
          <w:p w14:paraId="46B36918" w14:textId="77777777" w:rsidR="00217A61" w:rsidRDefault="001C2695">
            <w:pPr>
              <w:keepNext/>
              <w:spacing w:before="100" w:after="0"/>
              <w:rPr>
                <w:b/>
              </w:rPr>
            </w:pPr>
            <w:r>
              <w:rPr>
                <w:b/>
              </w:rPr>
              <w:t>Goal Name</w:t>
            </w:r>
          </w:p>
        </w:tc>
        <w:tc>
          <w:tcPr>
            <w:tcW w:w="0" w:type="auto"/>
          </w:tcPr>
          <w:p w14:paraId="6BD3A917" w14:textId="77777777" w:rsidR="00217A61" w:rsidRDefault="001C2695">
            <w:pPr>
              <w:spacing w:before="100" w:after="0"/>
            </w:pPr>
            <w:r>
              <w:rPr>
                <w:color w:val="000000"/>
              </w:rPr>
              <w:t>CDBG Economic Development</w:t>
            </w:r>
          </w:p>
        </w:tc>
      </w:tr>
      <w:tr w:rsidR="00217A61" w14:paraId="13377080" w14:textId="77777777">
        <w:trPr>
          <w:cantSplit/>
        </w:trPr>
        <w:tc>
          <w:tcPr>
            <w:tcW w:w="0" w:type="auto"/>
            <w:vMerge/>
          </w:tcPr>
          <w:p w14:paraId="60E8E991" w14:textId="77777777" w:rsidR="00217A61" w:rsidRDefault="00217A61"/>
        </w:tc>
        <w:tc>
          <w:tcPr>
            <w:tcW w:w="0" w:type="auto"/>
          </w:tcPr>
          <w:p w14:paraId="625538D7" w14:textId="77777777" w:rsidR="00217A61" w:rsidRDefault="001C2695">
            <w:pPr>
              <w:keepNext/>
              <w:spacing w:before="100" w:after="0"/>
              <w:rPr>
                <w:b/>
              </w:rPr>
            </w:pPr>
            <w:r>
              <w:rPr>
                <w:b/>
              </w:rPr>
              <w:t>Goal Description</w:t>
            </w:r>
          </w:p>
        </w:tc>
        <w:tc>
          <w:tcPr>
            <w:tcW w:w="0" w:type="auto"/>
          </w:tcPr>
          <w:p w14:paraId="7A726FC9" w14:textId="77777777" w:rsidR="00217A61" w:rsidRDefault="001C2695">
            <w:pPr>
              <w:spacing w:before="100" w:after="0"/>
            </w:pPr>
            <w:r>
              <w:rPr>
                <w:color w:val="000000"/>
              </w:rPr>
              <w:t>ED to spur economic development via job creation and retention</w:t>
            </w:r>
          </w:p>
        </w:tc>
      </w:tr>
      <w:tr w:rsidR="00217A61" w14:paraId="42BA24BF" w14:textId="77777777">
        <w:trPr>
          <w:cantSplit/>
        </w:trPr>
        <w:tc>
          <w:tcPr>
            <w:tcW w:w="0" w:type="auto"/>
            <w:vMerge w:val="restart"/>
          </w:tcPr>
          <w:p w14:paraId="50E3A95A" w14:textId="77777777" w:rsidR="00217A61" w:rsidRDefault="001C2695">
            <w:pPr>
              <w:keepNext/>
              <w:spacing w:before="100" w:after="0"/>
            </w:pPr>
            <w:r>
              <w:rPr>
                <w:b/>
                <w:color w:val="000000"/>
              </w:rPr>
              <w:lastRenderedPageBreak/>
              <w:t>6</w:t>
            </w:r>
          </w:p>
        </w:tc>
        <w:tc>
          <w:tcPr>
            <w:tcW w:w="0" w:type="auto"/>
          </w:tcPr>
          <w:p w14:paraId="48E4CD24" w14:textId="77777777" w:rsidR="00217A61" w:rsidRDefault="001C2695">
            <w:pPr>
              <w:keepNext/>
              <w:spacing w:before="100" w:after="0"/>
              <w:rPr>
                <w:b/>
              </w:rPr>
            </w:pPr>
            <w:r>
              <w:rPr>
                <w:b/>
              </w:rPr>
              <w:t>Goal Name</w:t>
            </w:r>
          </w:p>
        </w:tc>
        <w:tc>
          <w:tcPr>
            <w:tcW w:w="0" w:type="auto"/>
          </w:tcPr>
          <w:p w14:paraId="0C9ECA0E" w14:textId="77777777" w:rsidR="00217A61" w:rsidRDefault="001C2695">
            <w:pPr>
              <w:spacing w:before="100" w:after="0"/>
            </w:pPr>
            <w:r>
              <w:rPr>
                <w:color w:val="000000"/>
              </w:rPr>
              <w:t>CDBG Infrastructure</w:t>
            </w:r>
          </w:p>
        </w:tc>
      </w:tr>
      <w:tr w:rsidR="00217A61" w14:paraId="38C7CCAA" w14:textId="77777777">
        <w:trPr>
          <w:cantSplit/>
        </w:trPr>
        <w:tc>
          <w:tcPr>
            <w:tcW w:w="0" w:type="auto"/>
            <w:vMerge/>
          </w:tcPr>
          <w:p w14:paraId="7A208CEC" w14:textId="77777777" w:rsidR="00217A61" w:rsidRDefault="00217A61"/>
        </w:tc>
        <w:tc>
          <w:tcPr>
            <w:tcW w:w="0" w:type="auto"/>
          </w:tcPr>
          <w:p w14:paraId="4DCB3C42" w14:textId="77777777" w:rsidR="00217A61" w:rsidRDefault="001C2695">
            <w:pPr>
              <w:keepNext/>
              <w:spacing w:before="100" w:after="0"/>
              <w:rPr>
                <w:b/>
              </w:rPr>
            </w:pPr>
            <w:r>
              <w:rPr>
                <w:b/>
              </w:rPr>
              <w:t>Goal Description</w:t>
            </w:r>
          </w:p>
        </w:tc>
        <w:tc>
          <w:tcPr>
            <w:tcW w:w="0" w:type="auto"/>
          </w:tcPr>
          <w:p w14:paraId="08D39A01" w14:textId="77777777" w:rsidR="00217A61" w:rsidRDefault="001C2695">
            <w:pPr>
              <w:spacing w:before="100" w:after="0"/>
            </w:pPr>
            <w:r>
              <w:rPr>
                <w:color w:val="000000"/>
              </w:rPr>
              <w:t>infrastructure improvement for deteriorating water and sewer systems</w:t>
            </w:r>
          </w:p>
        </w:tc>
      </w:tr>
      <w:tr w:rsidR="00217A61" w14:paraId="35BE7B5C" w14:textId="77777777">
        <w:trPr>
          <w:cantSplit/>
        </w:trPr>
        <w:tc>
          <w:tcPr>
            <w:tcW w:w="0" w:type="auto"/>
            <w:vMerge w:val="restart"/>
          </w:tcPr>
          <w:p w14:paraId="6403675A" w14:textId="77777777" w:rsidR="00217A61" w:rsidRDefault="001C2695">
            <w:pPr>
              <w:keepNext/>
              <w:spacing w:before="100" w:after="0"/>
            </w:pPr>
            <w:r>
              <w:rPr>
                <w:b/>
                <w:color w:val="000000"/>
              </w:rPr>
              <w:t>7</w:t>
            </w:r>
          </w:p>
        </w:tc>
        <w:tc>
          <w:tcPr>
            <w:tcW w:w="0" w:type="auto"/>
          </w:tcPr>
          <w:p w14:paraId="71A0E07A" w14:textId="77777777" w:rsidR="00217A61" w:rsidRDefault="001C2695">
            <w:pPr>
              <w:keepNext/>
              <w:spacing w:before="100" w:after="0"/>
              <w:rPr>
                <w:b/>
              </w:rPr>
            </w:pPr>
            <w:r>
              <w:rPr>
                <w:b/>
              </w:rPr>
              <w:t>Goal Name</w:t>
            </w:r>
          </w:p>
        </w:tc>
        <w:tc>
          <w:tcPr>
            <w:tcW w:w="0" w:type="auto"/>
          </w:tcPr>
          <w:p w14:paraId="43D0A108" w14:textId="77777777" w:rsidR="00217A61" w:rsidRDefault="001C2695">
            <w:pPr>
              <w:spacing w:before="100" w:after="0"/>
            </w:pPr>
            <w:r>
              <w:rPr>
                <w:color w:val="000000"/>
              </w:rPr>
              <w:t>HOPWA-Short-Term Rent and Utilities</w:t>
            </w:r>
          </w:p>
        </w:tc>
      </w:tr>
      <w:tr w:rsidR="00217A61" w14:paraId="310D15C9" w14:textId="77777777">
        <w:trPr>
          <w:cantSplit/>
        </w:trPr>
        <w:tc>
          <w:tcPr>
            <w:tcW w:w="0" w:type="auto"/>
            <w:vMerge/>
          </w:tcPr>
          <w:p w14:paraId="678F4EE3" w14:textId="77777777" w:rsidR="00217A61" w:rsidRDefault="00217A61"/>
        </w:tc>
        <w:tc>
          <w:tcPr>
            <w:tcW w:w="0" w:type="auto"/>
          </w:tcPr>
          <w:p w14:paraId="7FD24BD4" w14:textId="77777777" w:rsidR="00217A61" w:rsidRDefault="001C2695">
            <w:pPr>
              <w:keepNext/>
              <w:spacing w:before="100" w:after="0"/>
              <w:rPr>
                <w:b/>
              </w:rPr>
            </w:pPr>
            <w:r>
              <w:rPr>
                <w:b/>
              </w:rPr>
              <w:t>Goal Description</w:t>
            </w:r>
          </w:p>
        </w:tc>
        <w:tc>
          <w:tcPr>
            <w:tcW w:w="0" w:type="auto"/>
          </w:tcPr>
          <w:p w14:paraId="41B3FD66" w14:textId="77777777" w:rsidR="00217A61" w:rsidRDefault="001C2695">
            <w:pPr>
              <w:spacing w:before="100" w:after="0"/>
            </w:pPr>
            <w:r>
              <w:rPr>
                <w:color w:val="000000"/>
              </w:rPr>
              <w:t>short-term rent, mortgage, and utilities</w:t>
            </w:r>
          </w:p>
        </w:tc>
      </w:tr>
      <w:tr w:rsidR="00217A61" w14:paraId="3DD3345D" w14:textId="77777777">
        <w:trPr>
          <w:cantSplit/>
        </w:trPr>
        <w:tc>
          <w:tcPr>
            <w:tcW w:w="0" w:type="auto"/>
            <w:vMerge w:val="restart"/>
          </w:tcPr>
          <w:p w14:paraId="5E0990CA" w14:textId="77777777" w:rsidR="00217A61" w:rsidRDefault="001C2695">
            <w:pPr>
              <w:keepNext/>
              <w:spacing w:before="100" w:after="0"/>
            </w:pPr>
            <w:r>
              <w:rPr>
                <w:b/>
                <w:color w:val="000000"/>
              </w:rPr>
              <w:t>8</w:t>
            </w:r>
          </w:p>
        </w:tc>
        <w:tc>
          <w:tcPr>
            <w:tcW w:w="0" w:type="auto"/>
          </w:tcPr>
          <w:p w14:paraId="30048E3E" w14:textId="77777777" w:rsidR="00217A61" w:rsidRDefault="001C2695">
            <w:pPr>
              <w:keepNext/>
              <w:spacing w:before="100" w:after="0"/>
              <w:rPr>
                <w:b/>
              </w:rPr>
            </w:pPr>
            <w:r>
              <w:rPr>
                <w:b/>
              </w:rPr>
              <w:t>Goal Name</w:t>
            </w:r>
          </w:p>
        </w:tc>
        <w:tc>
          <w:tcPr>
            <w:tcW w:w="0" w:type="auto"/>
          </w:tcPr>
          <w:p w14:paraId="39D1B9D7" w14:textId="77777777" w:rsidR="00217A61" w:rsidRDefault="001C2695">
            <w:pPr>
              <w:spacing w:before="100" w:after="0"/>
            </w:pPr>
            <w:r>
              <w:rPr>
                <w:color w:val="000000"/>
              </w:rPr>
              <w:t>HOPWA Facility-Based</w:t>
            </w:r>
          </w:p>
        </w:tc>
      </w:tr>
      <w:tr w:rsidR="00217A61" w14:paraId="36CBF4C2" w14:textId="77777777">
        <w:trPr>
          <w:cantSplit/>
        </w:trPr>
        <w:tc>
          <w:tcPr>
            <w:tcW w:w="0" w:type="auto"/>
            <w:vMerge/>
          </w:tcPr>
          <w:p w14:paraId="6A8CA3A8" w14:textId="77777777" w:rsidR="00217A61" w:rsidRDefault="00217A61"/>
        </w:tc>
        <w:tc>
          <w:tcPr>
            <w:tcW w:w="0" w:type="auto"/>
          </w:tcPr>
          <w:p w14:paraId="306F5600" w14:textId="77777777" w:rsidR="00217A61" w:rsidRDefault="001C2695">
            <w:pPr>
              <w:keepNext/>
              <w:spacing w:before="100" w:after="0"/>
              <w:rPr>
                <w:b/>
              </w:rPr>
            </w:pPr>
            <w:r>
              <w:rPr>
                <w:b/>
              </w:rPr>
              <w:t>Goal Description</w:t>
            </w:r>
          </w:p>
        </w:tc>
        <w:tc>
          <w:tcPr>
            <w:tcW w:w="0" w:type="auto"/>
          </w:tcPr>
          <w:p w14:paraId="3A42FC0B" w14:textId="77777777" w:rsidR="00217A61" w:rsidRDefault="001C2695">
            <w:pPr>
              <w:spacing w:before="100" w:after="0"/>
            </w:pPr>
            <w:r>
              <w:rPr>
                <w:color w:val="000000"/>
              </w:rPr>
              <w:t>assist 75 facilities</w:t>
            </w:r>
          </w:p>
        </w:tc>
      </w:tr>
      <w:tr w:rsidR="00217A61" w14:paraId="71E9F4C1" w14:textId="77777777">
        <w:trPr>
          <w:cantSplit/>
        </w:trPr>
        <w:tc>
          <w:tcPr>
            <w:tcW w:w="0" w:type="auto"/>
            <w:vMerge w:val="restart"/>
          </w:tcPr>
          <w:p w14:paraId="49798A3F" w14:textId="77777777" w:rsidR="00217A61" w:rsidRDefault="001C2695">
            <w:pPr>
              <w:keepNext/>
              <w:spacing w:before="100" w:after="0"/>
            </w:pPr>
            <w:r>
              <w:rPr>
                <w:b/>
                <w:color w:val="000000"/>
              </w:rPr>
              <w:t>9</w:t>
            </w:r>
          </w:p>
        </w:tc>
        <w:tc>
          <w:tcPr>
            <w:tcW w:w="0" w:type="auto"/>
          </w:tcPr>
          <w:p w14:paraId="56B96F92" w14:textId="77777777" w:rsidR="00217A61" w:rsidRDefault="001C2695">
            <w:pPr>
              <w:keepNext/>
              <w:spacing w:before="100" w:after="0"/>
              <w:rPr>
                <w:b/>
              </w:rPr>
            </w:pPr>
            <w:r>
              <w:rPr>
                <w:b/>
              </w:rPr>
              <w:t>Goal Name</w:t>
            </w:r>
          </w:p>
        </w:tc>
        <w:tc>
          <w:tcPr>
            <w:tcW w:w="0" w:type="auto"/>
          </w:tcPr>
          <w:p w14:paraId="22FA2854" w14:textId="77777777" w:rsidR="00217A61" w:rsidRDefault="001C2695">
            <w:pPr>
              <w:spacing w:before="100" w:after="0"/>
            </w:pPr>
            <w:r>
              <w:rPr>
                <w:color w:val="000000"/>
              </w:rPr>
              <w:t>HOPWA Permanent Housing Placement</w:t>
            </w:r>
          </w:p>
        </w:tc>
      </w:tr>
      <w:tr w:rsidR="00217A61" w14:paraId="22892010" w14:textId="77777777">
        <w:trPr>
          <w:cantSplit/>
        </w:trPr>
        <w:tc>
          <w:tcPr>
            <w:tcW w:w="0" w:type="auto"/>
            <w:vMerge/>
          </w:tcPr>
          <w:p w14:paraId="375F92F0" w14:textId="77777777" w:rsidR="00217A61" w:rsidRDefault="00217A61"/>
        </w:tc>
        <w:tc>
          <w:tcPr>
            <w:tcW w:w="0" w:type="auto"/>
          </w:tcPr>
          <w:p w14:paraId="6894E0B8" w14:textId="77777777" w:rsidR="00217A61" w:rsidRDefault="001C2695">
            <w:pPr>
              <w:keepNext/>
              <w:spacing w:before="100" w:after="0"/>
              <w:rPr>
                <w:b/>
              </w:rPr>
            </w:pPr>
            <w:r>
              <w:rPr>
                <w:b/>
              </w:rPr>
              <w:t>Goal Description</w:t>
            </w:r>
          </w:p>
        </w:tc>
        <w:tc>
          <w:tcPr>
            <w:tcW w:w="0" w:type="auto"/>
          </w:tcPr>
          <w:p w14:paraId="327DE363" w14:textId="77777777" w:rsidR="00217A61" w:rsidRDefault="001C2695">
            <w:pPr>
              <w:spacing w:before="100" w:after="0"/>
            </w:pPr>
            <w:r>
              <w:rPr>
                <w:color w:val="000000"/>
              </w:rPr>
              <w:t>permanent housing placement for persons with HIV/AIDS</w:t>
            </w:r>
          </w:p>
        </w:tc>
      </w:tr>
      <w:tr w:rsidR="00217A61" w14:paraId="3D1E3322" w14:textId="77777777">
        <w:trPr>
          <w:cantSplit/>
        </w:trPr>
        <w:tc>
          <w:tcPr>
            <w:tcW w:w="0" w:type="auto"/>
            <w:vMerge w:val="restart"/>
          </w:tcPr>
          <w:p w14:paraId="019FCA27" w14:textId="77777777" w:rsidR="00217A61" w:rsidRDefault="001C2695">
            <w:pPr>
              <w:keepNext/>
              <w:spacing w:before="100" w:after="0"/>
            </w:pPr>
            <w:r>
              <w:rPr>
                <w:b/>
                <w:color w:val="000000"/>
              </w:rPr>
              <w:t>10</w:t>
            </w:r>
          </w:p>
        </w:tc>
        <w:tc>
          <w:tcPr>
            <w:tcW w:w="0" w:type="auto"/>
          </w:tcPr>
          <w:p w14:paraId="6A1AE074" w14:textId="77777777" w:rsidR="00217A61" w:rsidRDefault="001C2695">
            <w:pPr>
              <w:keepNext/>
              <w:spacing w:before="100" w:after="0"/>
              <w:rPr>
                <w:b/>
              </w:rPr>
            </w:pPr>
            <w:r>
              <w:rPr>
                <w:b/>
              </w:rPr>
              <w:t>Goal Name</w:t>
            </w:r>
          </w:p>
        </w:tc>
        <w:tc>
          <w:tcPr>
            <w:tcW w:w="0" w:type="auto"/>
          </w:tcPr>
          <w:p w14:paraId="2421BB61" w14:textId="77777777" w:rsidR="00217A61" w:rsidRDefault="001C2695">
            <w:pPr>
              <w:spacing w:before="100" w:after="0"/>
            </w:pPr>
            <w:r>
              <w:rPr>
                <w:color w:val="000000"/>
              </w:rPr>
              <w:t>CDBG Contingency and Urgent Needs</w:t>
            </w:r>
          </w:p>
        </w:tc>
      </w:tr>
      <w:tr w:rsidR="00217A61" w14:paraId="341FE9B5" w14:textId="77777777">
        <w:trPr>
          <w:cantSplit/>
        </w:trPr>
        <w:tc>
          <w:tcPr>
            <w:tcW w:w="0" w:type="auto"/>
            <w:vMerge/>
          </w:tcPr>
          <w:p w14:paraId="4A9C7059" w14:textId="77777777" w:rsidR="00217A61" w:rsidRDefault="00217A61"/>
        </w:tc>
        <w:tc>
          <w:tcPr>
            <w:tcW w:w="0" w:type="auto"/>
          </w:tcPr>
          <w:p w14:paraId="6E8EEDBB" w14:textId="77777777" w:rsidR="00217A61" w:rsidRDefault="001C2695">
            <w:pPr>
              <w:keepNext/>
              <w:spacing w:before="100" w:after="0"/>
              <w:rPr>
                <w:b/>
              </w:rPr>
            </w:pPr>
            <w:r>
              <w:rPr>
                <w:b/>
              </w:rPr>
              <w:t>Goal Description</w:t>
            </w:r>
          </w:p>
        </w:tc>
        <w:tc>
          <w:tcPr>
            <w:tcW w:w="0" w:type="auto"/>
          </w:tcPr>
          <w:p w14:paraId="7C43123F" w14:textId="77777777" w:rsidR="00217A61" w:rsidRDefault="001C2695">
            <w:pPr>
              <w:spacing w:before="100" w:after="0"/>
            </w:pPr>
            <w:r>
              <w:rPr>
                <w:color w:val="000000"/>
              </w:rPr>
              <w:t xml:space="preserve">use </w:t>
            </w:r>
            <w:proofErr w:type="spellStart"/>
            <w:r>
              <w:rPr>
                <w:color w:val="000000"/>
              </w:rPr>
              <w:t>deobligate</w:t>
            </w:r>
            <w:proofErr w:type="spellEnd"/>
            <w:r>
              <w:rPr>
                <w:color w:val="000000"/>
              </w:rPr>
              <w:t xml:space="preserve"> funds and program income to address urgent needs and contingency projects</w:t>
            </w:r>
          </w:p>
        </w:tc>
      </w:tr>
      <w:tr w:rsidR="00217A61" w14:paraId="245FB013" w14:textId="77777777">
        <w:trPr>
          <w:cantSplit/>
        </w:trPr>
        <w:tc>
          <w:tcPr>
            <w:tcW w:w="0" w:type="auto"/>
            <w:vMerge w:val="restart"/>
          </w:tcPr>
          <w:p w14:paraId="4755911B" w14:textId="77777777" w:rsidR="00217A61" w:rsidRDefault="001C2695">
            <w:pPr>
              <w:keepNext/>
              <w:spacing w:before="100" w:after="0"/>
            </w:pPr>
            <w:r>
              <w:rPr>
                <w:b/>
                <w:color w:val="000000"/>
              </w:rPr>
              <w:t>11</w:t>
            </w:r>
          </w:p>
        </w:tc>
        <w:tc>
          <w:tcPr>
            <w:tcW w:w="0" w:type="auto"/>
          </w:tcPr>
          <w:p w14:paraId="38AC962C" w14:textId="77777777" w:rsidR="00217A61" w:rsidRDefault="001C2695">
            <w:pPr>
              <w:keepNext/>
              <w:spacing w:before="100" w:after="0"/>
              <w:rPr>
                <w:b/>
              </w:rPr>
            </w:pPr>
            <w:r>
              <w:rPr>
                <w:b/>
              </w:rPr>
              <w:t>Goal Name</w:t>
            </w:r>
          </w:p>
        </w:tc>
        <w:tc>
          <w:tcPr>
            <w:tcW w:w="0" w:type="auto"/>
          </w:tcPr>
          <w:p w14:paraId="5009D5E6" w14:textId="77777777" w:rsidR="00217A61" w:rsidRDefault="001C2695">
            <w:pPr>
              <w:spacing w:before="100" w:after="0"/>
            </w:pPr>
            <w:r>
              <w:rPr>
                <w:color w:val="000000"/>
              </w:rPr>
              <w:t>HOPWA Supportive Services</w:t>
            </w:r>
          </w:p>
        </w:tc>
      </w:tr>
      <w:tr w:rsidR="00217A61" w14:paraId="7CE181B6" w14:textId="77777777">
        <w:trPr>
          <w:cantSplit/>
        </w:trPr>
        <w:tc>
          <w:tcPr>
            <w:tcW w:w="0" w:type="auto"/>
            <w:vMerge/>
          </w:tcPr>
          <w:p w14:paraId="05F28260" w14:textId="77777777" w:rsidR="00217A61" w:rsidRDefault="00217A61"/>
        </w:tc>
        <w:tc>
          <w:tcPr>
            <w:tcW w:w="0" w:type="auto"/>
          </w:tcPr>
          <w:p w14:paraId="43805C90" w14:textId="77777777" w:rsidR="00217A61" w:rsidRDefault="001C2695">
            <w:pPr>
              <w:keepNext/>
              <w:spacing w:before="100" w:after="0"/>
              <w:rPr>
                <w:b/>
              </w:rPr>
            </w:pPr>
            <w:r>
              <w:rPr>
                <w:b/>
              </w:rPr>
              <w:t>Goal Description</w:t>
            </w:r>
          </w:p>
        </w:tc>
        <w:tc>
          <w:tcPr>
            <w:tcW w:w="0" w:type="auto"/>
          </w:tcPr>
          <w:p w14:paraId="2E6BE94A" w14:textId="77777777" w:rsidR="00217A61" w:rsidRDefault="001C2695">
            <w:pPr>
              <w:spacing w:before="100" w:after="0"/>
            </w:pPr>
            <w:r>
              <w:rPr>
                <w:color w:val="000000"/>
              </w:rPr>
              <w:t>supportive services</w:t>
            </w:r>
          </w:p>
        </w:tc>
      </w:tr>
      <w:tr w:rsidR="00217A61" w14:paraId="47E5A3F9" w14:textId="77777777">
        <w:trPr>
          <w:cantSplit/>
        </w:trPr>
        <w:tc>
          <w:tcPr>
            <w:tcW w:w="0" w:type="auto"/>
            <w:vMerge w:val="restart"/>
          </w:tcPr>
          <w:p w14:paraId="723A2E68" w14:textId="77777777" w:rsidR="00217A61" w:rsidRDefault="001C2695">
            <w:pPr>
              <w:keepNext/>
              <w:spacing w:before="100" w:after="0"/>
            </w:pPr>
            <w:r>
              <w:rPr>
                <w:b/>
                <w:color w:val="000000"/>
              </w:rPr>
              <w:t>12</w:t>
            </w:r>
          </w:p>
        </w:tc>
        <w:tc>
          <w:tcPr>
            <w:tcW w:w="0" w:type="auto"/>
          </w:tcPr>
          <w:p w14:paraId="3D133F65" w14:textId="77777777" w:rsidR="00217A61" w:rsidRDefault="001C2695">
            <w:pPr>
              <w:keepNext/>
              <w:spacing w:before="100" w:after="0"/>
              <w:rPr>
                <w:b/>
              </w:rPr>
            </w:pPr>
            <w:r>
              <w:rPr>
                <w:b/>
              </w:rPr>
              <w:t>Goal Name</w:t>
            </w:r>
          </w:p>
        </w:tc>
        <w:tc>
          <w:tcPr>
            <w:tcW w:w="0" w:type="auto"/>
          </w:tcPr>
          <w:p w14:paraId="2673EA06" w14:textId="77777777" w:rsidR="00217A61" w:rsidRDefault="001C2695">
            <w:pPr>
              <w:spacing w:before="100" w:after="0"/>
            </w:pPr>
            <w:r>
              <w:rPr>
                <w:color w:val="000000"/>
              </w:rPr>
              <w:t>ESG</w:t>
            </w:r>
          </w:p>
        </w:tc>
      </w:tr>
      <w:tr w:rsidR="00217A61" w14:paraId="1D265CD1" w14:textId="77777777">
        <w:trPr>
          <w:cantSplit/>
        </w:trPr>
        <w:tc>
          <w:tcPr>
            <w:tcW w:w="0" w:type="auto"/>
            <w:vMerge/>
          </w:tcPr>
          <w:p w14:paraId="4FD05F59" w14:textId="77777777" w:rsidR="00217A61" w:rsidRDefault="00217A61"/>
        </w:tc>
        <w:tc>
          <w:tcPr>
            <w:tcW w:w="0" w:type="auto"/>
          </w:tcPr>
          <w:p w14:paraId="07E6B5A6" w14:textId="77777777" w:rsidR="00217A61" w:rsidRDefault="001C2695">
            <w:pPr>
              <w:keepNext/>
              <w:spacing w:before="100" w:after="0"/>
              <w:rPr>
                <w:b/>
              </w:rPr>
            </w:pPr>
            <w:r>
              <w:rPr>
                <w:b/>
              </w:rPr>
              <w:t>Goal Description</w:t>
            </w:r>
          </w:p>
        </w:tc>
        <w:tc>
          <w:tcPr>
            <w:tcW w:w="0" w:type="auto"/>
          </w:tcPr>
          <w:p w14:paraId="38D34C64" w14:textId="77777777" w:rsidR="00217A61" w:rsidRDefault="001C2695">
            <w:pPr>
              <w:spacing w:before="100" w:after="0"/>
            </w:pPr>
            <w:r>
              <w:rPr>
                <w:color w:val="000000"/>
              </w:rPr>
              <w:t>ESG activities</w:t>
            </w:r>
          </w:p>
        </w:tc>
      </w:tr>
    </w:tbl>
    <w:p w14:paraId="63C37226" w14:textId="77777777" w:rsidR="00217A61" w:rsidRDefault="00217A61">
      <w:pPr>
        <w:rPr>
          <w:b/>
          <w:sz w:val="24"/>
          <w:szCs w:val="24"/>
        </w:rPr>
      </w:pPr>
    </w:p>
    <w:p w14:paraId="5BFF0CCC" w14:textId="77777777" w:rsidR="00217A61" w:rsidRDefault="00217A61">
      <w:pPr>
        <w:rPr>
          <w:b/>
          <w:sz w:val="24"/>
          <w:szCs w:val="24"/>
        </w:rPr>
      </w:pPr>
    </w:p>
    <w:p w14:paraId="629AC4A6" w14:textId="77777777" w:rsidR="00217A61" w:rsidRDefault="00217A61"/>
    <w:p w14:paraId="66770CA3" w14:textId="77777777" w:rsidR="00217A61" w:rsidRDefault="00217A61">
      <w:pPr>
        <w:rPr>
          <w:b/>
          <w:sz w:val="24"/>
          <w:szCs w:val="24"/>
        </w:rPr>
      </w:pPr>
    </w:p>
    <w:p w14:paraId="002CBE7B" w14:textId="77777777" w:rsidR="00217A61" w:rsidRDefault="00217A61">
      <w:pPr>
        <w:widowControl w:val="0"/>
      </w:pPr>
    </w:p>
    <w:p w14:paraId="4F94326D" w14:textId="77777777" w:rsidR="00217A61" w:rsidRDefault="00217A61">
      <w:pPr>
        <w:sectPr w:rsidR="00217A61">
          <w:pgSz w:w="15840" w:h="12240" w:orient="landscape" w:code="1"/>
          <w:pgMar w:top="1440" w:right="1440" w:bottom="1440" w:left="1440" w:header="720" w:footer="720" w:gutter="0"/>
          <w:cols w:space="720"/>
          <w:docGrid w:linePitch="360"/>
        </w:sectPr>
      </w:pPr>
    </w:p>
    <w:p w14:paraId="035F4CDB" w14:textId="77777777" w:rsidR="00217A61" w:rsidRDefault="001C2695">
      <w:pPr>
        <w:pStyle w:val="Heading2"/>
        <w:rPr>
          <w:rFonts w:ascii="Calibri" w:hAnsi="Calibri"/>
          <w:i w:val="0"/>
        </w:rPr>
      </w:pPr>
      <w:r>
        <w:rPr>
          <w:rFonts w:ascii="Calibri" w:hAnsi="Calibri"/>
          <w:i w:val="0"/>
        </w:rPr>
        <w:lastRenderedPageBreak/>
        <w:t xml:space="preserve">AP-25 </w:t>
      </w:r>
      <w:r>
        <w:rPr>
          <w:rFonts w:ascii="Calibri" w:hAnsi="Calibri"/>
          <w:i w:val="0"/>
        </w:rPr>
        <w:t>Allocation Priorities – 91.320(d)</w:t>
      </w:r>
    </w:p>
    <w:p w14:paraId="7A141378" w14:textId="77777777" w:rsidR="00217A61" w:rsidRDefault="001C2695">
      <w:pPr>
        <w:keepNext/>
        <w:widowControl w:val="0"/>
        <w:spacing w:line="204" w:lineRule="auto"/>
        <w:rPr>
          <w:b/>
          <w:sz w:val="24"/>
          <w:szCs w:val="24"/>
        </w:rPr>
      </w:pPr>
      <w:r>
        <w:rPr>
          <w:b/>
          <w:sz w:val="24"/>
          <w:szCs w:val="24"/>
        </w:rPr>
        <w:t xml:space="preserve">Introduction: </w:t>
      </w:r>
    </w:p>
    <w:p w14:paraId="6F3BDF59" w14:textId="77777777" w:rsidR="00217A61" w:rsidRDefault="001C2695">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33"/>
        <w:gridCol w:w="3242"/>
        <w:gridCol w:w="3235"/>
      </w:tblGrid>
      <w:tr w:rsidR="00217A61" w14:paraId="203EEA05" w14:textId="77777777">
        <w:trPr>
          <w:cantSplit/>
          <w:tblHeader/>
        </w:trPr>
        <w:tc>
          <w:tcPr>
            <w:tcW w:w="2396" w:type="dxa"/>
          </w:tcPr>
          <w:p w14:paraId="66F443CE" w14:textId="77777777" w:rsidR="00217A61" w:rsidRDefault="001C2695">
            <w:pPr>
              <w:keepNext/>
              <w:widowControl w:val="0"/>
              <w:spacing w:after="0" w:line="240" w:lineRule="auto"/>
              <w:jc w:val="center"/>
              <w:rPr>
                <w:rFonts w:cs="Arial"/>
                <w:b/>
              </w:rPr>
            </w:pPr>
            <w:r>
              <w:rPr>
                <w:rFonts w:cs="Arial"/>
                <w:b/>
              </w:rPr>
              <w:t>Program</w:t>
            </w:r>
          </w:p>
        </w:tc>
        <w:tc>
          <w:tcPr>
            <w:tcW w:w="7180" w:type="dxa"/>
            <w:gridSpan w:val="3"/>
          </w:tcPr>
          <w:p w14:paraId="43DA1405" w14:textId="77777777" w:rsidR="00217A61" w:rsidRDefault="001C2695">
            <w:pPr>
              <w:keepNext/>
              <w:widowControl w:val="0"/>
              <w:spacing w:after="0" w:line="240" w:lineRule="auto"/>
              <w:jc w:val="center"/>
              <w:rPr>
                <w:rFonts w:cs="Arial"/>
                <w:b/>
              </w:rPr>
            </w:pPr>
            <w:r>
              <w:rPr>
                <w:rFonts w:cs="Arial"/>
                <w:b/>
              </w:rPr>
              <w:t>Goals</w:t>
            </w:r>
          </w:p>
        </w:tc>
      </w:tr>
      <w:tr w:rsidR="00217A61" w14:paraId="5C6FA919" w14:textId="77777777">
        <w:trPr>
          <w:cantSplit/>
          <w:tblHeader/>
        </w:trPr>
        <w:tc>
          <w:tcPr>
            <w:tcW w:w="2396" w:type="dxa"/>
          </w:tcPr>
          <w:p w14:paraId="28A4925E" w14:textId="77777777" w:rsidR="00217A61" w:rsidRDefault="001C2695">
            <w:pPr>
              <w:keepNext/>
              <w:widowControl w:val="0"/>
              <w:spacing w:after="0" w:line="240" w:lineRule="auto"/>
              <w:rPr>
                <w:rFonts w:cs="Arial"/>
              </w:rPr>
            </w:pPr>
            <w:r>
              <w:rPr>
                <w:rFonts w:cs="Arial"/>
              </w:rPr>
              <w:t>CDBG</w:t>
            </w:r>
          </w:p>
        </w:tc>
        <w:tc>
          <w:tcPr>
            <w:tcW w:w="2391" w:type="dxa"/>
          </w:tcPr>
          <w:p w14:paraId="4C8FDDBD" w14:textId="77777777" w:rsidR="00217A61" w:rsidRDefault="00217A61">
            <w:pPr>
              <w:keepNext/>
              <w:widowControl w:val="0"/>
              <w:spacing w:after="0" w:line="240" w:lineRule="auto"/>
              <w:rPr>
                <w:rFonts w:cs="Arial"/>
              </w:rPr>
            </w:pPr>
          </w:p>
        </w:tc>
        <w:tc>
          <w:tcPr>
            <w:tcW w:w="2397" w:type="dxa"/>
          </w:tcPr>
          <w:p w14:paraId="463A8156" w14:textId="77777777" w:rsidR="00217A61" w:rsidRDefault="00217A61">
            <w:pPr>
              <w:keepNext/>
              <w:widowControl w:val="0"/>
              <w:spacing w:after="0" w:line="240" w:lineRule="auto"/>
              <w:rPr>
                <w:rFonts w:cs="Arial"/>
              </w:rPr>
            </w:pPr>
          </w:p>
        </w:tc>
        <w:tc>
          <w:tcPr>
            <w:tcW w:w="2392" w:type="dxa"/>
          </w:tcPr>
          <w:p w14:paraId="4D80ACBD" w14:textId="77777777" w:rsidR="00217A61" w:rsidRDefault="00217A61">
            <w:pPr>
              <w:keepNext/>
              <w:widowControl w:val="0"/>
              <w:spacing w:after="0" w:line="240" w:lineRule="auto"/>
              <w:rPr>
                <w:rFonts w:cs="Arial"/>
              </w:rPr>
            </w:pPr>
          </w:p>
        </w:tc>
      </w:tr>
      <w:tr w:rsidR="00217A61" w14:paraId="3AAB21C3" w14:textId="77777777">
        <w:trPr>
          <w:cantSplit/>
          <w:tblHeader/>
        </w:trPr>
        <w:tc>
          <w:tcPr>
            <w:tcW w:w="2396" w:type="dxa"/>
          </w:tcPr>
          <w:p w14:paraId="42B70723" w14:textId="77777777" w:rsidR="00217A61" w:rsidRDefault="001C2695">
            <w:pPr>
              <w:keepNext/>
              <w:widowControl w:val="0"/>
              <w:spacing w:after="0" w:line="240" w:lineRule="auto"/>
              <w:rPr>
                <w:rFonts w:cs="Arial"/>
              </w:rPr>
            </w:pPr>
            <w:r>
              <w:rPr>
                <w:rFonts w:cs="Arial"/>
              </w:rPr>
              <w:t>HOME</w:t>
            </w:r>
          </w:p>
        </w:tc>
        <w:tc>
          <w:tcPr>
            <w:tcW w:w="2391" w:type="dxa"/>
          </w:tcPr>
          <w:p w14:paraId="0299A881" w14:textId="77777777" w:rsidR="00217A61" w:rsidRDefault="00217A61">
            <w:pPr>
              <w:keepNext/>
              <w:widowControl w:val="0"/>
              <w:spacing w:after="0" w:line="240" w:lineRule="auto"/>
              <w:rPr>
                <w:rFonts w:cs="Arial"/>
              </w:rPr>
            </w:pPr>
          </w:p>
        </w:tc>
        <w:tc>
          <w:tcPr>
            <w:tcW w:w="2397" w:type="dxa"/>
          </w:tcPr>
          <w:p w14:paraId="5BE207B9" w14:textId="77777777" w:rsidR="00217A61" w:rsidRDefault="00217A61">
            <w:pPr>
              <w:keepNext/>
              <w:widowControl w:val="0"/>
              <w:spacing w:after="0" w:line="240" w:lineRule="auto"/>
              <w:rPr>
                <w:rFonts w:cs="Arial"/>
              </w:rPr>
            </w:pPr>
          </w:p>
        </w:tc>
        <w:tc>
          <w:tcPr>
            <w:tcW w:w="2392" w:type="dxa"/>
          </w:tcPr>
          <w:p w14:paraId="094F1A28" w14:textId="77777777" w:rsidR="00217A61" w:rsidRDefault="00217A61">
            <w:pPr>
              <w:keepNext/>
              <w:widowControl w:val="0"/>
              <w:spacing w:after="0" w:line="240" w:lineRule="auto"/>
              <w:rPr>
                <w:rFonts w:cs="Arial"/>
              </w:rPr>
            </w:pPr>
          </w:p>
        </w:tc>
      </w:tr>
      <w:tr w:rsidR="00217A61" w14:paraId="5B9DEBA9" w14:textId="77777777">
        <w:trPr>
          <w:cantSplit/>
          <w:tblHeader/>
        </w:trPr>
        <w:tc>
          <w:tcPr>
            <w:tcW w:w="2396" w:type="dxa"/>
          </w:tcPr>
          <w:p w14:paraId="523AF647" w14:textId="77777777" w:rsidR="00217A61" w:rsidRDefault="001C2695">
            <w:pPr>
              <w:keepNext/>
              <w:widowControl w:val="0"/>
              <w:spacing w:after="0" w:line="240" w:lineRule="auto"/>
              <w:rPr>
                <w:rFonts w:cs="Arial"/>
              </w:rPr>
            </w:pPr>
            <w:r>
              <w:rPr>
                <w:rFonts w:cs="Arial"/>
              </w:rPr>
              <w:t>HOPWA</w:t>
            </w:r>
          </w:p>
        </w:tc>
        <w:tc>
          <w:tcPr>
            <w:tcW w:w="2391" w:type="dxa"/>
          </w:tcPr>
          <w:p w14:paraId="3B06E3BA" w14:textId="77777777" w:rsidR="00217A61" w:rsidRDefault="00217A61">
            <w:pPr>
              <w:keepNext/>
              <w:widowControl w:val="0"/>
              <w:spacing w:after="0" w:line="240" w:lineRule="auto"/>
              <w:rPr>
                <w:rFonts w:cs="Arial"/>
              </w:rPr>
            </w:pPr>
          </w:p>
        </w:tc>
        <w:tc>
          <w:tcPr>
            <w:tcW w:w="2397" w:type="dxa"/>
          </w:tcPr>
          <w:p w14:paraId="125B198F" w14:textId="77777777" w:rsidR="00217A61" w:rsidRDefault="00217A61">
            <w:pPr>
              <w:keepNext/>
              <w:widowControl w:val="0"/>
              <w:spacing w:after="0" w:line="240" w:lineRule="auto"/>
              <w:rPr>
                <w:rFonts w:cs="Arial"/>
              </w:rPr>
            </w:pPr>
          </w:p>
        </w:tc>
        <w:tc>
          <w:tcPr>
            <w:tcW w:w="2392" w:type="dxa"/>
          </w:tcPr>
          <w:p w14:paraId="4BF04543" w14:textId="77777777" w:rsidR="00217A61" w:rsidRDefault="00217A61">
            <w:pPr>
              <w:keepNext/>
              <w:widowControl w:val="0"/>
              <w:spacing w:after="0" w:line="240" w:lineRule="auto"/>
              <w:rPr>
                <w:rFonts w:cs="Arial"/>
              </w:rPr>
            </w:pPr>
          </w:p>
        </w:tc>
      </w:tr>
      <w:tr w:rsidR="00217A61" w14:paraId="172E92FA" w14:textId="77777777">
        <w:trPr>
          <w:cantSplit/>
          <w:tblHeader/>
        </w:trPr>
        <w:tc>
          <w:tcPr>
            <w:tcW w:w="2396" w:type="dxa"/>
          </w:tcPr>
          <w:p w14:paraId="5466A7CE" w14:textId="77777777" w:rsidR="00217A61" w:rsidRDefault="001C2695">
            <w:pPr>
              <w:keepNext/>
              <w:widowControl w:val="0"/>
              <w:spacing w:after="0" w:line="240" w:lineRule="auto"/>
              <w:rPr>
                <w:rFonts w:cs="Arial"/>
              </w:rPr>
            </w:pPr>
            <w:r>
              <w:rPr>
                <w:rFonts w:cs="Arial"/>
              </w:rPr>
              <w:t>ESG</w:t>
            </w:r>
          </w:p>
        </w:tc>
        <w:tc>
          <w:tcPr>
            <w:tcW w:w="2391" w:type="dxa"/>
          </w:tcPr>
          <w:p w14:paraId="01407BE2" w14:textId="77777777" w:rsidR="00217A61" w:rsidRDefault="00217A61">
            <w:pPr>
              <w:keepNext/>
              <w:widowControl w:val="0"/>
              <w:spacing w:after="0" w:line="240" w:lineRule="auto"/>
              <w:ind w:firstLine="720"/>
              <w:rPr>
                <w:rFonts w:cs="Arial"/>
              </w:rPr>
            </w:pPr>
          </w:p>
        </w:tc>
        <w:tc>
          <w:tcPr>
            <w:tcW w:w="2397" w:type="dxa"/>
          </w:tcPr>
          <w:p w14:paraId="21DD2BC0" w14:textId="77777777" w:rsidR="00217A61" w:rsidRDefault="00217A61">
            <w:pPr>
              <w:keepNext/>
              <w:widowControl w:val="0"/>
              <w:spacing w:after="0" w:line="240" w:lineRule="auto"/>
              <w:rPr>
                <w:rFonts w:cs="Arial"/>
              </w:rPr>
            </w:pPr>
          </w:p>
        </w:tc>
        <w:tc>
          <w:tcPr>
            <w:tcW w:w="2392" w:type="dxa"/>
          </w:tcPr>
          <w:p w14:paraId="3CE42364" w14:textId="77777777" w:rsidR="00217A61" w:rsidRDefault="00217A61">
            <w:pPr>
              <w:keepNext/>
              <w:widowControl w:val="0"/>
              <w:spacing w:after="0" w:line="240" w:lineRule="auto"/>
              <w:rPr>
                <w:rFonts w:cs="Arial"/>
              </w:rPr>
            </w:pPr>
          </w:p>
        </w:tc>
      </w:tr>
    </w:tbl>
    <w:p w14:paraId="70C9424E" w14:textId="77777777" w:rsidR="00217A61" w:rsidRDefault="001C269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Funding Allocation Priorities</w:t>
      </w:r>
    </w:p>
    <w:p w14:paraId="7401A118" w14:textId="77777777" w:rsidR="00217A61" w:rsidRDefault="00217A61">
      <w:pPr>
        <w:spacing w:after="0" w:line="240" w:lineRule="auto"/>
        <w:rPr>
          <w:b/>
          <w:sz w:val="24"/>
          <w:szCs w:val="24"/>
        </w:rPr>
      </w:pPr>
    </w:p>
    <w:p w14:paraId="7D8E122C" w14:textId="77777777" w:rsidR="00217A61" w:rsidRDefault="001C2695">
      <w:pPr>
        <w:widowControl w:val="0"/>
        <w:rPr>
          <w:b/>
          <w:sz w:val="24"/>
          <w:szCs w:val="24"/>
        </w:rPr>
      </w:pPr>
      <w:r>
        <w:rPr>
          <w:b/>
          <w:sz w:val="24"/>
          <w:szCs w:val="24"/>
        </w:rPr>
        <w:t>Reason for Allocation Priorities</w:t>
      </w:r>
    </w:p>
    <w:p w14:paraId="4E5C16F2" w14:textId="77777777" w:rsidR="00217A61" w:rsidRDefault="001C2695">
      <w:pPr>
        <w:keepNext/>
        <w:widowControl w:val="0"/>
        <w:rPr>
          <w:b/>
          <w:sz w:val="24"/>
          <w:szCs w:val="24"/>
        </w:rPr>
      </w:pPr>
      <w:r>
        <w:rPr>
          <w:b/>
          <w:sz w:val="24"/>
          <w:szCs w:val="24"/>
        </w:rPr>
        <w:t xml:space="preserve">How will the </w:t>
      </w:r>
      <w:r>
        <w:rPr>
          <w:b/>
          <w:sz w:val="24"/>
          <w:szCs w:val="24"/>
        </w:rPr>
        <w:t>proposed distribution of funds will address the priority needs and specific objectives described in the Consolidated Plan?</w:t>
      </w:r>
    </w:p>
    <w:p w14:paraId="3DE93095" w14:textId="77777777" w:rsidR="00217A61" w:rsidRDefault="001C2695">
      <w:pPr>
        <w:pStyle w:val="Heading2"/>
        <w:pageBreakBefore/>
        <w:rPr>
          <w:rFonts w:ascii="Calibri" w:hAnsi="Calibri"/>
          <w:i w:val="0"/>
        </w:rPr>
      </w:pPr>
      <w:r>
        <w:rPr>
          <w:rFonts w:ascii="Calibri" w:hAnsi="Calibri"/>
          <w:i w:val="0"/>
        </w:rPr>
        <w:lastRenderedPageBreak/>
        <w:t>AP-30 Methods of Distribution – 91.320(d)&amp;(k)</w:t>
      </w:r>
    </w:p>
    <w:p w14:paraId="35F9A8D5" w14:textId="77777777" w:rsidR="00217A61" w:rsidRDefault="001C2695">
      <w:pPr>
        <w:keepNext/>
        <w:widowControl w:val="0"/>
        <w:spacing w:line="204" w:lineRule="auto"/>
        <w:rPr>
          <w:b/>
          <w:sz w:val="24"/>
          <w:szCs w:val="24"/>
        </w:rPr>
      </w:pPr>
      <w:r>
        <w:rPr>
          <w:b/>
          <w:sz w:val="24"/>
          <w:szCs w:val="24"/>
        </w:rPr>
        <w:t xml:space="preserve">Introduction: </w:t>
      </w:r>
    </w:p>
    <w:p w14:paraId="45CED203" w14:textId="77777777" w:rsidR="00217A61" w:rsidRDefault="001C2695">
      <w:pPr>
        <w:keepNext/>
        <w:widowControl w:val="0"/>
        <w:rPr>
          <w:rFonts w:cs="Arial"/>
          <w:b/>
          <w:sz w:val="24"/>
          <w:szCs w:val="24"/>
        </w:rPr>
      </w:pPr>
      <w:r>
        <w:rPr>
          <w:rFonts w:cs="Arial"/>
          <w:b/>
          <w:sz w:val="24"/>
          <w:szCs w:val="24"/>
        </w:rPr>
        <w:t>Distribution Methods</w:t>
      </w:r>
    </w:p>
    <w:p w14:paraId="2A5BA6BE" w14:textId="77777777" w:rsidR="00217A61" w:rsidRDefault="001C269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Distribution Met</w:t>
      </w:r>
      <w:r>
        <w:rPr>
          <w:rFonts w:asciiTheme="minorHAnsi" w:hAnsiTheme="minorHAnsi"/>
        </w:rPr>
        <w:t>hods by State Program</w:t>
      </w:r>
    </w:p>
    <w:p w14:paraId="19187ED9" w14:textId="77777777" w:rsidR="00217A61" w:rsidRDefault="00217A61">
      <w:pPr>
        <w:rPr>
          <w:rFonts w:cs="Arial"/>
        </w:rPr>
        <w:sectPr w:rsidR="00217A61">
          <w:pgSz w:w="15840" w:h="12240" w:orient="landscape" w:code="1"/>
          <w:pgMar w:top="1440" w:right="1440" w:bottom="1440" w:left="1440" w:header="720" w:footer="720" w:gutter="0"/>
          <w:cols w:space="720"/>
          <w:docGrid w:linePitch="360"/>
        </w:sectPr>
      </w:pPr>
    </w:p>
    <w:p w14:paraId="5BC70AAB" w14:textId="77777777" w:rsidR="00217A61" w:rsidRDefault="001C2695">
      <w:pPr>
        <w:keepNext/>
        <w:widowControl w:val="0"/>
        <w:spacing w:line="204" w:lineRule="auto"/>
        <w:rPr>
          <w:b/>
          <w:sz w:val="24"/>
          <w:szCs w:val="24"/>
        </w:rPr>
      </w:pPr>
      <w:r>
        <w:rPr>
          <w:b/>
          <w:sz w:val="24"/>
          <w:szCs w:val="24"/>
        </w:rPr>
        <w:lastRenderedPageBreak/>
        <w:t xml:space="preserve">Discussion: </w:t>
      </w:r>
    </w:p>
    <w:p w14:paraId="7DF13907" w14:textId="77777777" w:rsidR="00217A61" w:rsidRDefault="00217A61">
      <w:pPr>
        <w:pStyle w:val="Heading2"/>
        <w:jc w:val="center"/>
        <w:rPr>
          <w:rFonts w:ascii="Calibri" w:hAnsi="Calibri"/>
          <w:i w:val="0"/>
          <w:sz w:val="32"/>
          <w:szCs w:val="32"/>
        </w:rPr>
        <w:sectPr w:rsidR="00217A61">
          <w:pgSz w:w="12240" w:h="15840" w:code="1"/>
          <w:pgMar w:top="1440" w:right="1440" w:bottom="1440" w:left="1440" w:header="720" w:footer="720" w:gutter="0"/>
          <w:cols w:space="720"/>
          <w:docGrid w:linePitch="360"/>
        </w:sectPr>
      </w:pPr>
    </w:p>
    <w:p w14:paraId="2A25CBDD" w14:textId="77777777" w:rsidR="00217A61" w:rsidRDefault="001C2695">
      <w:pPr>
        <w:pStyle w:val="Heading2"/>
        <w:pageBreakBefore/>
        <w:rPr>
          <w:rFonts w:ascii="Calibri" w:hAnsi="Calibri"/>
          <w:i w:val="0"/>
        </w:rPr>
      </w:pPr>
      <w:bookmarkStart w:id="8" w:name="_Toc309810475"/>
      <w:r>
        <w:rPr>
          <w:rFonts w:ascii="Calibri" w:hAnsi="Calibri"/>
          <w:i w:val="0"/>
        </w:rPr>
        <w:lastRenderedPageBreak/>
        <w:t>AP-35 Projects – (Optional)</w:t>
      </w:r>
    </w:p>
    <w:p w14:paraId="070A9CC1" w14:textId="77777777" w:rsidR="00217A61" w:rsidRDefault="001C2695">
      <w:pPr>
        <w:keepNext/>
        <w:widowControl w:val="0"/>
        <w:spacing w:line="204" w:lineRule="auto"/>
        <w:rPr>
          <w:b/>
          <w:sz w:val="24"/>
          <w:szCs w:val="24"/>
        </w:rPr>
      </w:pPr>
      <w:r>
        <w:rPr>
          <w:b/>
          <w:sz w:val="24"/>
          <w:szCs w:val="24"/>
        </w:rPr>
        <w:t xml:space="preserve">Introduction: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217A61" w14:paraId="3EE587DA" w14:textId="77777777">
        <w:trPr>
          <w:cantSplit/>
          <w:tblHeader/>
        </w:trPr>
        <w:tc>
          <w:tcPr>
            <w:tcW w:w="0" w:type="auto"/>
          </w:tcPr>
          <w:p w14:paraId="3D2C45D2" w14:textId="77777777" w:rsidR="00217A61" w:rsidRDefault="001C2695">
            <w:pPr>
              <w:keepNext/>
              <w:widowControl w:val="0"/>
              <w:spacing w:after="0" w:line="240" w:lineRule="auto"/>
              <w:jc w:val="center"/>
              <w:rPr>
                <w:b/>
              </w:rPr>
            </w:pPr>
            <w:r>
              <w:rPr>
                <w:b/>
              </w:rPr>
              <w:t>#</w:t>
            </w:r>
          </w:p>
        </w:tc>
        <w:tc>
          <w:tcPr>
            <w:tcW w:w="0" w:type="auto"/>
          </w:tcPr>
          <w:p w14:paraId="667F5B7C" w14:textId="77777777" w:rsidR="00217A61" w:rsidRDefault="001C2695">
            <w:pPr>
              <w:keepNext/>
              <w:widowControl w:val="0"/>
              <w:spacing w:after="0" w:line="240" w:lineRule="auto"/>
              <w:jc w:val="center"/>
              <w:rPr>
                <w:b/>
                <w:szCs w:val="24"/>
              </w:rPr>
            </w:pPr>
            <w:r>
              <w:rPr>
                <w:b/>
              </w:rPr>
              <w:t>Project Name</w:t>
            </w:r>
          </w:p>
        </w:tc>
      </w:tr>
      <w:tr w:rsidR="00217A61" w14:paraId="77C0B400" w14:textId="77777777">
        <w:trPr>
          <w:cantSplit/>
          <w:tblHeader/>
        </w:trPr>
        <w:tc>
          <w:tcPr>
            <w:tcW w:w="0" w:type="auto"/>
          </w:tcPr>
          <w:p w14:paraId="06998DF1" w14:textId="77777777" w:rsidR="00217A61" w:rsidRDefault="00217A61">
            <w:pPr>
              <w:keepNext/>
              <w:widowControl w:val="0"/>
              <w:spacing w:after="0" w:line="240" w:lineRule="auto"/>
              <w:jc w:val="center"/>
            </w:pPr>
          </w:p>
        </w:tc>
        <w:tc>
          <w:tcPr>
            <w:tcW w:w="0" w:type="auto"/>
          </w:tcPr>
          <w:p w14:paraId="4BE6FE90" w14:textId="77777777" w:rsidR="00217A61" w:rsidRDefault="00217A61">
            <w:pPr>
              <w:keepNext/>
              <w:widowControl w:val="0"/>
              <w:spacing w:after="0" w:line="240" w:lineRule="auto"/>
              <w:jc w:val="center"/>
              <w:rPr>
                <w:szCs w:val="24"/>
              </w:rPr>
            </w:pPr>
          </w:p>
        </w:tc>
      </w:tr>
    </w:tbl>
    <w:p w14:paraId="36C64E19" w14:textId="77777777" w:rsidR="00217A61" w:rsidRDefault="001C269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14:paraId="70AEF6B6" w14:textId="77777777" w:rsidR="00217A61" w:rsidRDefault="00217A61">
      <w:pPr>
        <w:spacing w:after="0" w:line="240" w:lineRule="auto"/>
        <w:rPr>
          <w:b/>
          <w:sz w:val="24"/>
          <w:szCs w:val="24"/>
        </w:rPr>
      </w:pPr>
    </w:p>
    <w:p w14:paraId="033B97F6" w14:textId="77777777" w:rsidR="00217A61" w:rsidRDefault="001C2695">
      <w:pPr>
        <w:widowControl w:val="0"/>
        <w:rPr>
          <w:b/>
          <w:sz w:val="24"/>
          <w:szCs w:val="24"/>
        </w:rPr>
      </w:pPr>
      <w:r>
        <w:rPr>
          <w:b/>
          <w:sz w:val="24"/>
          <w:szCs w:val="24"/>
        </w:rPr>
        <w:t xml:space="preserve">Describe the reasons for allocation priorities and any obstacles to </w:t>
      </w:r>
      <w:r>
        <w:rPr>
          <w:b/>
          <w:sz w:val="24"/>
          <w:szCs w:val="24"/>
        </w:rPr>
        <w:t xml:space="preserve">addressing underserved </w:t>
      </w:r>
      <w:proofErr w:type="gramStart"/>
      <w:r>
        <w:rPr>
          <w:b/>
          <w:sz w:val="24"/>
          <w:szCs w:val="24"/>
        </w:rPr>
        <w:t>needs</w:t>
      </w:r>
      <w:proofErr w:type="gramEnd"/>
    </w:p>
    <w:p w14:paraId="204164F4" w14:textId="77777777" w:rsidR="00217A61" w:rsidRDefault="00217A61">
      <w:pPr>
        <w:rPr>
          <w:rFonts w:cs="Arial"/>
        </w:rPr>
        <w:sectPr w:rsidR="00217A61">
          <w:pgSz w:w="12240" w:h="15840" w:code="1"/>
          <w:pgMar w:top="1440" w:right="1440" w:bottom="1440" w:left="1440" w:header="720" w:footer="720" w:gutter="0"/>
          <w:cols w:space="720"/>
          <w:docGrid w:linePitch="360"/>
        </w:sectPr>
      </w:pPr>
    </w:p>
    <w:p w14:paraId="07CA9B0B" w14:textId="77777777" w:rsidR="00217A61" w:rsidRDefault="001C2695">
      <w:pPr>
        <w:pStyle w:val="Heading2"/>
        <w:rPr>
          <w:rFonts w:ascii="Calibri" w:hAnsi="Calibri"/>
          <w:i w:val="0"/>
        </w:rPr>
      </w:pPr>
      <w:r>
        <w:rPr>
          <w:rFonts w:ascii="Calibri" w:hAnsi="Calibri"/>
          <w:i w:val="0"/>
        </w:rPr>
        <w:lastRenderedPageBreak/>
        <w:t>AP-38 Project Summary</w:t>
      </w:r>
    </w:p>
    <w:p w14:paraId="02AABA89" w14:textId="77777777" w:rsidR="00217A61" w:rsidRDefault="001C2695">
      <w:pPr>
        <w:keepNext/>
        <w:widowControl w:val="0"/>
        <w:rPr>
          <w:b/>
          <w:sz w:val="24"/>
          <w:szCs w:val="24"/>
        </w:rPr>
      </w:pPr>
      <w:r>
        <w:rPr>
          <w:b/>
          <w:sz w:val="24"/>
          <w:szCs w:val="24"/>
        </w:rPr>
        <w:t>Project Summary Information</w:t>
      </w:r>
    </w:p>
    <w:p w14:paraId="6AC2BC76" w14:textId="77777777" w:rsidR="00217A61" w:rsidRDefault="00217A61">
      <w:pPr>
        <w:pStyle w:val="Heading2"/>
        <w:pageBreakBefore/>
        <w:rPr>
          <w:rFonts w:ascii="Calibri" w:hAnsi="Calibri"/>
          <w:i w:val="0"/>
        </w:rPr>
        <w:sectPr w:rsidR="00217A61">
          <w:pgSz w:w="15840" w:h="12240" w:orient="landscape" w:code="1"/>
          <w:pgMar w:top="1440" w:right="1440" w:bottom="1440" w:left="1440" w:header="720" w:footer="720" w:gutter="0"/>
          <w:cols w:space="720"/>
          <w:docGrid w:linePitch="360"/>
        </w:sectPr>
      </w:pPr>
    </w:p>
    <w:p w14:paraId="4BC4D888" w14:textId="77777777" w:rsidR="00217A61" w:rsidRDefault="001C2695">
      <w:pPr>
        <w:pStyle w:val="Heading2"/>
        <w:pageBreakBefore/>
        <w:rPr>
          <w:rFonts w:ascii="Calibri" w:hAnsi="Calibri"/>
          <w:i w:val="0"/>
        </w:rPr>
      </w:pPr>
      <w:r>
        <w:rPr>
          <w:rFonts w:ascii="Calibri" w:hAnsi="Calibri"/>
          <w:i w:val="0"/>
        </w:rPr>
        <w:lastRenderedPageBreak/>
        <w:t>AP-40 Section 108 Loan Guarantee</w:t>
      </w:r>
      <w:bookmarkEnd w:id="8"/>
      <w:r>
        <w:rPr>
          <w:rFonts w:ascii="Calibri" w:hAnsi="Calibri"/>
          <w:i w:val="0"/>
        </w:rPr>
        <w:t xml:space="preserve"> – 91.320(k)(1)(ii)</w:t>
      </w:r>
    </w:p>
    <w:p w14:paraId="59B3A5D5" w14:textId="77777777" w:rsidR="00217A61" w:rsidRDefault="001C2695">
      <w:pPr>
        <w:keepNext/>
        <w:widowControl w:val="0"/>
        <w:rPr>
          <w:b/>
          <w:sz w:val="24"/>
          <w:szCs w:val="24"/>
        </w:rPr>
      </w:pPr>
      <w:r>
        <w:rPr>
          <w:b/>
          <w:sz w:val="24"/>
          <w:szCs w:val="24"/>
        </w:rPr>
        <w:t xml:space="preserve">Will the state help non-entitlement units of general local government to apply for Section 108 loan </w:t>
      </w:r>
      <w:r>
        <w:rPr>
          <w:b/>
          <w:sz w:val="24"/>
          <w:szCs w:val="24"/>
        </w:rPr>
        <w:t>funds?</w:t>
      </w:r>
    </w:p>
    <w:p w14:paraId="5BEDC0B5" w14:textId="77777777" w:rsidR="00217A61" w:rsidRDefault="001C2695">
      <w:pPr>
        <w:keepNext/>
        <w:widowControl w:val="0"/>
        <w:rPr>
          <w:b/>
          <w:sz w:val="24"/>
          <w:szCs w:val="24"/>
        </w:rPr>
      </w:pPr>
      <w:r>
        <w:rPr>
          <w:b/>
          <w:sz w:val="24"/>
          <w:szCs w:val="24"/>
        </w:rPr>
        <w:t xml:space="preserve">Available Grant Amounts </w:t>
      </w:r>
    </w:p>
    <w:p w14:paraId="4B06C1E9" w14:textId="77777777" w:rsidR="00217A61" w:rsidRDefault="001C2695">
      <w:pPr>
        <w:keepNext/>
        <w:widowControl w:val="0"/>
        <w:rPr>
          <w:b/>
          <w:sz w:val="24"/>
          <w:szCs w:val="24"/>
        </w:rPr>
      </w:pPr>
      <w:r>
        <w:rPr>
          <w:b/>
          <w:sz w:val="24"/>
          <w:szCs w:val="24"/>
        </w:rPr>
        <w:t xml:space="preserve">Acceptance process of applications </w:t>
      </w:r>
    </w:p>
    <w:p w14:paraId="5D49DF89" w14:textId="77777777" w:rsidR="00217A61" w:rsidRDefault="001C2695">
      <w:pPr>
        <w:pStyle w:val="Heading2"/>
        <w:pageBreakBefore/>
        <w:rPr>
          <w:rFonts w:ascii="Calibri" w:hAnsi="Calibri"/>
          <w:i w:val="0"/>
        </w:rPr>
      </w:pPr>
      <w:bookmarkStart w:id="9" w:name="_Toc309810476"/>
      <w:r>
        <w:rPr>
          <w:rFonts w:ascii="Calibri" w:hAnsi="Calibri"/>
          <w:i w:val="0"/>
        </w:rPr>
        <w:lastRenderedPageBreak/>
        <w:t>AP-45 Community Revitalization Strategies – 91.320(k)(1)(ii)</w:t>
      </w:r>
    </w:p>
    <w:p w14:paraId="76116714" w14:textId="77777777" w:rsidR="00217A61" w:rsidRDefault="001C2695">
      <w:pPr>
        <w:keepNext/>
        <w:widowControl w:val="0"/>
        <w:rPr>
          <w:b/>
          <w:sz w:val="24"/>
          <w:szCs w:val="24"/>
        </w:rPr>
      </w:pPr>
      <w:r>
        <w:rPr>
          <w:b/>
          <w:sz w:val="24"/>
          <w:szCs w:val="24"/>
        </w:rPr>
        <w:t>Will the state allow units of general local government to carry out community revitalization strategies?</w:t>
      </w:r>
    </w:p>
    <w:p w14:paraId="14AC6214" w14:textId="77777777" w:rsidR="00217A61" w:rsidRDefault="001C2695">
      <w:pPr>
        <w:keepNext/>
        <w:widowControl w:val="0"/>
        <w:rPr>
          <w:b/>
          <w:sz w:val="24"/>
          <w:szCs w:val="24"/>
        </w:rPr>
      </w:pPr>
      <w:r>
        <w:rPr>
          <w:b/>
          <w:sz w:val="24"/>
          <w:szCs w:val="24"/>
        </w:rPr>
        <w:t>State’s Process and Cr</w:t>
      </w:r>
      <w:r>
        <w:rPr>
          <w:b/>
          <w:sz w:val="24"/>
          <w:szCs w:val="24"/>
        </w:rPr>
        <w:t xml:space="preserve">iteria for approving local government revitalization </w:t>
      </w:r>
      <w:proofErr w:type="gramStart"/>
      <w:r>
        <w:rPr>
          <w:b/>
          <w:sz w:val="24"/>
          <w:szCs w:val="24"/>
        </w:rPr>
        <w:t>strategies</w:t>
      </w:r>
      <w:proofErr w:type="gramEnd"/>
    </w:p>
    <w:p w14:paraId="343B5DD3" w14:textId="77777777" w:rsidR="00217A61" w:rsidRDefault="00217A61">
      <w:pPr>
        <w:rPr>
          <w:rFonts w:cs="Arial"/>
        </w:rPr>
      </w:pPr>
    </w:p>
    <w:bookmarkEnd w:id="9"/>
    <w:p w14:paraId="648B4935" w14:textId="77777777" w:rsidR="00217A61" w:rsidRDefault="00217A61">
      <w:pPr>
        <w:keepNext/>
        <w:widowControl w:val="0"/>
        <w:rPr>
          <w:rFonts w:cs="Arial"/>
          <w:szCs w:val="24"/>
        </w:rPr>
      </w:pPr>
    </w:p>
    <w:p w14:paraId="4E846320" w14:textId="77777777" w:rsidR="00217A61" w:rsidRDefault="001C2695">
      <w:pPr>
        <w:pStyle w:val="Heading2"/>
        <w:pageBreakBefore/>
        <w:widowControl w:val="0"/>
        <w:rPr>
          <w:rFonts w:ascii="Calibri" w:hAnsi="Calibri"/>
          <w:i w:val="0"/>
        </w:rPr>
      </w:pPr>
      <w:bookmarkStart w:id="10" w:name="_Toc309810477"/>
      <w:r>
        <w:rPr>
          <w:rFonts w:ascii="Calibri" w:hAnsi="Calibri"/>
          <w:i w:val="0"/>
        </w:rPr>
        <w:lastRenderedPageBreak/>
        <w:t xml:space="preserve">AP-50 Geographic Distribution </w:t>
      </w:r>
      <w:bookmarkEnd w:id="10"/>
      <w:r>
        <w:rPr>
          <w:rFonts w:ascii="Calibri" w:hAnsi="Calibri"/>
          <w:i w:val="0"/>
        </w:rPr>
        <w:t>– 91.320(f)</w:t>
      </w:r>
    </w:p>
    <w:p w14:paraId="47DB998B" w14:textId="77777777" w:rsidR="00217A61" w:rsidRDefault="001C2695">
      <w:pPr>
        <w:keepNext/>
        <w:widowControl w:val="0"/>
        <w:rPr>
          <w:b/>
          <w:sz w:val="24"/>
          <w:szCs w:val="24"/>
        </w:rPr>
      </w:pPr>
      <w:r>
        <w:rPr>
          <w:b/>
          <w:sz w:val="24"/>
          <w:szCs w:val="24"/>
        </w:rPr>
        <w:t xml:space="preserve">Description of the geographic areas of the state (including areas of low-income and minority concentration) where assistance will be </w:t>
      </w:r>
      <w:proofErr w:type="gramStart"/>
      <w:r>
        <w:rPr>
          <w:b/>
          <w:sz w:val="24"/>
          <w:szCs w:val="24"/>
        </w:rPr>
        <w:t>directed</w:t>
      </w:r>
      <w:proofErr w:type="gramEnd"/>
      <w:r>
        <w:rPr>
          <w:b/>
          <w:sz w:val="24"/>
          <w:szCs w:val="24"/>
        </w:rPr>
        <w:t xml:space="preserve"> </w:t>
      </w:r>
    </w:p>
    <w:p w14:paraId="4E9E37F2" w14:textId="77777777" w:rsidR="00217A61" w:rsidRDefault="00217A61">
      <w:pPr>
        <w:keepNext/>
        <w:widowControl w:val="0"/>
        <w:rPr>
          <w:rFonts w:cs="Arial"/>
          <w:szCs w:val="26"/>
        </w:rPr>
      </w:pPr>
    </w:p>
    <w:p w14:paraId="26D51F93" w14:textId="77777777" w:rsidR="00217A61" w:rsidRDefault="001C2695">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217A61" w14:paraId="32E101D3" w14:textId="77777777">
        <w:trPr>
          <w:cantSplit/>
          <w:tblHeader/>
        </w:trPr>
        <w:tc>
          <w:tcPr>
            <w:tcW w:w="0" w:type="auto"/>
          </w:tcPr>
          <w:p w14:paraId="59290A04" w14:textId="77777777" w:rsidR="00217A61" w:rsidRDefault="001C2695">
            <w:pPr>
              <w:keepNext/>
              <w:widowControl w:val="0"/>
              <w:spacing w:after="0" w:line="240" w:lineRule="auto"/>
              <w:jc w:val="center"/>
              <w:rPr>
                <w:b/>
                <w:szCs w:val="24"/>
              </w:rPr>
            </w:pPr>
            <w:r>
              <w:rPr>
                <w:b/>
              </w:rPr>
              <w:t>Target Area</w:t>
            </w:r>
          </w:p>
        </w:tc>
        <w:tc>
          <w:tcPr>
            <w:tcW w:w="0" w:type="auto"/>
          </w:tcPr>
          <w:p w14:paraId="16721D76" w14:textId="77777777" w:rsidR="00217A61" w:rsidRDefault="001C2695">
            <w:pPr>
              <w:keepNext/>
              <w:widowControl w:val="0"/>
              <w:spacing w:after="0" w:line="240" w:lineRule="auto"/>
              <w:jc w:val="center"/>
              <w:rPr>
                <w:b/>
                <w:szCs w:val="24"/>
              </w:rPr>
            </w:pPr>
            <w:r>
              <w:rPr>
                <w:b/>
              </w:rPr>
              <w:t>Percentage of Funds</w:t>
            </w:r>
          </w:p>
        </w:tc>
      </w:tr>
      <w:tr w:rsidR="00217A61" w14:paraId="0364913A" w14:textId="77777777">
        <w:trPr>
          <w:cantSplit/>
          <w:tblHeader/>
        </w:trPr>
        <w:tc>
          <w:tcPr>
            <w:tcW w:w="0" w:type="auto"/>
          </w:tcPr>
          <w:p w14:paraId="7D0FB9D7" w14:textId="77777777" w:rsidR="00217A61" w:rsidRDefault="00217A61">
            <w:pPr>
              <w:keepNext/>
              <w:widowControl w:val="0"/>
              <w:spacing w:after="0" w:line="240" w:lineRule="auto"/>
              <w:rPr>
                <w:szCs w:val="24"/>
              </w:rPr>
            </w:pPr>
          </w:p>
        </w:tc>
        <w:tc>
          <w:tcPr>
            <w:tcW w:w="0" w:type="auto"/>
          </w:tcPr>
          <w:p w14:paraId="5F59642A" w14:textId="77777777" w:rsidR="00217A61" w:rsidRDefault="00217A61">
            <w:pPr>
              <w:keepNext/>
              <w:widowControl w:val="0"/>
              <w:spacing w:after="0" w:line="240" w:lineRule="auto"/>
              <w:jc w:val="center"/>
              <w:rPr>
                <w:b/>
                <w:szCs w:val="24"/>
              </w:rPr>
            </w:pPr>
          </w:p>
        </w:tc>
      </w:tr>
    </w:tbl>
    <w:p w14:paraId="44241C1C" w14:textId="77777777" w:rsidR="00217A61" w:rsidRDefault="001C269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14:paraId="3857474C" w14:textId="77777777" w:rsidR="00217A61" w:rsidRDefault="00217A61">
      <w:pPr>
        <w:spacing w:after="0" w:line="240" w:lineRule="auto"/>
        <w:rPr>
          <w:b/>
          <w:sz w:val="24"/>
          <w:szCs w:val="24"/>
        </w:rPr>
      </w:pPr>
    </w:p>
    <w:p w14:paraId="07570262" w14:textId="77777777" w:rsidR="00217A61" w:rsidRDefault="001C2695">
      <w:pPr>
        <w:keepNext/>
        <w:widowControl w:val="0"/>
        <w:rPr>
          <w:b/>
          <w:sz w:val="24"/>
          <w:szCs w:val="24"/>
        </w:rPr>
      </w:pPr>
      <w:r>
        <w:rPr>
          <w:b/>
          <w:sz w:val="24"/>
          <w:szCs w:val="24"/>
        </w:rPr>
        <w:t xml:space="preserve">Rationale for the priorities for allocating investments geographically </w:t>
      </w:r>
    </w:p>
    <w:p w14:paraId="30031FED" w14:textId="77777777" w:rsidR="00217A61" w:rsidRDefault="00217A61">
      <w:pPr>
        <w:keepNext/>
        <w:widowControl w:val="0"/>
        <w:rPr>
          <w:rFonts w:cs="Arial"/>
          <w:szCs w:val="24"/>
        </w:rPr>
      </w:pPr>
    </w:p>
    <w:p w14:paraId="02EC9507" w14:textId="77777777" w:rsidR="00217A61" w:rsidRDefault="001C2695">
      <w:pPr>
        <w:keepNext/>
        <w:widowControl w:val="0"/>
        <w:spacing w:line="204" w:lineRule="auto"/>
        <w:rPr>
          <w:b/>
          <w:sz w:val="24"/>
          <w:szCs w:val="24"/>
        </w:rPr>
      </w:pPr>
      <w:r>
        <w:rPr>
          <w:b/>
          <w:sz w:val="24"/>
          <w:szCs w:val="24"/>
        </w:rPr>
        <w:t>Discussion</w:t>
      </w:r>
    </w:p>
    <w:p w14:paraId="491DDD6C" w14:textId="77777777" w:rsidR="00217A61" w:rsidRDefault="00217A61">
      <w:pPr>
        <w:keepNext/>
        <w:widowControl w:val="0"/>
        <w:spacing w:line="204" w:lineRule="auto"/>
        <w:rPr>
          <w:b/>
          <w:sz w:val="24"/>
          <w:szCs w:val="24"/>
        </w:rPr>
      </w:pPr>
    </w:p>
    <w:p w14:paraId="19C454B3" w14:textId="77777777" w:rsidR="00217A61" w:rsidRDefault="00217A61">
      <w:pPr>
        <w:rPr>
          <w:rFonts w:cs="Arial"/>
        </w:rPr>
      </w:pPr>
    </w:p>
    <w:p w14:paraId="1BF2270E" w14:textId="77777777" w:rsidR="00217A61" w:rsidRDefault="001C2695">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14:paraId="33D0F743" w14:textId="77777777" w:rsidR="00217A61" w:rsidRDefault="001C2695">
      <w:pPr>
        <w:pStyle w:val="Heading2"/>
        <w:widowControl w:val="0"/>
        <w:rPr>
          <w:rFonts w:ascii="Calibri" w:hAnsi="Calibri"/>
          <w:i w:val="0"/>
        </w:rPr>
      </w:pPr>
      <w:r>
        <w:rPr>
          <w:rFonts w:ascii="Calibri" w:hAnsi="Calibri"/>
          <w:i w:val="0"/>
        </w:rPr>
        <w:t>AP-55 Affordable Housing – 24 CFR 91.320(g)</w:t>
      </w:r>
    </w:p>
    <w:p w14:paraId="72AAA180" w14:textId="77777777" w:rsidR="00217A61" w:rsidRDefault="001C2695">
      <w:pPr>
        <w:keepNext/>
        <w:widowControl w:val="0"/>
        <w:spacing w:line="204" w:lineRule="auto"/>
        <w:rPr>
          <w:b/>
          <w:sz w:val="28"/>
          <w:szCs w:val="28"/>
        </w:rPr>
      </w:pPr>
      <w:r>
        <w:rPr>
          <w:b/>
          <w:sz w:val="24"/>
          <w:szCs w:val="24"/>
        </w:rPr>
        <w:t xml:space="preserve">Introduction: </w:t>
      </w:r>
    </w:p>
    <w:p w14:paraId="17029560" w14:textId="77777777" w:rsidR="00217A61" w:rsidRDefault="00217A61">
      <w:pPr>
        <w:keepNext/>
        <w:widowControl w:val="0"/>
        <w:spacing w:line="204" w:lineRule="auto"/>
        <w:rPr>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217A61" w14:paraId="2108DDA8" w14:textId="77777777">
        <w:trPr>
          <w:cantSplit/>
          <w:tblHeader/>
        </w:trPr>
        <w:tc>
          <w:tcPr>
            <w:tcW w:w="6473" w:type="dxa"/>
            <w:gridSpan w:val="2"/>
          </w:tcPr>
          <w:p w14:paraId="592950AD" w14:textId="77777777" w:rsidR="00217A61" w:rsidRDefault="001C2695">
            <w:pPr>
              <w:keepNext/>
              <w:widowControl w:val="0"/>
              <w:spacing w:after="0" w:line="240" w:lineRule="auto"/>
              <w:jc w:val="center"/>
              <w:rPr>
                <w:b/>
                <w:szCs w:val="24"/>
              </w:rPr>
            </w:pPr>
            <w:r>
              <w:rPr>
                <w:b/>
              </w:rPr>
              <w:t xml:space="preserve">One Year Goals for the Number of Households to be </w:t>
            </w:r>
            <w:r>
              <w:rPr>
                <w:b/>
              </w:rPr>
              <w:t>Supported</w:t>
            </w:r>
          </w:p>
        </w:tc>
      </w:tr>
      <w:tr w:rsidR="00217A61" w14:paraId="48DC100B" w14:textId="77777777">
        <w:trPr>
          <w:cantSplit/>
        </w:trPr>
        <w:tc>
          <w:tcPr>
            <w:tcW w:w="4853" w:type="dxa"/>
            <w:tcBorders>
              <w:top w:val="nil"/>
              <w:bottom w:val="nil"/>
            </w:tcBorders>
            <w:vAlign w:val="bottom"/>
          </w:tcPr>
          <w:p w14:paraId="6C2C4394" w14:textId="77777777" w:rsidR="00217A61" w:rsidRDefault="001C2695">
            <w:pPr>
              <w:spacing w:beforeAutospacing="1" w:afterAutospacing="1"/>
            </w:pPr>
            <w:r>
              <w:rPr>
                <w:color w:val="000000"/>
              </w:rPr>
              <w:t>Homeless</w:t>
            </w:r>
          </w:p>
        </w:tc>
        <w:tc>
          <w:tcPr>
            <w:tcW w:w="1620" w:type="dxa"/>
            <w:tcBorders>
              <w:top w:val="nil"/>
              <w:bottom w:val="nil"/>
            </w:tcBorders>
            <w:vAlign w:val="bottom"/>
          </w:tcPr>
          <w:p w14:paraId="792984E4" w14:textId="77777777" w:rsidR="00217A61" w:rsidRDefault="001C2695">
            <w:pPr>
              <w:spacing w:beforeAutospacing="1" w:afterAutospacing="1"/>
              <w:jc w:val="right"/>
            </w:pPr>
            <w:r>
              <w:rPr>
                <w:color w:val="000000"/>
              </w:rPr>
              <w:t>0</w:t>
            </w:r>
          </w:p>
        </w:tc>
      </w:tr>
      <w:tr w:rsidR="00217A61" w14:paraId="08F7D819" w14:textId="77777777">
        <w:trPr>
          <w:cantSplit/>
        </w:trPr>
        <w:tc>
          <w:tcPr>
            <w:tcW w:w="4853" w:type="dxa"/>
            <w:tcBorders>
              <w:top w:val="nil"/>
              <w:bottom w:val="nil"/>
            </w:tcBorders>
            <w:vAlign w:val="bottom"/>
          </w:tcPr>
          <w:p w14:paraId="3D606185" w14:textId="77777777" w:rsidR="00217A61" w:rsidRDefault="001C2695">
            <w:pPr>
              <w:spacing w:beforeAutospacing="1" w:afterAutospacing="1"/>
            </w:pPr>
            <w:r>
              <w:rPr>
                <w:color w:val="000000"/>
              </w:rPr>
              <w:t>Non-Homeless</w:t>
            </w:r>
          </w:p>
        </w:tc>
        <w:tc>
          <w:tcPr>
            <w:tcW w:w="1620" w:type="dxa"/>
            <w:tcBorders>
              <w:top w:val="nil"/>
              <w:bottom w:val="nil"/>
            </w:tcBorders>
            <w:vAlign w:val="bottom"/>
          </w:tcPr>
          <w:p w14:paraId="3589F7E5" w14:textId="77777777" w:rsidR="00217A61" w:rsidRDefault="001C2695">
            <w:pPr>
              <w:spacing w:beforeAutospacing="1" w:afterAutospacing="1"/>
              <w:jc w:val="right"/>
            </w:pPr>
            <w:r>
              <w:rPr>
                <w:color w:val="000000"/>
              </w:rPr>
              <w:t>0</w:t>
            </w:r>
          </w:p>
        </w:tc>
      </w:tr>
      <w:tr w:rsidR="00217A61" w14:paraId="41E0B40B" w14:textId="77777777">
        <w:trPr>
          <w:cantSplit/>
        </w:trPr>
        <w:tc>
          <w:tcPr>
            <w:tcW w:w="4853" w:type="dxa"/>
            <w:tcBorders>
              <w:top w:val="nil"/>
              <w:bottom w:val="nil"/>
            </w:tcBorders>
            <w:vAlign w:val="bottom"/>
          </w:tcPr>
          <w:p w14:paraId="2729EAA2" w14:textId="77777777" w:rsidR="00217A61" w:rsidRDefault="001C2695">
            <w:pPr>
              <w:spacing w:beforeAutospacing="1" w:afterAutospacing="1"/>
            </w:pPr>
            <w:r>
              <w:rPr>
                <w:color w:val="000000"/>
              </w:rPr>
              <w:t>Special-Needs</w:t>
            </w:r>
          </w:p>
        </w:tc>
        <w:tc>
          <w:tcPr>
            <w:tcW w:w="1620" w:type="dxa"/>
            <w:tcBorders>
              <w:top w:val="nil"/>
              <w:bottom w:val="nil"/>
            </w:tcBorders>
            <w:vAlign w:val="bottom"/>
          </w:tcPr>
          <w:p w14:paraId="0E1B217F" w14:textId="77777777" w:rsidR="00217A61" w:rsidRDefault="001C2695">
            <w:pPr>
              <w:spacing w:beforeAutospacing="1" w:afterAutospacing="1"/>
              <w:jc w:val="right"/>
            </w:pPr>
            <w:r>
              <w:rPr>
                <w:color w:val="000000"/>
              </w:rPr>
              <w:t>0</w:t>
            </w:r>
          </w:p>
        </w:tc>
      </w:tr>
      <w:tr w:rsidR="00217A61" w14:paraId="6C03624C" w14:textId="77777777">
        <w:trPr>
          <w:cantSplit/>
        </w:trPr>
        <w:tc>
          <w:tcPr>
            <w:tcW w:w="4853" w:type="dxa"/>
            <w:tcBorders>
              <w:top w:val="nil"/>
              <w:bottom w:val="nil"/>
            </w:tcBorders>
            <w:vAlign w:val="bottom"/>
          </w:tcPr>
          <w:p w14:paraId="6467D898" w14:textId="77777777" w:rsidR="00217A61" w:rsidRDefault="001C2695">
            <w:pPr>
              <w:spacing w:beforeAutospacing="1" w:afterAutospacing="1"/>
            </w:pPr>
            <w:r>
              <w:rPr>
                <w:color w:val="000000"/>
              </w:rPr>
              <w:t>Total</w:t>
            </w:r>
          </w:p>
        </w:tc>
        <w:tc>
          <w:tcPr>
            <w:tcW w:w="1620" w:type="dxa"/>
            <w:tcBorders>
              <w:top w:val="nil"/>
              <w:bottom w:val="nil"/>
            </w:tcBorders>
            <w:vAlign w:val="bottom"/>
          </w:tcPr>
          <w:p w14:paraId="7EED2DCF" w14:textId="77777777" w:rsidR="00217A61" w:rsidRDefault="001C2695">
            <w:pPr>
              <w:spacing w:beforeAutospacing="1" w:afterAutospacing="1"/>
              <w:jc w:val="right"/>
            </w:pPr>
            <w:r>
              <w:rPr>
                <w:color w:val="000000"/>
              </w:rPr>
              <w:t>0</w:t>
            </w:r>
          </w:p>
        </w:tc>
      </w:tr>
    </w:tbl>
    <w:p w14:paraId="58DEE070" w14:textId="77777777" w:rsidR="00217A61" w:rsidRDefault="001C269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14:paraId="79551900" w14:textId="77777777" w:rsidR="00217A61" w:rsidRDefault="00217A61">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217A61" w14:paraId="1CAE4B39" w14:textId="77777777">
        <w:trPr>
          <w:cantSplit/>
          <w:tblHeader/>
        </w:trPr>
        <w:tc>
          <w:tcPr>
            <w:tcW w:w="6473" w:type="dxa"/>
            <w:gridSpan w:val="2"/>
          </w:tcPr>
          <w:p w14:paraId="50AD1FEB" w14:textId="77777777" w:rsidR="00217A61" w:rsidRDefault="001C2695">
            <w:pPr>
              <w:keepNext/>
              <w:widowControl w:val="0"/>
              <w:spacing w:after="0" w:line="240" w:lineRule="auto"/>
              <w:jc w:val="center"/>
              <w:rPr>
                <w:b/>
                <w:szCs w:val="24"/>
              </w:rPr>
            </w:pPr>
            <w:r>
              <w:rPr>
                <w:b/>
              </w:rPr>
              <w:t>One Year Goals for the Number of Households Supported Through</w:t>
            </w:r>
          </w:p>
        </w:tc>
      </w:tr>
      <w:tr w:rsidR="00217A61" w14:paraId="7C1B7852" w14:textId="77777777">
        <w:trPr>
          <w:cantSplit/>
        </w:trPr>
        <w:tc>
          <w:tcPr>
            <w:tcW w:w="4853" w:type="dxa"/>
            <w:tcBorders>
              <w:top w:val="nil"/>
              <w:bottom w:val="nil"/>
            </w:tcBorders>
            <w:vAlign w:val="bottom"/>
          </w:tcPr>
          <w:p w14:paraId="65887CCE" w14:textId="77777777" w:rsidR="00217A61" w:rsidRDefault="001C2695">
            <w:pPr>
              <w:spacing w:beforeAutospacing="1" w:afterAutospacing="1"/>
            </w:pPr>
            <w:r>
              <w:rPr>
                <w:color w:val="000000"/>
              </w:rPr>
              <w:t>Rental Assistance</w:t>
            </w:r>
          </w:p>
        </w:tc>
        <w:tc>
          <w:tcPr>
            <w:tcW w:w="1620" w:type="dxa"/>
            <w:tcBorders>
              <w:top w:val="nil"/>
              <w:bottom w:val="nil"/>
            </w:tcBorders>
            <w:vAlign w:val="bottom"/>
          </w:tcPr>
          <w:p w14:paraId="4028E665" w14:textId="77777777" w:rsidR="00217A61" w:rsidRDefault="001C2695">
            <w:pPr>
              <w:spacing w:beforeAutospacing="1" w:afterAutospacing="1"/>
              <w:jc w:val="right"/>
            </w:pPr>
            <w:r>
              <w:rPr>
                <w:color w:val="000000"/>
              </w:rPr>
              <w:t>0</w:t>
            </w:r>
          </w:p>
        </w:tc>
      </w:tr>
      <w:tr w:rsidR="00217A61" w14:paraId="339BEEDB" w14:textId="77777777">
        <w:trPr>
          <w:cantSplit/>
        </w:trPr>
        <w:tc>
          <w:tcPr>
            <w:tcW w:w="4853" w:type="dxa"/>
            <w:tcBorders>
              <w:top w:val="nil"/>
              <w:bottom w:val="nil"/>
            </w:tcBorders>
            <w:vAlign w:val="bottom"/>
          </w:tcPr>
          <w:p w14:paraId="44E3D481" w14:textId="77777777" w:rsidR="00217A61" w:rsidRDefault="001C2695">
            <w:pPr>
              <w:spacing w:beforeAutospacing="1" w:afterAutospacing="1"/>
            </w:pPr>
            <w:r>
              <w:rPr>
                <w:color w:val="000000"/>
              </w:rPr>
              <w:t>The Production of New Units</w:t>
            </w:r>
          </w:p>
        </w:tc>
        <w:tc>
          <w:tcPr>
            <w:tcW w:w="1620" w:type="dxa"/>
            <w:tcBorders>
              <w:top w:val="nil"/>
              <w:bottom w:val="nil"/>
            </w:tcBorders>
            <w:vAlign w:val="bottom"/>
          </w:tcPr>
          <w:p w14:paraId="735C364C" w14:textId="77777777" w:rsidR="00217A61" w:rsidRDefault="001C2695">
            <w:pPr>
              <w:spacing w:beforeAutospacing="1" w:afterAutospacing="1"/>
              <w:jc w:val="right"/>
            </w:pPr>
            <w:r>
              <w:rPr>
                <w:color w:val="000000"/>
              </w:rPr>
              <w:t>0</w:t>
            </w:r>
          </w:p>
        </w:tc>
      </w:tr>
      <w:tr w:rsidR="00217A61" w14:paraId="12355526" w14:textId="77777777">
        <w:trPr>
          <w:cantSplit/>
        </w:trPr>
        <w:tc>
          <w:tcPr>
            <w:tcW w:w="4853" w:type="dxa"/>
            <w:tcBorders>
              <w:top w:val="nil"/>
              <w:bottom w:val="nil"/>
            </w:tcBorders>
            <w:vAlign w:val="bottom"/>
          </w:tcPr>
          <w:p w14:paraId="00271B1C" w14:textId="77777777" w:rsidR="00217A61" w:rsidRDefault="001C2695">
            <w:pPr>
              <w:spacing w:beforeAutospacing="1" w:afterAutospacing="1"/>
            </w:pPr>
            <w:r>
              <w:rPr>
                <w:color w:val="000000"/>
              </w:rPr>
              <w:t>Rehab of Existing Units</w:t>
            </w:r>
          </w:p>
        </w:tc>
        <w:tc>
          <w:tcPr>
            <w:tcW w:w="1620" w:type="dxa"/>
            <w:tcBorders>
              <w:top w:val="nil"/>
              <w:bottom w:val="nil"/>
            </w:tcBorders>
            <w:vAlign w:val="bottom"/>
          </w:tcPr>
          <w:p w14:paraId="7747A296" w14:textId="77777777" w:rsidR="00217A61" w:rsidRDefault="001C2695">
            <w:pPr>
              <w:spacing w:beforeAutospacing="1" w:afterAutospacing="1"/>
              <w:jc w:val="right"/>
            </w:pPr>
            <w:r>
              <w:rPr>
                <w:color w:val="000000"/>
              </w:rPr>
              <w:t>0</w:t>
            </w:r>
          </w:p>
        </w:tc>
      </w:tr>
      <w:tr w:rsidR="00217A61" w14:paraId="38F8A931" w14:textId="77777777">
        <w:trPr>
          <w:cantSplit/>
        </w:trPr>
        <w:tc>
          <w:tcPr>
            <w:tcW w:w="4853" w:type="dxa"/>
            <w:tcBorders>
              <w:top w:val="nil"/>
              <w:bottom w:val="nil"/>
            </w:tcBorders>
            <w:vAlign w:val="bottom"/>
          </w:tcPr>
          <w:p w14:paraId="23105006" w14:textId="77777777" w:rsidR="00217A61" w:rsidRDefault="001C2695">
            <w:pPr>
              <w:spacing w:beforeAutospacing="1" w:afterAutospacing="1"/>
            </w:pPr>
            <w:r>
              <w:rPr>
                <w:color w:val="000000"/>
              </w:rPr>
              <w:t>Acquisition of Existing Units</w:t>
            </w:r>
          </w:p>
        </w:tc>
        <w:tc>
          <w:tcPr>
            <w:tcW w:w="1620" w:type="dxa"/>
            <w:tcBorders>
              <w:top w:val="nil"/>
              <w:bottom w:val="nil"/>
            </w:tcBorders>
            <w:vAlign w:val="bottom"/>
          </w:tcPr>
          <w:p w14:paraId="43DAB904" w14:textId="77777777" w:rsidR="00217A61" w:rsidRDefault="001C2695">
            <w:pPr>
              <w:spacing w:beforeAutospacing="1" w:afterAutospacing="1"/>
              <w:jc w:val="right"/>
            </w:pPr>
            <w:r>
              <w:rPr>
                <w:color w:val="000000"/>
              </w:rPr>
              <w:t>0</w:t>
            </w:r>
          </w:p>
        </w:tc>
      </w:tr>
      <w:tr w:rsidR="00217A61" w14:paraId="17E7DF80" w14:textId="77777777">
        <w:trPr>
          <w:cantSplit/>
        </w:trPr>
        <w:tc>
          <w:tcPr>
            <w:tcW w:w="4853" w:type="dxa"/>
            <w:tcBorders>
              <w:top w:val="nil"/>
              <w:bottom w:val="nil"/>
            </w:tcBorders>
            <w:vAlign w:val="bottom"/>
          </w:tcPr>
          <w:p w14:paraId="367F955E" w14:textId="77777777" w:rsidR="00217A61" w:rsidRDefault="001C2695">
            <w:pPr>
              <w:spacing w:beforeAutospacing="1" w:afterAutospacing="1"/>
            </w:pPr>
            <w:r>
              <w:rPr>
                <w:color w:val="000000"/>
              </w:rPr>
              <w:t>Total</w:t>
            </w:r>
          </w:p>
        </w:tc>
        <w:tc>
          <w:tcPr>
            <w:tcW w:w="1620" w:type="dxa"/>
            <w:tcBorders>
              <w:top w:val="nil"/>
              <w:bottom w:val="nil"/>
            </w:tcBorders>
            <w:vAlign w:val="bottom"/>
          </w:tcPr>
          <w:p w14:paraId="57920573" w14:textId="77777777" w:rsidR="00217A61" w:rsidRDefault="001C2695">
            <w:pPr>
              <w:spacing w:beforeAutospacing="1" w:afterAutospacing="1"/>
              <w:jc w:val="right"/>
            </w:pPr>
            <w:r>
              <w:rPr>
                <w:color w:val="000000"/>
              </w:rPr>
              <w:t>0</w:t>
            </w:r>
          </w:p>
        </w:tc>
      </w:tr>
    </w:tbl>
    <w:p w14:paraId="3575F95B" w14:textId="77777777" w:rsidR="00217A61" w:rsidRDefault="001C269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14:paraId="09EBF952" w14:textId="77777777" w:rsidR="00217A61" w:rsidRDefault="001C2695">
      <w:pPr>
        <w:keepNext/>
        <w:widowControl w:val="0"/>
        <w:spacing w:line="204" w:lineRule="auto"/>
        <w:rPr>
          <w:b/>
          <w:sz w:val="24"/>
          <w:szCs w:val="24"/>
        </w:rPr>
      </w:pPr>
      <w:r>
        <w:rPr>
          <w:b/>
          <w:sz w:val="24"/>
          <w:szCs w:val="24"/>
        </w:rPr>
        <w:t xml:space="preserve">Discussion: </w:t>
      </w:r>
    </w:p>
    <w:p w14:paraId="3CC8696C" w14:textId="77777777" w:rsidR="00217A61" w:rsidRDefault="00217A61">
      <w:pPr>
        <w:keepNext/>
        <w:widowControl w:val="0"/>
        <w:spacing w:line="204" w:lineRule="auto"/>
        <w:rPr>
          <w:b/>
          <w:sz w:val="24"/>
          <w:szCs w:val="24"/>
        </w:rPr>
      </w:pPr>
    </w:p>
    <w:p w14:paraId="6F813BA2" w14:textId="77777777" w:rsidR="00217A61" w:rsidRDefault="00217A61">
      <w:pPr>
        <w:rPr>
          <w:rFonts w:cs="Arial"/>
        </w:rPr>
      </w:pPr>
    </w:p>
    <w:p w14:paraId="4BD9A92A" w14:textId="77777777" w:rsidR="00217A61" w:rsidRDefault="00217A61">
      <w:pPr>
        <w:rPr>
          <w:rFonts w:cs="Arial"/>
        </w:rPr>
      </w:pPr>
    </w:p>
    <w:p w14:paraId="783B9F13" w14:textId="77777777" w:rsidR="00217A61" w:rsidRDefault="001C2695">
      <w:pPr>
        <w:pStyle w:val="Heading2"/>
        <w:pageBreakBefore/>
        <w:widowControl w:val="0"/>
        <w:rPr>
          <w:rFonts w:ascii="Calibri" w:hAnsi="Calibri"/>
          <w:i w:val="0"/>
        </w:rPr>
      </w:pPr>
      <w:r>
        <w:rPr>
          <w:rFonts w:ascii="Calibri" w:hAnsi="Calibri"/>
          <w:i w:val="0"/>
        </w:rPr>
        <w:lastRenderedPageBreak/>
        <w:t>AP-60 Public Housing - 24 CFR 91.320(j)</w:t>
      </w:r>
    </w:p>
    <w:p w14:paraId="22528E8B" w14:textId="77777777" w:rsidR="00217A61" w:rsidRDefault="001C2695">
      <w:pPr>
        <w:keepNext/>
        <w:widowControl w:val="0"/>
        <w:spacing w:line="204" w:lineRule="auto"/>
        <w:rPr>
          <w:b/>
          <w:sz w:val="24"/>
          <w:szCs w:val="24"/>
        </w:rPr>
      </w:pPr>
      <w:r>
        <w:rPr>
          <w:b/>
          <w:sz w:val="24"/>
          <w:szCs w:val="24"/>
        </w:rPr>
        <w:t xml:space="preserve">Introduction: </w:t>
      </w:r>
    </w:p>
    <w:p w14:paraId="5433410A" w14:textId="77777777" w:rsidR="00217A61" w:rsidRDefault="001C2695">
      <w:pPr>
        <w:keepNext/>
        <w:widowControl w:val="0"/>
        <w:rPr>
          <w:b/>
          <w:sz w:val="24"/>
          <w:szCs w:val="24"/>
        </w:rPr>
      </w:pPr>
      <w:r>
        <w:rPr>
          <w:b/>
          <w:sz w:val="24"/>
          <w:szCs w:val="24"/>
        </w:rPr>
        <w:t xml:space="preserve">Actions planned during the next year to address the needs to public </w:t>
      </w:r>
      <w:proofErr w:type="gramStart"/>
      <w:r>
        <w:rPr>
          <w:b/>
          <w:sz w:val="24"/>
          <w:szCs w:val="24"/>
        </w:rPr>
        <w:t>housing</w:t>
      </w:r>
      <w:proofErr w:type="gramEnd"/>
    </w:p>
    <w:p w14:paraId="4D52EE9B" w14:textId="77777777" w:rsidR="00217A61" w:rsidRDefault="001C2695">
      <w:pPr>
        <w:keepNext/>
        <w:widowControl w:val="0"/>
        <w:rPr>
          <w:b/>
          <w:sz w:val="24"/>
          <w:szCs w:val="24"/>
        </w:rPr>
      </w:pPr>
      <w:r>
        <w:rPr>
          <w:b/>
          <w:sz w:val="24"/>
          <w:szCs w:val="24"/>
        </w:rPr>
        <w:t xml:space="preserve">Actions to encourage public housing </w:t>
      </w:r>
      <w:r>
        <w:rPr>
          <w:b/>
          <w:sz w:val="24"/>
          <w:szCs w:val="24"/>
        </w:rPr>
        <w:t xml:space="preserve">residents to become more involved in management and participate in </w:t>
      </w:r>
      <w:proofErr w:type="gramStart"/>
      <w:r>
        <w:rPr>
          <w:b/>
          <w:sz w:val="24"/>
          <w:szCs w:val="24"/>
        </w:rPr>
        <w:t>homeownership</w:t>
      </w:r>
      <w:proofErr w:type="gramEnd"/>
    </w:p>
    <w:p w14:paraId="01987F36" w14:textId="77777777" w:rsidR="00217A61" w:rsidRDefault="001C2695">
      <w:pPr>
        <w:keepNext/>
        <w:widowControl w:val="0"/>
        <w:rPr>
          <w:b/>
          <w:sz w:val="24"/>
          <w:szCs w:val="24"/>
        </w:rPr>
      </w:pPr>
      <w:r>
        <w:rPr>
          <w:b/>
          <w:sz w:val="24"/>
          <w:szCs w:val="24"/>
        </w:rPr>
        <w:t xml:space="preserve">If the PHA is designated as troubled, describe the manner in which financial assistance will be provided or other </w:t>
      </w:r>
      <w:proofErr w:type="gramStart"/>
      <w:r>
        <w:rPr>
          <w:b/>
          <w:sz w:val="24"/>
          <w:szCs w:val="24"/>
        </w:rPr>
        <w:t>assistance</w:t>
      </w:r>
      <w:proofErr w:type="gramEnd"/>
      <w:r>
        <w:rPr>
          <w:b/>
          <w:sz w:val="24"/>
          <w:szCs w:val="24"/>
        </w:rPr>
        <w:t xml:space="preserve"> </w:t>
      </w:r>
    </w:p>
    <w:p w14:paraId="5254F85B" w14:textId="77777777" w:rsidR="00217A61" w:rsidRDefault="001C2695">
      <w:pPr>
        <w:keepNext/>
        <w:widowControl w:val="0"/>
        <w:spacing w:line="204" w:lineRule="auto"/>
        <w:rPr>
          <w:b/>
          <w:sz w:val="24"/>
          <w:szCs w:val="24"/>
        </w:rPr>
      </w:pPr>
      <w:r>
        <w:rPr>
          <w:b/>
          <w:sz w:val="24"/>
          <w:szCs w:val="24"/>
        </w:rPr>
        <w:t xml:space="preserve">Discussion: </w:t>
      </w:r>
    </w:p>
    <w:p w14:paraId="20C8AEAD" w14:textId="77777777" w:rsidR="00217A61" w:rsidRDefault="00217A61">
      <w:pPr>
        <w:rPr>
          <w:rFonts w:cs="Arial"/>
        </w:rPr>
      </w:pPr>
    </w:p>
    <w:p w14:paraId="4DE1EC34" w14:textId="77777777" w:rsidR="00217A61" w:rsidRDefault="00217A61">
      <w:pPr>
        <w:rPr>
          <w:rFonts w:cs="Arial"/>
        </w:rPr>
      </w:pPr>
    </w:p>
    <w:p w14:paraId="6F2F5A0F" w14:textId="77777777" w:rsidR="00217A61" w:rsidRDefault="001C2695">
      <w:pPr>
        <w:pStyle w:val="Heading2"/>
        <w:pageBreakBefore/>
        <w:widowControl w:val="0"/>
        <w:rPr>
          <w:rFonts w:ascii="Calibri" w:hAnsi="Calibri"/>
          <w:i w:val="0"/>
        </w:rPr>
      </w:pPr>
      <w:r>
        <w:rPr>
          <w:rFonts w:ascii="Calibri" w:hAnsi="Calibri"/>
          <w:i w:val="0"/>
        </w:rPr>
        <w:lastRenderedPageBreak/>
        <w:t>AP-65 Homeless and Other Special N</w:t>
      </w:r>
      <w:r>
        <w:rPr>
          <w:rFonts w:ascii="Calibri" w:hAnsi="Calibri"/>
          <w:i w:val="0"/>
        </w:rPr>
        <w:t>eeds Activities – 91.320(h)</w:t>
      </w:r>
    </w:p>
    <w:p w14:paraId="069EE31F" w14:textId="77777777" w:rsidR="00217A61" w:rsidRDefault="001C2695">
      <w:pPr>
        <w:keepNext/>
        <w:widowControl w:val="0"/>
        <w:spacing w:line="204" w:lineRule="auto"/>
        <w:rPr>
          <w:b/>
          <w:sz w:val="24"/>
          <w:szCs w:val="24"/>
        </w:rPr>
      </w:pPr>
      <w:r>
        <w:rPr>
          <w:b/>
          <w:sz w:val="24"/>
          <w:szCs w:val="24"/>
        </w:rPr>
        <w:t>Introduction</w:t>
      </w:r>
    </w:p>
    <w:p w14:paraId="187BBE82" w14:textId="77777777" w:rsidR="00217A61" w:rsidRDefault="001C2695">
      <w:pPr>
        <w:keepNext/>
        <w:widowControl w:val="0"/>
        <w:rPr>
          <w:b/>
          <w:sz w:val="24"/>
          <w:szCs w:val="24"/>
        </w:rPr>
      </w:pPr>
      <w:r>
        <w:rPr>
          <w:b/>
          <w:sz w:val="24"/>
          <w:szCs w:val="24"/>
        </w:rPr>
        <w:t xml:space="preserve">Describe the jurisdictions one-year goals and actions for reducing and ending homelessness </w:t>
      </w:r>
      <w:proofErr w:type="gramStart"/>
      <w:r>
        <w:rPr>
          <w:b/>
          <w:sz w:val="24"/>
          <w:szCs w:val="24"/>
        </w:rPr>
        <w:t>including</w:t>
      </w:r>
      <w:proofErr w:type="gramEnd"/>
    </w:p>
    <w:p w14:paraId="5E483513" w14:textId="77777777" w:rsidR="00217A61" w:rsidRDefault="001C2695">
      <w:pPr>
        <w:keepNext/>
        <w:widowControl w:val="0"/>
        <w:rPr>
          <w:b/>
          <w:sz w:val="24"/>
          <w:szCs w:val="24"/>
        </w:rPr>
      </w:pPr>
      <w:r>
        <w:rPr>
          <w:b/>
          <w:sz w:val="24"/>
          <w:szCs w:val="24"/>
        </w:rPr>
        <w:t>Reaching out to homeless persons (especially unsheltered persons) and assessing their individual needs</w:t>
      </w:r>
    </w:p>
    <w:p w14:paraId="13290E6B" w14:textId="77777777" w:rsidR="00217A61" w:rsidRDefault="001C2695">
      <w:pPr>
        <w:keepNext/>
        <w:widowControl w:val="0"/>
        <w:rPr>
          <w:b/>
          <w:sz w:val="24"/>
          <w:szCs w:val="24"/>
        </w:rPr>
      </w:pPr>
      <w:r>
        <w:rPr>
          <w:b/>
          <w:sz w:val="24"/>
          <w:szCs w:val="24"/>
        </w:rPr>
        <w:t>Addressing the emergency shelter and transitional housing needs of homeless persons</w:t>
      </w:r>
    </w:p>
    <w:p w14:paraId="291AE3A8" w14:textId="77777777" w:rsidR="00217A61" w:rsidRDefault="001C2695">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w:t>
      </w:r>
      <w:r>
        <w:rPr>
          <w:b/>
          <w:sz w:val="24"/>
          <w:szCs w:val="24"/>
        </w:rPr>
        <w:t>ransition to permanent housing and independent living, including shortening the period of time that individuals and families experience homelessness, facilitating access for homeless individuals and families to affordable housing units, and preventing indi</w:t>
      </w:r>
      <w:r>
        <w:rPr>
          <w:b/>
          <w:sz w:val="24"/>
          <w:szCs w:val="24"/>
        </w:rPr>
        <w:t>viduals and families who were recently homeless from becoming homeless again</w:t>
      </w:r>
    </w:p>
    <w:p w14:paraId="079C7422" w14:textId="77777777" w:rsidR="00217A61" w:rsidRDefault="001C2695">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w:t>
      </w:r>
      <w:r>
        <w:rPr>
          <w:b/>
          <w:sz w:val="24"/>
          <w:szCs w:val="24"/>
        </w:rPr>
        <w:t>ded institutions and systems of care (such as health care facilities, mental health facilities, foster care and other youth facilities, and corrections programs and institutions); or, receiving assistance from public or private agencies that address housin</w:t>
      </w:r>
      <w:r>
        <w:rPr>
          <w:b/>
          <w:sz w:val="24"/>
          <w:szCs w:val="24"/>
        </w:rPr>
        <w:t>g, health, social services, employment, education, or youth needs</w:t>
      </w:r>
    </w:p>
    <w:p w14:paraId="181FF680" w14:textId="77777777" w:rsidR="00217A61" w:rsidRDefault="001C2695">
      <w:pPr>
        <w:keepNext/>
        <w:widowControl w:val="0"/>
        <w:spacing w:line="204" w:lineRule="auto"/>
        <w:rPr>
          <w:b/>
          <w:sz w:val="24"/>
          <w:szCs w:val="24"/>
        </w:rPr>
      </w:pPr>
      <w:r>
        <w:rPr>
          <w:b/>
          <w:sz w:val="24"/>
          <w:szCs w:val="24"/>
        </w:rPr>
        <w:t>Discussion</w:t>
      </w:r>
    </w:p>
    <w:p w14:paraId="1D403E2E" w14:textId="77777777" w:rsidR="00217A61" w:rsidRDefault="001C2695">
      <w:pPr>
        <w:pStyle w:val="Heading2"/>
        <w:pageBreakBefore/>
        <w:widowControl w:val="0"/>
        <w:rPr>
          <w:rFonts w:ascii="Calibri" w:hAnsi="Calibri"/>
          <w:i w:val="0"/>
        </w:rPr>
      </w:pPr>
      <w:r>
        <w:rPr>
          <w:rFonts w:ascii="Calibri" w:hAnsi="Calibri"/>
          <w:i w:val="0"/>
        </w:rPr>
        <w:lastRenderedPageBreak/>
        <w:t>AP-70 HOPWA Goals – 91.320(k)(4)</w:t>
      </w:r>
    </w:p>
    <w:p w14:paraId="449E2E99" w14:textId="77777777" w:rsidR="00217A61" w:rsidRDefault="00217A61">
      <w:pPr>
        <w:keepNext/>
        <w:widowControl w:val="0"/>
        <w:spacing w:after="0" w:line="240" w:lineRule="auto"/>
        <w:jc w:val="center"/>
        <w:rPr>
          <w:rFonts w:cs="Arial"/>
        </w:rPr>
      </w:pPr>
    </w:p>
    <w:p w14:paraId="036E6CCA" w14:textId="77777777" w:rsidR="00217A61" w:rsidRDefault="001C2695">
      <w:pPr>
        <w:pStyle w:val="Heading2"/>
        <w:pageBreakBefore/>
        <w:widowControl w:val="0"/>
        <w:rPr>
          <w:rFonts w:ascii="Calibri" w:hAnsi="Calibri"/>
          <w:i w:val="0"/>
        </w:rPr>
      </w:pPr>
      <w:r>
        <w:rPr>
          <w:rFonts w:ascii="Calibri" w:hAnsi="Calibri"/>
          <w:i w:val="0"/>
        </w:rPr>
        <w:lastRenderedPageBreak/>
        <w:t>AP-75 Barriers to affordable housing – 91.320(i)</w:t>
      </w:r>
    </w:p>
    <w:p w14:paraId="3E50469E" w14:textId="77777777" w:rsidR="00217A61" w:rsidRDefault="001C2695">
      <w:pPr>
        <w:keepNext/>
        <w:widowControl w:val="0"/>
        <w:spacing w:line="204" w:lineRule="auto"/>
        <w:rPr>
          <w:b/>
          <w:sz w:val="24"/>
          <w:szCs w:val="24"/>
        </w:rPr>
      </w:pPr>
      <w:r>
        <w:rPr>
          <w:b/>
          <w:sz w:val="24"/>
          <w:szCs w:val="24"/>
        </w:rPr>
        <w:t xml:space="preserve">Introduction: </w:t>
      </w:r>
    </w:p>
    <w:p w14:paraId="28B1EEF2" w14:textId="77777777" w:rsidR="00217A61" w:rsidRDefault="001C2695">
      <w:pPr>
        <w:keepNext/>
        <w:widowControl w:val="0"/>
        <w:rPr>
          <w:b/>
          <w:sz w:val="24"/>
          <w:szCs w:val="24"/>
        </w:rPr>
      </w:pPr>
      <w:r>
        <w:rPr>
          <w:b/>
          <w:sz w:val="24"/>
          <w:szCs w:val="24"/>
        </w:rPr>
        <w:t>Actions it planned to remove or ameliorate the negative effects of public policie</w:t>
      </w:r>
      <w:r>
        <w:rPr>
          <w:b/>
          <w:sz w:val="24"/>
          <w:szCs w:val="24"/>
        </w:rPr>
        <w:t xml:space="preserve">s that serve as barriers to affordable housing such as land use controls, tax policies affecting land, zoning ordinances, building codes, fees and charges, growth limitations, and policies affecting the return on residential </w:t>
      </w:r>
      <w:proofErr w:type="gramStart"/>
      <w:r>
        <w:rPr>
          <w:b/>
          <w:sz w:val="24"/>
          <w:szCs w:val="24"/>
        </w:rPr>
        <w:t>investment</w:t>
      </w:r>
      <w:proofErr w:type="gramEnd"/>
    </w:p>
    <w:p w14:paraId="4D2881B2" w14:textId="77777777" w:rsidR="00217A61" w:rsidRDefault="001C2695">
      <w:pPr>
        <w:keepNext/>
        <w:widowControl w:val="0"/>
        <w:spacing w:line="204" w:lineRule="auto"/>
        <w:rPr>
          <w:b/>
          <w:sz w:val="24"/>
          <w:szCs w:val="24"/>
        </w:rPr>
      </w:pPr>
      <w:r>
        <w:rPr>
          <w:b/>
          <w:sz w:val="24"/>
          <w:szCs w:val="24"/>
        </w:rPr>
        <w:t xml:space="preserve">Discussion: </w:t>
      </w:r>
    </w:p>
    <w:p w14:paraId="260463F4" w14:textId="77777777" w:rsidR="00217A61" w:rsidRDefault="001C2695">
      <w:pPr>
        <w:pStyle w:val="Heading2"/>
        <w:pageBreakBefore/>
        <w:widowControl w:val="0"/>
        <w:rPr>
          <w:rFonts w:ascii="Calibri" w:hAnsi="Calibri"/>
          <w:i w:val="0"/>
        </w:rPr>
      </w:pPr>
      <w:r>
        <w:rPr>
          <w:rFonts w:ascii="Calibri" w:hAnsi="Calibri"/>
          <w:i w:val="0"/>
        </w:rPr>
        <w:lastRenderedPageBreak/>
        <w:t>AP-85 O</w:t>
      </w:r>
      <w:r>
        <w:rPr>
          <w:rFonts w:ascii="Calibri" w:hAnsi="Calibri"/>
          <w:i w:val="0"/>
        </w:rPr>
        <w:t>ther Actions – 91.320(j)</w:t>
      </w:r>
    </w:p>
    <w:p w14:paraId="117B5CC3" w14:textId="77777777" w:rsidR="00217A61" w:rsidRDefault="001C2695">
      <w:pPr>
        <w:keepNext/>
        <w:widowControl w:val="0"/>
        <w:spacing w:line="204" w:lineRule="auto"/>
        <w:rPr>
          <w:b/>
          <w:sz w:val="24"/>
          <w:szCs w:val="24"/>
        </w:rPr>
      </w:pPr>
      <w:r>
        <w:rPr>
          <w:b/>
          <w:sz w:val="24"/>
          <w:szCs w:val="24"/>
        </w:rPr>
        <w:t xml:space="preserve">Introduction: </w:t>
      </w:r>
    </w:p>
    <w:p w14:paraId="44A26581" w14:textId="77777777" w:rsidR="00217A61" w:rsidRDefault="001C2695">
      <w:pPr>
        <w:keepNext/>
        <w:widowControl w:val="0"/>
        <w:rPr>
          <w:b/>
          <w:sz w:val="24"/>
          <w:szCs w:val="24"/>
        </w:rPr>
      </w:pPr>
      <w:r>
        <w:rPr>
          <w:b/>
          <w:sz w:val="24"/>
          <w:szCs w:val="24"/>
        </w:rPr>
        <w:t xml:space="preserve">Actions planned to address obstacles to meeting underserved </w:t>
      </w:r>
      <w:proofErr w:type="gramStart"/>
      <w:r>
        <w:rPr>
          <w:b/>
          <w:sz w:val="24"/>
          <w:szCs w:val="24"/>
        </w:rPr>
        <w:t>needs</w:t>
      </w:r>
      <w:proofErr w:type="gramEnd"/>
    </w:p>
    <w:p w14:paraId="251CD657" w14:textId="77777777" w:rsidR="00217A61" w:rsidRDefault="001C2695">
      <w:pPr>
        <w:keepNext/>
        <w:widowControl w:val="0"/>
        <w:rPr>
          <w:b/>
          <w:sz w:val="24"/>
          <w:szCs w:val="24"/>
        </w:rPr>
      </w:pPr>
      <w:r>
        <w:rPr>
          <w:b/>
          <w:sz w:val="24"/>
          <w:szCs w:val="24"/>
        </w:rPr>
        <w:t xml:space="preserve">Actions planned to foster and maintain affordable </w:t>
      </w:r>
      <w:proofErr w:type="gramStart"/>
      <w:r>
        <w:rPr>
          <w:b/>
          <w:sz w:val="24"/>
          <w:szCs w:val="24"/>
        </w:rPr>
        <w:t>housing</w:t>
      </w:r>
      <w:proofErr w:type="gramEnd"/>
    </w:p>
    <w:p w14:paraId="5E577E3A" w14:textId="77777777" w:rsidR="00217A61" w:rsidRDefault="001C2695">
      <w:pPr>
        <w:keepNext/>
        <w:widowControl w:val="0"/>
        <w:rPr>
          <w:b/>
          <w:sz w:val="24"/>
          <w:szCs w:val="24"/>
        </w:rPr>
      </w:pPr>
      <w:r>
        <w:rPr>
          <w:b/>
          <w:sz w:val="24"/>
          <w:szCs w:val="24"/>
        </w:rPr>
        <w:t xml:space="preserve">Actions planned to reduce lead-based paint </w:t>
      </w:r>
      <w:proofErr w:type="gramStart"/>
      <w:r>
        <w:rPr>
          <w:b/>
          <w:sz w:val="24"/>
          <w:szCs w:val="24"/>
        </w:rPr>
        <w:t>hazards</w:t>
      </w:r>
      <w:proofErr w:type="gramEnd"/>
    </w:p>
    <w:p w14:paraId="5D9260DE" w14:textId="77777777" w:rsidR="00217A61" w:rsidRDefault="001C2695">
      <w:pPr>
        <w:keepNext/>
        <w:widowControl w:val="0"/>
        <w:rPr>
          <w:b/>
          <w:sz w:val="24"/>
          <w:szCs w:val="24"/>
        </w:rPr>
      </w:pPr>
      <w:r>
        <w:rPr>
          <w:b/>
          <w:sz w:val="24"/>
          <w:szCs w:val="24"/>
        </w:rPr>
        <w:t>Actions planned to reduce the number of p</w:t>
      </w:r>
      <w:r>
        <w:rPr>
          <w:b/>
          <w:sz w:val="24"/>
          <w:szCs w:val="24"/>
        </w:rPr>
        <w:t xml:space="preserve">overty-level </w:t>
      </w:r>
      <w:proofErr w:type="gramStart"/>
      <w:r>
        <w:rPr>
          <w:b/>
          <w:sz w:val="24"/>
          <w:szCs w:val="24"/>
        </w:rPr>
        <w:t>families</w:t>
      </w:r>
      <w:proofErr w:type="gramEnd"/>
    </w:p>
    <w:p w14:paraId="539B10C5" w14:textId="77777777" w:rsidR="00217A61" w:rsidRDefault="001C2695">
      <w:pPr>
        <w:keepNext/>
        <w:widowControl w:val="0"/>
        <w:rPr>
          <w:b/>
          <w:sz w:val="24"/>
          <w:szCs w:val="24"/>
        </w:rPr>
      </w:pPr>
      <w:r>
        <w:rPr>
          <w:b/>
          <w:sz w:val="24"/>
          <w:szCs w:val="24"/>
        </w:rPr>
        <w:t xml:space="preserve">Actions planned to develop institutional </w:t>
      </w:r>
      <w:proofErr w:type="gramStart"/>
      <w:r>
        <w:rPr>
          <w:b/>
          <w:sz w:val="24"/>
          <w:szCs w:val="24"/>
        </w:rPr>
        <w:t>structure</w:t>
      </w:r>
      <w:proofErr w:type="gramEnd"/>
      <w:r>
        <w:rPr>
          <w:b/>
          <w:sz w:val="24"/>
          <w:szCs w:val="24"/>
        </w:rPr>
        <w:t xml:space="preserve"> </w:t>
      </w:r>
    </w:p>
    <w:p w14:paraId="7EDF3386" w14:textId="77777777" w:rsidR="00217A61" w:rsidRDefault="001C2695">
      <w:pPr>
        <w:keepNext/>
        <w:widowControl w:val="0"/>
        <w:rPr>
          <w:b/>
          <w:sz w:val="24"/>
          <w:szCs w:val="24"/>
        </w:rPr>
      </w:pPr>
      <w:r>
        <w:rPr>
          <w:b/>
          <w:sz w:val="24"/>
          <w:szCs w:val="24"/>
        </w:rPr>
        <w:t xml:space="preserve">Actions planned to enhance coordination between public and private housing and social service </w:t>
      </w:r>
      <w:proofErr w:type="gramStart"/>
      <w:r>
        <w:rPr>
          <w:b/>
          <w:sz w:val="24"/>
          <w:szCs w:val="24"/>
        </w:rPr>
        <w:t>agencies</w:t>
      </w:r>
      <w:proofErr w:type="gramEnd"/>
    </w:p>
    <w:p w14:paraId="53C89357" w14:textId="77777777" w:rsidR="00217A61" w:rsidRDefault="001C2695">
      <w:pPr>
        <w:keepNext/>
        <w:widowControl w:val="0"/>
        <w:spacing w:line="204" w:lineRule="auto"/>
        <w:rPr>
          <w:b/>
          <w:sz w:val="24"/>
          <w:szCs w:val="24"/>
        </w:rPr>
      </w:pPr>
      <w:r>
        <w:rPr>
          <w:b/>
          <w:sz w:val="24"/>
          <w:szCs w:val="24"/>
        </w:rPr>
        <w:t xml:space="preserve">Discussion: </w:t>
      </w:r>
    </w:p>
    <w:p w14:paraId="50C94D97" w14:textId="77777777" w:rsidR="00217A61" w:rsidRDefault="001C2695">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55B283A7" w14:textId="77777777" w:rsidR="00217A61" w:rsidRDefault="001C2695">
      <w:pPr>
        <w:rPr>
          <w:b/>
          <w:sz w:val="28"/>
          <w:szCs w:val="28"/>
        </w:rPr>
      </w:pPr>
      <w:r>
        <w:rPr>
          <w:b/>
          <w:sz w:val="28"/>
          <w:szCs w:val="28"/>
        </w:rPr>
        <w:t xml:space="preserve">AP-90 Program Specific </w:t>
      </w:r>
      <w:r>
        <w:rPr>
          <w:b/>
          <w:sz w:val="28"/>
          <w:szCs w:val="28"/>
        </w:rPr>
        <w:t>Requirements – 91.320(k</w:t>
      </w:r>
      <w:proofErr w:type="gramStart"/>
      <w:r>
        <w:rPr>
          <w:b/>
          <w:sz w:val="28"/>
          <w:szCs w:val="28"/>
        </w:rPr>
        <w:t>)(</w:t>
      </w:r>
      <w:proofErr w:type="gramEnd"/>
      <w:r>
        <w:rPr>
          <w:b/>
          <w:sz w:val="28"/>
          <w:szCs w:val="28"/>
        </w:rPr>
        <w:t>1,2,3)</w:t>
      </w:r>
    </w:p>
    <w:p w14:paraId="3C7189CA" w14:textId="77777777" w:rsidR="00217A61" w:rsidRDefault="001C2695">
      <w:pPr>
        <w:keepNext/>
        <w:widowControl w:val="0"/>
        <w:spacing w:line="204" w:lineRule="auto"/>
        <w:rPr>
          <w:b/>
          <w:sz w:val="24"/>
          <w:szCs w:val="24"/>
        </w:rPr>
      </w:pPr>
      <w:r>
        <w:rPr>
          <w:b/>
          <w:sz w:val="24"/>
          <w:szCs w:val="24"/>
        </w:rPr>
        <w:t xml:space="preserve">Introduction: </w:t>
      </w:r>
    </w:p>
    <w:p w14:paraId="6ABFE857" w14:textId="77777777" w:rsidR="00217A61" w:rsidRDefault="00217A61">
      <w:pPr>
        <w:keepNext/>
        <w:widowControl w:val="0"/>
        <w:spacing w:line="204" w:lineRule="auto"/>
        <w:rPr>
          <w:b/>
          <w:sz w:val="24"/>
          <w:szCs w:val="24"/>
        </w:rPr>
      </w:pPr>
    </w:p>
    <w:p w14:paraId="5F414944" w14:textId="77777777" w:rsidR="00217A61" w:rsidRDefault="001C2695">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66A4929D" w14:textId="77777777" w:rsidR="00217A61" w:rsidRDefault="001C2695">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14:paraId="529973DD" w14:textId="77777777" w:rsidR="00217A61" w:rsidRDefault="001C2695">
      <w:pPr>
        <w:keepNext/>
        <w:widowControl w:val="0"/>
        <w:spacing w:after="0" w:line="240" w:lineRule="auto"/>
        <w:rPr>
          <w:rFonts w:cs="Arial"/>
        </w:rPr>
      </w:pPr>
      <w:r>
        <w:rPr>
          <w:rFonts w:cs="Arial"/>
        </w:rPr>
        <w:t>Projects planned with all CDBG funds expected to be available during the year are identified in the Projects Table. The followi</w:t>
      </w:r>
      <w:r>
        <w:rPr>
          <w:rFonts w:cs="Arial"/>
        </w:rPr>
        <w:t>ng identifies program income that is available for use that is included in projects to be carried out.</w:t>
      </w:r>
      <w:r>
        <w:t xml:space="preserve"> </w:t>
      </w:r>
    </w:p>
    <w:p w14:paraId="63FED587" w14:textId="77777777" w:rsidR="00217A61" w:rsidRDefault="00217A61">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217A61" w14:paraId="7110EA4E" w14:textId="77777777">
        <w:tc>
          <w:tcPr>
            <w:tcW w:w="9576" w:type="dxa"/>
            <w:gridSpan w:val="2"/>
          </w:tcPr>
          <w:p w14:paraId="425279A1" w14:textId="77777777" w:rsidR="00217A61" w:rsidRDefault="00217A61">
            <w:pPr>
              <w:keepNext/>
              <w:widowControl w:val="0"/>
              <w:spacing w:after="0" w:line="240" w:lineRule="auto"/>
              <w:rPr>
                <w:rFonts w:cs="Arial"/>
              </w:rPr>
            </w:pPr>
          </w:p>
        </w:tc>
      </w:tr>
      <w:tr w:rsidR="00217A61" w14:paraId="1BC16A87" w14:textId="77777777">
        <w:trPr>
          <w:cantSplit/>
        </w:trPr>
        <w:tc>
          <w:tcPr>
            <w:tcW w:w="0" w:type="auto"/>
            <w:vAlign w:val="center"/>
          </w:tcPr>
          <w:p w14:paraId="30F9A3DB" w14:textId="77777777" w:rsidR="00217A61" w:rsidRDefault="001C2695">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740FC339" w14:textId="77777777" w:rsidR="00217A61" w:rsidRDefault="001C2695">
            <w:pPr>
              <w:spacing w:beforeAutospacing="1" w:afterAutospacing="1"/>
              <w:jc w:val="right"/>
            </w:pPr>
            <w:r>
              <w:rPr>
                <w:color w:val="000000"/>
              </w:rPr>
              <w:t>0</w:t>
            </w:r>
          </w:p>
        </w:tc>
      </w:tr>
      <w:tr w:rsidR="00217A61" w14:paraId="6C52083F" w14:textId="77777777">
        <w:trPr>
          <w:cantSplit/>
        </w:trPr>
        <w:tc>
          <w:tcPr>
            <w:tcW w:w="0" w:type="auto"/>
            <w:vAlign w:val="center"/>
          </w:tcPr>
          <w:p w14:paraId="66208A97" w14:textId="77777777" w:rsidR="00217A61" w:rsidRDefault="001C2695">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0971C2FD" w14:textId="77777777" w:rsidR="00217A61" w:rsidRDefault="001C2695">
            <w:pPr>
              <w:spacing w:beforeAutospacing="1" w:afterAutospacing="1"/>
              <w:jc w:val="right"/>
            </w:pPr>
            <w:r>
              <w:rPr>
                <w:color w:val="000000"/>
              </w:rPr>
              <w:t>0</w:t>
            </w:r>
          </w:p>
        </w:tc>
      </w:tr>
      <w:tr w:rsidR="00217A61" w14:paraId="666EBF93" w14:textId="77777777">
        <w:trPr>
          <w:cantSplit/>
        </w:trPr>
        <w:tc>
          <w:tcPr>
            <w:tcW w:w="0" w:type="auto"/>
            <w:vAlign w:val="center"/>
          </w:tcPr>
          <w:p w14:paraId="22135CC3" w14:textId="77777777" w:rsidR="00217A61" w:rsidRDefault="001C2695">
            <w:pPr>
              <w:spacing w:beforeAutospacing="1" w:afterAutospacing="1"/>
            </w:pPr>
            <w:r>
              <w:rPr>
                <w:color w:val="000000"/>
              </w:rPr>
              <w:t>3. The amount of surplus funds from urban renewal settlemen</w:t>
            </w:r>
            <w:r>
              <w:rPr>
                <w:color w:val="000000"/>
              </w:rPr>
              <w:t>ts</w:t>
            </w:r>
          </w:p>
        </w:tc>
        <w:tc>
          <w:tcPr>
            <w:tcW w:w="0" w:type="auto"/>
            <w:vAlign w:val="bottom"/>
          </w:tcPr>
          <w:p w14:paraId="5BDA72B0" w14:textId="77777777" w:rsidR="00217A61" w:rsidRDefault="001C2695">
            <w:pPr>
              <w:spacing w:beforeAutospacing="1" w:afterAutospacing="1"/>
              <w:jc w:val="right"/>
            </w:pPr>
            <w:r>
              <w:rPr>
                <w:color w:val="000000"/>
              </w:rPr>
              <w:t>0</w:t>
            </w:r>
          </w:p>
        </w:tc>
      </w:tr>
      <w:tr w:rsidR="00217A61" w14:paraId="5EE721B6" w14:textId="77777777">
        <w:trPr>
          <w:cantSplit/>
        </w:trPr>
        <w:tc>
          <w:tcPr>
            <w:tcW w:w="0" w:type="auto"/>
            <w:vAlign w:val="center"/>
          </w:tcPr>
          <w:p w14:paraId="41B84AFC" w14:textId="77777777" w:rsidR="00217A61" w:rsidRDefault="001C2695">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5621848E" w14:textId="77777777" w:rsidR="00217A61" w:rsidRDefault="001C2695">
            <w:pPr>
              <w:spacing w:beforeAutospacing="1" w:afterAutospacing="1"/>
              <w:jc w:val="right"/>
            </w:pPr>
            <w:r>
              <w:rPr>
                <w:color w:val="000000"/>
              </w:rPr>
              <w:t>0</w:t>
            </w:r>
          </w:p>
        </w:tc>
      </w:tr>
      <w:tr w:rsidR="00217A61" w14:paraId="1B282FFC" w14:textId="77777777">
        <w:trPr>
          <w:cantSplit/>
        </w:trPr>
        <w:tc>
          <w:tcPr>
            <w:tcW w:w="0" w:type="auto"/>
            <w:vAlign w:val="center"/>
          </w:tcPr>
          <w:p w14:paraId="6405330F" w14:textId="77777777" w:rsidR="00217A61" w:rsidRDefault="001C2695">
            <w:pPr>
              <w:spacing w:beforeAutospacing="1" w:afterAutospacing="1"/>
            </w:pPr>
            <w:r>
              <w:rPr>
                <w:color w:val="000000"/>
              </w:rPr>
              <w:t>5. The amount of income from float-funded activities</w:t>
            </w:r>
          </w:p>
        </w:tc>
        <w:tc>
          <w:tcPr>
            <w:tcW w:w="0" w:type="auto"/>
            <w:vAlign w:val="bottom"/>
          </w:tcPr>
          <w:p w14:paraId="3684AE87" w14:textId="77777777" w:rsidR="00217A61" w:rsidRDefault="001C2695">
            <w:pPr>
              <w:spacing w:beforeAutospacing="1" w:afterAutospacing="1"/>
              <w:jc w:val="right"/>
            </w:pPr>
            <w:r>
              <w:rPr>
                <w:color w:val="000000"/>
              </w:rPr>
              <w:t>0</w:t>
            </w:r>
          </w:p>
        </w:tc>
      </w:tr>
      <w:tr w:rsidR="00217A61" w14:paraId="08B8C960" w14:textId="77777777">
        <w:trPr>
          <w:cantSplit/>
        </w:trPr>
        <w:tc>
          <w:tcPr>
            <w:tcW w:w="0" w:type="auto"/>
            <w:vAlign w:val="center"/>
          </w:tcPr>
          <w:p w14:paraId="6FC5A033" w14:textId="77777777" w:rsidR="00217A61" w:rsidRDefault="001C2695">
            <w:pPr>
              <w:spacing w:beforeAutospacing="1" w:afterAutospacing="1"/>
            </w:pPr>
            <w:r>
              <w:rPr>
                <w:b/>
                <w:color w:val="000000"/>
              </w:rPr>
              <w:t>Total Program Income:</w:t>
            </w:r>
          </w:p>
        </w:tc>
        <w:tc>
          <w:tcPr>
            <w:tcW w:w="0" w:type="auto"/>
            <w:vAlign w:val="center"/>
          </w:tcPr>
          <w:p w14:paraId="0B9FB393" w14:textId="77777777" w:rsidR="00217A61" w:rsidRDefault="001C2695">
            <w:pPr>
              <w:spacing w:beforeAutospacing="1" w:afterAutospacing="1"/>
              <w:jc w:val="right"/>
            </w:pPr>
            <w:r>
              <w:rPr>
                <w:b/>
                <w:color w:val="000000"/>
              </w:rPr>
              <w:t>0</w:t>
            </w:r>
          </w:p>
        </w:tc>
      </w:tr>
    </w:tbl>
    <w:p w14:paraId="3412197B" w14:textId="77777777" w:rsidR="00217A61" w:rsidRDefault="00217A61">
      <w:pPr>
        <w:keepNext/>
        <w:widowControl w:val="0"/>
        <w:spacing w:after="0" w:line="240" w:lineRule="auto"/>
        <w:rPr>
          <w:rFonts w:cs="Arial"/>
        </w:rPr>
      </w:pPr>
    </w:p>
    <w:p w14:paraId="3568409A" w14:textId="77777777" w:rsidR="00217A61" w:rsidRDefault="001C2695">
      <w:pPr>
        <w:keepNext/>
        <w:widowControl w:val="0"/>
        <w:spacing w:after="0" w:line="240" w:lineRule="auto"/>
        <w:jc w:val="center"/>
        <w:rPr>
          <w:rFonts w:cs="Arial"/>
          <w:b/>
          <w:sz w:val="24"/>
          <w:szCs w:val="24"/>
        </w:rPr>
      </w:pPr>
      <w:r>
        <w:rPr>
          <w:rFonts w:cs="Arial"/>
          <w:b/>
          <w:sz w:val="24"/>
          <w:szCs w:val="24"/>
        </w:rPr>
        <w:t xml:space="preserve">Other CDBG </w:t>
      </w:r>
      <w:r>
        <w:rPr>
          <w:rFonts w:cs="Arial"/>
          <w:b/>
          <w:sz w:val="24"/>
          <w:szCs w:val="24"/>
        </w:rPr>
        <w:t>Requirements</w:t>
      </w:r>
      <w:r>
        <w:rPr>
          <w:i/>
        </w:rPr>
        <w:t xml:space="preserve"> </w:t>
      </w:r>
    </w:p>
    <w:tbl>
      <w:tblPr>
        <w:tblW w:w="5000" w:type="pct"/>
        <w:tblInd w:w="115" w:type="dxa"/>
        <w:tblLook w:val="01E0" w:firstRow="1" w:lastRow="1" w:firstColumn="1" w:lastColumn="1" w:noHBand="0" w:noVBand="0"/>
      </w:tblPr>
      <w:tblGrid>
        <w:gridCol w:w="8599"/>
        <w:gridCol w:w="761"/>
      </w:tblGrid>
      <w:tr w:rsidR="00217A61" w14:paraId="70A03F49" w14:textId="77777777">
        <w:tc>
          <w:tcPr>
            <w:tcW w:w="9576" w:type="dxa"/>
            <w:gridSpan w:val="2"/>
          </w:tcPr>
          <w:p w14:paraId="7B832145" w14:textId="77777777" w:rsidR="00217A61" w:rsidRDefault="00217A61">
            <w:pPr>
              <w:keepNext/>
              <w:widowControl w:val="0"/>
              <w:spacing w:after="0" w:line="240" w:lineRule="auto"/>
              <w:rPr>
                <w:rFonts w:cs="Arial"/>
              </w:rPr>
            </w:pPr>
          </w:p>
        </w:tc>
      </w:tr>
      <w:tr w:rsidR="00217A61" w14:paraId="4ED559EF" w14:textId="77777777">
        <w:trPr>
          <w:cantSplit/>
        </w:trPr>
        <w:tc>
          <w:tcPr>
            <w:tcW w:w="0" w:type="auto"/>
          </w:tcPr>
          <w:p w14:paraId="4EA8D106" w14:textId="77777777" w:rsidR="00217A61" w:rsidRDefault="001C2695">
            <w:pPr>
              <w:spacing w:beforeAutospacing="1" w:afterAutospacing="1"/>
            </w:pPr>
            <w:r>
              <w:rPr>
                <w:color w:val="000000"/>
              </w:rPr>
              <w:t>1. The amount of urgent need activities</w:t>
            </w:r>
          </w:p>
        </w:tc>
        <w:tc>
          <w:tcPr>
            <w:tcW w:w="0" w:type="auto"/>
            <w:vAlign w:val="bottom"/>
          </w:tcPr>
          <w:p w14:paraId="3D67B69C" w14:textId="77777777" w:rsidR="00217A61" w:rsidRDefault="001C2695">
            <w:pPr>
              <w:spacing w:beforeAutospacing="1" w:afterAutospacing="1"/>
              <w:jc w:val="right"/>
            </w:pPr>
            <w:r>
              <w:rPr>
                <w:color w:val="000000"/>
              </w:rPr>
              <w:t>0</w:t>
            </w:r>
          </w:p>
        </w:tc>
      </w:tr>
    </w:tbl>
    <w:p w14:paraId="69E808CD" w14:textId="77777777" w:rsidR="00217A61" w:rsidRDefault="00217A61">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217A61" w14:paraId="6AEE42A8" w14:textId="77777777">
        <w:tc>
          <w:tcPr>
            <w:tcW w:w="7923" w:type="dxa"/>
          </w:tcPr>
          <w:p w14:paraId="05A69EA8" w14:textId="77777777" w:rsidR="00217A61" w:rsidRDefault="00217A61">
            <w:pPr>
              <w:keepNext/>
              <w:widowControl w:val="0"/>
              <w:spacing w:after="0" w:line="240" w:lineRule="auto"/>
              <w:rPr>
                <w:rFonts w:cs="Arial"/>
              </w:rPr>
            </w:pPr>
          </w:p>
        </w:tc>
        <w:tc>
          <w:tcPr>
            <w:tcW w:w="1665" w:type="dxa"/>
          </w:tcPr>
          <w:p w14:paraId="64214202" w14:textId="77777777" w:rsidR="00217A61" w:rsidRDefault="00217A61">
            <w:pPr>
              <w:keepNext/>
              <w:widowControl w:val="0"/>
              <w:spacing w:after="0" w:line="240" w:lineRule="auto"/>
              <w:rPr>
                <w:rFonts w:cs="Arial"/>
              </w:rPr>
            </w:pPr>
          </w:p>
        </w:tc>
      </w:tr>
      <w:tr w:rsidR="00217A61" w14:paraId="766D928F" w14:textId="77777777">
        <w:trPr>
          <w:cantSplit/>
        </w:trPr>
        <w:tc>
          <w:tcPr>
            <w:tcW w:w="7923" w:type="dxa"/>
          </w:tcPr>
          <w:p w14:paraId="51801181" w14:textId="77777777" w:rsidR="00217A61" w:rsidRDefault="001C2695">
            <w:pPr>
              <w:spacing w:beforeAutospacing="1" w:afterAutospacing="1"/>
            </w:pPr>
            <w:r>
              <w:rPr>
                <w:color w:val="000000"/>
              </w:rPr>
              <w:t xml:space="preserve">2. The estimated percentage of CDBG funds that will be used for activities that benefit persons of low and moderate </w:t>
            </w:r>
            <w:proofErr w:type="spellStart"/>
            <w:proofErr w:type="gramStart"/>
            <w:r>
              <w:rPr>
                <w:color w:val="000000"/>
              </w:rPr>
              <w:t>income.Overall</w:t>
            </w:r>
            <w:proofErr w:type="spellEnd"/>
            <w:proofErr w:type="gramEnd"/>
            <w:r>
              <w:rPr>
                <w:color w:val="000000"/>
              </w:rPr>
              <w:t xml:space="preserve">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14:paraId="392C600D" w14:textId="77777777" w:rsidR="00217A61" w:rsidRDefault="001C2695">
            <w:pPr>
              <w:spacing w:beforeAutospacing="1" w:afterAutospacing="1"/>
              <w:jc w:val="right"/>
            </w:pPr>
            <w:r>
              <w:rPr>
                <w:color w:val="000000"/>
              </w:rPr>
              <w:t>0.00%</w:t>
            </w:r>
          </w:p>
        </w:tc>
      </w:tr>
    </w:tbl>
    <w:p w14:paraId="649C6EDC" w14:textId="77777777" w:rsidR="00217A61" w:rsidRDefault="00217A61">
      <w:pPr>
        <w:spacing w:after="0" w:line="240" w:lineRule="auto"/>
        <w:rPr>
          <w:rFonts w:cs="Arial"/>
        </w:rPr>
      </w:pPr>
    </w:p>
    <w:p w14:paraId="6055D1F3" w14:textId="77777777" w:rsidR="00217A61" w:rsidRDefault="00217A61">
      <w:pPr>
        <w:spacing w:after="0" w:line="240" w:lineRule="auto"/>
        <w:rPr>
          <w:rFonts w:cs="Arial"/>
        </w:rPr>
      </w:pPr>
    </w:p>
    <w:p w14:paraId="576443EC" w14:textId="77777777" w:rsidR="00217A61" w:rsidRDefault="00217A61">
      <w:pPr>
        <w:spacing w:after="0" w:line="240" w:lineRule="auto"/>
        <w:rPr>
          <w:rFonts w:cs="Arial"/>
        </w:rPr>
      </w:pPr>
    </w:p>
    <w:p w14:paraId="3C8E9D1C" w14:textId="77777777" w:rsidR="00217A61" w:rsidRDefault="001C2695">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14:paraId="462E15FC" w14:textId="77777777" w:rsidR="00217A61" w:rsidRDefault="001C2695">
      <w:pPr>
        <w:keepNext/>
        <w:spacing w:after="0" w:line="240" w:lineRule="auto"/>
        <w:jc w:val="center"/>
        <w:rPr>
          <w:rFonts w:cs="Arial"/>
          <w:b/>
          <w:sz w:val="24"/>
          <w:szCs w:val="24"/>
        </w:rPr>
      </w:pPr>
      <w:r>
        <w:rPr>
          <w:rFonts w:cs="Arial"/>
          <w:b/>
          <w:sz w:val="24"/>
          <w:szCs w:val="24"/>
        </w:rPr>
        <w:t>Reference 24 CFR 91.320(k)(2)</w:t>
      </w:r>
      <w:r>
        <w:rPr>
          <w:i/>
        </w:rPr>
        <w:t xml:space="preserve"> </w:t>
      </w:r>
    </w:p>
    <w:p w14:paraId="710E4414" w14:textId="77777777" w:rsidR="00217A61" w:rsidRDefault="001C2695">
      <w:pPr>
        <w:keepNext/>
        <w:widowControl w:val="0"/>
        <w:numPr>
          <w:ilvl w:val="0"/>
          <w:numId w:val="13"/>
        </w:numPr>
        <w:spacing w:after="0" w:line="240" w:lineRule="auto"/>
        <w:rPr>
          <w:rFonts w:cs="Arial"/>
        </w:rPr>
      </w:pPr>
      <w:r>
        <w:rPr>
          <w:rFonts w:cs="Arial"/>
        </w:rPr>
        <w:t xml:space="preserve">A description of other forms of </w:t>
      </w:r>
      <w:r>
        <w:rPr>
          <w:rFonts w:cs="Arial"/>
        </w:rPr>
        <w:t>investment being used beyond those identified in Section 92.205 is as follows:</w:t>
      </w:r>
      <w:r>
        <w:rPr>
          <w:i/>
        </w:rPr>
        <w:t xml:space="preserve"> </w:t>
      </w:r>
    </w:p>
    <w:p w14:paraId="4B56A3CF" w14:textId="77777777" w:rsidR="00217A61" w:rsidRDefault="00217A61">
      <w:pPr>
        <w:keepNext/>
        <w:widowControl w:val="0"/>
        <w:spacing w:after="0" w:line="240" w:lineRule="auto"/>
        <w:ind w:left="360"/>
        <w:rPr>
          <w:rFonts w:cs="Arial"/>
        </w:rPr>
      </w:pPr>
    </w:p>
    <w:p w14:paraId="55D70F72" w14:textId="77777777" w:rsidR="00217A61" w:rsidRDefault="00217A61">
      <w:pPr>
        <w:spacing w:after="0" w:line="240" w:lineRule="auto"/>
        <w:rPr>
          <w:rFonts w:cs="Arial"/>
        </w:rPr>
      </w:pPr>
    </w:p>
    <w:p w14:paraId="36785AB0" w14:textId="77777777" w:rsidR="00217A61" w:rsidRDefault="001C2695">
      <w:pPr>
        <w:keepNext/>
        <w:widowControl w:val="0"/>
        <w:numPr>
          <w:ilvl w:val="0"/>
          <w:numId w:val="13"/>
        </w:numPr>
        <w:spacing w:after="0" w:line="240" w:lineRule="auto"/>
        <w:rPr>
          <w:rFonts w:cs="Arial"/>
        </w:rPr>
      </w:pPr>
      <w:r>
        <w:rPr>
          <w:rFonts w:cs="Arial"/>
        </w:rPr>
        <w:t xml:space="preserve">A description of the guidelines that will be used for resale or recapture of HOME funds when used </w:t>
      </w:r>
      <w:r>
        <w:rPr>
          <w:rFonts w:cs="Arial"/>
        </w:rPr>
        <w:lastRenderedPageBreak/>
        <w:t>for homebuyer activities as required in 92.254, is as follows:</w:t>
      </w:r>
      <w:r>
        <w:rPr>
          <w:i/>
        </w:rPr>
        <w:t xml:space="preserve"> </w:t>
      </w:r>
    </w:p>
    <w:p w14:paraId="423BD659" w14:textId="77777777" w:rsidR="00217A61" w:rsidRDefault="00217A61">
      <w:pPr>
        <w:keepNext/>
        <w:widowControl w:val="0"/>
        <w:spacing w:after="0" w:line="240" w:lineRule="auto"/>
        <w:ind w:left="360"/>
        <w:rPr>
          <w:rFonts w:cs="Arial"/>
        </w:rPr>
      </w:pPr>
    </w:p>
    <w:p w14:paraId="0C9AE7F5" w14:textId="77777777" w:rsidR="00217A61" w:rsidRDefault="00217A61">
      <w:pPr>
        <w:spacing w:after="0" w:line="240" w:lineRule="auto"/>
        <w:rPr>
          <w:rFonts w:cs="Arial"/>
        </w:rPr>
      </w:pPr>
    </w:p>
    <w:p w14:paraId="2DC14A64" w14:textId="77777777" w:rsidR="00217A61" w:rsidRDefault="001C2695">
      <w:pPr>
        <w:keepNext/>
        <w:widowControl w:val="0"/>
        <w:numPr>
          <w:ilvl w:val="0"/>
          <w:numId w:val="13"/>
        </w:numPr>
        <w:spacing w:after="0" w:line="240" w:lineRule="auto"/>
        <w:rPr>
          <w:rFonts w:cs="Arial"/>
        </w:rPr>
      </w:pPr>
      <w:r>
        <w:rPr>
          <w:rFonts w:cs="Arial"/>
        </w:rPr>
        <w:t>A descript</w:t>
      </w:r>
      <w:r>
        <w:rPr>
          <w:rFonts w:cs="Arial"/>
        </w:rPr>
        <w:t>ion of the guidelines for resale or recapture that ensures the affordability of units acquired with HOME funds? See 24 CFR 92.254(a)(4) are as follows:</w:t>
      </w:r>
      <w:r>
        <w:rPr>
          <w:i/>
        </w:rPr>
        <w:t xml:space="preserve"> </w:t>
      </w:r>
    </w:p>
    <w:p w14:paraId="6B4FB47E" w14:textId="77777777" w:rsidR="00217A61" w:rsidRDefault="00217A61">
      <w:pPr>
        <w:keepNext/>
        <w:widowControl w:val="0"/>
        <w:spacing w:after="0" w:line="240" w:lineRule="auto"/>
        <w:ind w:left="360"/>
        <w:rPr>
          <w:rFonts w:cs="Arial"/>
        </w:rPr>
      </w:pPr>
    </w:p>
    <w:p w14:paraId="6BCC41A1" w14:textId="77777777" w:rsidR="00217A61" w:rsidRDefault="00217A61">
      <w:pPr>
        <w:spacing w:after="0" w:line="240" w:lineRule="auto"/>
        <w:rPr>
          <w:rFonts w:cs="Arial"/>
        </w:rPr>
      </w:pPr>
    </w:p>
    <w:p w14:paraId="15FEA112" w14:textId="77777777" w:rsidR="00217A61" w:rsidRDefault="001C2695">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w:t>
      </w:r>
      <w:r>
        <w:rPr>
          <w:rFonts w:cs="Arial"/>
        </w:rPr>
        <w:t>tated with HOME funds along with a description of the refinancing guidelines required that will be used under 24 CFR 92.206(b), are as follows:</w:t>
      </w:r>
      <w:r>
        <w:rPr>
          <w:i/>
        </w:rPr>
        <w:t xml:space="preserve"> </w:t>
      </w:r>
    </w:p>
    <w:p w14:paraId="6475F273" w14:textId="77777777" w:rsidR="00217A61" w:rsidRDefault="00217A61">
      <w:pPr>
        <w:keepNext/>
        <w:widowControl w:val="0"/>
        <w:spacing w:after="0" w:line="240" w:lineRule="auto"/>
        <w:ind w:left="360"/>
        <w:rPr>
          <w:rFonts w:cs="Arial"/>
        </w:rPr>
      </w:pPr>
    </w:p>
    <w:p w14:paraId="1BE3077D" w14:textId="77777777" w:rsidR="00217A61" w:rsidRDefault="00217A61">
      <w:pPr>
        <w:spacing w:after="0" w:line="240" w:lineRule="auto"/>
        <w:ind w:left="360"/>
        <w:rPr>
          <w:rFonts w:cs="Arial"/>
        </w:rPr>
      </w:pPr>
    </w:p>
    <w:p w14:paraId="6FA2F47D" w14:textId="77777777" w:rsidR="00217A61" w:rsidRDefault="001C2695">
      <w:pPr>
        <w:keepNext/>
        <w:widowControl w:val="0"/>
        <w:spacing w:after="0" w:line="240" w:lineRule="auto"/>
        <w:jc w:val="center"/>
        <w:rPr>
          <w:b/>
          <w:i/>
          <w:sz w:val="24"/>
        </w:rPr>
      </w:pPr>
      <w:r>
        <w:rPr>
          <w:rFonts w:cs="Arial"/>
          <w:b/>
          <w:sz w:val="24"/>
          <w:szCs w:val="24"/>
        </w:rPr>
        <w:t>Emergency Solutions Grant (ESG)</w:t>
      </w:r>
      <w:r>
        <w:rPr>
          <w:b/>
          <w:sz w:val="24"/>
        </w:rPr>
        <w:t xml:space="preserve"> </w:t>
      </w:r>
    </w:p>
    <w:p w14:paraId="598A5472" w14:textId="77777777" w:rsidR="00217A61" w:rsidRDefault="001C2695">
      <w:pPr>
        <w:keepNext/>
        <w:widowControl w:val="0"/>
        <w:spacing w:after="0" w:line="240" w:lineRule="auto"/>
        <w:jc w:val="center"/>
        <w:rPr>
          <w:b/>
          <w:bCs/>
          <w:sz w:val="24"/>
          <w:szCs w:val="24"/>
        </w:rPr>
      </w:pPr>
      <w:r>
        <w:rPr>
          <w:rStyle w:val="Strong"/>
          <w:sz w:val="24"/>
          <w:szCs w:val="24"/>
        </w:rPr>
        <w:t xml:space="preserve">Reference 91.320(k)(3) </w:t>
      </w:r>
    </w:p>
    <w:p w14:paraId="2AD68F21" w14:textId="77777777" w:rsidR="00217A61" w:rsidRDefault="00217A61">
      <w:pPr>
        <w:keepNext/>
        <w:widowControl w:val="0"/>
        <w:spacing w:after="0" w:line="240" w:lineRule="auto"/>
        <w:jc w:val="center"/>
        <w:rPr>
          <w:rFonts w:cs="Arial"/>
          <w:b/>
          <w:sz w:val="24"/>
          <w:szCs w:val="24"/>
        </w:rPr>
      </w:pPr>
    </w:p>
    <w:p w14:paraId="043DA62E" w14:textId="77777777" w:rsidR="00217A61" w:rsidRDefault="001C2695">
      <w:pPr>
        <w:keepNext/>
        <w:widowControl w:val="0"/>
        <w:numPr>
          <w:ilvl w:val="0"/>
          <w:numId w:val="14"/>
        </w:numPr>
        <w:spacing w:after="0" w:line="240" w:lineRule="auto"/>
        <w:rPr>
          <w:rFonts w:cs="Arial"/>
        </w:rPr>
      </w:pPr>
      <w:r>
        <w:rPr>
          <w:sz w:val="24"/>
          <w:szCs w:val="24"/>
        </w:rPr>
        <w:t xml:space="preserve">Include written standards for providing ESG </w:t>
      </w:r>
      <w:r>
        <w:rPr>
          <w:sz w:val="24"/>
          <w:szCs w:val="24"/>
        </w:rPr>
        <w:t>assistance (may include as attachment)</w:t>
      </w:r>
      <w:r>
        <w:rPr>
          <w:i/>
        </w:rPr>
        <w:t xml:space="preserve"> </w:t>
      </w:r>
    </w:p>
    <w:p w14:paraId="4C1CE73C" w14:textId="77777777" w:rsidR="00217A61" w:rsidRDefault="00217A61">
      <w:pPr>
        <w:keepNext/>
        <w:widowControl w:val="0"/>
        <w:ind w:left="360"/>
        <w:rPr>
          <w:rFonts w:cs="Arial"/>
        </w:rPr>
      </w:pPr>
    </w:p>
    <w:p w14:paraId="0BDFCF4D" w14:textId="77777777" w:rsidR="00217A61" w:rsidRDefault="001C2695">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14:paraId="24208308" w14:textId="77777777" w:rsidR="00217A61" w:rsidRDefault="00217A61">
      <w:pPr>
        <w:widowControl w:val="0"/>
        <w:ind w:left="360"/>
        <w:rPr>
          <w:rFonts w:cs="Arial"/>
        </w:rPr>
      </w:pPr>
    </w:p>
    <w:p w14:paraId="0E4F9D61" w14:textId="77777777" w:rsidR="00217A61" w:rsidRDefault="001C2695">
      <w:pPr>
        <w:keepNext/>
        <w:widowControl w:val="0"/>
        <w:numPr>
          <w:ilvl w:val="0"/>
          <w:numId w:val="14"/>
        </w:numPr>
        <w:spacing w:after="0" w:line="240" w:lineRule="auto"/>
        <w:rPr>
          <w:rFonts w:cs="Arial"/>
        </w:rPr>
      </w:pPr>
      <w:r>
        <w:rPr>
          <w:sz w:val="24"/>
          <w:szCs w:val="24"/>
        </w:rPr>
        <w:t>Identify the process for making sub-aw</w:t>
      </w:r>
      <w:r>
        <w:rPr>
          <w:sz w:val="24"/>
          <w:szCs w:val="24"/>
        </w:rPr>
        <w:t>ards and describe how the ESG allocation available to private nonprofit organizations (including community and faith-based organizations).</w:t>
      </w:r>
      <w:r>
        <w:rPr>
          <w:i/>
        </w:rPr>
        <w:t xml:space="preserve"> </w:t>
      </w:r>
    </w:p>
    <w:p w14:paraId="1F55530E" w14:textId="77777777" w:rsidR="00217A61" w:rsidRDefault="00217A61">
      <w:pPr>
        <w:widowControl w:val="0"/>
        <w:ind w:left="360"/>
        <w:rPr>
          <w:rFonts w:cs="Arial"/>
        </w:rPr>
      </w:pPr>
    </w:p>
    <w:p w14:paraId="275FF822" w14:textId="77777777" w:rsidR="00217A61" w:rsidRDefault="001C2695">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w:t>
      </w:r>
      <w:r>
        <w:rPr>
          <w:sz w:val="24"/>
          <w:szCs w:val="24"/>
        </w:rPr>
        <w:t xml:space="preserve"> must specify its plan for reaching out to and consulting with homeless or formerly homeless individuals in considering policies and funding decisions regarding facilities and services funded under ESG.</w:t>
      </w:r>
      <w:r>
        <w:rPr>
          <w:i/>
        </w:rPr>
        <w:t xml:space="preserve"> </w:t>
      </w:r>
    </w:p>
    <w:p w14:paraId="27BF0519" w14:textId="77777777" w:rsidR="00217A61" w:rsidRDefault="00217A61">
      <w:pPr>
        <w:widowControl w:val="0"/>
        <w:ind w:left="360"/>
        <w:rPr>
          <w:rFonts w:cs="Arial"/>
        </w:rPr>
      </w:pPr>
    </w:p>
    <w:p w14:paraId="66335444" w14:textId="77777777" w:rsidR="00217A61" w:rsidRDefault="001C2695">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14:paraId="5A3499C8" w14:textId="77777777" w:rsidR="00217A61" w:rsidRDefault="00217A61">
      <w:pPr>
        <w:widowControl w:val="0"/>
        <w:ind w:left="360"/>
        <w:rPr>
          <w:rFonts w:cs="Arial"/>
        </w:rPr>
      </w:pPr>
    </w:p>
    <w:p w14:paraId="2EFC68C5" w14:textId="77777777" w:rsidR="00217A61" w:rsidRDefault="00217A61">
      <w:pPr>
        <w:rPr>
          <w:b/>
          <w:sz w:val="24"/>
          <w:szCs w:val="24"/>
        </w:rPr>
      </w:pPr>
    </w:p>
    <w:p w14:paraId="244C229D" w14:textId="77777777" w:rsidR="00217A61" w:rsidRDefault="001C2695">
      <w:pPr>
        <w:contextualSpacing/>
        <w:jc w:val="center"/>
        <w:rPr>
          <w:b/>
          <w:bCs/>
        </w:rPr>
      </w:pPr>
      <w:r>
        <w:rPr>
          <w:b/>
          <w:bCs/>
        </w:rPr>
        <w:t>Housing Trust Fund (HTF)</w:t>
      </w:r>
    </w:p>
    <w:p w14:paraId="17D89ABC" w14:textId="77777777" w:rsidR="00217A61" w:rsidRDefault="001C2695">
      <w:pPr>
        <w:jc w:val="center"/>
      </w:pPr>
      <w:r>
        <w:rPr>
          <w:b/>
          <w:bCs/>
        </w:rPr>
        <w:t>Reference 24 CFR 91.320(k)(5)</w:t>
      </w:r>
    </w:p>
    <w:p w14:paraId="6BB4CC86" w14:textId="77777777" w:rsidR="00217A61" w:rsidRDefault="001C2695">
      <w:pPr>
        <w:spacing w:after="0" w:line="240" w:lineRule="auto"/>
        <w:rPr>
          <w:sz w:val="24"/>
          <w:szCs w:val="24"/>
        </w:rPr>
      </w:pPr>
      <w:r>
        <w:rPr>
          <w:sz w:val="24"/>
          <w:szCs w:val="24"/>
        </w:rPr>
        <w:t>1. How will the grantee distribute its HTF funds?  Select all that apply:</w:t>
      </w:r>
    </w:p>
    <w:p w14:paraId="121733A8" w14:textId="77777777" w:rsidR="00217A61" w:rsidRDefault="00217A61">
      <w:pPr>
        <w:spacing w:after="0" w:line="240" w:lineRule="auto"/>
        <w:rPr>
          <w:sz w:val="24"/>
          <w:szCs w:val="24"/>
        </w:rPr>
      </w:pPr>
    </w:p>
    <w:p w14:paraId="1F257AFE" w14:textId="77777777" w:rsidR="00217A61" w:rsidRDefault="001C2695">
      <w:pPr>
        <w:rPr>
          <w:sz w:val="24"/>
          <w:szCs w:val="24"/>
        </w:rPr>
      </w:pPr>
      <w:r>
        <w:rPr>
          <w:bCs/>
          <w:sz w:val="24"/>
          <w:szCs w:val="24"/>
        </w:rPr>
        <w:t xml:space="preserve">2. </w:t>
      </w:r>
      <w:r>
        <w:rPr>
          <w:sz w:val="24"/>
          <w:szCs w:val="24"/>
        </w:rPr>
        <w:t xml:space="preserve">If distributing HTF </w:t>
      </w:r>
      <w:proofErr w:type="gramStart"/>
      <w:r>
        <w:rPr>
          <w:sz w:val="24"/>
          <w:szCs w:val="24"/>
        </w:rPr>
        <w:t>funds  through</w:t>
      </w:r>
      <w:proofErr w:type="gramEnd"/>
      <w:r>
        <w:rPr>
          <w:sz w:val="24"/>
          <w:szCs w:val="24"/>
        </w:rPr>
        <w:t xml:space="preserve"> grants to subgrantees, describe the method for distributing HTF funds through grants </w:t>
      </w:r>
      <w:r>
        <w:rPr>
          <w:sz w:val="24"/>
          <w:szCs w:val="24"/>
        </w:rPr>
        <w:t>to subgrantees and how those funds will be made available to state agencies and/or units of general local government. If not distributing funds through grants to subgrantees, enter “N/A”.</w:t>
      </w:r>
    </w:p>
    <w:p w14:paraId="7BEC1645" w14:textId="77777777" w:rsidR="00217A61" w:rsidRDefault="00217A61">
      <w:pPr>
        <w:rPr>
          <w:rFonts w:cs="Arial"/>
        </w:rPr>
      </w:pPr>
    </w:p>
    <w:p w14:paraId="2B1F5785" w14:textId="77777777" w:rsidR="00217A61" w:rsidRDefault="00217A61">
      <w:pPr>
        <w:rPr>
          <w:sz w:val="24"/>
          <w:szCs w:val="24"/>
        </w:rPr>
      </w:pPr>
    </w:p>
    <w:p w14:paraId="6C6D45EE" w14:textId="77777777" w:rsidR="00217A61" w:rsidRDefault="001C2695">
      <w:pPr>
        <w:rPr>
          <w:sz w:val="24"/>
          <w:szCs w:val="24"/>
        </w:rPr>
      </w:pPr>
      <w:r>
        <w:rPr>
          <w:sz w:val="24"/>
          <w:szCs w:val="24"/>
        </w:rPr>
        <w:t xml:space="preserve">3. If distributing HTF funds by selecting applications submitted by eligible recipients, </w:t>
      </w:r>
    </w:p>
    <w:p w14:paraId="3720B9A4" w14:textId="77777777" w:rsidR="00217A61" w:rsidRDefault="001C2695">
      <w:pPr>
        <w:rPr>
          <w:sz w:val="24"/>
          <w:szCs w:val="24"/>
        </w:rPr>
      </w:pPr>
      <w:r>
        <w:rPr>
          <w:sz w:val="24"/>
          <w:szCs w:val="24"/>
        </w:rPr>
        <w:t xml:space="preserve">a. Describe the eligibility requirements for recipients of HTF funds (as defined in 24 CFR § 93.2).  If not distributing funds by selecting applications submitted by </w:t>
      </w:r>
      <w:r>
        <w:rPr>
          <w:sz w:val="24"/>
          <w:szCs w:val="24"/>
        </w:rPr>
        <w:t>eligible recipients, enter “N/A”.</w:t>
      </w:r>
    </w:p>
    <w:p w14:paraId="7D7E9DEB" w14:textId="77777777" w:rsidR="00217A61" w:rsidRDefault="00217A61">
      <w:pPr>
        <w:rPr>
          <w:rFonts w:cs="Arial"/>
        </w:rPr>
      </w:pPr>
    </w:p>
    <w:p w14:paraId="7D7D3C4D" w14:textId="77777777" w:rsidR="00217A61" w:rsidRDefault="00217A61">
      <w:pPr>
        <w:rPr>
          <w:sz w:val="24"/>
          <w:szCs w:val="24"/>
        </w:rPr>
      </w:pPr>
    </w:p>
    <w:p w14:paraId="487F4098" w14:textId="77777777" w:rsidR="00217A61" w:rsidRDefault="001C2695">
      <w:pPr>
        <w:rPr>
          <w:sz w:val="24"/>
          <w:szCs w:val="24"/>
        </w:rPr>
      </w:pPr>
      <w:r>
        <w:rPr>
          <w:sz w:val="24"/>
          <w:szCs w:val="24"/>
        </w:rPr>
        <w:t xml:space="preserve">b. Describe the grantee’s application requirements for eligible recipients to apply for HTF funds.  If not distributing funds by selecting applications submitted by eligible recipients, enter “N/A”. </w:t>
      </w:r>
    </w:p>
    <w:p w14:paraId="54DDF357" w14:textId="77777777" w:rsidR="00217A61" w:rsidRDefault="00217A61">
      <w:pPr>
        <w:keepNext/>
        <w:widowControl w:val="0"/>
        <w:spacing w:line="204" w:lineRule="auto"/>
        <w:rPr>
          <w:b/>
          <w:sz w:val="24"/>
          <w:szCs w:val="24"/>
        </w:rPr>
      </w:pPr>
    </w:p>
    <w:p w14:paraId="61CD2E90" w14:textId="77777777" w:rsidR="00217A61" w:rsidRDefault="00217A61">
      <w:pPr>
        <w:rPr>
          <w:sz w:val="24"/>
          <w:szCs w:val="24"/>
        </w:rPr>
      </w:pPr>
    </w:p>
    <w:p w14:paraId="178041FA" w14:textId="77777777" w:rsidR="00217A61" w:rsidRDefault="001C2695">
      <w:pPr>
        <w:rPr>
          <w:sz w:val="24"/>
          <w:szCs w:val="24"/>
        </w:rPr>
      </w:pPr>
      <w:r>
        <w:rPr>
          <w:sz w:val="24"/>
          <w:szCs w:val="24"/>
        </w:rPr>
        <w:t>c. Describe the se</w:t>
      </w:r>
      <w:r>
        <w:rPr>
          <w:sz w:val="24"/>
          <w:szCs w:val="24"/>
        </w:rPr>
        <w:t>lection criteria that the grantee will use to select applications submitted by eligible recipients.  If not distributing funds by selecting applications submitted by eligible recipients, enter “N/A”.</w:t>
      </w:r>
    </w:p>
    <w:p w14:paraId="2E6FCA5F" w14:textId="77777777" w:rsidR="00217A61" w:rsidRDefault="00217A61">
      <w:pPr>
        <w:keepNext/>
        <w:widowControl w:val="0"/>
        <w:spacing w:line="204" w:lineRule="auto"/>
        <w:rPr>
          <w:b/>
          <w:sz w:val="24"/>
          <w:szCs w:val="24"/>
        </w:rPr>
      </w:pPr>
    </w:p>
    <w:p w14:paraId="11B35AFB" w14:textId="77777777" w:rsidR="00217A61" w:rsidRDefault="00217A61">
      <w:pPr>
        <w:rPr>
          <w:sz w:val="24"/>
          <w:szCs w:val="24"/>
        </w:rPr>
      </w:pPr>
    </w:p>
    <w:p w14:paraId="28B61911" w14:textId="77777777" w:rsidR="00217A61" w:rsidRDefault="001C2695">
      <w:pPr>
        <w:rPr>
          <w:sz w:val="24"/>
          <w:szCs w:val="24"/>
        </w:rPr>
      </w:pPr>
      <w:r>
        <w:rPr>
          <w:sz w:val="24"/>
          <w:szCs w:val="24"/>
        </w:rPr>
        <w:t>d. Describe the grantee’s required priority for fundin</w:t>
      </w:r>
      <w:r>
        <w:rPr>
          <w:sz w:val="24"/>
          <w:szCs w:val="24"/>
        </w:rPr>
        <w:t>g based on geographic diversity (as defined by the grantee in the consolidated plan).  If not distributing funds by selecting applications submitted by eligible recipients, enter “N/A”.</w:t>
      </w:r>
    </w:p>
    <w:p w14:paraId="6CEC5865" w14:textId="77777777" w:rsidR="00217A61" w:rsidRDefault="00217A61">
      <w:pPr>
        <w:keepNext/>
        <w:widowControl w:val="0"/>
        <w:spacing w:line="204" w:lineRule="auto"/>
        <w:rPr>
          <w:b/>
          <w:sz w:val="24"/>
          <w:szCs w:val="24"/>
        </w:rPr>
      </w:pPr>
    </w:p>
    <w:p w14:paraId="420815E0" w14:textId="77777777" w:rsidR="00217A61" w:rsidRDefault="00217A61">
      <w:pPr>
        <w:rPr>
          <w:sz w:val="24"/>
          <w:szCs w:val="24"/>
        </w:rPr>
      </w:pPr>
    </w:p>
    <w:p w14:paraId="4B3BFD87" w14:textId="77777777" w:rsidR="00217A61" w:rsidRDefault="001C2695">
      <w:pPr>
        <w:rPr>
          <w:sz w:val="24"/>
          <w:szCs w:val="24"/>
        </w:rPr>
      </w:pPr>
      <w:r>
        <w:rPr>
          <w:sz w:val="24"/>
          <w:szCs w:val="24"/>
        </w:rPr>
        <w:t>e. Describe the grantee’s required priority for funding based on the</w:t>
      </w:r>
      <w:r>
        <w:rPr>
          <w:sz w:val="24"/>
          <w:szCs w:val="24"/>
        </w:rPr>
        <w:t xml:space="preserve"> applicant's ability to obligate HTF funds and undertake eligible activities in a timely manner.  If not distributing funds by selecting applications submitted by eligible recipients, enter “N/A”.</w:t>
      </w:r>
    </w:p>
    <w:p w14:paraId="577A0500" w14:textId="77777777" w:rsidR="00217A61" w:rsidRDefault="00217A61">
      <w:pPr>
        <w:keepNext/>
        <w:widowControl w:val="0"/>
        <w:spacing w:line="204" w:lineRule="auto"/>
        <w:rPr>
          <w:b/>
          <w:sz w:val="24"/>
          <w:szCs w:val="24"/>
        </w:rPr>
      </w:pPr>
    </w:p>
    <w:p w14:paraId="7F1EAC7C" w14:textId="77777777" w:rsidR="00217A61" w:rsidRDefault="00217A61">
      <w:pPr>
        <w:rPr>
          <w:sz w:val="24"/>
          <w:szCs w:val="24"/>
        </w:rPr>
      </w:pPr>
    </w:p>
    <w:p w14:paraId="56CC08EE" w14:textId="77777777" w:rsidR="00217A61" w:rsidRDefault="001C2695">
      <w:pPr>
        <w:rPr>
          <w:sz w:val="24"/>
          <w:szCs w:val="24"/>
        </w:rPr>
      </w:pPr>
      <w:r>
        <w:rPr>
          <w:sz w:val="24"/>
          <w:szCs w:val="24"/>
        </w:rPr>
        <w:t>f. Describe the grantee’s required priority for funding b</w:t>
      </w:r>
      <w:r>
        <w:rPr>
          <w:sz w:val="24"/>
          <w:szCs w:val="24"/>
        </w:rPr>
        <w:t xml:space="preserve">ased on the extent to which the rental project has Federal, State, or local project-based rental assistance so that rents are affordable </w:t>
      </w:r>
      <w:r>
        <w:rPr>
          <w:sz w:val="24"/>
          <w:szCs w:val="24"/>
        </w:rPr>
        <w:lastRenderedPageBreak/>
        <w:t>to extremely low-income families.  If not distributing funds by selecting applications submitted by eligible recipients</w:t>
      </w:r>
      <w:r>
        <w:rPr>
          <w:sz w:val="24"/>
          <w:szCs w:val="24"/>
        </w:rPr>
        <w:t>, enter “N/A”.</w:t>
      </w:r>
    </w:p>
    <w:p w14:paraId="6C7F8446" w14:textId="77777777" w:rsidR="00217A61" w:rsidRDefault="00217A61">
      <w:pPr>
        <w:keepNext/>
        <w:widowControl w:val="0"/>
        <w:spacing w:line="204" w:lineRule="auto"/>
        <w:rPr>
          <w:b/>
          <w:sz w:val="24"/>
          <w:szCs w:val="24"/>
        </w:rPr>
      </w:pPr>
    </w:p>
    <w:p w14:paraId="73026E42" w14:textId="77777777" w:rsidR="00217A61" w:rsidRDefault="00217A61">
      <w:pPr>
        <w:rPr>
          <w:sz w:val="24"/>
          <w:szCs w:val="24"/>
        </w:rPr>
      </w:pPr>
    </w:p>
    <w:p w14:paraId="3F4CCB7E" w14:textId="77777777" w:rsidR="00217A61" w:rsidRDefault="001C2695">
      <w:pPr>
        <w:rPr>
          <w:sz w:val="24"/>
          <w:szCs w:val="24"/>
        </w:rPr>
      </w:pPr>
      <w:r>
        <w:rPr>
          <w:sz w:val="24"/>
          <w:szCs w:val="24"/>
        </w:rPr>
        <w:t>g. Describe the grantee’s required priority for funding based on the financial feasibility of the project beyond the required 30-year period.  If not distributing funds by selecting applications submitted by eligible recipients, enter “N/A</w:t>
      </w:r>
      <w:r>
        <w:rPr>
          <w:sz w:val="24"/>
          <w:szCs w:val="24"/>
        </w:rPr>
        <w:t>”.</w:t>
      </w:r>
    </w:p>
    <w:p w14:paraId="002781CF" w14:textId="77777777" w:rsidR="00217A61" w:rsidRDefault="00217A61">
      <w:pPr>
        <w:keepNext/>
        <w:widowControl w:val="0"/>
        <w:spacing w:line="204" w:lineRule="auto"/>
        <w:rPr>
          <w:b/>
          <w:sz w:val="24"/>
          <w:szCs w:val="24"/>
        </w:rPr>
      </w:pPr>
    </w:p>
    <w:p w14:paraId="06AB9E4C" w14:textId="77777777" w:rsidR="00217A61" w:rsidRDefault="00217A61">
      <w:pPr>
        <w:rPr>
          <w:sz w:val="24"/>
          <w:szCs w:val="24"/>
        </w:rPr>
      </w:pPr>
    </w:p>
    <w:p w14:paraId="00E470A7" w14:textId="77777777" w:rsidR="00217A61" w:rsidRDefault="001C2695">
      <w:pPr>
        <w:rPr>
          <w:sz w:val="24"/>
          <w:szCs w:val="24"/>
        </w:rPr>
      </w:pPr>
      <w:r>
        <w:rPr>
          <w:sz w:val="24"/>
          <w:szCs w:val="24"/>
        </w:rPr>
        <w:t>h. Describe the grantee’s required priority for funding based on the merits of the application in meeting the priority housing needs of the grantee (such as housing that is accessible to transit or employment centers, housing that includes green build</w:t>
      </w:r>
      <w:r>
        <w:rPr>
          <w:sz w:val="24"/>
          <w:szCs w:val="24"/>
        </w:rPr>
        <w:t>ing and sustainable development features, or housing that serves special needs populations).  If not distributing funds by selecting applications submitted by eligible recipients, enter “N/A”.</w:t>
      </w:r>
    </w:p>
    <w:p w14:paraId="56C26A82" w14:textId="77777777" w:rsidR="00217A61" w:rsidRDefault="00217A61">
      <w:pPr>
        <w:keepNext/>
        <w:widowControl w:val="0"/>
        <w:spacing w:line="204" w:lineRule="auto"/>
        <w:rPr>
          <w:b/>
          <w:sz w:val="24"/>
          <w:szCs w:val="24"/>
        </w:rPr>
      </w:pPr>
    </w:p>
    <w:p w14:paraId="7B7CE27B" w14:textId="77777777" w:rsidR="00217A61" w:rsidRDefault="00217A61">
      <w:pPr>
        <w:rPr>
          <w:sz w:val="24"/>
          <w:szCs w:val="24"/>
        </w:rPr>
      </w:pPr>
    </w:p>
    <w:p w14:paraId="0109849F" w14:textId="77777777" w:rsidR="00217A61" w:rsidRDefault="001C2695">
      <w:pPr>
        <w:rPr>
          <w:sz w:val="24"/>
          <w:szCs w:val="24"/>
        </w:rPr>
      </w:pPr>
      <w:r>
        <w:rPr>
          <w:sz w:val="24"/>
          <w:szCs w:val="24"/>
        </w:rPr>
        <w:t>i. Describe the grantee’s required priority for funding based</w:t>
      </w:r>
      <w:r>
        <w:rPr>
          <w:sz w:val="24"/>
          <w:szCs w:val="24"/>
        </w:rPr>
        <w:t xml:space="preserve"> on the extent to which the application makes use of non-federal funding sources.  If not distributing funds by selecting applications submitted by eligible recipients, enter “N/A”.</w:t>
      </w:r>
    </w:p>
    <w:p w14:paraId="653165A8" w14:textId="77777777" w:rsidR="00217A61" w:rsidRDefault="00217A61">
      <w:pPr>
        <w:keepNext/>
        <w:widowControl w:val="0"/>
        <w:spacing w:line="204" w:lineRule="auto"/>
        <w:rPr>
          <w:b/>
          <w:sz w:val="24"/>
          <w:szCs w:val="24"/>
        </w:rPr>
      </w:pPr>
    </w:p>
    <w:p w14:paraId="3315CA15" w14:textId="77777777" w:rsidR="00217A61" w:rsidRDefault="00217A61">
      <w:pPr>
        <w:rPr>
          <w:b/>
          <w:sz w:val="24"/>
          <w:szCs w:val="24"/>
        </w:rPr>
      </w:pPr>
    </w:p>
    <w:p w14:paraId="65F643B8" w14:textId="77777777" w:rsidR="00217A61" w:rsidRDefault="001C2695">
      <w:pPr>
        <w:rPr>
          <w:sz w:val="24"/>
          <w:szCs w:val="24"/>
        </w:rPr>
      </w:pPr>
      <w:r>
        <w:rPr>
          <w:sz w:val="24"/>
          <w:szCs w:val="24"/>
        </w:rPr>
        <w:t xml:space="preserve">4. Does the grantee’s application require the applicant to include a description of the eligible activities to be conducted with HTF funds?  If not distributing funds by selecting applications submitted by eligible recipients, select “N/A”.  </w:t>
      </w:r>
    </w:p>
    <w:p w14:paraId="3390DD9C" w14:textId="77777777" w:rsidR="00217A61" w:rsidRDefault="001C2695">
      <w:pPr>
        <w:rPr>
          <w:sz w:val="24"/>
          <w:szCs w:val="24"/>
        </w:rPr>
      </w:pPr>
      <w:r>
        <w:rPr>
          <w:sz w:val="24"/>
          <w:szCs w:val="24"/>
        </w:rPr>
        <w:t>5. Does the g</w:t>
      </w:r>
      <w:r>
        <w:rPr>
          <w:sz w:val="24"/>
          <w:szCs w:val="24"/>
        </w:rPr>
        <w:t>rantee’s application require that each eligible recipient certify that housing units assisted with HTF funds will comply with HTF requirements?  If not distributing funds by selecting applications submitted by eligible recipients, select “N/A”.</w:t>
      </w:r>
    </w:p>
    <w:p w14:paraId="57927580" w14:textId="77777777" w:rsidR="00217A61" w:rsidRDefault="001C2695">
      <w:pPr>
        <w:rPr>
          <w:sz w:val="24"/>
          <w:szCs w:val="24"/>
        </w:rPr>
      </w:pPr>
      <w:r>
        <w:rPr>
          <w:sz w:val="24"/>
          <w:szCs w:val="24"/>
        </w:rPr>
        <w:t xml:space="preserve">6. </w:t>
      </w:r>
      <w:r>
        <w:rPr>
          <w:b/>
          <w:sz w:val="24"/>
          <w:szCs w:val="24"/>
        </w:rPr>
        <w:t>Performa</w:t>
      </w:r>
      <w:r>
        <w:rPr>
          <w:b/>
          <w:sz w:val="24"/>
          <w:szCs w:val="24"/>
        </w:rPr>
        <w:t>nce Goals and Benchmarks.</w:t>
      </w:r>
      <w:r>
        <w:rPr>
          <w:sz w:val="24"/>
          <w:szCs w:val="24"/>
        </w:rPr>
        <w:t xml:space="preserve">  The grantee has met the requirement to provide for performance goals and benchmarks against which the grantee will measure its progress, consistent with the grantee’s goals established under 24 CFR 91.315(b)(2), by including HTF in </w:t>
      </w:r>
      <w:r>
        <w:rPr>
          <w:sz w:val="24"/>
          <w:szCs w:val="24"/>
        </w:rPr>
        <w:lastRenderedPageBreak/>
        <w:t>its housing goals in t</w:t>
      </w:r>
      <w:r>
        <w:rPr>
          <w:sz w:val="24"/>
          <w:szCs w:val="24"/>
        </w:rPr>
        <w:t xml:space="preserve">he housing table on the SP-45 Goals and AP-20 Annual Goals and Objectives screens.  </w:t>
      </w:r>
    </w:p>
    <w:p w14:paraId="28B28273" w14:textId="77777777" w:rsidR="00217A61" w:rsidRDefault="001C2695">
      <w:pPr>
        <w:rPr>
          <w:sz w:val="24"/>
          <w:szCs w:val="24"/>
        </w:rPr>
      </w:pPr>
      <w:r>
        <w:rPr>
          <w:sz w:val="24"/>
          <w:szCs w:val="24"/>
        </w:rPr>
        <w:t xml:space="preserve">7. </w:t>
      </w:r>
      <w:r>
        <w:rPr>
          <w:b/>
          <w:sz w:val="24"/>
          <w:szCs w:val="24"/>
        </w:rPr>
        <w:t>Maximum Per-unit Development Subsidy Amount for Housing Assisted with HTF Funds.</w:t>
      </w:r>
      <w:r>
        <w:rPr>
          <w:sz w:val="24"/>
          <w:szCs w:val="24"/>
        </w:rPr>
        <w:t xml:space="preserve">  Enter or attach the grantee’s maximum per-unit development subsidy limits for housing </w:t>
      </w:r>
      <w:r>
        <w:rPr>
          <w:sz w:val="24"/>
          <w:szCs w:val="24"/>
        </w:rPr>
        <w:t>assisted with HTF funds.</w:t>
      </w:r>
    </w:p>
    <w:p w14:paraId="63432C2C" w14:textId="77777777" w:rsidR="00217A61" w:rsidRDefault="001C2695">
      <w:pPr>
        <w:rPr>
          <w:sz w:val="24"/>
          <w:szCs w:val="24"/>
        </w:rPr>
      </w:pPr>
      <w:r>
        <w:rPr>
          <w:sz w:val="24"/>
          <w:szCs w:val="24"/>
        </w:rPr>
        <w:t>The limits must be adjusted for the number of bedrooms and the geographic location of the project.  The limits must also be reasonable and based on actual costs of developing non-luxury housing in the area.</w:t>
      </w:r>
    </w:p>
    <w:p w14:paraId="23028F3E" w14:textId="77777777" w:rsidR="00217A61" w:rsidRDefault="001C2695">
      <w:pPr>
        <w:rPr>
          <w:sz w:val="24"/>
          <w:szCs w:val="24"/>
        </w:rPr>
      </w:pPr>
      <w:r>
        <w:rPr>
          <w:sz w:val="24"/>
          <w:szCs w:val="24"/>
        </w:rPr>
        <w:t xml:space="preserve">If the grantee will use </w:t>
      </w:r>
      <w:r>
        <w:rPr>
          <w:sz w:val="24"/>
          <w:szCs w:val="24"/>
        </w:rPr>
        <w:t xml:space="preserve">existing limits developed for other federal programs such as the </w:t>
      </w:r>
      <w:proofErr w:type="gramStart"/>
      <w:r>
        <w:rPr>
          <w:sz w:val="24"/>
          <w:szCs w:val="24"/>
        </w:rPr>
        <w:t>Low Income</w:t>
      </w:r>
      <w:proofErr w:type="gramEnd"/>
      <w:r>
        <w:rPr>
          <w:sz w:val="24"/>
          <w:szCs w:val="24"/>
        </w:rPr>
        <w:t xml:space="preserve"> Housing Tax Credit (LIHTC) per unit cost limits, HOME’s maximum per-unit subsidy amounts, and/or Public Housing Development Cost Limits (TDCs), it must include a description of how</w:t>
      </w:r>
      <w:r>
        <w:rPr>
          <w:sz w:val="24"/>
          <w:szCs w:val="24"/>
        </w:rPr>
        <w:t xml:space="preserve"> the HTF maximum per-unit development subsidy limits were established or a description of how existing limits developed for another program and being adopted for HTF meet the HTF requirements specified above.</w:t>
      </w:r>
    </w:p>
    <w:p w14:paraId="343E0FA5" w14:textId="77777777" w:rsidR="00217A61" w:rsidRDefault="00217A61">
      <w:pPr>
        <w:rPr>
          <w:rFonts w:cs="Arial"/>
        </w:rPr>
      </w:pPr>
    </w:p>
    <w:p w14:paraId="4BEB09C7" w14:textId="77777777" w:rsidR="00217A61" w:rsidRDefault="00217A61">
      <w:pPr>
        <w:rPr>
          <w:sz w:val="24"/>
          <w:szCs w:val="24"/>
        </w:rPr>
      </w:pPr>
    </w:p>
    <w:p w14:paraId="12E2F328" w14:textId="77777777" w:rsidR="00217A61" w:rsidRDefault="001C2695">
      <w:pPr>
        <w:rPr>
          <w:sz w:val="24"/>
          <w:szCs w:val="24"/>
        </w:rPr>
      </w:pPr>
      <w:r>
        <w:rPr>
          <w:sz w:val="24"/>
          <w:szCs w:val="24"/>
        </w:rPr>
        <w:t xml:space="preserve">8. </w:t>
      </w:r>
      <w:r>
        <w:rPr>
          <w:b/>
          <w:sz w:val="24"/>
          <w:szCs w:val="24"/>
        </w:rPr>
        <w:t>Rehabilitation Standards.</w:t>
      </w:r>
      <w:r>
        <w:rPr>
          <w:sz w:val="24"/>
          <w:szCs w:val="24"/>
        </w:rPr>
        <w:t xml:space="preserve">  The grantee mus</w:t>
      </w:r>
      <w:r>
        <w:rPr>
          <w:sz w:val="24"/>
          <w:szCs w:val="24"/>
        </w:rPr>
        <w:t>t establish rehabilitation standards for all HTF-assisted housing rehabilitation activities that set forth the requirements that the housing must meet upon project completion. The grantee’s description of its standards must be in sufficient detail to deter</w:t>
      </w:r>
      <w:r>
        <w:rPr>
          <w:sz w:val="24"/>
          <w:szCs w:val="24"/>
        </w:rPr>
        <w:t xml:space="preserve">mine the required rehabilitation work including methods and materials.  The standards may refer to applicable codes or they may establish requirements that exceed the minimum requirements of the codes.  The grantee must attach its rehabilitation standards </w:t>
      </w:r>
      <w:r>
        <w:rPr>
          <w:sz w:val="24"/>
          <w:szCs w:val="24"/>
        </w:rPr>
        <w:t xml:space="preserve">below.  </w:t>
      </w:r>
    </w:p>
    <w:p w14:paraId="27971389" w14:textId="77777777" w:rsidR="00217A61" w:rsidRDefault="001C2695">
      <w:pPr>
        <w:rPr>
          <w:sz w:val="24"/>
          <w:szCs w:val="24"/>
        </w:rPr>
      </w:pPr>
      <w:r>
        <w:rPr>
          <w:sz w:val="24"/>
          <w:szCs w:val="24"/>
        </w:rPr>
        <w:t>In addition, the rehabilitation standards must address each of the following: health and safety; major systems; lead-based paint; accessibility; disaster mitigation (where relevant); state and local codes, ordinances, and zoning requirements; Unif</w:t>
      </w:r>
      <w:r>
        <w:rPr>
          <w:sz w:val="24"/>
          <w:szCs w:val="24"/>
        </w:rPr>
        <w:t>orm Physical Condition Standards; and Capital Needs Assessments (if applicable).</w:t>
      </w:r>
    </w:p>
    <w:p w14:paraId="69D5259D" w14:textId="77777777" w:rsidR="00217A61" w:rsidRDefault="00217A61">
      <w:pPr>
        <w:rPr>
          <w:rFonts w:cs="Arial"/>
        </w:rPr>
      </w:pPr>
      <w:bookmarkStart w:id="11" w:name="_bookmark16"/>
      <w:bookmarkStart w:id="12" w:name="_bookmark17"/>
      <w:bookmarkStart w:id="13" w:name="VI.__Other_Requirements"/>
      <w:bookmarkStart w:id="14" w:name="_bookmark18"/>
      <w:bookmarkStart w:id="15" w:name="_bookmark19"/>
      <w:bookmarkStart w:id="16" w:name="_bookmark20"/>
      <w:bookmarkEnd w:id="11"/>
      <w:bookmarkEnd w:id="12"/>
      <w:bookmarkEnd w:id="13"/>
      <w:bookmarkEnd w:id="14"/>
      <w:bookmarkEnd w:id="15"/>
      <w:bookmarkEnd w:id="16"/>
    </w:p>
    <w:p w14:paraId="3110F6BD" w14:textId="77777777" w:rsidR="00217A61" w:rsidRDefault="00217A61">
      <w:pPr>
        <w:rPr>
          <w:sz w:val="24"/>
          <w:szCs w:val="24"/>
        </w:rPr>
      </w:pPr>
    </w:p>
    <w:p w14:paraId="72D6906A" w14:textId="77777777" w:rsidR="00217A61" w:rsidRDefault="001C2695">
      <w:pPr>
        <w:rPr>
          <w:sz w:val="24"/>
          <w:szCs w:val="24"/>
        </w:rPr>
      </w:pPr>
      <w:r>
        <w:rPr>
          <w:sz w:val="24"/>
          <w:szCs w:val="24"/>
        </w:rPr>
        <w:t xml:space="preserve">9. </w:t>
      </w:r>
      <w:r>
        <w:rPr>
          <w:b/>
          <w:sz w:val="24"/>
          <w:szCs w:val="24"/>
        </w:rPr>
        <w:t>Resale or Recapture Guidelines.</w:t>
      </w:r>
      <w:r>
        <w:rPr>
          <w:sz w:val="24"/>
          <w:szCs w:val="24"/>
        </w:rPr>
        <w:t xml:space="preserve">  Below, the grantee must enter (or attach) a description of the guidelines that will be used for resale or recapture of HTF funds when use</w:t>
      </w:r>
      <w:r>
        <w:rPr>
          <w:sz w:val="24"/>
          <w:szCs w:val="24"/>
        </w:rPr>
        <w:t>d to assist first-</w:t>
      </w:r>
      <w:r>
        <w:rPr>
          <w:sz w:val="24"/>
          <w:szCs w:val="24"/>
        </w:rPr>
        <w:lastRenderedPageBreak/>
        <w:t xml:space="preserve">time homebuyers.  If the grantee will not use HTF funds to assist first-time homebuyers, enter “N/A”.  </w:t>
      </w:r>
    </w:p>
    <w:p w14:paraId="2C6F37F5" w14:textId="77777777" w:rsidR="00217A61" w:rsidRDefault="00217A61">
      <w:pPr>
        <w:rPr>
          <w:sz w:val="24"/>
          <w:szCs w:val="24"/>
        </w:rPr>
      </w:pPr>
    </w:p>
    <w:p w14:paraId="41C278D0" w14:textId="77777777" w:rsidR="00217A61" w:rsidRDefault="00217A61">
      <w:pPr>
        <w:rPr>
          <w:bCs/>
          <w:sz w:val="24"/>
          <w:szCs w:val="24"/>
        </w:rPr>
      </w:pPr>
      <w:bookmarkStart w:id="17" w:name="_bookmark21"/>
      <w:bookmarkEnd w:id="17"/>
    </w:p>
    <w:p w14:paraId="5CA18FFD" w14:textId="77777777" w:rsidR="00217A61" w:rsidRDefault="001C2695">
      <w:pPr>
        <w:rPr>
          <w:sz w:val="24"/>
          <w:szCs w:val="24"/>
        </w:rPr>
      </w:pPr>
      <w:r>
        <w:rPr>
          <w:bCs/>
          <w:sz w:val="24"/>
          <w:szCs w:val="24"/>
        </w:rPr>
        <w:t xml:space="preserve">10. </w:t>
      </w:r>
      <w:bookmarkStart w:id="18" w:name="_bookmark22"/>
      <w:bookmarkEnd w:id="18"/>
      <w:r>
        <w:rPr>
          <w:b/>
          <w:sz w:val="24"/>
          <w:szCs w:val="24"/>
        </w:rPr>
        <w:t>HTF Affordable Homeownership Limits.</w:t>
      </w:r>
      <w:r>
        <w:rPr>
          <w:sz w:val="24"/>
          <w:szCs w:val="24"/>
        </w:rPr>
        <w:t xml:space="preserve">  If the grantee intends to use HTF funds for homebuyer assistance and does not use the HTF </w:t>
      </w:r>
      <w:r>
        <w:rPr>
          <w:sz w:val="24"/>
          <w:szCs w:val="24"/>
        </w:rPr>
        <w:t>affordable homeownership limits for the area provided by HUD, it must determine 95 percent of the median area purchase price and set forth the information in accordance with §93.305.  If the grantee will not use HTF funds to assist first-time homebuyers, e</w:t>
      </w:r>
      <w:r>
        <w:rPr>
          <w:sz w:val="24"/>
          <w:szCs w:val="24"/>
        </w:rPr>
        <w:t xml:space="preserve">nter “N/A”.    </w:t>
      </w:r>
    </w:p>
    <w:p w14:paraId="3D1DC13D" w14:textId="77777777" w:rsidR="00217A61" w:rsidRDefault="001C2695">
      <w:pPr>
        <w:rPr>
          <w:sz w:val="24"/>
          <w:szCs w:val="24"/>
        </w:rPr>
      </w:pPr>
      <w:r>
        <w:rPr>
          <w:sz w:val="24"/>
          <w:szCs w:val="24"/>
        </w:rPr>
        <w:sym w:font="Wingdings" w:char="F0FE"/>
      </w:r>
      <w:r>
        <w:rPr>
          <w:sz w:val="24"/>
          <w:szCs w:val="24"/>
        </w:rPr>
        <w:t xml:space="preserve"> The grantee has determined its own affordable homeownership limits using the methodology described in § 93.305(a)(2) and the limits are attached.</w:t>
      </w:r>
    </w:p>
    <w:p w14:paraId="398B2351" w14:textId="77777777" w:rsidR="00217A61" w:rsidRDefault="001C2695">
      <w:r>
        <w:rPr>
          <w:sz w:val="24"/>
          <w:szCs w:val="24"/>
        </w:rPr>
        <w:t>&lt;TYPE</w:t>
      </w:r>
      <w:proofErr w:type="gramStart"/>
      <w:r>
        <w:rPr>
          <w:sz w:val="24"/>
          <w:szCs w:val="24"/>
        </w:rPr>
        <w:t>=[</w:t>
      </w:r>
      <w:proofErr w:type="gramEnd"/>
      <w:r>
        <w:rPr>
          <w:sz w:val="24"/>
          <w:szCs w:val="24"/>
        </w:rPr>
        <w:t>section 3 end]&gt;</w:t>
      </w:r>
    </w:p>
    <w:p w14:paraId="29D6B251" w14:textId="77777777" w:rsidR="00217A61" w:rsidRDefault="00217A61"/>
    <w:p w14:paraId="2C83A9BD" w14:textId="77777777" w:rsidR="00217A61" w:rsidRDefault="00217A61">
      <w:pPr>
        <w:rPr>
          <w:sz w:val="24"/>
          <w:szCs w:val="24"/>
        </w:rPr>
      </w:pPr>
    </w:p>
    <w:p w14:paraId="5213891B" w14:textId="77777777" w:rsidR="00217A61" w:rsidRDefault="00217A61">
      <w:pPr>
        <w:rPr>
          <w:rFonts w:cs="Arial"/>
        </w:rPr>
      </w:pPr>
    </w:p>
    <w:p w14:paraId="527FBBA8" w14:textId="77777777" w:rsidR="00217A61" w:rsidRDefault="001C2695">
      <w:pPr>
        <w:rPr>
          <w:b/>
          <w:sz w:val="24"/>
          <w:szCs w:val="24"/>
        </w:rPr>
      </w:pPr>
      <w:r>
        <w:rPr>
          <w:sz w:val="24"/>
          <w:szCs w:val="24"/>
        </w:rPr>
        <w:t xml:space="preserve">11. </w:t>
      </w:r>
      <w:bookmarkStart w:id="19" w:name="_bookmark23"/>
      <w:bookmarkEnd w:id="19"/>
      <w:r>
        <w:rPr>
          <w:b/>
          <w:sz w:val="24"/>
          <w:szCs w:val="24"/>
        </w:rPr>
        <w:t xml:space="preserve">Grantee Limited Beneficiaries or Preferences.  </w:t>
      </w:r>
      <w:r>
        <w:rPr>
          <w:sz w:val="24"/>
          <w:szCs w:val="24"/>
        </w:rPr>
        <w:t>Describe how th</w:t>
      </w:r>
      <w:r>
        <w:rPr>
          <w:sz w:val="24"/>
          <w:szCs w:val="24"/>
        </w:rPr>
        <w:t>e grantee will limit the beneficiaries or give preferences to a particular segment of the extremely low- or very low-income population to serve unmet needs identified in its consolidated plan or annual action plan.  If the grantee will not limit the benefi</w:t>
      </w:r>
      <w:r>
        <w:rPr>
          <w:sz w:val="24"/>
          <w:szCs w:val="24"/>
        </w:rPr>
        <w:t>ciaries or give preferences to a particular segment of the extremely low- or very low-income population, enter “N/A.”</w:t>
      </w:r>
    </w:p>
    <w:p w14:paraId="094EF6A0" w14:textId="77777777" w:rsidR="00217A61" w:rsidRDefault="001C2695">
      <w:pPr>
        <w:rPr>
          <w:sz w:val="24"/>
          <w:szCs w:val="24"/>
        </w:rPr>
      </w:pPr>
      <w:r>
        <w:rPr>
          <w:sz w:val="24"/>
          <w:szCs w:val="24"/>
        </w:rPr>
        <w:t>Any limitation or preference must not violate nondiscrimination requirements in § 93.350, and the grantee must not limit or give preferenc</w:t>
      </w:r>
      <w:r>
        <w:rPr>
          <w:sz w:val="24"/>
          <w:szCs w:val="24"/>
        </w:rPr>
        <w:t>es to students.  The grantee may permit rental housing owners to limit tenants or give a preference in accordance with § 93.303(d)(3) only if such limitation or preference is described in the action plan.</w:t>
      </w:r>
    </w:p>
    <w:p w14:paraId="3557FC64" w14:textId="77777777" w:rsidR="00217A61" w:rsidRDefault="00217A61"/>
    <w:p w14:paraId="0B7A5EE0" w14:textId="77777777" w:rsidR="00217A61" w:rsidRDefault="001C2695">
      <w:pPr>
        <w:rPr>
          <w:sz w:val="24"/>
          <w:szCs w:val="24"/>
        </w:rPr>
      </w:pPr>
      <w:r>
        <w:rPr>
          <w:bCs/>
          <w:sz w:val="24"/>
          <w:szCs w:val="24"/>
        </w:rPr>
        <w:t xml:space="preserve">12. </w:t>
      </w:r>
      <w:r>
        <w:rPr>
          <w:b/>
          <w:bCs/>
          <w:sz w:val="24"/>
          <w:szCs w:val="24"/>
        </w:rPr>
        <w:t>Refinancing of Existing Debt.</w:t>
      </w:r>
      <w:r>
        <w:rPr>
          <w:bCs/>
          <w:sz w:val="24"/>
          <w:szCs w:val="24"/>
        </w:rPr>
        <w:t xml:space="preserve">  Enter or attach</w:t>
      </w:r>
      <w:r>
        <w:rPr>
          <w:bCs/>
          <w:sz w:val="24"/>
          <w:szCs w:val="24"/>
        </w:rPr>
        <w:t xml:space="preserve"> the </w:t>
      </w:r>
      <w:r>
        <w:rPr>
          <w:sz w:val="24"/>
          <w:szCs w:val="24"/>
        </w:rPr>
        <w:t xml:space="preserve">grantee’s </w:t>
      </w:r>
      <w:r>
        <w:rPr>
          <w:bCs/>
          <w:sz w:val="24"/>
          <w:szCs w:val="24"/>
        </w:rPr>
        <w:t xml:space="preserve">refinancing guidelines below.  The guidelines describe the conditions under which the </w:t>
      </w:r>
      <w:r>
        <w:rPr>
          <w:sz w:val="24"/>
          <w:szCs w:val="24"/>
        </w:rPr>
        <w:t xml:space="preserve">grantee </w:t>
      </w:r>
      <w:r>
        <w:rPr>
          <w:bCs/>
          <w:sz w:val="24"/>
          <w:szCs w:val="24"/>
        </w:rPr>
        <w:t xml:space="preserve">will refinance existing debt.  The </w:t>
      </w:r>
      <w:r>
        <w:rPr>
          <w:sz w:val="24"/>
          <w:szCs w:val="24"/>
        </w:rPr>
        <w:t xml:space="preserve">grantee’s </w:t>
      </w:r>
      <w:r>
        <w:rPr>
          <w:bCs/>
          <w:sz w:val="24"/>
          <w:szCs w:val="24"/>
        </w:rPr>
        <w:t>refinancing guidelines must, at minimum, demonstrate that rehabilitation is the primary eligible activ</w:t>
      </w:r>
      <w:r>
        <w:rPr>
          <w:bCs/>
          <w:sz w:val="24"/>
          <w:szCs w:val="24"/>
        </w:rPr>
        <w:t xml:space="preserve">ity and ensure that this requirement is met by establishing a minimum level of rehabilitation per unit or a required ratio between rehabilitation and refinancing.  </w:t>
      </w:r>
      <w:r>
        <w:rPr>
          <w:sz w:val="24"/>
          <w:szCs w:val="24"/>
        </w:rPr>
        <w:t xml:space="preserve">If the grantee </w:t>
      </w:r>
      <w:r>
        <w:rPr>
          <w:bCs/>
          <w:sz w:val="24"/>
          <w:szCs w:val="24"/>
        </w:rPr>
        <w:t>will not refinance existing debt</w:t>
      </w:r>
      <w:r>
        <w:rPr>
          <w:sz w:val="24"/>
          <w:szCs w:val="24"/>
        </w:rPr>
        <w:t>, enter “N/A.”</w:t>
      </w:r>
    </w:p>
    <w:p w14:paraId="709662FB" w14:textId="77777777" w:rsidR="00217A61" w:rsidRDefault="00217A61">
      <w:pPr>
        <w:rPr>
          <w:sz w:val="24"/>
          <w:szCs w:val="24"/>
        </w:rPr>
      </w:pPr>
    </w:p>
    <w:p w14:paraId="54602C72" w14:textId="77777777" w:rsidR="00217A61" w:rsidRDefault="001C2695">
      <w:pPr>
        <w:rPr>
          <w:b/>
          <w:sz w:val="24"/>
          <w:szCs w:val="24"/>
        </w:rPr>
      </w:pPr>
      <w:r>
        <w:rPr>
          <w:b/>
          <w:sz w:val="24"/>
          <w:szCs w:val="24"/>
        </w:rPr>
        <w:t xml:space="preserve">Discussion: </w:t>
      </w:r>
    </w:p>
    <w:p w14:paraId="0895F599" w14:textId="77777777" w:rsidR="00217A61" w:rsidRDefault="00217A61">
      <w:pPr>
        <w:rPr>
          <w:rFonts w:cs="Arial"/>
        </w:rPr>
      </w:pPr>
    </w:p>
    <w:p w14:paraId="7BFB9C6F" w14:textId="77777777" w:rsidR="00217A61" w:rsidRDefault="00217A61">
      <w:pPr>
        <w:rPr>
          <w:b/>
          <w:sz w:val="24"/>
          <w:szCs w:val="24"/>
        </w:rPr>
      </w:pPr>
    </w:p>
    <w:p w14:paraId="7EAD54D1" w14:textId="77777777" w:rsidR="00217A61" w:rsidRDefault="00217A61">
      <w:pPr>
        <w:keepNext/>
        <w:widowControl w:val="0"/>
        <w:spacing w:after="100" w:afterAutospacing="1" w:line="240" w:lineRule="auto"/>
        <w:rPr>
          <w:b/>
          <w:color w:val="000000" w:themeColor="text1"/>
          <w:sz w:val="24"/>
          <w:szCs w:val="24"/>
        </w:rPr>
      </w:pPr>
    </w:p>
    <w:p w14:paraId="5A9BD7ED" w14:textId="77777777" w:rsidR="00217A61" w:rsidRDefault="00217A61">
      <w:pPr>
        <w:rPr>
          <w:b/>
          <w:sz w:val="24"/>
          <w:szCs w:val="24"/>
        </w:rPr>
      </w:pPr>
    </w:p>
    <w:p w14:paraId="27B77EA2" w14:textId="77777777" w:rsidR="00217A61" w:rsidRDefault="00217A61">
      <w:pPr>
        <w:rPr>
          <w:b/>
          <w:sz w:val="24"/>
          <w:szCs w:val="24"/>
        </w:rPr>
      </w:pPr>
    </w:p>
    <w:p w14:paraId="4581D708" w14:textId="77777777" w:rsidR="00217A61" w:rsidRDefault="00217A61">
      <w:pPr>
        <w:rPr>
          <w:b/>
          <w:sz w:val="24"/>
          <w:szCs w:val="24"/>
        </w:rPr>
      </w:pPr>
    </w:p>
    <w:p w14:paraId="21232101" w14:textId="77777777" w:rsidR="00217A61" w:rsidRDefault="00217A61">
      <w:pPr>
        <w:rPr>
          <w:b/>
          <w:sz w:val="24"/>
          <w:szCs w:val="24"/>
        </w:rPr>
      </w:pPr>
    </w:p>
    <w:p w14:paraId="5BB5E7B2" w14:textId="77777777" w:rsidR="00217A61" w:rsidRDefault="00217A61">
      <w:pPr>
        <w:rPr>
          <w:rFonts w:cs="Arial"/>
        </w:rPr>
      </w:pPr>
    </w:p>
    <w:p w14:paraId="6C868AAD" w14:textId="77777777" w:rsidR="00217A61" w:rsidRDefault="001C2695">
      <w:pPr>
        <w:spacing w:after="0" w:line="240" w:lineRule="auto"/>
      </w:pPr>
      <w:r>
        <w:br w:type="page"/>
      </w:r>
    </w:p>
    <w:p w14:paraId="00830816" w14:textId="77777777" w:rsidR="00217A61" w:rsidRDefault="001C2695">
      <w:pPr>
        <w:rPr>
          <w:b/>
          <w:sz w:val="28"/>
          <w:szCs w:val="28"/>
        </w:rPr>
      </w:pPr>
      <w:r>
        <w:rPr>
          <w:b/>
          <w:sz w:val="28"/>
          <w:szCs w:val="28"/>
        </w:rPr>
        <w:lastRenderedPageBreak/>
        <w:t xml:space="preserve">Appendix - Alternate/Local Data Sources </w:t>
      </w:r>
    </w:p>
    <w:p w14:paraId="3DD9E392" w14:textId="77777777" w:rsidR="00217A61" w:rsidRDefault="00217A61">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gridCol w:w="9031"/>
      </w:tblGrid>
      <w:tr w:rsidR="00217A61" w14:paraId="45CAD97E" w14:textId="77777777">
        <w:trPr>
          <w:cantSplit/>
        </w:trPr>
        <w:tc>
          <w:tcPr>
            <w:tcW w:w="0" w:type="auto"/>
            <w:vMerge w:val="restart"/>
          </w:tcPr>
          <w:p w14:paraId="6AFC3EFD" w14:textId="77777777" w:rsidR="00217A61" w:rsidRDefault="001C2695">
            <w:r>
              <w:rPr>
                <w:b/>
              </w:rPr>
              <w:t>1</w:t>
            </w:r>
          </w:p>
        </w:tc>
        <w:tc>
          <w:tcPr>
            <w:tcW w:w="0" w:type="auto"/>
          </w:tcPr>
          <w:p w14:paraId="6A096B3D" w14:textId="77777777" w:rsidR="00217A61" w:rsidRDefault="001C2695">
            <w:pPr>
              <w:keepNext/>
              <w:spacing w:before="100" w:after="0"/>
              <w:rPr>
                <w:rFonts w:asciiTheme="minorHAnsi" w:hAnsiTheme="minorHAnsi"/>
                <w:b/>
              </w:rPr>
            </w:pPr>
            <w:r>
              <w:rPr>
                <w:rFonts w:asciiTheme="minorHAnsi" w:hAnsiTheme="minorHAnsi"/>
                <w:b/>
                <w:bCs/>
              </w:rPr>
              <w:t>Data Source Name</w:t>
            </w:r>
          </w:p>
          <w:p w14:paraId="066402C4" w14:textId="77777777" w:rsidR="00217A61" w:rsidRDefault="001C2695">
            <w:pPr>
              <w:spacing w:before="100" w:after="0"/>
            </w:pPr>
            <w:r>
              <w:rPr>
                <w:color w:val="000000"/>
              </w:rPr>
              <w:t xml:space="preserve">HOPWA 2014 CAPER and HOPWA Beneficiary </w:t>
            </w:r>
            <w:proofErr w:type="spellStart"/>
            <w:r>
              <w:rPr>
                <w:color w:val="000000"/>
              </w:rPr>
              <w:t>Verificatio</w:t>
            </w:r>
            <w:proofErr w:type="spellEnd"/>
          </w:p>
        </w:tc>
      </w:tr>
      <w:tr w:rsidR="00217A61" w14:paraId="5D6F46D9" w14:textId="77777777">
        <w:trPr>
          <w:cantSplit/>
        </w:trPr>
        <w:tc>
          <w:tcPr>
            <w:tcW w:w="0" w:type="auto"/>
            <w:vMerge/>
          </w:tcPr>
          <w:p w14:paraId="12068AC5" w14:textId="77777777" w:rsidR="00217A61" w:rsidRDefault="00217A61"/>
        </w:tc>
        <w:tc>
          <w:tcPr>
            <w:tcW w:w="0" w:type="auto"/>
          </w:tcPr>
          <w:p w14:paraId="200672CC" w14:textId="77777777" w:rsidR="00217A61" w:rsidRDefault="001C2695">
            <w:pPr>
              <w:keepNext/>
              <w:spacing w:before="100" w:after="0"/>
              <w:rPr>
                <w:rFonts w:asciiTheme="minorHAnsi" w:hAnsiTheme="minorHAnsi"/>
                <w:b/>
              </w:rPr>
            </w:pPr>
            <w:r>
              <w:rPr>
                <w:rFonts w:asciiTheme="minorHAnsi" w:hAnsiTheme="minorHAnsi"/>
                <w:b/>
              </w:rPr>
              <w:t>List the name of the organization or individual who originated the data set.</w:t>
            </w:r>
          </w:p>
          <w:p w14:paraId="326EBDAC" w14:textId="77777777" w:rsidR="00217A61" w:rsidRDefault="001C2695">
            <w:pPr>
              <w:spacing w:before="100" w:after="0"/>
            </w:pPr>
            <w:r>
              <w:rPr>
                <w:color w:val="000000"/>
              </w:rPr>
              <w:t xml:space="preserve"> </w:t>
            </w:r>
          </w:p>
        </w:tc>
      </w:tr>
      <w:tr w:rsidR="00217A61" w14:paraId="6FD3CD5B" w14:textId="77777777">
        <w:trPr>
          <w:cantSplit/>
        </w:trPr>
        <w:tc>
          <w:tcPr>
            <w:tcW w:w="0" w:type="auto"/>
            <w:vMerge/>
          </w:tcPr>
          <w:p w14:paraId="10FDEB18" w14:textId="77777777" w:rsidR="00217A61" w:rsidRDefault="00217A61"/>
        </w:tc>
        <w:tc>
          <w:tcPr>
            <w:tcW w:w="0" w:type="auto"/>
          </w:tcPr>
          <w:p w14:paraId="7830BFA6" w14:textId="77777777" w:rsidR="00217A61" w:rsidRDefault="001C2695">
            <w:pPr>
              <w:keepNext/>
              <w:spacing w:before="100" w:after="0"/>
              <w:rPr>
                <w:rFonts w:asciiTheme="minorHAnsi" w:hAnsiTheme="minorHAnsi"/>
                <w:b/>
              </w:rPr>
            </w:pPr>
            <w:r>
              <w:rPr>
                <w:rFonts w:asciiTheme="minorHAnsi" w:hAnsiTheme="minorHAnsi"/>
                <w:b/>
              </w:rPr>
              <w:t xml:space="preserve">Provide </w:t>
            </w:r>
            <w:proofErr w:type="gramStart"/>
            <w:r>
              <w:rPr>
                <w:rFonts w:asciiTheme="minorHAnsi" w:hAnsiTheme="minorHAnsi"/>
                <w:b/>
              </w:rPr>
              <w:t>a brief summary</w:t>
            </w:r>
            <w:proofErr w:type="gramEnd"/>
            <w:r>
              <w:rPr>
                <w:rFonts w:asciiTheme="minorHAnsi" w:hAnsiTheme="minorHAnsi"/>
                <w:b/>
              </w:rPr>
              <w:t xml:space="preserve"> of the data set.</w:t>
            </w:r>
          </w:p>
          <w:p w14:paraId="01352B89" w14:textId="77777777" w:rsidR="00217A61" w:rsidRDefault="001C2695">
            <w:pPr>
              <w:spacing w:before="100" w:after="0"/>
            </w:pPr>
            <w:r>
              <w:rPr>
                <w:color w:val="000000"/>
              </w:rPr>
              <w:t xml:space="preserve"> </w:t>
            </w:r>
          </w:p>
        </w:tc>
      </w:tr>
      <w:tr w:rsidR="00217A61" w14:paraId="5AC3D4D3" w14:textId="77777777">
        <w:trPr>
          <w:cantSplit/>
        </w:trPr>
        <w:tc>
          <w:tcPr>
            <w:tcW w:w="0" w:type="auto"/>
            <w:vMerge/>
          </w:tcPr>
          <w:p w14:paraId="2B7A0ACE" w14:textId="77777777" w:rsidR="00217A61" w:rsidRDefault="00217A61"/>
        </w:tc>
        <w:tc>
          <w:tcPr>
            <w:tcW w:w="0" w:type="auto"/>
          </w:tcPr>
          <w:p w14:paraId="03FD51B0" w14:textId="77777777" w:rsidR="00217A61" w:rsidRDefault="001C2695">
            <w:pPr>
              <w:keepNext/>
              <w:spacing w:before="100" w:after="0"/>
              <w:rPr>
                <w:rFonts w:asciiTheme="minorHAnsi" w:hAnsiTheme="minorHAnsi"/>
                <w:b/>
              </w:rPr>
            </w:pPr>
            <w:r>
              <w:rPr>
                <w:rFonts w:asciiTheme="minorHAnsi" w:hAnsiTheme="minorHAnsi"/>
                <w:b/>
                <w:color w:val="000033"/>
              </w:rPr>
              <w:t xml:space="preserve">What was the </w:t>
            </w:r>
            <w:r>
              <w:rPr>
                <w:rFonts w:asciiTheme="minorHAnsi" w:hAnsiTheme="minorHAnsi"/>
                <w:b/>
                <w:color w:val="000033"/>
              </w:rPr>
              <w:t>purpose for developing this data set?</w:t>
            </w:r>
          </w:p>
          <w:p w14:paraId="2833800A" w14:textId="77777777" w:rsidR="00217A61" w:rsidRDefault="001C2695">
            <w:pPr>
              <w:spacing w:before="100" w:after="0"/>
            </w:pPr>
            <w:r>
              <w:rPr>
                <w:color w:val="000000"/>
              </w:rPr>
              <w:t xml:space="preserve"> </w:t>
            </w:r>
          </w:p>
        </w:tc>
      </w:tr>
      <w:tr w:rsidR="00217A61" w14:paraId="2F64609B" w14:textId="77777777">
        <w:trPr>
          <w:cantSplit/>
        </w:trPr>
        <w:tc>
          <w:tcPr>
            <w:tcW w:w="0" w:type="auto"/>
            <w:vMerge/>
          </w:tcPr>
          <w:p w14:paraId="25C890A6" w14:textId="77777777" w:rsidR="00217A61" w:rsidRDefault="00217A61"/>
        </w:tc>
        <w:tc>
          <w:tcPr>
            <w:tcW w:w="0" w:type="auto"/>
          </w:tcPr>
          <w:p w14:paraId="1A61FCA9" w14:textId="77777777" w:rsidR="00217A61" w:rsidRDefault="001C2695">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14:paraId="3C269664" w14:textId="77777777" w:rsidR="00217A61" w:rsidRDefault="001C2695">
            <w:pPr>
              <w:spacing w:before="100" w:after="0"/>
            </w:pPr>
            <w:r>
              <w:rPr>
                <w:color w:val="000000"/>
              </w:rPr>
              <w:t xml:space="preserve"> </w:t>
            </w:r>
          </w:p>
        </w:tc>
      </w:tr>
      <w:tr w:rsidR="00217A61" w14:paraId="1E45FA0F" w14:textId="77777777">
        <w:trPr>
          <w:cantSplit/>
        </w:trPr>
        <w:tc>
          <w:tcPr>
            <w:tcW w:w="0" w:type="auto"/>
            <w:vMerge/>
          </w:tcPr>
          <w:p w14:paraId="38DAF1D3" w14:textId="77777777" w:rsidR="00217A61" w:rsidRDefault="00217A61"/>
        </w:tc>
        <w:tc>
          <w:tcPr>
            <w:tcW w:w="0" w:type="auto"/>
          </w:tcPr>
          <w:p w14:paraId="427C0B7C" w14:textId="77777777" w:rsidR="00217A61" w:rsidRDefault="001C2695">
            <w:pPr>
              <w:keepNext/>
              <w:spacing w:before="100" w:after="0"/>
              <w:rPr>
                <w:rFonts w:asciiTheme="minorHAnsi" w:hAnsiTheme="minorHAnsi"/>
                <w:b/>
              </w:rPr>
            </w:pPr>
            <w:r>
              <w:rPr>
                <w:rFonts w:asciiTheme="minorHAnsi" w:hAnsiTheme="minorHAnsi"/>
                <w:b/>
                <w:color w:val="000033"/>
              </w:rPr>
              <w:t xml:space="preserve">What </w:t>
            </w:r>
            <w:proofErr w:type="gramStart"/>
            <w:r>
              <w:rPr>
                <w:rFonts w:asciiTheme="minorHAnsi" w:hAnsiTheme="minorHAnsi"/>
                <w:b/>
                <w:color w:val="000033"/>
              </w:rPr>
              <w:t>time period</w:t>
            </w:r>
            <w:proofErr w:type="gramEnd"/>
            <w:r>
              <w:rPr>
                <w:rFonts w:asciiTheme="minorHAnsi" w:hAnsiTheme="minorHAnsi"/>
                <w:b/>
                <w:color w:val="000033"/>
              </w:rPr>
              <w:t xml:space="preserve"> (provide the year, and optionally month, or </w:t>
            </w:r>
            <w:r>
              <w:rPr>
                <w:rFonts w:asciiTheme="minorHAnsi" w:hAnsiTheme="minorHAnsi"/>
                <w:b/>
                <w:color w:val="000033"/>
              </w:rPr>
              <w:t>month and day) is covered by this data set?</w:t>
            </w:r>
          </w:p>
          <w:p w14:paraId="2BD17A1A" w14:textId="77777777" w:rsidR="00217A61" w:rsidRDefault="001C2695">
            <w:pPr>
              <w:spacing w:before="100" w:after="0"/>
            </w:pPr>
            <w:r>
              <w:rPr>
                <w:color w:val="000000"/>
              </w:rPr>
              <w:t xml:space="preserve"> </w:t>
            </w:r>
          </w:p>
        </w:tc>
      </w:tr>
      <w:tr w:rsidR="00217A61" w14:paraId="275ADDC8" w14:textId="77777777">
        <w:trPr>
          <w:cantSplit/>
        </w:trPr>
        <w:tc>
          <w:tcPr>
            <w:tcW w:w="0" w:type="auto"/>
            <w:vMerge/>
          </w:tcPr>
          <w:p w14:paraId="7D96D747" w14:textId="77777777" w:rsidR="00217A61" w:rsidRDefault="00217A61"/>
        </w:tc>
        <w:tc>
          <w:tcPr>
            <w:tcW w:w="0" w:type="auto"/>
          </w:tcPr>
          <w:p w14:paraId="1ECDCA16" w14:textId="77777777" w:rsidR="00217A61" w:rsidRDefault="001C2695">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14:paraId="57CE7B3E" w14:textId="77777777" w:rsidR="00217A61" w:rsidRDefault="001C2695">
            <w:pPr>
              <w:spacing w:before="100" w:after="0"/>
            </w:pPr>
            <w:r>
              <w:rPr>
                <w:color w:val="000000"/>
              </w:rPr>
              <w:t xml:space="preserve"> </w:t>
            </w:r>
          </w:p>
        </w:tc>
      </w:tr>
      <w:tr w:rsidR="00217A61" w14:paraId="37FA38EA" w14:textId="77777777">
        <w:trPr>
          <w:cantSplit/>
        </w:trPr>
        <w:tc>
          <w:tcPr>
            <w:tcW w:w="0" w:type="auto"/>
            <w:vMerge w:val="restart"/>
          </w:tcPr>
          <w:p w14:paraId="63FAF67B" w14:textId="77777777" w:rsidR="00217A61" w:rsidRDefault="001C2695">
            <w:r>
              <w:rPr>
                <w:b/>
              </w:rPr>
              <w:t>2</w:t>
            </w:r>
          </w:p>
        </w:tc>
        <w:tc>
          <w:tcPr>
            <w:tcW w:w="0" w:type="auto"/>
          </w:tcPr>
          <w:p w14:paraId="2DCEA8B2" w14:textId="77777777" w:rsidR="00217A61" w:rsidRDefault="001C2695">
            <w:pPr>
              <w:keepNext/>
              <w:spacing w:before="100" w:after="0"/>
              <w:rPr>
                <w:rFonts w:asciiTheme="minorHAnsi" w:hAnsiTheme="minorHAnsi"/>
                <w:b/>
              </w:rPr>
            </w:pPr>
            <w:r>
              <w:rPr>
                <w:rFonts w:asciiTheme="minorHAnsi" w:hAnsiTheme="minorHAnsi"/>
                <w:b/>
                <w:bCs/>
              </w:rPr>
              <w:t>Data Source Name</w:t>
            </w:r>
          </w:p>
          <w:p w14:paraId="6C2A9099" w14:textId="77777777" w:rsidR="00217A61" w:rsidRDefault="001C2695">
            <w:pPr>
              <w:spacing w:before="100" w:after="0"/>
            </w:pPr>
            <w:r>
              <w:rPr>
                <w:color w:val="000000"/>
              </w:rPr>
              <w:t>2014 Housing Inventory Count Report</w:t>
            </w:r>
          </w:p>
        </w:tc>
      </w:tr>
      <w:tr w:rsidR="00217A61" w14:paraId="4FDE9037" w14:textId="77777777">
        <w:trPr>
          <w:cantSplit/>
        </w:trPr>
        <w:tc>
          <w:tcPr>
            <w:tcW w:w="0" w:type="auto"/>
            <w:vMerge/>
          </w:tcPr>
          <w:p w14:paraId="15664240" w14:textId="77777777" w:rsidR="00217A61" w:rsidRDefault="00217A61"/>
        </w:tc>
        <w:tc>
          <w:tcPr>
            <w:tcW w:w="0" w:type="auto"/>
          </w:tcPr>
          <w:p w14:paraId="0F08518B" w14:textId="77777777" w:rsidR="00217A61" w:rsidRDefault="001C2695">
            <w:pPr>
              <w:keepNext/>
              <w:spacing w:before="100" w:after="0"/>
              <w:rPr>
                <w:rFonts w:asciiTheme="minorHAnsi" w:hAnsiTheme="minorHAnsi"/>
                <w:b/>
              </w:rPr>
            </w:pPr>
            <w:r>
              <w:rPr>
                <w:rFonts w:asciiTheme="minorHAnsi" w:hAnsiTheme="minorHAnsi"/>
                <w:b/>
              </w:rPr>
              <w:t xml:space="preserve">List the name of the organization or individual who originated the data </w:t>
            </w:r>
            <w:r>
              <w:rPr>
                <w:rFonts w:asciiTheme="minorHAnsi" w:hAnsiTheme="minorHAnsi"/>
                <w:b/>
              </w:rPr>
              <w:t>set.</w:t>
            </w:r>
          </w:p>
          <w:p w14:paraId="4D2CEF20" w14:textId="77777777" w:rsidR="00217A61" w:rsidRDefault="001C2695">
            <w:pPr>
              <w:spacing w:before="100" w:after="0"/>
            </w:pPr>
            <w:r>
              <w:rPr>
                <w:color w:val="000000"/>
              </w:rPr>
              <w:t>HUD's Continuum of Care Homeless Assistance Programs </w:t>
            </w:r>
          </w:p>
        </w:tc>
      </w:tr>
      <w:tr w:rsidR="00217A61" w14:paraId="7EF738D1" w14:textId="77777777">
        <w:trPr>
          <w:cantSplit/>
        </w:trPr>
        <w:tc>
          <w:tcPr>
            <w:tcW w:w="0" w:type="auto"/>
            <w:vMerge/>
          </w:tcPr>
          <w:p w14:paraId="284F75E8" w14:textId="77777777" w:rsidR="00217A61" w:rsidRDefault="00217A61"/>
        </w:tc>
        <w:tc>
          <w:tcPr>
            <w:tcW w:w="0" w:type="auto"/>
          </w:tcPr>
          <w:p w14:paraId="0B6B1CA7" w14:textId="77777777" w:rsidR="00217A61" w:rsidRDefault="001C2695">
            <w:pPr>
              <w:keepNext/>
              <w:spacing w:before="100" w:after="0"/>
              <w:rPr>
                <w:rFonts w:asciiTheme="minorHAnsi" w:hAnsiTheme="minorHAnsi"/>
                <w:b/>
              </w:rPr>
            </w:pPr>
            <w:r>
              <w:rPr>
                <w:rFonts w:asciiTheme="minorHAnsi" w:hAnsiTheme="minorHAnsi"/>
                <w:b/>
              </w:rPr>
              <w:t xml:space="preserve">Provide </w:t>
            </w:r>
            <w:proofErr w:type="gramStart"/>
            <w:r>
              <w:rPr>
                <w:rFonts w:asciiTheme="minorHAnsi" w:hAnsiTheme="minorHAnsi"/>
                <w:b/>
              </w:rPr>
              <w:t>a brief summary</w:t>
            </w:r>
            <w:proofErr w:type="gramEnd"/>
            <w:r>
              <w:rPr>
                <w:rFonts w:asciiTheme="minorHAnsi" w:hAnsiTheme="minorHAnsi"/>
                <w:b/>
              </w:rPr>
              <w:t xml:space="preserve"> of the data set.</w:t>
            </w:r>
          </w:p>
          <w:p w14:paraId="2736DE34" w14:textId="77777777" w:rsidR="00217A61" w:rsidRDefault="001C2695">
            <w:pPr>
              <w:spacing w:before="100" w:after="0"/>
            </w:pPr>
            <w:r>
              <w:rPr>
                <w:color w:val="000000"/>
              </w:rPr>
              <w:t xml:space="preserve"> </w:t>
            </w:r>
          </w:p>
        </w:tc>
      </w:tr>
      <w:tr w:rsidR="00217A61" w14:paraId="4249C6F0" w14:textId="77777777">
        <w:trPr>
          <w:cantSplit/>
        </w:trPr>
        <w:tc>
          <w:tcPr>
            <w:tcW w:w="0" w:type="auto"/>
            <w:vMerge/>
          </w:tcPr>
          <w:p w14:paraId="6D4BB883" w14:textId="77777777" w:rsidR="00217A61" w:rsidRDefault="00217A61"/>
        </w:tc>
        <w:tc>
          <w:tcPr>
            <w:tcW w:w="0" w:type="auto"/>
          </w:tcPr>
          <w:p w14:paraId="0CF26CE8" w14:textId="77777777" w:rsidR="00217A61" w:rsidRDefault="001C2695">
            <w:pPr>
              <w:keepNext/>
              <w:spacing w:before="100" w:after="0"/>
              <w:rPr>
                <w:rFonts w:asciiTheme="minorHAnsi" w:hAnsiTheme="minorHAnsi"/>
                <w:b/>
              </w:rPr>
            </w:pPr>
            <w:r>
              <w:rPr>
                <w:rFonts w:asciiTheme="minorHAnsi" w:hAnsiTheme="minorHAnsi"/>
                <w:b/>
                <w:color w:val="000033"/>
              </w:rPr>
              <w:t>What was the purpose for developing this data set?</w:t>
            </w:r>
          </w:p>
          <w:p w14:paraId="4B48C8BD" w14:textId="77777777" w:rsidR="00217A61" w:rsidRDefault="001C2695">
            <w:pPr>
              <w:spacing w:before="100" w:after="0"/>
            </w:pPr>
            <w:r>
              <w:rPr>
                <w:color w:val="000000"/>
              </w:rPr>
              <w:t xml:space="preserve"> </w:t>
            </w:r>
          </w:p>
        </w:tc>
      </w:tr>
      <w:tr w:rsidR="00217A61" w14:paraId="1362057D" w14:textId="77777777">
        <w:trPr>
          <w:cantSplit/>
        </w:trPr>
        <w:tc>
          <w:tcPr>
            <w:tcW w:w="0" w:type="auto"/>
            <w:vMerge/>
          </w:tcPr>
          <w:p w14:paraId="2361BB95" w14:textId="77777777" w:rsidR="00217A61" w:rsidRDefault="00217A61"/>
        </w:tc>
        <w:tc>
          <w:tcPr>
            <w:tcW w:w="0" w:type="auto"/>
          </w:tcPr>
          <w:p w14:paraId="77660729" w14:textId="77777777" w:rsidR="00217A61" w:rsidRDefault="001C2695">
            <w:pPr>
              <w:keepNext/>
              <w:spacing w:before="100" w:after="0"/>
              <w:rPr>
                <w:rFonts w:asciiTheme="minorHAnsi" w:hAnsiTheme="minorHAnsi"/>
                <w:b/>
              </w:rPr>
            </w:pPr>
            <w:r>
              <w:rPr>
                <w:rFonts w:asciiTheme="minorHAnsi" w:hAnsiTheme="minorHAnsi"/>
                <w:b/>
                <w:color w:val="000033"/>
              </w:rPr>
              <w:t>Provide the year (and optionally month, or month and day) for when the data was collected.</w:t>
            </w:r>
          </w:p>
          <w:p w14:paraId="202DAD67" w14:textId="77777777" w:rsidR="00217A61" w:rsidRDefault="001C2695">
            <w:pPr>
              <w:spacing w:before="100" w:after="0"/>
            </w:pPr>
            <w:r>
              <w:rPr>
                <w:color w:val="000000"/>
              </w:rPr>
              <w:t xml:space="preserve"> </w:t>
            </w:r>
          </w:p>
        </w:tc>
      </w:tr>
      <w:tr w:rsidR="00217A61" w14:paraId="1737C6E4" w14:textId="77777777">
        <w:trPr>
          <w:cantSplit/>
        </w:trPr>
        <w:tc>
          <w:tcPr>
            <w:tcW w:w="0" w:type="auto"/>
            <w:vMerge/>
          </w:tcPr>
          <w:p w14:paraId="32794150" w14:textId="77777777" w:rsidR="00217A61" w:rsidRDefault="00217A61"/>
        </w:tc>
        <w:tc>
          <w:tcPr>
            <w:tcW w:w="0" w:type="auto"/>
          </w:tcPr>
          <w:p w14:paraId="70CB56AD" w14:textId="77777777" w:rsidR="00217A61" w:rsidRDefault="001C2695">
            <w:pPr>
              <w:keepNext/>
              <w:spacing w:before="100" w:after="0"/>
              <w:rPr>
                <w:rFonts w:asciiTheme="minorHAnsi" w:hAnsiTheme="minorHAnsi"/>
                <w:b/>
              </w:rPr>
            </w:pPr>
            <w:r>
              <w:rPr>
                <w:rFonts w:asciiTheme="minorHAnsi" w:hAnsiTheme="minorHAnsi"/>
                <w:b/>
              </w:rPr>
              <w:t>Briefly describe the methodology for the data collection.</w:t>
            </w:r>
          </w:p>
          <w:p w14:paraId="43C92907" w14:textId="77777777" w:rsidR="00217A61" w:rsidRDefault="001C2695">
            <w:pPr>
              <w:spacing w:before="100" w:after="0"/>
            </w:pPr>
            <w:r>
              <w:rPr>
                <w:color w:val="000000"/>
              </w:rPr>
              <w:t xml:space="preserve"> </w:t>
            </w:r>
          </w:p>
        </w:tc>
      </w:tr>
      <w:tr w:rsidR="00217A61" w14:paraId="47434D91" w14:textId="77777777">
        <w:trPr>
          <w:cantSplit/>
        </w:trPr>
        <w:tc>
          <w:tcPr>
            <w:tcW w:w="0" w:type="auto"/>
            <w:vMerge/>
          </w:tcPr>
          <w:p w14:paraId="51D5C808" w14:textId="77777777" w:rsidR="00217A61" w:rsidRDefault="00217A61"/>
        </w:tc>
        <w:tc>
          <w:tcPr>
            <w:tcW w:w="0" w:type="auto"/>
          </w:tcPr>
          <w:p w14:paraId="1167C562" w14:textId="77777777" w:rsidR="00217A61" w:rsidRDefault="001C2695">
            <w:pPr>
              <w:keepNext/>
              <w:spacing w:before="100" w:after="0"/>
              <w:rPr>
                <w:rFonts w:asciiTheme="minorHAnsi" w:hAnsiTheme="minorHAnsi"/>
                <w:b/>
              </w:rPr>
            </w:pPr>
            <w:r>
              <w:rPr>
                <w:rFonts w:asciiTheme="minorHAnsi" w:hAnsiTheme="minorHAnsi"/>
                <w:b/>
                <w:color w:val="000033"/>
              </w:rPr>
              <w:t>Describe the total population from which the sample was taken.</w:t>
            </w:r>
          </w:p>
          <w:p w14:paraId="550BF859" w14:textId="77777777" w:rsidR="00217A61" w:rsidRDefault="001C2695">
            <w:pPr>
              <w:spacing w:before="100" w:after="0"/>
            </w:pPr>
            <w:r>
              <w:rPr>
                <w:color w:val="000000"/>
              </w:rPr>
              <w:t xml:space="preserve"> </w:t>
            </w:r>
          </w:p>
        </w:tc>
      </w:tr>
      <w:tr w:rsidR="00217A61" w14:paraId="790B610E" w14:textId="77777777">
        <w:trPr>
          <w:cantSplit/>
        </w:trPr>
        <w:tc>
          <w:tcPr>
            <w:tcW w:w="0" w:type="auto"/>
            <w:vMerge/>
          </w:tcPr>
          <w:p w14:paraId="7C038857" w14:textId="77777777" w:rsidR="00217A61" w:rsidRDefault="00217A61"/>
        </w:tc>
        <w:tc>
          <w:tcPr>
            <w:tcW w:w="0" w:type="auto"/>
          </w:tcPr>
          <w:p w14:paraId="2E927B8D" w14:textId="77777777" w:rsidR="00217A61" w:rsidRDefault="001C2695">
            <w:pPr>
              <w:keepNext/>
              <w:spacing w:before="100" w:after="0"/>
              <w:rPr>
                <w:rFonts w:asciiTheme="minorHAnsi" w:hAnsiTheme="minorHAnsi"/>
                <w:b/>
                <w:color w:val="000033"/>
              </w:rPr>
            </w:pPr>
            <w:r>
              <w:rPr>
                <w:rFonts w:asciiTheme="minorHAnsi" w:hAnsiTheme="minorHAnsi"/>
                <w:b/>
                <w:color w:val="000033"/>
              </w:rPr>
              <w:t xml:space="preserve">Describe the demographics of the respondents or characteristics of the unit of measure, and the number of </w:t>
            </w:r>
            <w:r>
              <w:rPr>
                <w:rFonts w:asciiTheme="minorHAnsi" w:hAnsiTheme="minorHAnsi"/>
                <w:b/>
                <w:color w:val="000033"/>
              </w:rPr>
              <w:t>respondents or units surveyed.</w:t>
            </w:r>
          </w:p>
          <w:p w14:paraId="449A9322" w14:textId="77777777" w:rsidR="00217A61" w:rsidRDefault="001C2695">
            <w:pPr>
              <w:spacing w:before="100" w:after="0"/>
            </w:pPr>
            <w:r>
              <w:rPr>
                <w:color w:val="000000"/>
              </w:rPr>
              <w:t xml:space="preserve"> </w:t>
            </w:r>
          </w:p>
        </w:tc>
      </w:tr>
      <w:tr w:rsidR="00217A61" w14:paraId="0059967E" w14:textId="77777777">
        <w:trPr>
          <w:cantSplit/>
        </w:trPr>
        <w:tc>
          <w:tcPr>
            <w:tcW w:w="0" w:type="auto"/>
            <w:vMerge w:val="restart"/>
          </w:tcPr>
          <w:p w14:paraId="449750E5" w14:textId="77777777" w:rsidR="00217A61" w:rsidRDefault="001C2695">
            <w:r>
              <w:rPr>
                <w:b/>
              </w:rPr>
              <w:t>3</w:t>
            </w:r>
          </w:p>
        </w:tc>
        <w:tc>
          <w:tcPr>
            <w:tcW w:w="0" w:type="auto"/>
          </w:tcPr>
          <w:p w14:paraId="7C072FF0" w14:textId="77777777" w:rsidR="00217A61" w:rsidRDefault="001C2695">
            <w:pPr>
              <w:keepNext/>
              <w:spacing w:before="100" w:after="0"/>
              <w:rPr>
                <w:rFonts w:asciiTheme="minorHAnsi" w:hAnsiTheme="minorHAnsi"/>
                <w:b/>
              </w:rPr>
            </w:pPr>
            <w:r>
              <w:rPr>
                <w:rFonts w:asciiTheme="minorHAnsi" w:hAnsiTheme="minorHAnsi"/>
                <w:b/>
                <w:bCs/>
              </w:rPr>
              <w:t>Data Source Name</w:t>
            </w:r>
          </w:p>
          <w:p w14:paraId="3AC706B8" w14:textId="77777777" w:rsidR="00217A61" w:rsidRDefault="001C2695">
            <w:pPr>
              <w:spacing w:before="100" w:after="0"/>
            </w:pPr>
            <w:r>
              <w:rPr>
                <w:color w:val="000000"/>
              </w:rPr>
              <w:t>2014 - 2018 ACS</w:t>
            </w:r>
          </w:p>
        </w:tc>
      </w:tr>
      <w:tr w:rsidR="00217A61" w14:paraId="1B106F37" w14:textId="77777777">
        <w:trPr>
          <w:cantSplit/>
        </w:trPr>
        <w:tc>
          <w:tcPr>
            <w:tcW w:w="0" w:type="auto"/>
            <w:vMerge/>
          </w:tcPr>
          <w:p w14:paraId="07EF047E" w14:textId="77777777" w:rsidR="00217A61" w:rsidRDefault="00217A61"/>
        </w:tc>
        <w:tc>
          <w:tcPr>
            <w:tcW w:w="0" w:type="auto"/>
          </w:tcPr>
          <w:p w14:paraId="778C0966" w14:textId="77777777" w:rsidR="00217A61" w:rsidRDefault="001C2695">
            <w:pPr>
              <w:keepNext/>
              <w:spacing w:before="100" w:after="0"/>
              <w:rPr>
                <w:rFonts w:asciiTheme="minorHAnsi" w:hAnsiTheme="minorHAnsi"/>
                <w:b/>
              </w:rPr>
            </w:pPr>
            <w:r>
              <w:rPr>
                <w:rFonts w:asciiTheme="minorHAnsi" w:hAnsiTheme="minorHAnsi"/>
                <w:b/>
              </w:rPr>
              <w:t>List the name of the organization or individual who originated the data set.</w:t>
            </w:r>
          </w:p>
          <w:p w14:paraId="52517C0A" w14:textId="77777777" w:rsidR="00217A61" w:rsidRDefault="001C2695">
            <w:pPr>
              <w:spacing w:before="100" w:after="0"/>
            </w:pPr>
            <w:r>
              <w:rPr>
                <w:color w:val="000000"/>
              </w:rPr>
              <w:t>U.S. Census Bureau</w:t>
            </w:r>
          </w:p>
        </w:tc>
      </w:tr>
      <w:tr w:rsidR="00217A61" w14:paraId="72D83373" w14:textId="77777777">
        <w:trPr>
          <w:cantSplit/>
        </w:trPr>
        <w:tc>
          <w:tcPr>
            <w:tcW w:w="0" w:type="auto"/>
            <w:vMerge/>
          </w:tcPr>
          <w:p w14:paraId="608753D1" w14:textId="77777777" w:rsidR="00217A61" w:rsidRDefault="00217A61"/>
        </w:tc>
        <w:tc>
          <w:tcPr>
            <w:tcW w:w="0" w:type="auto"/>
          </w:tcPr>
          <w:p w14:paraId="42A753AA" w14:textId="77777777" w:rsidR="00217A61" w:rsidRDefault="001C2695">
            <w:pPr>
              <w:keepNext/>
              <w:spacing w:before="100" w:after="0"/>
              <w:rPr>
                <w:rFonts w:asciiTheme="minorHAnsi" w:hAnsiTheme="minorHAnsi"/>
                <w:b/>
              </w:rPr>
            </w:pPr>
            <w:r>
              <w:rPr>
                <w:rFonts w:asciiTheme="minorHAnsi" w:hAnsiTheme="minorHAnsi"/>
                <w:b/>
              </w:rPr>
              <w:t xml:space="preserve">Provide </w:t>
            </w:r>
            <w:proofErr w:type="gramStart"/>
            <w:r>
              <w:rPr>
                <w:rFonts w:asciiTheme="minorHAnsi" w:hAnsiTheme="minorHAnsi"/>
                <w:b/>
              </w:rPr>
              <w:t>a brief summary</w:t>
            </w:r>
            <w:proofErr w:type="gramEnd"/>
            <w:r>
              <w:rPr>
                <w:rFonts w:asciiTheme="minorHAnsi" w:hAnsiTheme="minorHAnsi"/>
                <w:b/>
              </w:rPr>
              <w:t xml:space="preserve"> of the data set.</w:t>
            </w:r>
          </w:p>
          <w:p w14:paraId="28417953" w14:textId="77777777" w:rsidR="00217A61" w:rsidRDefault="001C2695">
            <w:pPr>
              <w:spacing w:before="100" w:after="0"/>
            </w:pPr>
            <w:r>
              <w:rPr>
                <w:color w:val="000000"/>
              </w:rPr>
              <w:t>The American Community Survey shows how we live—our education, housing, jobs, and more. The American Community Survey provides information about the social and economic needs of your community every year.</w:t>
            </w:r>
          </w:p>
        </w:tc>
      </w:tr>
      <w:tr w:rsidR="00217A61" w14:paraId="16393F1D" w14:textId="77777777">
        <w:trPr>
          <w:cantSplit/>
        </w:trPr>
        <w:tc>
          <w:tcPr>
            <w:tcW w:w="0" w:type="auto"/>
            <w:vMerge/>
          </w:tcPr>
          <w:p w14:paraId="6B3ABBDC" w14:textId="77777777" w:rsidR="00217A61" w:rsidRDefault="00217A61"/>
        </w:tc>
        <w:tc>
          <w:tcPr>
            <w:tcW w:w="0" w:type="auto"/>
          </w:tcPr>
          <w:p w14:paraId="4745D524" w14:textId="77777777" w:rsidR="00217A61" w:rsidRDefault="001C2695">
            <w:pPr>
              <w:keepNext/>
              <w:spacing w:before="100" w:after="0"/>
              <w:rPr>
                <w:rFonts w:asciiTheme="minorHAnsi" w:hAnsiTheme="minorHAnsi"/>
                <w:b/>
              </w:rPr>
            </w:pPr>
            <w:r>
              <w:rPr>
                <w:rFonts w:asciiTheme="minorHAnsi" w:hAnsiTheme="minorHAnsi"/>
                <w:b/>
                <w:color w:val="000033"/>
              </w:rPr>
              <w:t xml:space="preserve">What was the purpose for developing this data </w:t>
            </w:r>
            <w:r>
              <w:rPr>
                <w:rFonts w:asciiTheme="minorHAnsi" w:hAnsiTheme="minorHAnsi"/>
                <w:b/>
                <w:color w:val="000033"/>
              </w:rPr>
              <w:t>set?</w:t>
            </w:r>
          </w:p>
          <w:p w14:paraId="5D0EA769" w14:textId="77777777" w:rsidR="00217A61" w:rsidRDefault="001C2695">
            <w:pPr>
              <w:spacing w:before="100" w:after="0"/>
            </w:pPr>
            <w:r>
              <w:rPr>
                <w:color w:val="000000"/>
              </w:rPr>
              <w:t>Asks about topics not on the 2020 Census, such as education, employment, internet access, and transportation</w:t>
            </w:r>
          </w:p>
        </w:tc>
      </w:tr>
      <w:tr w:rsidR="00217A61" w14:paraId="6602B835" w14:textId="77777777">
        <w:trPr>
          <w:cantSplit/>
        </w:trPr>
        <w:tc>
          <w:tcPr>
            <w:tcW w:w="0" w:type="auto"/>
            <w:vMerge/>
          </w:tcPr>
          <w:p w14:paraId="2D36F874" w14:textId="77777777" w:rsidR="00217A61" w:rsidRDefault="00217A61"/>
        </w:tc>
        <w:tc>
          <w:tcPr>
            <w:tcW w:w="0" w:type="auto"/>
          </w:tcPr>
          <w:p w14:paraId="30E64778" w14:textId="77777777" w:rsidR="00217A61" w:rsidRDefault="001C2695">
            <w:pPr>
              <w:keepNext/>
              <w:spacing w:before="100" w:after="0"/>
              <w:rPr>
                <w:rFonts w:asciiTheme="minorHAnsi" w:hAnsiTheme="minorHAnsi"/>
                <w:b/>
              </w:rPr>
            </w:pPr>
            <w:r>
              <w:rPr>
                <w:rFonts w:asciiTheme="minorHAnsi" w:hAnsiTheme="minorHAnsi"/>
                <w:b/>
                <w:color w:val="000033"/>
              </w:rPr>
              <w:t>Provide the year (and optionally month, or month and day) for when the data was collected.</w:t>
            </w:r>
          </w:p>
          <w:p w14:paraId="0D508B75" w14:textId="77777777" w:rsidR="00217A61" w:rsidRDefault="001C2695">
            <w:pPr>
              <w:spacing w:before="100" w:after="0"/>
            </w:pPr>
            <w:r>
              <w:rPr>
                <w:color w:val="000000"/>
              </w:rPr>
              <w:t>Conducted every month, every year from 2014 - 201</w:t>
            </w:r>
            <w:r>
              <w:rPr>
                <w:color w:val="000000"/>
              </w:rPr>
              <w:t>8</w:t>
            </w:r>
          </w:p>
        </w:tc>
      </w:tr>
      <w:tr w:rsidR="00217A61" w14:paraId="2A05B7D7" w14:textId="77777777">
        <w:trPr>
          <w:cantSplit/>
        </w:trPr>
        <w:tc>
          <w:tcPr>
            <w:tcW w:w="0" w:type="auto"/>
            <w:vMerge/>
          </w:tcPr>
          <w:p w14:paraId="1161A5A5" w14:textId="77777777" w:rsidR="00217A61" w:rsidRDefault="00217A61"/>
        </w:tc>
        <w:tc>
          <w:tcPr>
            <w:tcW w:w="0" w:type="auto"/>
          </w:tcPr>
          <w:p w14:paraId="6A1C5CFE" w14:textId="77777777" w:rsidR="00217A61" w:rsidRDefault="001C2695">
            <w:pPr>
              <w:keepNext/>
              <w:spacing w:before="100" w:after="0"/>
              <w:rPr>
                <w:rFonts w:asciiTheme="minorHAnsi" w:hAnsiTheme="minorHAnsi"/>
                <w:b/>
              </w:rPr>
            </w:pPr>
            <w:r>
              <w:rPr>
                <w:rFonts w:asciiTheme="minorHAnsi" w:hAnsiTheme="minorHAnsi"/>
                <w:b/>
              </w:rPr>
              <w:t>Briefly describe the methodology for the data collection.</w:t>
            </w:r>
          </w:p>
          <w:p w14:paraId="5D286300" w14:textId="77777777" w:rsidR="00217A61" w:rsidRDefault="001C2695">
            <w:pPr>
              <w:numPr>
                <w:ilvl w:val="0"/>
                <w:numId w:val="3"/>
              </w:numPr>
              <w:spacing w:before="100" w:after="0"/>
            </w:pPr>
            <w:r>
              <w:rPr>
                <w:color w:val="000000"/>
              </w:rPr>
              <w:t xml:space="preserve">Conducted every month, every </w:t>
            </w:r>
            <w:proofErr w:type="gramStart"/>
            <w:r>
              <w:rPr>
                <w:color w:val="000000"/>
              </w:rPr>
              <w:t>year</w:t>
            </w:r>
            <w:proofErr w:type="gramEnd"/>
          </w:p>
          <w:p w14:paraId="716AD1F6" w14:textId="77777777" w:rsidR="00217A61" w:rsidRDefault="001C2695">
            <w:pPr>
              <w:numPr>
                <w:ilvl w:val="0"/>
                <w:numId w:val="3"/>
              </w:numPr>
              <w:spacing w:before="100" w:after="0"/>
            </w:pPr>
            <w:r>
              <w:rPr>
                <w:color w:val="000000"/>
              </w:rPr>
              <w:t>Sent to a sample of addresses (about 3.5 million) in the 50 states, District of Columbia, and Puerto Rico</w:t>
            </w:r>
          </w:p>
        </w:tc>
      </w:tr>
      <w:tr w:rsidR="00217A61" w14:paraId="19096BDA" w14:textId="77777777">
        <w:trPr>
          <w:cantSplit/>
        </w:trPr>
        <w:tc>
          <w:tcPr>
            <w:tcW w:w="0" w:type="auto"/>
            <w:vMerge/>
          </w:tcPr>
          <w:p w14:paraId="386A751E" w14:textId="77777777" w:rsidR="00217A61" w:rsidRDefault="00217A61"/>
        </w:tc>
        <w:tc>
          <w:tcPr>
            <w:tcW w:w="0" w:type="auto"/>
          </w:tcPr>
          <w:p w14:paraId="671BDAB6" w14:textId="77777777" w:rsidR="00217A61" w:rsidRDefault="001C2695">
            <w:pPr>
              <w:keepNext/>
              <w:spacing w:before="100" w:after="0"/>
              <w:rPr>
                <w:rFonts w:asciiTheme="minorHAnsi" w:hAnsiTheme="minorHAnsi"/>
                <w:b/>
              </w:rPr>
            </w:pPr>
            <w:r>
              <w:rPr>
                <w:rFonts w:asciiTheme="minorHAnsi" w:hAnsiTheme="minorHAnsi"/>
                <w:b/>
                <w:color w:val="000033"/>
              </w:rPr>
              <w:t xml:space="preserve">Describe the total population from which the sample </w:t>
            </w:r>
            <w:r>
              <w:rPr>
                <w:rFonts w:asciiTheme="minorHAnsi" w:hAnsiTheme="minorHAnsi"/>
                <w:b/>
                <w:color w:val="000033"/>
              </w:rPr>
              <w:t>was taken.</w:t>
            </w:r>
          </w:p>
          <w:p w14:paraId="32A257A7" w14:textId="77777777" w:rsidR="00217A61" w:rsidRDefault="001C2695">
            <w:pPr>
              <w:spacing w:before="100" w:after="0"/>
            </w:pPr>
            <w:r>
              <w:rPr>
                <w:color w:val="000000"/>
              </w:rPr>
              <w:t>Visit census.gov for details</w:t>
            </w:r>
          </w:p>
        </w:tc>
      </w:tr>
      <w:tr w:rsidR="00217A61" w14:paraId="59B39DB6" w14:textId="77777777">
        <w:trPr>
          <w:cantSplit/>
        </w:trPr>
        <w:tc>
          <w:tcPr>
            <w:tcW w:w="0" w:type="auto"/>
            <w:vMerge/>
          </w:tcPr>
          <w:p w14:paraId="197B36EE" w14:textId="77777777" w:rsidR="00217A61" w:rsidRDefault="00217A61"/>
        </w:tc>
        <w:tc>
          <w:tcPr>
            <w:tcW w:w="0" w:type="auto"/>
          </w:tcPr>
          <w:p w14:paraId="26F70CCC" w14:textId="77777777" w:rsidR="00217A61" w:rsidRDefault="001C2695">
            <w:pPr>
              <w:keepNext/>
              <w:spacing w:before="100" w:after="0"/>
              <w:rPr>
                <w:rFonts w:asciiTheme="minorHAnsi" w:hAnsiTheme="minorHAnsi"/>
                <w:b/>
                <w:color w:val="000033"/>
              </w:rPr>
            </w:pPr>
            <w:r>
              <w:rPr>
                <w:rFonts w:asciiTheme="minorHAnsi" w:hAnsiTheme="minorHAnsi"/>
                <w:b/>
                <w:color w:val="000033"/>
              </w:rPr>
              <w:t>Describe the demographics of the respondents or characteristics of the unit of measure, and the number of respondents or units surveyed.</w:t>
            </w:r>
          </w:p>
          <w:p w14:paraId="6EB2BAC2" w14:textId="77777777" w:rsidR="00217A61" w:rsidRDefault="001C2695">
            <w:pPr>
              <w:spacing w:before="100" w:after="0"/>
            </w:pPr>
            <w:r>
              <w:rPr>
                <w:color w:val="000000"/>
              </w:rPr>
              <w:t>Visit census.gov for details</w:t>
            </w:r>
          </w:p>
        </w:tc>
      </w:tr>
      <w:tr w:rsidR="00217A61" w14:paraId="7E2A25D7" w14:textId="77777777">
        <w:trPr>
          <w:cantSplit/>
        </w:trPr>
        <w:tc>
          <w:tcPr>
            <w:tcW w:w="0" w:type="auto"/>
            <w:vMerge w:val="restart"/>
          </w:tcPr>
          <w:p w14:paraId="5AB6250F" w14:textId="77777777" w:rsidR="00217A61" w:rsidRDefault="001C2695">
            <w:r>
              <w:rPr>
                <w:b/>
              </w:rPr>
              <w:t>4</w:t>
            </w:r>
          </w:p>
        </w:tc>
        <w:tc>
          <w:tcPr>
            <w:tcW w:w="0" w:type="auto"/>
          </w:tcPr>
          <w:p w14:paraId="18B89767" w14:textId="77777777" w:rsidR="00217A61" w:rsidRDefault="001C2695">
            <w:pPr>
              <w:keepNext/>
              <w:spacing w:before="100" w:after="0"/>
              <w:rPr>
                <w:rFonts w:asciiTheme="minorHAnsi" w:hAnsiTheme="minorHAnsi"/>
                <w:b/>
              </w:rPr>
            </w:pPr>
            <w:r>
              <w:rPr>
                <w:rFonts w:asciiTheme="minorHAnsi" w:hAnsiTheme="minorHAnsi"/>
                <w:b/>
                <w:bCs/>
              </w:rPr>
              <w:t>Data Source Name</w:t>
            </w:r>
          </w:p>
          <w:p w14:paraId="7C9513EB" w14:textId="77777777" w:rsidR="00217A61" w:rsidRDefault="001C2695">
            <w:pPr>
              <w:spacing w:before="100" w:after="0"/>
            </w:pPr>
            <w:r>
              <w:rPr>
                <w:color w:val="000000"/>
              </w:rPr>
              <w:t>2019 Housing Inventory Count Report</w:t>
            </w:r>
          </w:p>
        </w:tc>
      </w:tr>
      <w:tr w:rsidR="00217A61" w14:paraId="681C6E8A" w14:textId="77777777">
        <w:trPr>
          <w:cantSplit/>
        </w:trPr>
        <w:tc>
          <w:tcPr>
            <w:tcW w:w="0" w:type="auto"/>
            <w:vMerge/>
          </w:tcPr>
          <w:p w14:paraId="31FA9288" w14:textId="77777777" w:rsidR="00217A61" w:rsidRDefault="00217A61"/>
        </w:tc>
        <w:tc>
          <w:tcPr>
            <w:tcW w:w="0" w:type="auto"/>
          </w:tcPr>
          <w:p w14:paraId="74D434C2" w14:textId="77777777" w:rsidR="00217A61" w:rsidRDefault="001C2695">
            <w:pPr>
              <w:keepNext/>
              <w:spacing w:before="100" w:after="0"/>
              <w:rPr>
                <w:rFonts w:asciiTheme="minorHAnsi" w:hAnsiTheme="minorHAnsi"/>
                <w:b/>
              </w:rPr>
            </w:pPr>
            <w:r>
              <w:rPr>
                <w:rFonts w:asciiTheme="minorHAnsi" w:hAnsiTheme="minorHAnsi"/>
                <w:b/>
              </w:rPr>
              <w:t>List the name of the organization or individual who originated the data set.</w:t>
            </w:r>
          </w:p>
          <w:p w14:paraId="0BF8F004" w14:textId="77777777" w:rsidR="00217A61" w:rsidRDefault="001C2695">
            <w:pPr>
              <w:spacing w:before="100" w:after="0"/>
            </w:pPr>
            <w:r>
              <w:rPr>
                <w:color w:val="000000"/>
              </w:rPr>
              <w:t>Department of Housing and Urban Development</w:t>
            </w:r>
          </w:p>
        </w:tc>
      </w:tr>
      <w:tr w:rsidR="00217A61" w14:paraId="01F88829" w14:textId="77777777">
        <w:trPr>
          <w:cantSplit/>
        </w:trPr>
        <w:tc>
          <w:tcPr>
            <w:tcW w:w="0" w:type="auto"/>
            <w:vMerge/>
          </w:tcPr>
          <w:p w14:paraId="25C9A0F7" w14:textId="77777777" w:rsidR="00217A61" w:rsidRDefault="00217A61"/>
        </w:tc>
        <w:tc>
          <w:tcPr>
            <w:tcW w:w="0" w:type="auto"/>
          </w:tcPr>
          <w:p w14:paraId="4330EEBC" w14:textId="77777777" w:rsidR="00217A61" w:rsidRDefault="001C2695">
            <w:pPr>
              <w:keepNext/>
              <w:spacing w:before="100" w:after="0"/>
              <w:rPr>
                <w:rFonts w:asciiTheme="minorHAnsi" w:hAnsiTheme="minorHAnsi"/>
                <w:b/>
              </w:rPr>
            </w:pPr>
            <w:r>
              <w:rPr>
                <w:rFonts w:asciiTheme="minorHAnsi" w:hAnsiTheme="minorHAnsi"/>
                <w:b/>
              </w:rPr>
              <w:t xml:space="preserve">Provide </w:t>
            </w:r>
            <w:proofErr w:type="gramStart"/>
            <w:r>
              <w:rPr>
                <w:rFonts w:asciiTheme="minorHAnsi" w:hAnsiTheme="minorHAnsi"/>
                <w:b/>
              </w:rPr>
              <w:t>a brief summary</w:t>
            </w:r>
            <w:proofErr w:type="gramEnd"/>
            <w:r>
              <w:rPr>
                <w:rFonts w:asciiTheme="minorHAnsi" w:hAnsiTheme="minorHAnsi"/>
                <w:b/>
              </w:rPr>
              <w:t xml:space="preserve"> of the data set.</w:t>
            </w:r>
          </w:p>
          <w:p w14:paraId="47437551" w14:textId="77777777" w:rsidR="00217A61" w:rsidRDefault="001C2695">
            <w:pPr>
              <w:spacing w:before="100" w:after="0"/>
            </w:pPr>
            <w:r>
              <w:rPr>
                <w:color w:val="000000"/>
              </w:rPr>
              <w:t>Continuum of Care (</w:t>
            </w:r>
            <w:proofErr w:type="spellStart"/>
            <w:r>
              <w:rPr>
                <w:color w:val="000000"/>
              </w:rPr>
              <w:t>CoC</w:t>
            </w:r>
            <w:proofErr w:type="spellEnd"/>
            <w:r>
              <w:rPr>
                <w:color w:val="000000"/>
              </w:rPr>
              <w:t xml:space="preserve">) Homeless Assistance Programs Housing Inventory Count Reports provide a snapshot of a </w:t>
            </w:r>
            <w:proofErr w:type="spellStart"/>
            <w:r>
              <w:rPr>
                <w:color w:val="000000"/>
              </w:rPr>
              <w:t>CoC’s</w:t>
            </w:r>
            <w:proofErr w:type="spellEnd"/>
            <w:r>
              <w:rPr>
                <w:color w:val="000000"/>
              </w:rPr>
              <w:t xml:space="preserve"> HIC, an inventory of housing conducted annually during the last ten days in January, and are available at the national and state level, as we</w:t>
            </w:r>
            <w:r>
              <w:rPr>
                <w:color w:val="000000"/>
              </w:rPr>
              <w:t xml:space="preserve">ll as for each </w:t>
            </w:r>
            <w:proofErr w:type="spellStart"/>
            <w:r>
              <w:rPr>
                <w:color w:val="000000"/>
              </w:rPr>
              <w:t>CoC</w:t>
            </w:r>
            <w:proofErr w:type="spellEnd"/>
            <w:r>
              <w:rPr>
                <w:color w:val="000000"/>
              </w:rPr>
              <w:t>. </w:t>
            </w:r>
          </w:p>
        </w:tc>
      </w:tr>
      <w:tr w:rsidR="00217A61" w14:paraId="6FE24537" w14:textId="77777777">
        <w:trPr>
          <w:cantSplit/>
        </w:trPr>
        <w:tc>
          <w:tcPr>
            <w:tcW w:w="0" w:type="auto"/>
            <w:vMerge/>
          </w:tcPr>
          <w:p w14:paraId="368C374E" w14:textId="77777777" w:rsidR="00217A61" w:rsidRDefault="00217A61"/>
        </w:tc>
        <w:tc>
          <w:tcPr>
            <w:tcW w:w="0" w:type="auto"/>
          </w:tcPr>
          <w:p w14:paraId="3C327DD6" w14:textId="77777777" w:rsidR="00217A61" w:rsidRDefault="001C2695">
            <w:pPr>
              <w:keepNext/>
              <w:spacing w:before="100" w:after="0"/>
              <w:rPr>
                <w:rFonts w:asciiTheme="minorHAnsi" w:hAnsiTheme="minorHAnsi"/>
                <w:b/>
              </w:rPr>
            </w:pPr>
            <w:r>
              <w:rPr>
                <w:rFonts w:asciiTheme="minorHAnsi" w:hAnsiTheme="minorHAnsi"/>
                <w:b/>
                <w:color w:val="000033"/>
              </w:rPr>
              <w:t>What was the purpose for developing this data set?</w:t>
            </w:r>
          </w:p>
          <w:p w14:paraId="781244B1" w14:textId="77777777" w:rsidR="00217A61" w:rsidRDefault="001C2695">
            <w:pPr>
              <w:spacing w:before="100" w:after="0"/>
            </w:pPr>
            <w:r>
              <w:rPr>
                <w:color w:val="000000"/>
              </w:rPr>
              <w:t>The reports tally the number of beds and units available on the night designated for the count by program type, and include beds dedicated to serve persons who are homeless as well a</w:t>
            </w:r>
            <w:r>
              <w:rPr>
                <w:color w:val="000000"/>
              </w:rPr>
              <w:t>s persons in Permanent Supportive Housing.  </w:t>
            </w:r>
          </w:p>
        </w:tc>
      </w:tr>
      <w:tr w:rsidR="00217A61" w14:paraId="4EE7513A" w14:textId="77777777">
        <w:trPr>
          <w:cantSplit/>
        </w:trPr>
        <w:tc>
          <w:tcPr>
            <w:tcW w:w="0" w:type="auto"/>
            <w:vMerge/>
          </w:tcPr>
          <w:p w14:paraId="56864631" w14:textId="77777777" w:rsidR="00217A61" w:rsidRDefault="00217A61"/>
        </w:tc>
        <w:tc>
          <w:tcPr>
            <w:tcW w:w="0" w:type="auto"/>
          </w:tcPr>
          <w:p w14:paraId="783F9F56" w14:textId="77777777" w:rsidR="00217A61" w:rsidRDefault="001C2695">
            <w:pPr>
              <w:keepNext/>
              <w:spacing w:before="100" w:after="0"/>
              <w:rPr>
                <w:rFonts w:asciiTheme="minorHAnsi" w:hAnsiTheme="minorHAnsi"/>
                <w:b/>
              </w:rPr>
            </w:pPr>
            <w:r>
              <w:rPr>
                <w:rFonts w:asciiTheme="minorHAnsi" w:hAnsiTheme="minorHAnsi"/>
                <w:b/>
                <w:color w:val="000033"/>
              </w:rPr>
              <w:t>Provide the year (and optionally month, or month and day) for when the data was collected.</w:t>
            </w:r>
          </w:p>
          <w:p w14:paraId="3BD0A8C5" w14:textId="77777777" w:rsidR="00217A61" w:rsidRDefault="001C2695">
            <w:pPr>
              <w:spacing w:before="100" w:after="0"/>
            </w:pPr>
            <w:r>
              <w:rPr>
                <w:color w:val="000000"/>
              </w:rPr>
              <w:t>January 2019</w:t>
            </w:r>
          </w:p>
        </w:tc>
      </w:tr>
      <w:tr w:rsidR="00217A61" w14:paraId="5CE18D61" w14:textId="77777777">
        <w:trPr>
          <w:cantSplit/>
        </w:trPr>
        <w:tc>
          <w:tcPr>
            <w:tcW w:w="0" w:type="auto"/>
            <w:vMerge/>
          </w:tcPr>
          <w:p w14:paraId="1B23F8BC" w14:textId="77777777" w:rsidR="00217A61" w:rsidRDefault="00217A61"/>
        </w:tc>
        <w:tc>
          <w:tcPr>
            <w:tcW w:w="0" w:type="auto"/>
          </w:tcPr>
          <w:p w14:paraId="4E0A15E5" w14:textId="77777777" w:rsidR="00217A61" w:rsidRDefault="001C2695">
            <w:pPr>
              <w:keepNext/>
              <w:spacing w:before="100" w:after="0"/>
              <w:rPr>
                <w:rFonts w:asciiTheme="minorHAnsi" w:hAnsiTheme="minorHAnsi"/>
                <w:b/>
              </w:rPr>
            </w:pPr>
            <w:r>
              <w:rPr>
                <w:rFonts w:asciiTheme="minorHAnsi" w:hAnsiTheme="minorHAnsi"/>
                <w:b/>
              </w:rPr>
              <w:t>Briefly describe the methodology for the data collection.</w:t>
            </w:r>
          </w:p>
          <w:p w14:paraId="73F6C49C" w14:textId="77777777" w:rsidR="00217A61" w:rsidRDefault="001C2695">
            <w:pPr>
              <w:spacing w:before="100" w:after="0"/>
            </w:pPr>
            <w:r>
              <w:rPr>
                <w:color w:val="000000"/>
              </w:rPr>
              <w:t xml:space="preserve">Collection of all beds in a </w:t>
            </w:r>
            <w:proofErr w:type="spellStart"/>
            <w:r>
              <w:rPr>
                <w:color w:val="000000"/>
              </w:rPr>
              <w:t>CoC</w:t>
            </w:r>
            <w:proofErr w:type="spellEnd"/>
            <w:r>
              <w:rPr>
                <w:color w:val="000000"/>
              </w:rPr>
              <w:t xml:space="preserve"> that is entered into HDX</w:t>
            </w:r>
          </w:p>
        </w:tc>
      </w:tr>
      <w:tr w:rsidR="00217A61" w14:paraId="2FDD28E1" w14:textId="77777777">
        <w:trPr>
          <w:cantSplit/>
        </w:trPr>
        <w:tc>
          <w:tcPr>
            <w:tcW w:w="0" w:type="auto"/>
            <w:vMerge/>
          </w:tcPr>
          <w:p w14:paraId="53F9B40E" w14:textId="77777777" w:rsidR="00217A61" w:rsidRDefault="00217A61"/>
        </w:tc>
        <w:tc>
          <w:tcPr>
            <w:tcW w:w="0" w:type="auto"/>
          </w:tcPr>
          <w:p w14:paraId="2D7D538E" w14:textId="77777777" w:rsidR="00217A61" w:rsidRDefault="001C2695">
            <w:pPr>
              <w:keepNext/>
              <w:spacing w:before="100" w:after="0"/>
              <w:rPr>
                <w:rFonts w:asciiTheme="minorHAnsi" w:hAnsiTheme="minorHAnsi"/>
                <w:b/>
              </w:rPr>
            </w:pPr>
            <w:r>
              <w:rPr>
                <w:rFonts w:asciiTheme="minorHAnsi" w:hAnsiTheme="minorHAnsi"/>
                <w:b/>
                <w:color w:val="000033"/>
              </w:rPr>
              <w:t>Describe the total population from which the sample was taken.</w:t>
            </w:r>
          </w:p>
          <w:p w14:paraId="3BFB3997" w14:textId="77777777" w:rsidR="00217A61" w:rsidRDefault="001C2695">
            <w:pPr>
              <w:spacing w:before="100" w:after="0"/>
            </w:pPr>
            <w:r>
              <w:rPr>
                <w:color w:val="000000"/>
              </w:rPr>
              <w:t>Summary of all available beds reported, aggregated to the state level </w:t>
            </w:r>
          </w:p>
        </w:tc>
      </w:tr>
      <w:tr w:rsidR="00217A61" w14:paraId="562C4E70" w14:textId="77777777">
        <w:trPr>
          <w:cantSplit/>
        </w:trPr>
        <w:tc>
          <w:tcPr>
            <w:tcW w:w="0" w:type="auto"/>
            <w:vMerge/>
          </w:tcPr>
          <w:p w14:paraId="5275FD1B" w14:textId="77777777" w:rsidR="00217A61" w:rsidRDefault="00217A61"/>
        </w:tc>
        <w:tc>
          <w:tcPr>
            <w:tcW w:w="0" w:type="auto"/>
          </w:tcPr>
          <w:p w14:paraId="137BC596" w14:textId="77777777" w:rsidR="00217A61" w:rsidRDefault="001C2695">
            <w:pPr>
              <w:keepNext/>
              <w:spacing w:before="100" w:after="0"/>
              <w:rPr>
                <w:rFonts w:asciiTheme="minorHAnsi" w:hAnsiTheme="minorHAnsi"/>
                <w:b/>
                <w:color w:val="000033"/>
              </w:rPr>
            </w:pPr>
            <w:r>
              <w:rPr>
                <w:rFonts w:asciiTheme="minorHAnsi" w:hAnsiTheme="minorHAnsi"/>
                <w:b/>
                <w:color w:val="000033"/>
              </w:rPr>
              <w:t>Describe the demographics of the respondents or characteristi</w:t>
            </w:r>
            <w:r>
              <w:rPr>
                <w:rFonts w:asciiTheme="minorHAnsi" w:hAnsiTheme="minorHAnsi"/>
                <w:b/>
                <w:color w:val="000033"/>
              </w:rPr>
              <w:t>cs of the unit of measure, and the number of respondents or units surveyed.</w:t>
            </w:r>
          </w:p>
          <w:p w14:paraId="0E57B7A1" w14:textId="77777777" w:rsidR="00217A61" w:rsidRDefault="001C2695">
            <w:pPr>
              <w:spacing w:before="100" w:after="0"/>
            </w:pPr>
            <w:r>
              <w:rPr>
                <w:color w:val="000000"/>
              </w:rPr>
              <w:t xml:space="preserve">Visit https://www.hudexchange.info/programs/coc/coc-housing-inventory-count-reports/?filter_Year=2019&amp;filter_Scope=State&amp;filter_State=NC&amp;filter_CoC=&amp;program=CoC&amp;group=HIC for more </w:t>
            </w:r>
            <w:r>
              <w:rPr>
                <w:color w:val="000000"/>
              </w:rPr>
              <w:t>information</w:t>
            </w:r>
          </w:p>
        </w:tc>
      </w:tr>
      <w:tr w:rsidR="00217A61" w14:paraId="22460396" w14:textId="77777777">
        <w:trPr>
          <w:cantSplit/>
        </w:trPr>
        <w:tc>
          <w:tcPr>
            <w:tcW w:w="0" w:type="auto"/>
            <w:vMerge w:val="restart"/>
          </w:tcPr>
          <w:p w14:paraId="7CCA0C4E" w14:textId="77777777" w:rsidR="00217A61" w:rsidRDefault="001C2695">
            <w:r>
              <w:rPr>
                <w:b/>
              </w:rPr>
              <w:t>5</w:t>
            </w:r>
          </w:p>
        </w:tc>
        <w:tc>
          <w:tcPr>
            <w:tcW w:w="0" w:type="auto"/>
          </w:tcPr>
          <w:p w14:paraId="6E470292" w14:textId="77777777" w:rsidR="00217A61" w:rsidRDefault="001C2695">
            <w:pPr>
              <w:keepNext/>
              <w:spacing w:before="100" w:after="0"/>
              <w:rPr>
                <w:rFonts w:asciiTheme="minorHAnsi" w:hAnsiTheme="minorHAnsi"/>
                <w:b/>
              </w:rPr>
            </w:pPr>
            <w:r>
              <w:rPr>
                <w:rFonts w:asciiTheme="minorHAnsi" w:hAnsiTheme="minorHAnsi"/>
                <w:b/>
                <w:bCs/>
              </w:rPr>
              <w:t>Data Source Name</w:t>
            </w:r>
          </w:p>
          <w:p w14:paraId="353A8D28" w14:textId="77777777" w:rsidR="00217A61" w:rsidRDefault="001C2695">
            <w:pPr>
              <w:spacing w:before="100" w:after="0"/>
            </w:pPr>
            <w:r>
              <w:rPr>
                <w:color w:val="000000"/>
              </w:rPr>
              <w:t>2019 AHAR Part I</w:t>
            </w:r>
          </w:p>
        </w:tc>
      </w:tr>
      <w:tr w:rsidR="00217A61" w14:paraId="4C4DCA3B" w14:textId="77777777">
        <w:trPr>
          <w:cantSplit/>
        </w:trPr>
        <w:tc>
          <w:tcPr>
            <w:tcW w:w="0" w:type="auto"/>
            <w:vMerge/>
          </w:tcPr>
          <w:p w14:paraId="730452FA" w14:textId="77777777" w:rsidR="00217A61" w:rsidRDefault="00217A61"/>
        </w:tc>
        <w:tc>
          <w:tcPr>
            <w:tcW w:w="0" w:type="auto"/>
          </w:tcPr>
          <w:p w14:paraId="07F03796" w14:textId="77777777" w:rsidR="00217A61" w:rsidRDefault="001C2695">
            <w:pPr>
              <w:keepNext/>
              <w:spacing w:before="100" w:after="0"/>
              <w:rPr>
                <w:rFonts w:asciiTheme="minorHAnsi" w:hAnsiTheme="minorHAnsi"/>
                <w:b/>
              </w:rPr>
            </w:pPr>
            <w:r>
              <w:rPr>
                <w:rFonts w:asciiTheme="minorHAnsi" w:hAnsiTheme="minorHAnsi"/>
                <w:b/>
              </w:rPr>
              <w:t>List the name of the organization or individual who originated the data set.</w:t>
            </w:r>
          </w:p>
          <w:p w14:paraId="25912539" w14:textId="77777777" w:rsidR="00217A61" w:rsidRDefault="001C2695">
            <w:pPr>
              <w:spacing w:before="100" w:after="0"/>
            </w:pPr>
            <w:r>
              <w:rPr>
                <w:color w:val="000000"/>
              </w:rPr>
              <w:t>HUD Exchange</w:t>
            </w:r>
          </w:p>
        </w:tc>
      </w:tr>
      <w:tr w:rsidR="00217A61" w14:paraId="6B6BF146" w14:textId="77777777">
        <w:trPr>
          <w:cantSplit/>
        </w:trPr>
        <w:tc>
          <w:tcPr>
            <w:tcW w:w="0" w:type="auto"/>
            <w:vMerge/>
          </w:tcPr>
          <w:p w14:paraId="5F54210F" w14:textId="77777777" w:rsidR="00217A61" w:rsidRDefault="00217A61"/>
        </w:tc>
        <w:tc>
          <w:tcPr>
            <w:tcW w:w="0" w:type="auto"/>
          </w:tcPr>
          <w:p w14:paraId="39851E4E" w14:textId="77777777" w:rsidR="00217A61" w:rsidRDefault="001C2695">
            <w:pPr>
              <w:keepNext/>
              <w:spacing w:before="100" w:after="0"/>
              <w:rPr>
                <w:rFonts w:asciiTheme="minorHAnsi" w:hAnsiTheme="minorHAnsi"/>
                <w:b/>
              </w:rPr>
            </w:pPr>
            <w:r>
              <w:rPr>
                <w:rFonts w:asciiTheme="minorHAnsi" w:hAnsiTheme="minorHAnsi"/>
                <w:b/>
              </w:rPr>
              <w:t xml:space="preserve">Provide </w:t>
            </w:r>
            <w:proofErr w:type="gramStart"/>
            <w:r>
              <w:rPr>
                <w:rFonts w:asciiTheme="minorHAnsi" w:hAnsiTheme="minorHAnsi"/>
                <w:b/>
              </w:rPr>
              <w:t>a brief summary</w:t>
            </w:r>
            <w:proofErr w:type="gramEnd"/>
            <w:r>
              <w:rPr>
                <w:rFonts w:asciiTheme="minorHAnsi" w:hAnsiTheme="minorHAnsi"/>
                <w:b/>
              </w:rPr>
              <w:t xml:space="preserve"> of the data set.</w:t>
            </w:r>
          </w:p>
          <w:p w14:paraId="42E878B8" w14:textId="77777777" w:rsidR="00217A61" w:rsidRDefault="001C2695">
            <w:pPr>
              <w:spacing w:before="100" w:after="0"/>
            </w:pPr>
            <w:r>
              <w:rPr>
                <w:color w:val="000000"/>
              </w:rPr>
              <w:t>Annual Homeless Assessment Report to Congress</w:t>
            </w:r>
          </w:p>
        </w:tc>
      </w:tr>
      <w:tr w:rsidR="00217A61" w14:paraId="58530FE3" w14:textId="77777777">
        <w:trPr>
          <w:cantSplit/>
        </w:trPr>
        <w:tc>
          <w:tcPr>
            <w:tcW w:w="0" w:type="auto"/>
            <w:vMerge/>
          </w:tcPr>
          <w:p w14:paraId="271400BE" w14:textId="77777777" w:rsidR="00217A61" w:rsidRDefault="00217A61"/>
        </w:tc>
        <w:tc>
          <w:tcPr>
            <w:tcW w:w="0" w:type="auto"/>
          </w:tcPr>
          <w:p w14:paraId="456D4BAB" w14:textId="77777777" w:rsidR="00217A61" w:rsidRDefault="001C2695">
            <w:pPr>
              <w:keepNext/>
              <w:spacing w:before="100" w:after="0"/>
              <w:rPr>
                <w:rFonts w:asciiTheme="minorHAnsi" w:hAnsiTheme="minorHAnsi"/>
                <w:b/>
              </w:rPr>
            </w:pPr>
            <w:r>
              <w:rPr>
                <w:rFonts w:asciiTheme="minorHAnsi" w:hAnsiTheme="minorHAnsi"/>
                <w:b/>
                <w:color w:val="000033"/>
              </w:rPr>
              <w:t>What was the purpose for developing this data set?</w:t>
            </w:r>
          </w:p>
          <w:p w14:paraId="0CFCC660" w14:textId="77777777" w:rsidR="00217A61" w:rsidRDefault="001C2695">
            <w:pPr>
              <w:spacing w:before="100" w:after="0"/>
            </w:pPr>
            <w:r>
              <w:rPr>
                <w:color w:val="000000"/>
              </w:rPr>
              <w:t xml:space="preserve">This report outlines the key findings of the Point-In-Time (PIT) count and Housing Inventory Count (HIC) conducted in January. Specifically, this report provides national, state, and </w:t>
            </w:r>
            <w:proofErr w:type="spellStart"/>
            <w:r>
              <w:rPr>
                <w:color w:val="000000"/>
              </w:rPr>
              <w:t>CoC</w:t>
            </w:r>
            <w:proofErr w:type="spellEnd"/>
            <w:r>
              <w:rPr>
                <w:color w:val="000000"/>
              </w:rPr>
              <w:t xml:space="preserve">-level PIT and HIC estimates of homelessness, as well as estimates of </w:t>
            </w:r>
            <w:r>
              <w:rPr>
                <w:color w:val="000000"/>
              </w:rPr>
              <w:t>chronically homeless persons, homeless veterans, and homeless children and youth.</w:t>
            </w:r>
          </w:p>
        </w:tc>
      </w:tr>
      <w:tr w:rsidR="00217A61" w14:paraId="47DCA100" w14:textId="77777777">
        <w:trPr>
          <w:cantSplit/>
        </w:trPr>
        <w:tc>
          <w:tcPr>
            <w:tcW w:w="0" w:type="auto"/>
            <w:vMerge/>
          </w:tcPr>
          <w:p w14:paraId="05956E74" w14:textId="77777777" w:rsidR="00217A61" w:rsidRDefault="00217A61"/>
        </w:tc>
        <w:tc>
          <w:tcPr>
            <w:tcW w:w="0" w:type="auto"/>
          </w:tcPr>
          <w:p w14:paraId="50BB1CB3" w14:textId="77777777" w:rsidR="00217A61" w:rsidRDefault="001C2695">
            <w:pPr>
              <w:keepNext/>
              <w:spacing w:before="100" w:after="0"/>
              <w:rPr>
                <w:rFonts w:asciiTheme="minorHAnsi" w:hAnsiTheme="minorHAnsi"/>
                <w:b/>
              </w:rPr>
            </w:pPr>
            <w:r>
              <w:rPr>
                <w:rFonts w:asciiTheme="minorHAnsi" w:hAnsiTheme="minorHAnsi"/>
                <w:b/>
                <w:color w:val="000033"/>
              </w:rPr>
              <w:t>Provide the year (and optionally month, or month and day) for when the data was collected.</w:t>
            </w:r>
          </w:p>
          <w:p w14:paraId="3548E096" w14:textId="77777777" w:rsidR="00217A61" w:rsidRDefault="001C2695">
            <w:pPr>
              <w:spacing w:before="100" w:after="0"/>
            </w:pPr>
            <w:r>
              <w:rPr>
                <w:color w:val="000000"/>
              </w:rPr>
              <w:t>January 2019</w:t>
            </w:r>
          </w:p>
        </w:tc>
      </w:tr>
      <w:tr w:rsidR="00217A61" w14:paraId="171B8DC4" w14:textId="77777777">
        <w:trPr>
          <w:cantSplit/>
        </w:trPr>
        <w:tc>
          <w:tcPr>
            <w:tcW w:w="0" w:type="auto"/>
            <w:vMerge/>
          </w:tcPr>
          <w:p w14:paraId="761953EA" w14:textId="77777777" w:rsidR="00217A61" w:rsidRDefault="00217A61"/>
        </w:tc>
        <w:tc>
          <w:tcPr>
            <w:tcW w:w="0" w:type="auto"/>
          </w:tcPr>
          <w:p w14:paraId="44B52CD2" w14:textId="77777777" w:rsidR="00217A61" w:rsidRDefault="001C2695">
            <w:pPr>
              <w:keepNext/>
              <w:spacing w:before="100" w:after="0"/>
              <w:rPr>
                <w:rFonts w:asciiTheme="minorHAnsi" w:hAnsiTheme="minorHAnsi"/>
                <w:b/>
              </w:rPr>
            </w:pPr>
            <w:r>
              <w:rPr>
                <w:rFonts w:asciiTheme="minorHAnsi" w:hAnsiTheme="minorHAnsi"/>
                <w:b/>
              </w:rPr>
              <w:t>Briefly describe the methodology for the data collection.</w:t>
            </w:r>
          </w:p>
          <w:p w14:paraId="75855505" w14:textId="77777777" w:rsidR="00217A61" w:rsidRDefault="001C2695">
            <w:pPr>
              <w:spacing w:before="100" w:after="0"/>
            </w:pPr>
            <w:r>
              <w:rPr>
                <w:color w:val="000000"/>
              </w:rPr>
              <w:t xml:space="preserve"> </w:t>
            </w:r>
          </w:p>
        </w:tc>
      </w:tr>
      <w:tr w:rsidR="00217A61" w14:paraId="15EC315B" w14:textId="77777777">
        <w:trPr>
          <w:cantSplit/>
        </w:trPr>
        <w:tc>
          <w:tcPr>
            <w:tcW w:w="0" w:type="auto"/>
            <w:vMerge/>
          </w:tcPr>
          <w:p w14:paraId="171A4FE1" w14:textId="77777777" w:rsidR="00217A61" w:rsidRDefault="00217A61"/>
        </w:tc>
        <w:tc>
          <w:tcPr>
            <w:tcW w:w="0" w:type="auto"/>
          </w:tcPr>
          <w:p w14:paraId="67771CA3" w14:textId="77777777" w:rsidR="00217A61" w:rsidRDefault="001C2695">
            <w:pPr>
              <w:keepNext/>
              <w:spacing w:before="100" w:after="0"/>
              <w:rPr>
                <w:rFonts w:asciiTheme="minorHAnsi" w:hAnsiTheme="minorHAnsi"/>
                <w:b/>
              </w:rPr>
            </w:pPr>
            <w:r>
              <w:rPr>
                <w:rFonts w:asciiTheme="minorHAnsi" w:hAnsiTheme="minorHAnsi"/>
                <w:b/>
                <w:color w:val="000033"/>
              </w:rPr>
              <w:t>Desc</w:t>
            </w:r>
            <w:r>
              <w:rPr>
                <w:rFonts w:asciiTheme="minorHAnsi" w:hAnsiTheme="minorHAnsi"/>
                <w:b/>
                <w:color w:val="000033"/>
              </w:rPr>
              <w:t>ribe the total population from which the sample was taken.</w:t>
            </w:r>
          </w:p>
          <w:p w14:paraId="5F92985E" w14:textId="77777777" w:rsidR="00217A61" w:rsidRDefault="001C2695">
            <w:pPr>
              <w:spacing w:before="100" w:after="0"/>
            </w:pPr>
            <w:r>
              <w:rPr>
                <w:color w:val="000000"/>
              </w:rPr>
              <w:t xml:space="preserve"> </w:t>
            </w:r>
          </w:p>
        </w:tc>
      </w:tr>
      <w:tr w:rsidR="00217A61" w14:paraId="7CE0E85F" w14:textId="77777777">
        <w:trPr>
          <w:cantSplit/>
        </w:trPr>
        <w:tc>
          <w:tcPr>
            <w:tcW w:w="0" w:type="auto"/>
            <w:vMerge/>
          </w:tcPr>
          <w:p w14:paraId="212E366B" w14:textId="77777777" w:rsidR="00217A61" w:rsidRDefault="00217A61"/>
        </w:tc>
        <w:tc>
          <w:tcPr>
            <w:tcW w:w="0" w:type="auto"/>
          </w:tcPr>
          <w:p w14:paraId="04EA6FDB" w14:textId="77777777" w:rsidR="00217A61" w:rsidRDefault="001C2695">
            <w:pPr>
              <w:keepNext/>
              <w:spacing w:before="100" w:after="0"/>
              <w:rPr>
                <w:rFonts w:asciiTheme="minorHAnsi" w:hAnsiTheme="minorHAnsi"/>
                <w:b/>
                <w:color w:val="000033"/>
              </w:rPr>
            </w:pPr>
            <w:r>
              <w:rPr>
                <w:rFonts w:asciiTheme="minorHAnsi" w:hAnsiTheme="minorHAnsi"/>
                <w:b/>
                <w:color w:val="000033"/>
              </w:rPr>
              <w:t>Describe the demographics of the respondents or characteristics of the unit of measure, and the number of respondents or units surveyed.</w:t>
            </w:r>
          </w:p>
          <w:p w14:paraId="30D1D4E3" w14:textId="77777777" w:rsidR="00217A61" w:rsidRDefault="001C2695">
            <w:pPr>
              <w:spacing w:before="100" w:after="0"/>
            </w:pPr>
            <w:r>
              <w:rPr>
                <w:color w:val="000000"/>
              </w:rPr>
              <w:t xml:space="preserve"> </w:t>
            </w:r>
          </w:p>
        </w:tc>
      </w:tr>
      <w:tr w:rsidR="00217A61" w14:paraId="56E50128" w14:textId="77777777">
        <w:trPr>
          <w:cantSplit/>
        </w:trPr>
        <w:tc>
          <w:tcPr>
            <w:tcW w:w="0" w:type="auto"/>
            <w:vMerge w:val="restart"/>
          </w:tcPr>
          <w:p w14:paraId="5B3F7188" w14:textId="77777777" w:rsidR="00217A61" w:rsidRDefault="001C2695">
            <w:r>
              <w:rPr>
                <w:b/>
              </w:rPr>
              <w:t>6</w:t>
            </w:r>
          </w:p>
        </w:tc>
        <w:tc>
          <w:tcPr>
            <w:tcW w:w="0" w:type="auto"/>
          </w:tcPr>
          <w:p w14:paraId="2BF35356" w14:textId="77777777" w:rsidR="00217A61" w:rsidRDefault="001C2695">
            <w:pPr>
              <w:keepNext/>
              <w:spacing w:before="100" w:after="0"/>
              <w:rPr>
                <w:rFonts w:asciiTheme="minorHAnsi" w:hAnsiTheme="minorHAnsi"/>
                <w:b/>
              </w:rPr>
            </w:pPr>
            <w:r>
              <w:rPr>
                <w:rFonts w:asciiTheme="minorHAnsi" w:hAnsiTheme="minorHAnsi"/>
                <w:b/>
                <w:bCs/>
              </w:rPr>
              <w:t>Data Source Name</w:t>
            </w:r>
          </w:p>
          <w:p w14:paraId="30D0D76B" w14:textId="77777777" w:rsidR="00217A61" w:rsidRDefault="001C2695">
            <w:pPr>
              <w:spacing w:before="100" w:after="0"/>
            </w:pPr>
            <w:r>
              <w:rPr>
                <w:color w:val="000000"/>
              </w:rPr>
              <w:t xml:space="preserve">2019 PIT Count by </w:t>
            </w:r>
            <w:proofErr w:type="spellStart"/>
            <w:r>
              <w:rPr>
                <w:color w:val="000000"/>
              </w:rPr>
              <w:t>CoC</w:t>
            </w:r>
            <w:proofErr w:type="spellEnd"/>
          </w:p>
        </w:tc>
      </w:tr>
      <w:tr w:rsidR="00217A61" w14:paraId="06025D43" w14:textId="77777777">
        <w:trPr>
          <w:cantSplit/>
        </w:trPr>
        <w:tc>
          <w:tcPr>
            <w:tcW w:w="0" w:type="auto"/>
            <w:vMerge/>
          </w:tcPr>
          <w:p w14:paraId="2A6A3AD7" w14:textId="77777777" w:rsidR="00217A61" w:rsidRDefault="00217A61"/>
        </w:tc>
        <w:tc>
          <w:tcPr>
            <w:tcW w:w="0" w:type="auto"/>
          </w:tcPr>
          <w:p w14:paraId="486025BE" w14:textId="77777777" w:rsidR="00217A61" w:rsidRDefault="001C2695">
            <w:pPr>
              <w:keepNext/>
              <w:spacing w:before="100" w:after="0"/>
              <w:rPr>
                <w:rFonts w:asciiTheme="minorHAnsi" w:hAnsiTheme="minorHAnsi"/>
                <w:b/>
              </w:rPr>
            </w:pPr>
            <w:r>
              <w:rPr>
                <w:rFonts w:asciiTheme="minorHAnsi" w:hAnsiTheme="minorHAnsi"/>
                <w:b/>
              </w:rPr>
              <w:t>List the name of the organization or individual who originated the data set.</w:t>
            </w:r>
          </w:p>
          <w:p w14:paraId="2B94C97C" w14:textId="77777777" w:rsidR="00217A61" w:rsidRDefault="001C2695">
            <w:pPr>
              <w:spacing w:before="100" w:after="0"/>
            </w:pPr>
            <w:r>
              <w:rPr>
                <w:color w:val="000000"/>
              </w:rPr>
              <w:t>The Continuum of Care (</w:t>
            </w:r>
            <w:proofErr w:type="spellStart"/>
            <w:r>
              <w:rPr>
                <w:color w:val="000000"/>
              </w:rPr>
              <w:t>CoC</w:t>
            </w:r>
            <w:proofErr w:type="spellEnd"/>
            <w:r>
              <w:rPr>
                <w:color w:val="000000"/>
              </w:rPr>
              <w:t>) Program is designed to promote communitywide commitment to the goal of ending homelessness; provide funding for efforts by nonp</w:t>
            </w:r>
            <w:r>
              <w:rPr>
                <w:color w:val="000000"/>
              </w:rPr>
              <w:t>rofit providers, and State and local governments to quickly rehouse homeless individuals and families while minimizing the trauma and dislocation caused to homeless individuals, families, and communities by homelessness; promote access to and effect utiliz</w:t>
            </w:r>
            <w:r>
              <w:rPr>
                <w:color w:val="000000"/>
              </w:rPr>
              <w:t>ation of mainstream programs by homeless individuals and families; and optimize self-sufficiency among individuals and families experiencing homelessness.</w:t>
            </w:r>
          </w:p>
        </w:tc>
      </w:tr>
      <w:tr w:rsidR="00217A61" w14:paraId="69172E95" w14:textId="77777777">
        <w:trPr>
          <w:cantSplit/>
        </w:trPr>
        <w:tc>
          <w:tcPr>
            <w:tcW w:w="0" w:type="auto"/>
            <w:vMerge/>
          </w:tcPr>
          <w:p w14:paraId="23C08432" w14:textId="77777777" w:rsidR="00217A61" w:rsidRDefault="00217A61"/>
        </w:tc>
        <w:tc>
          <w:tcPr>
            <w:tcW w:w="0" w:type="auto"/>
          </w:tcPr>
          <w:p w14:paraId="2B9C3620" w14:textId="77777777" w:rsidR="00217A61" w:rsidRDefault="001C2695">
            <w:pPr>
              <w:keepNext/>
              <w:spacing w:before="100" w:after="0"/>
              <w:rPr>
                <w:rFonts w:asciiTheme="minorHAnsi" w:hAnsiTheme="minorHAnsi"/>
                <w:b/>
              </w:rPr>
            </w:pPr>
            <w:r>
              <w:rPr>
                <w:rFonts w:asciiTheme="minorHAnsi" w:hAnsiTheme="minorHAnsi"/>
                <w:b/>
              </w:rPr>
              <w:t xml:space="preserve">Provide </w:t>
            </w:r>
            <w:proofErr w:type="gramStart"/>
            <w:r>
              <w:rPr>
                <w:rFonts w:asciiTheme="minorHAnsi" w:hAnsiTheme="minorHAnsi"/>
                <w:b/>
              </w:rPr>
              <w:t>a brief summary</w:t>
            </w:r>
            <w:proofErr w:type="gramEnd"/>
            <w:r>
              <w:rPr>
                <w:rFonts w:asciiTheme="minorHAnsi" w:hAnsiTheme="minorHAnsi"/>
                <w:b/>
              </w:rPr>
              <w:t xml:space="preserve"> of the data set.</w:t>
            </w:r>
          </w:p>
          <w:p w14:paraId="22D539CD" w14:textId="77777777" w:rsidR="00217A61" w:rsidRDefault="001C2695">
            <w:pPr>
              <w:spacing w:before="100" w:after="0"/>
            </w:pPr>
            <w:r>
              <w:rPr>
                <w:color w:val="000000"/>
              </w:rPr>
              <w:t>Continuum of Care (</w:t>
            </w:r>
            <w:proofErr w:type="spellStart"/>
            <w:r>
              <w:rPr>
                <w:color w:val="000000"/>
              </w:rPr>
              <w:t>CoC</w:t>
            </w:r>
            <w:proofErr w:type="spellEnd"/>
            <w:r>
              <w:rPr>
                <w:color w:val="000000"/>
              </w:rPr>
              <w:t xml:space="preserve">) Homeless Assistance Programs Homeless Populations and Subpopulations Reports provide counts for sheltered and unsheltered homeless persons by household type and subpopulation, available at the national and state level, and for each </w:t>
            </w:r>
            <w:proofErr w:type="spellStart"/>
            <w:r>
              <w:rPr>
                <w:color w:val="000000"/>
              </w:rPr>
              <w:t>CoC</w:t>
            </w:r>
            <w:proofErr w:type="spellEnd"/>
            <w:r>
              <w:rPr>
                <w:color w:val="000000"/>
              </w:rPr>
              <w:t xml:space="preserve">. The reports are based on Point-in-Time (PIT) information provided to HUD by </w:t>
            </w:r>
            <w:proofErr w:type="spellStart"/>
            <w:r>
              <w:rPr>
                <w:color w:val="000000"/>
              </w:rPr>
              <w:t>CoCs</w:t>
            </w:r>
            <w:proofErr w:type="spellEnd"/>
            <w:r>
              <w:rPr>
                <w:color w:val="000000"/>
              </w:rPr>
              <w:t xml:space="preserve"> in the application for </w:t>
            </w:r>
            <w:proofErr w:type="spellStart"/>
            <w:r>
              <w:rPr>
                <w:color w:val="000000"/>
              </w:rPr>
              <w:t>CoC</w:t>
            </w:r>
            <w:proofErr w:type="spellEnd"/>
            <w:r>
              <w:rPr>
                <w:color w:val="000000"/>
              </w:rPr>
              <w:t xml:space="preserve"> Homeless Assistance Programs. The PIT Count provides a count of sheltered and unsheltered homeless persons on a single night during the last te</w:t>
            </w:r>
            <w:r>
              <w:rPr>
                <w:color w:val="000000"/>
              </w:rPr>
              <w:t>n days in January.</w:t>
            </w:r>
          </w:p>
        </w:tc>
      </w:tr>
      <w:tr w:rsidR="00217A61" w14:paraId="50B1173E" w14:textId="77777777">
        <w:trPr>
          <w:cantSplit/>
        </w:trPr>
        <w:tc>
          <w:tcPr>
            <w:tcW w:w="0" w:type="auto"/>
            <w:vMerge/>
          </w:tcPr>
          <w:p w14:paraId="3963046A" w14:textId="77777777" w:rsidR="00217A61" w:rsidRDefault="00217A61"/>
        </w:tc>
        <w:tc>
          <w:tcPr>
            <w:tcW w:w="0" w:type="auto"/>
          </w:tcPr>
          <w:p w14:paraId="26AD1AC5" w14:textId="77777777" w:rsidR="00217A61" w:rsidRDefault="001C2695">
            <w:pPr>
              <w:keepNext/>
              <w:spacing w:before="100" w:after="0"/>
              <w:rPr>
                <w:rFonts w:asciiTheme="minorHAnsi" w:hAnsiTheme="minorHAnsi"/>
                <w:b/>
              </w:rPr>
            </w:pPr>
            <w:r>
              <w:rPr>
                <w:rFonts w:asciiTheme="minorHAnsi" w:hAnsiTheme="minorHAnsi"/>
                <w:b/>
                <w:color w:val="000033"/>
              </w:rPr>
              <w:t>What was the purpose for developing this data set?</w:t>
            </w:r>
          </w:p>
          <w:p w14:paraId="59E8BD40" w14:textId="77777777" w:rsidR="00217A61" w:rsidRDefault="001C2695">
            <w:pPr>
              <w:spacing w:before="100" w:after="0"/>
            </w:pPr>
            <w:r>
              <w:rPr>
                <w:color w:val="000000"/>
              </w:rPr>
              <w:t xml:space="preserve"> </w:t>
            </w:r>
          </w:p>
        </w:tc>
      </w:tr>
      <w:tr w:rsidR="00217A61" w14:paraId="3CE9E49B" w14:textId="77777777">
        <w:trPr>
          <w:cantSplit/>
        </w:trPr>
        <w:tc>
          <w:tcPr>
            <w:tcW w:w="0" w:type="auto"/>
            <w:vMerge/>
          </w:tcPr>
          <w:p w14:paraId="34D57AF1" w14:textId="77777777" w:rsidR="00217A61" w:rsidRDefault="00217A61"/>
        </w:tc>
        <w:tc>
          <w:tcPr>
            <w:tcW w:w="0" w:type="auto"/>
          </w:tcPr>
          <w:p w14:paraId="7CDA4C15" w14:textId="77777777" w:rsidR="00217A61" w:rsidRDefault="001C2695">
            <w:pPr>
              <w:keepNext/>
              <w:spacing w:before="100" w:after="0"/>
              <w:rPr>
                <w:rFonts w:asciiTheme="minorHAnsi" w:hAnsiTheme="minorHAnsi"/>
                <w:b/>
              </w:rPr>
            </w:pPr>
            <w:r>
              <w:rPr>
                <w:rFonts w:asciiTheme="minorHAnsi" w:hAnsiTheme="minorHAnsi"/>
                <w:b/>
                <w:color w:val="000033"/>
              </w:rPr>
              <w:t>Provide the year (and optionally month, or month and day) for when the data was collected.</w:t>
            </w:r>
          </w:p>
          <w:p w14:paraId="5DA5CE58" w14:textId="77777777" w:rsidR="00217A61" w:rsidRDefault="001C2695">
            <w:pPr>
              <w:spacing w:before="100" w:after="0"/>
            </w:pPr>
            <w:r>
              <w:rPr>
                <w:color w:val="000000"/>
              </w:rPr>
              <w:t>January 2019 </w:t>
            </w:r>
          </w:p>
        </w:tc>
      </w:tr>
      <w:tr w:rsidR="00217A61" w14:paraId="65E90741" w14:textId="77777777">
        <w:trPr>
          <w:cantSplit/>
        </w:trPr>
        <w:tc>
          <w:tcPr>
            <w:tcW w:w="0" w:type="auto"/>
            <w:vMerge/>
          </w:tcPr>
          <w:p w14:paraId="73F3D197" w14:textId="77777777" w:rsidR="00217A61" w:rsidRDefault="00217A61"/>
        </w:tc>
        <w:tc>
          <w:tcPr>
            <w:tcW w:w="0" w:type="auto"/>
          </w:tcPr>
          <w:p w14:paraId="6BBC9267" w14:textId="77777777" w:rsidR="00217A61" w:rsidRDefault="001C2695">
            <w:pPr>
              <w:keepNext/>
              <w:spacing w:before="100" w:after="0"/>
              <w:rPr>
                <w:rFonts w:asciiTheme="minorHAnsi" w:hAnsiTheme="minorHAnsi"/>
                <w:b/>
              </w:rPr>
            </w:pPr>
            <w:r>
              <w:rPr>
                <w:rFonts w:asciiTheme="minorHAnsi" w:hAnsiTheme="minorHAnsi"/>
                <w:b/>
              </w:rPr>
              <w:t>Briefly describe the methodology for the data collection.</w:t>
            </w:r>
          </w:p>
          <w:p w14:paraId="3C495FB2" w14:textId="77777777" w:rsidR="00217A61" w:rsidRDefault="001C2695">
            <w:pPr>
              <w:spacing w:before="100" w:after="0"/>
            </w:pPr>
            <w:r>
              <w:rPr>
                <w:color w:val="000000"/>
              </w:rPr>
              <w:t xml:space="preserve">HUD requires </w:t>
            </w:r>
            <w:proofErr w:type="spellStart"/>
            <w:r>
              <w:rPr>
                <w:color w:val="000000"/>
              </w:rPr>
              <w:t>Co</w:t>
            </w:r>
            <w:r>
              <w:rPr>
                <w:color w:val="000000"/>
              </w:rPr>
              <w:t>Cs</w:t>
            </w:r>
            <w:proofErr w:type="spellEnd"/>
            <w:r>
              <w:rPr>
                <w:color w:val="000000"/>
              </w:rPr>
              <w:t xml:space="preserve"> to collect reliable data on the total number and characteristics of all people (i.e., </w:t>
            </w:r>
            <w:proofErr w:type="gramStart"/>
            <w:r>
              <w:rPr>
                <w:color w:val="000000"/>
              </w:rPr>
              <w:t>sheltered</w:t>
            </w:r>
            <w:proofErr w:type="gramEnd"/>
            <w:r>
              <w:rPr>
                <w:color w:val="000000"/>
              </w:rPr>
              <w:t xml:space="preserve"> and unsheltered) residing in the </w:t>
            </w:r>
            <w:proofErr w:type="spellStart"/>
            <w:r>
              <w:rPr>
                <w:color w:val="000000"/>
              </w:rPr>
              <w:t>CoCs</w:t>
            </w:r>
            <w:proofErr w:type="spellEnd"/>
            <w:r>
              <w:rPr>
                <w:color w:val="000000"/>
              </w:rPr>
              <w:t xml:space="preserve">’ geographic area who are homeless on a single night and report these data to HUD. </w:t>
            </w:r>
            <w:proofErr w:type="spellStart"/>
            <w:r>
              <w:rPr>
                <w:color w:val="000000"/>
              </w:rPr>
              <w:t>CoCs</w:t>
            </w:r>
            <w:proofErr w:type="spellEnd"/>
            <w:r>
              <w:rPr>
                <w:color w:val="000000"/>
              </w:rPr>
              <w:t xml:space="preserve"> often do not have complete data </w:t>
            </w:r>
            <w:r>
              <w:rPr>
                <w:color w:val="000000"/>
              </w:rPr>
              <w:t xml:space="preserve">on everyone who is homeless and so must estimate some data. Therefore, HUD allows </w:t>
            </w:r>
            <w:proofErr w:type="spellStart"/>
            <w:r>
              <w:rPr>
                <w:color w:val="000000"/>
              </w:rPr>
              <w:t>CoCs</w:t>
            </w:r>
            <w:proofErr w:type="spellEnd"/>
            <w:r>
              <w:rPr>
                <w:color w:val="000000"/>
              </w:rPr>
              <w:t xml:space="preserve"> to use multiple approaches to complete their count, including a census approach, sample, or a combination of census and sampling approaches (shown in the graphic below).</w:t>
            </w:r>
            <w:r>
              <w:rPr>
                <w:color w:val="000000"/>
              </w:rPr>
              <w:t xml:space="preserve"> It is important for </w:t>
            </w:r>
            <w:proofErr w:type="spellStart"/>
            <w:r>
              <w:rPr>
                <w:color w:val="000000"/>
              </w:rPr>
              <w:t>CoCs</w:t>
            </w:r>
            <w:proofErr w:type="spellEnd"/>
            <w:r>
              <w:rPr>
                <w:color w:val="000000"/>
              </w:rPr>
              <w:t xml:space="preserve"> to closely examine their local circumstances, including resources, capacity, and other reporting needs, to determine whether a census or a sampling approach is appropriate for each aspect of their PIT count</w:t>
            </w:r>
          </w:p>
        </w:tc>
      </w:tr>
      <w:tr w:rsidR="00217A61" w14:paraId="582EBAF1" w14:textId="77777777">
        <w:trPr>
          <w:cantSplit/>
        </w:trPr>
        <w:tc>
          <w:tcPr>
            <w:tcW w:w="0" w:type="auto"/>
            <w:vMerge/>
          </w:tcPr>
          <w:p w14:paraId="37C82F6A" w14:textId="77777777" w:rsidR="00217A61" w:rsidRDefault="00217A61"/>
        </w:tc>
        <w:tc>
          <w:tcPr>
            <w:tcW w:w="0" w:type="auto"/>
          </w:tcPr>
          <w:p w14:paraId="15CFD771" w14:textId="77777777" w:rsidR="00217A61" w:rsidRDefault="001C2695">
            <w:pPr>
              <w:keepNext/>
              <w:spacing w:before="100" w:after="0"/>
              <w:rPr>
                <w:rFonts w:asciiTheme="minorHAnsi" w:hAnsiTheme="minorHAnsi"/>
                <w:b/>
              </w:rPr>
            </w:pPr>
            <w:r>
              <w:rPr>
                <w:rFonts w:asciiTheme="minorHAnsi" w:hAnsiTheme="minorHAnsi"/>
                <w:b/>
                <w:color w:val="000033"/>
              </w:rPr>
              <w:t xml:space="preserve">Describe the </w:t>
            </w:r>
            <w:r>
              <w:rPr>
                <w:rFonts w:asciiTheme="minorHAnsi" w:hAnsiTheme="minorHAnsi"/>
                <w:b/>
                <w:color w:val="000033"/>
              </w:rPr>
              <w:t>total population from which the sample was taken.</w:t>
            </w:r>
          </w:p>
          <w:p w14:paraId="6188CD09" w14:textId="77777777" w:rsidR="00217A61" w:rsidRDefault="001C2695">
            <w:pPr>
              <w:spacing w:before="100" w:after="0"/>
            </w:pPr>
            <w:r>
              <w:rPr>
                <w:color w:val="000000"/>
              </w:rPr>
              <w:t xml:space="preserve"> </w:t>
            </w:r>
          </w:p>
        </w:tc>
      </w:tr>
      <w:tr w:rsidR="00217A61" w14:paraId="3794A89F" w14:textId="77777777">
        <w:trPr>
          <w:cantSplit/>
        </w:trPr>
        <w:tc>
          <w:tcPr>
            <w:tcW w:w="0" w:type="auto"/>
            <w:vMerge/>
          </w:tcPr>
          <w:p w14:paraId="13C6A63D" w14:textId="77777777" w:rsidR="00217A61" w:rsidRDefault="00217A61"/>
        </w:tc>
        <w:tc>
          <w:tcPr>
            <w:tcW w:w="0" w:type="auto"/>
          </w:tcPr>
          <w:p w14:paraId="46E44136" w14:textId="77777777" w:rsidR="00217A61" w:rsidRDefault="001C2695">
            <w:pPr>
              <w:keepNext/>
              <w:spacing w:before="100" w:after="0"/>
              <w:rPr>
                <w:rFonts w:asciiTheme="minorHAnsi" w:hAnsiTheme="minorHAnsi"/>
                <w:b/>
                <w:color w:val="000033"/>
              </w:rPr>
            </w:pPr>
            <w:r>
              <w:rPr>
                <w:rFonts w:asciiTheme="minorHAnsi" w:hAnsiTheme="minorHAnsi"/>
                <w:b/>
                <w:color w:val="000033"/>
              </w:rPr>
              <w:t>Describe the demographics of the respondents or characteristics of the unit of measure, and the number of respondents or units surveyed.</w:t>
            </w:r>
          </w:p>
          <w:p w14:paraId="3DA6804C" w14:textId="77777777" w:rsidR="00217A61" w:rsidRDefault="001C2695">
            <w:pPr>
              <w:spacing w:before="100" w:after="0"/>
            </w:pPr>
            <w:r>
              <w:rPr>
                <w:color w:val="000000"/>
              </w:rPr>
              <w:t xml:space="preserve"> </w:t>
            </w:r>
          </w:p>
        </w:tc>
      </w:tr>
    </w:tbl>
    <w:p w14:paraId="5D159A66" w14:textId="77777777" w:rsidR="00000000" w:rsidRDefault="001C2695"/>
    <w:sectPr w:rsidR="00000000">
      <w:headerReference w:type="even" r:id="rId29"/>
      <w:headerReference w:type="default" r:id="rId30"/>
      <w:footerReference w:type="even" r:id="rId31"/>
      <w:headerReference w:type="first" r:id="rId32"/>
      <w:footerReference w:type="firs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D4D89" w14:textId="77777777" w:rsidR="00217A61" w:rsidRDefault="001C2695">
      <w:r>
        <w:separator/>
      </w:r>
    </w:p>
  </w:endnote>
  <w:endnote w:type="continuationSeparator" w:id="0">
    <w:p w14:paraId="378865F4" w14:textId="77777777" w:rsidR="00217A61" w:rsidRDefault="001C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B75B" w14:textId="77777777" w:rsidR="001A6419" w:rsidRDefault="001A6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8" w:type="dxa"/>
      <w:jc w:val="center"/>
      <w:tblLayout w:type="fixed"/>
      <w:tblLook w:val="01E0" w:firstRow="1" w:lastRow="1" w:firstColumn="1" w:lastColumn="1" w:noHBand="0" w:noVBand="0"/>
    </w:tblPr>
    <w:tblGrid>
      <w:gridCol w:w="1908"/>
      <w:gridCol w:w="5753"/>
      <w:gridCol w:w="2077"/>
    </w:tblGrid>
    <w:tr w:rsidR="00217A61" w14:paraId="262ABD05" w14:textId="77777777">
      <w:trPr>
        <w:jc w:val="center"/>
      </w:trPr>
      <w:tc>
        <w:tcPr>
          <w:tcW w:w="1908" w:type="dxa"/>
        </w:tcPr>
        <w:p w14:paraId="7801602A" w14:textId="77777777" w:rsidR="00217A61" w:rsidRDefault="001C2695">
          <w:pPr>
            <w:pStyle w:val="Footer"/>
            <w:spacing w:after="0" w:line="240" w:lineRule="auto"/>
            <w:ind w:left="-99"/>
          </w:pPr>
          <w:r>
            <w:t xml:space="preserve">  Consolidated Plan</w:t>
          </w:r>
        </w:p>
      </w:tc>
      <w:tc>
        <w:tcPr>
          <w:tcW w:w="5753" w:type="dxa"/>
        </w:tcPr>
        <w:p w14:paraId="67D329A9" w14:textId="77777777" w:rsidR="00217A61" w:rsidRDefault="001C2695">
          <w:pPr>
            <w:pStyle w:val="Footer"/>
            <w:spacing w:after="0" w:line="240" w:lineRule="auto"/>
            <w:ind w:hanging="90"/>
            <w:jc w:val="center"/>
            <w:rPr>
              <w:rFonts w:cs="Arial"/>
            </w:rPr>
          </w:pPr>
          <w:r>
            <w:rPr>
              <w:rFonts w:cs="Arial"/>
            </w:rPr>
            <w:t xml:space="preserve">North </w:t>
          </w:r>
          <w:r>
            <w:rPr>
              <w:rFonts w:cs="Arial"/>
            </w:rPr>
            <w:t>Carolina</w:t>
          </w:r>
        </w:p>
      </w:tc>
      <w:tc>
        <w:tcPr>
          <w:tcW w:w="2077" w:type="dxa"/>
        </w:tcPr>
        <w:p w14:paraId="2AF222B8" w14:textId="77777777" w:rsidR="00217A61" w:rsidRDefault="001C2695">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c>
    </w:tr>
  </w:tbl>
  <w:p w14:paraId="50A229EE" w14:textId="77777777" w:rsidR="00217A61" w:rsidRDefault="001C2695">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EB88" w14:textId="77777777" w:rsidR="001A6419" w:rsidRDefault="001A6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A7E2" w14:textId="77777777" w:rsidR="00217A61" w:rsidRDefault="00217A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50AB6" w14:textId="77777777" w:rsidR="00217A61" w:rsidRDefault="00217A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558F" w14:textId="77777777" w:rsidR="00217A61" w:rsidRDefault="00217A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7FF4" w14:textId="77777777" w:rsidR="00217A61" w:rsidRDefault="00217A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0F4" w14:textId="77777777" w:rsidR="00217A61" w:rsidRDefault="00217A6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A7E2" w14:textId="77777777" w:rsidR="00217A61" w:rsidRDefault="0021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13591" w14:textId="77777777" w:rsidR="00217A61" w:rsidRDefault="001C2695">
      <w:r>
        <w:separator/>
      </w:r>
    </w:p>
  </w:footnote>
  <w:footnote w:type="continuationSeparator" w:id="0">
    <w:p w14:paraId="56325E01" w14:textId="77777777" w:rsidR="00217A61" w:rsidRDefault="001C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9AE1" w14:textId="742147A4" w:rsidR="001A6419" w:rsidRDefault="001A6419">
    <w:pPr>
      <w:pStyle w:val="Header"/>
    </w:pPr>
    <w:r>
      <w:rPr>
        <w:noProof/>
      </w:rPr>
      <w:pict w14:anchorId="22ECD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563" o:spid="_x0000_s2050" type="#_x0000_t136" style="position:absolute;margin-left:0;margin-top:0;width:580.65pt;height:79.15pt;rotation:315;z-index:-251655168;mso-position-horizontal:center;mso-position-horizontal-relative:margin;mso-position-vertical:center;mso-position-vertical-relative:margin" o:allowincell="f" fillcolor="silver" stroked="f">
          <v:fill opacity=".5"/>
          <v:textpath style="font-family:&quot;Calibri&quot;;font-size:1pt" string="Public Comment 3.29.2021"/>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286E" w14:textId="31448F36" w:rsidR="00217A61" w:rsidRDefault="001A6419">
    <w:pPr>
      <w:pStyle w:val="Header"/>
    </w:pPr>
    <w:r>
      <w:rPr>
        <w:noProof/>
      </w:rPr>
      <w:pict w14:anchorId="1A545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572" o:spid="_x0000_s2059" type="#_x0000_t136" style="position:absolute;margin-left:0;margin-top:0;width:580.65pt;height:79.15pt;rotation:315;z-index:-251636736;mso-position-horizontal:center;mso-position-horizontal-relative:margin;mso-position-vertical:center;mso-position-vertical-relative:margin" o:allowincell="f" fillcolor="silver" stroked="f">
          <v:fill opacity=".5"/>
          <v:textpath style="font-family:&quot;Calibri&quot;;font-size:1pt" string="Public Comment 3.29.2021"/>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D969" w14:textId="5AC432EB" w:rsidR="00217A61" w:rsidRDefault="001A6419">
    <w:pPr>
      <w:pStyle w:val="Header"/>
    </w:pPr>
    <w:r>
      <w:rPr>
        <w:noProof/>
      </w:rPr>
      <w:pict w14:anchorId="2FD00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573" o:spid="_x0000_s2060" type="#_x0000_t136" style="position:absolute;margin-left:0;margin-top:0;width:580.65pt;height:79.15pt;rotation:315;z-index:-251634688;mso-position-horizontal:center;mso-position-horizontal-relative:margin;mso-position-vertical:center;mso-position-vertical-relative:margin" o:allowincell="f" fillcolor="silver" stroked="f">
          <v:fill opacity=".5"/>
          <v:textpath style="font-family:&quot;Calibri&quot;;font-size:1pt" string="Public Comment 3.29.2021"/>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BA1F" w14:textId="554BB721" w:rsidR="00217A61" w:rsidRDefault="001A6419">
    <w:pPr>
      <w:pStyle w:val="Header"/>
    </w:pPr>
    <w:r>
      <w:rPr>
        <w:noProof/>
      </w:rPr>
      <w:pict w14:anchorId="4F6AF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571" o:spid="_x0000_s2058" type="#_x0000_t136" style="position:absolute;margin-left:0;margin-top:0;width:580.65pt;height:79.15pt;rotation:315;z-index:-251638784;mso-position-horizontal:center;mso-position-horizontal-relative:margin;mso-position-vertical:center;mso-position-vertical-relative:margin" o:allowincell="f" fillcolor="silver" stroked="f">
          <v:fill opacity=".5"/>
          <v:textpath style="font-family:&quot;Calibri&quot;;font-size:1pt" string="Public Comment 3.29.202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28B6" w14:textId="6565677F" w:rsidR="001A6419" w:rsidRDefault="001A6419">
    <w:pPr>
      <w:pStyle w:val="Header"/>
    </w:pPr>
    <w:r>
      <w:rPr>
        <w:noProof/>
      </w:rPr>
      <w:pict w14:anchorId="78335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564" o:spid="_x0000_s2051" type="#_x0000_t136" style="position:absolute;margin-left:0;margin-top:0;width:580.65pt;height:79.15pt;rotation:315;z-index:-251653120;mso-position-horizontal:center;mso-position-horizontal-relative:margin;mso-position-vertical:center;mso-position-vertical-relative:margin" o:allowincell="f" fillcolor="silver" stroked="f">
          <v:fill opacity=".5"/>
          <v:textpath style="font-family:&quot;Calibri&quot;;font-size:1pt" string="Public Comment 3.29.202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67A9" w14:textId="0701EA3A" w:rsidR="001A6419" w:rsidRDefault="001A6419">
    <w:pPr>
      <w:pStyle w:val="Header"/>
    </w:pPr>
    <w:r>
      <w:rPr>
        <w:noProof/>
      </w:rPr>
      <w:pict w14:anchorId="209B7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562" o:spid="_x0000_s2049" type="#_x0000_t136" style="position:absolute;margin-left:0;margin-top:0;width:580.65pt;height:79.15pt;rotation:315;z-index:-251657216;mso-position-horizontal:center;mso-position-horizontal-relative:margin;mso-position-vertical:center;mso-position-vertical-relative:margin" o:allowincell="f" fillcolor="silver" stroked="f">
          <v:fill opacity=".5"/>
          <v:textpath style="font-family:&quot;Calibri&quot;;font-size:1pt" string="Public Comment 3.29.2021"/>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6ADC" w14:textId="7035E24D" w:rsidR="00217A61" w:rsidRDefault="001A6419">
    <w:pPr>
      <w:pStyle w:val="Header"/>
    </w:pPr>
    <w:r>
      <w:rPr>
        <w:noProof/>
      </w:rPr>
      <w:pict w14:anchorId="2D1A9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566" o:spid="_x0000_s2053" type="#_x0000_t136" style="position:absolute;margin-left:0;margin-top:0;width:580.65pt;height:79.15pt;rotation:315;z-index:-251649024;mso-position-horizontal:center;mso-position-horizontal-relative:margin;mso-position-vertical:center;mso-position-vertical-relative:margin" o:allowincell="f" fillcolor="silver" stroked="f">
          <v:fill opacity=".5"/>
          <v:textpath style="font-family:&quot;Calibri&quot;;font-size:1pt" string="Public Comment 3.29.2021"/>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91F5" w14:textId="18B9F906" w:rsidR="00217A61" w:rsidRDefault="001A6419">
    <w:pPr>
      <w:pStyle w:val="Header"/>
    </w:pPr>
    <w:r>
      <w:rPr>
        <w:noProof/>
      </w:rPr>
      <w:pict w14:anchorId="34576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567" o:spid="_x0000_s2054" type="#_x0000_t136" style="position:absolute;margin-left:0;margin-top:0;width:580.65pt;height:79.15pt;rotation:315;z-index:-251646976;mso-position-horizontal:center;mso-position-horizontal-relative:margin;mso-position-vertical:center;mso-position-vertical-relative:margin" o:allowincell="f" fillcolor="silver" stroked="f">
          <v:fill opacity=".5"/>
          <v:textpath style="font-family:&quot;Calibri&quot;;font-size:1pt" string="Public Comment 3.29.2021"/>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79B3" w14:textId="6E0238E9" w:rsidR="00217A61" w:rsidRDefault="001A6419">
    <w:pPr>
      <w:pStyle w:val="Header"/>
    </w:pPr>
    <w:r>
      <w:rPr>
        <w:noProof/>
      </w:rPr>
      <w:pict w14:anchorId="2FE13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565" o:spid="_x0000_s2052" type="#_x0000_t136" style="position:absolute;margin-left:0;margin-top:0;width:580.65pt;height:79.15pt;rotation:315;z-index:-251651072;mso-position-horizontal:center;mso-position-horizontal-relative:margin;mso-position-vertical:center;mso-position-vertical-relative:margin" o:allowincell="f" fillcolor="silver" stroked="f">
          <v:fill opacity=".5"/>
          <v:textpath style="font-family:&quot;Calibri&quot;;font-size:1pt" string="Public Comment 3.29.2021"/>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50C8" w14:textId="5E936BF5" w:rsidR="00217A61" w:rsidRDefault="001A6419">
    <w:pPr>
      <w:pStyle w:val="Header"/>
    </w:pPr>
    <w:r>
      <w:rPr>
        <w:noProof/>
      </w:rPr>
      <w:pict w14:anchorId="46A26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569" o:spid="_x0000_s2056" type="#_x0000_t136" style="position:absolute;margin-left:0;margin-top:0;width:580.65pt;height:79.15pt;rotation:315;z-index:-251642880;mso-position-horizontal:center;mso-position-horizontal-relative:margin;mso-position-vertical:center;mso-position-vertical-relative:margin" o:allowincell="f" fillcolor="silver" stroked="f">
          <v:fill opacity=".5"/>
          <v:textpath style="font-family:&quot;Calibri&quot;;font-size:1pt" string="Public Comment 3.29.2021"/>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9051" w14:textId="3582E220" w:rsidR="00217A61" w:rsidRDefault="001A6419">
    <w:pPr>
      <w:pStyle w:val="Header"/>
    </w:pPr>
    <w:r>
      <w:rPr>
        <w:noProof/>
      </w:rPr>
      <w:pict w14:anchorId="39776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570" o:spid="_x0000_s2057" type="#_x0000_t136" style="position:absolute;margin-left:0;margin-top:0;width:580.65pt;height:79.15pt;rotation:315;z-index:-251640832;mso-position-horizontal:center;mso-position-horizontal-relative:margin;mso-position-vertical:center;mso-position-vertical-relative:margin" o:allowincell="f" fillcolor="silver" stroked="f">
          <v:fill opacity=".5"/>
          <v:textpath style="font-family:&quot;Calibri&quot;;font-size:1pt" string="Public Comment 3.29.2021"/>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D6ED" w14:textId="4AAC78C1" w:rsidR="00217A61" w:rsidRDefault="001A6419">
    <w:pPr>
      <w:pStyle w:val="Header"/>
    </w:pPr>
    <w:r>
      <w:rPr>
        <w:noProof/>
      </w:rPr>
      <w:pict w14:anchorId="5A27F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568" o:spid="_x0000_s2055" type="#_x0000_t136" style="position:absolute;margin-left:0;margin-top:0;width:580.65pt;height:79.15pt;rotation:315;z-index:-251644928;mso-position-horizontal:center;mso-position-horizontal-relative:margin;mso-position-vertical:center;mso-position-vertical-relative:margin" o:allowincell="f" fillcolor="silver" stroked="f">
          <v:fill opacity=".5"/>
          <v:textpath style="font-family:&quot;Calibri&quot;;font-size:1pt" string="Public Comment 3.29.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88B78E5"/>
    <w:multiLevelType w:val="hybridMultilevel"/>
    <w:tmpl w:val="6CB03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A11855"/>
    <w:multiLevelType w:val="hybridMultilevel"/>
    <w:tmpl w:val="41306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172D14"/>
    <w:multiLevelType w:val="hybridMultilevel"/>
    <w:tmpl w:val="5338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502A2"/>
    <w:multiLevelType w:val="hybridMultilevel"/>
    <w:tmpl w:val="5338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9"/>
  </w:num>
  <w:num w:numId="15">
    <w:abstractNumId w:val="14"/>
  </w:num>
  <w:num w:numId="16">
    <w:abstractNumId w:val="18"/>
  </w:num>
  <w:num w:numId="17">
    <w:abstractNumId w:val="12"/>
  </w:num>
  <w:num w:numId="18">
    <w:abstractNumId w:val="17"/>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2411"/>
    <w:rsid w:val="00002C53"/>
    <w:rsid w:val="000043C4"/>
    <w:rsid w:val="00004F01"/>
    <w:rsid w:val="00005BB0"/>
    <w:rsid w:val="00006F99"/>
    <w:rsid w:val="00007996"/>
    <w:rsid w:val="0001146D"/>
    <w:rsid w:val="000116B2"/>
    <w:rsid w:val="00011906"/>
    <w:rsid w:val="00011967"/>
    <w:rsid w:val="000125CC"/>
    <w:rsid w:val="00012AEB"/>
    <w:rsid w:val="00012DCD"/>
    <w:rsid w:val="000204C7"/>
    <w:rsid w:val="00022248"/>
    <w:rsid w:val="0002234B"/>
    <w:rsid w:val="00023E88"/>
    <w:rsid w:val="00023F52"/>
    <w:rsid w:val="00024464"/>
    <w:rsid w:val="000245E3"/>
    <w:rsid w:val="00026149"/>
    <w:rsid w:val="00027899"/>
    <w:rsid w:val="00027B5A"/>
    <w:rsid w:val="0003185F"/>
    <w:rsid w:val="00031F44"/>
    <w:rsid w:val="00031FC3"/>
    <w:rsid w:val="00032C1E"/>
    <w:rsid w:val="0003300B"/>
    <w:rsid w:val="0003457B"/>
    <w:rsid w:val="0003459B"/>
    <w:rsid w:val="00035628"/>
    <w:rsid w:val="000357CA"/>
    <w:rsid w:val="000358EA"/>
    <w:rsid w:val="00035F04"/>
    <w:rsid w:val="00036CA1"/>
    <w:rsid w:val="00042B85"/>
    <w:rsid w:val="00043DF8"/>
    <w:rsid w:val="0004421A"/>
    <w:rsid w:val="0004425B"/>
    <w:rsid w:val="00044565"/>
    <w:rsid w:val="000451C5"/>
    <w:rsid w:val="0004603E"/>
    <w:rsid w:val="00047E3E"/>
    <w:rsid w:val="000505B2"/>
    <w:rsid w:val="000515E5"/>
    <w:rsid w:val="000518AA"/>
    <w:rsid w:val="00051A65"/>
    <w:rsid w:val="00051ED8"/>
    <w:rsid w:val="0005357C"/>
    <w:rsid w:val="00053E62"/>
    <w:rsid w:val="00056828"/>
    <w:rsid w:val="00057E29"/>
    <w:rsid w:val="00060CD3"/>
    <w:rsid w:val="00060CE4"/>
    <w:rsid w:val="00061053"/>
    <w:rsid w:val="000612CA"/>
    <w:rsid w:val="00061845"/>
    <w:rsid w:val="00061B37"/>
    <w:rsid w:val="00061C6C"/>
    <w:rsid w:val="00061E41"/>
    <w:rsid w:val="000620FD"/>
    <w:rsid w:val="000629E2"/>
    <w:rsid w:val="000634B1"/>
    <w:rsid w:val="000649D2"/>
    <w:rsid w:val="00064ABA"/>
    <w:rsid w:val="00064C75"/>
    <w:rsid w:val="00065411"/>
    <w:rsid w:val="00066D3C"/>
    <w:rsid w:val="000670CF"/>
    <w:rsid w:val="0006773B"/>
    <w:rsid w:val="00067FB3"/>
    <w:rsid w:val="00067FD4"/>
    <w:rsid w:val="0007036E"/>
    <w:rsid w:val="00070B19"/>
    <w:rsid w:val="00072C8A"/>
    <w:rsid w:val="00072E1F"/>
    <w:rsid w:val="000748C7"/>
    <w:rsid w:val="00075338"/>
    <w:rsid w:val="00075389"/>
    <w:rsid w:val="00075F3E"/>
    <w:rsid w:val="00076459"/>
    <w:rsid w:val="0007671C"/>
    <w:rsid w:val="0007671E"/>
    <w:rsid w:val="0007735F"/>
    <w:rsid w:val="000803B0"/>
    <w:rsid w:val="00080ECB"/>
    <w:rsid w:val="00081136"/>
    <w:rsid w:val="000825DF"/>
    <w:rsid w:val="000831B8"/>
    <w:rsid w:val="00083B49"/>
    <w:rsid w:val="00083F42"/>
    <w:rsid w:val="00084899"/>
    <w:rsid w:val="0008531E"/>
    <w:rsid w:val="00085ECE"/>
    <w:rsid w:val="000863F3"/>
    <w:rsid w:val="0008729C"/>
    <w:rsid w:val="0008764E"/>
    <w:rsid w:val="000878C7"/>
    <w:rsid w:val="00087BEC"/>
    <w:rsid w:val="000906C3"/>
    <w:rsid w:val="00090BC2"/>
    <w:rsid w:val="00091139"/>
    <w:rsid w:val="000916BB"/>
    <w:rsid w:val="00091F70"/>
    <w:rsid w:val="00093FD3"/>
    <w:rsid w:val="0009419B"/>
    <w:rsid w:val="000942E0"/>
    <w:rsid w:val="000957CE"/>
    <w:rsid w:val="00096632"/>
    <w:rsid w:val="000968BA"/>
    <w:rsid w:val="00096BAB"/>
    <w:rsid w:val="00096FE3"/>
    <w:rsid w:val="000A0B94"/>
    <w:rsid w:val="000A2579"/>
    <w:rsid w:val="000A2673"/>
    <w:rsid w:val="000A269E"/>
    <w:rsid w:val="000A32D4"/>
    <w:rsid w:val="000A3328"/>
    <w:rsid w:val="000A3869"/>
    <w:rsid w:val="000A3AF5"/>
    <w:rsid w:val="000A5DFB"/>
    <w:rsid w:val="000A6604"/>
    <w:rsid w:val="000A7531"/>
    <w:rsid w:val="000A77DE"/>
    <w:rsid w:val="000A7C39"/>
    <w:rsid w:val="000A7EB6"/>
    <w:rsid w:val="000B259F"/>
    <w:rsid w:val="000B2803"/>
    <w:rsid w:val="000B2B4C"/>
    <w:rsid w:val="000B3461"/>
    <w:rsid w:val="000B45BD"/>
    <w:rsid w:val="000B5D24"/>
    <w:rsid w:val="000B7A3C"/>
    <w:rsid w:val="000B7A4F"/>
    <w:rsid w:val="000C0482"/>
    <w:rsid w:val="000C0752"/>
    <w:rsid w:val="000C0905"/>
    <w:rsid w:val="000C20FC"/>
    <w:rsid w:val="000C265E"/>
    <w:rsid w:val="000C34AD"/>
    <w:rsid w:val="000C3ACA"/>
    <w:rsid w:val="000C45CB"/>
    <w:rsid w:val="000C4C84"/>
    <w:rsid w:val="000C50CD"/>
    <w:rsid w:val="000C57EA"/>
    <w:rsid w:val="000C666E"/>
    <w:rsid w:val="000C7664"/>
    <w:rsid w:val="000D0182"/>
    <w:rsid w:val="000D1AA2"/>
    <w:rsid w:val="000D4F3F"/>
    <w:rsid w:val="000D678D"/>
    <w:rsid w:val="000D6DD7"/>
    <w:rsid w:val="000D734A"/>
    <w:rsid w:val="000E091F"/>
    <w:rsid w:val="000E1326"/>
    <w:rsid w:val="000E1DFB"/>
    <w:rsid w:val="000E1F9B"/>
    <w:rsid w:val="000E3CDD"/>
    <w:rsid w:val="000E5032"/>
    <w:rsid w:val="000E6121"/>
    <w:rsid w:val="000E640E"/>
    <w:rsid w:val="000E6B9A"/>
    <w:rsid w:val="000E6CB6"/>
    <w:rsid w:val="000E758D"/>
    <w:rsid w:val="000E7DAD"/>
    <w:rsid w:val="000F04AF"/>
    <w:rsid w:val="000F0A25"/>
    <w:rsid w:val="000F1261"/>
    <w:rsid w:val="000F1F04"/>
    <w:rsid w:val="000F3A3D"/>
    <w:rsid w:val="000F421A"/>
    <w:rsid w:val="000F79C7"/>
    <w:rsid w:val="00101E3D"/>
    <w:rsid w:val="00102442"/>
    <w:rsid w:val="00103BE2"/>
    <w:rsid w:val="00105DC0"/>
    <w:rsid w:val="001062D4"/>
    <w:rsid w:val="001068C0"/>
    <w:rsid w:val="00106EFD"/>
    <w:rsid w:val="00106F70"/>
    <w:rsid w:val="001078D7"/>
    <w:rsid w:val="001105E4"/>
    <w:rsid w:val="00110971"/>
    <w:rsid w:val="00110B76"/>
    <w:rsid w:val="00111C8B"/>
    <w:rsid w:val="00112002"/>
    <w:rsid w:val="00112F30"/>
    <w:rsid w:val="00113AB6"/>
    <w:rsid w:val="00114CA6"/>
    <w:rsid w:val="00115066"/>
    <w:rsid w:val="001153EB"/>
    <w:rsid w:val="001162C9"/>
    <w:rsid w:val="00117A7A"/>
    <w:rsid w:val="00117CAF"/>
    <w:rsid w:val="00121541"/>
    <w:rsid w:val="00123B67"/>
    <w:rsid w:val="00124603"/>
    <w:rsid w:val="00125428"/>
    <w:rsid w:val="00125567"/>
    <w:rsid w:val="0012585F"/>
    <w:rsid w:val="00125ED6"/>
    <w:rsid w:val="00125FCA"/>
    <w:rsid w:val="00126214"/>
    <w:rsid w:val="0013034C"/>
    <w:rsid w:val="00131B79"/>
    <w:rsid w:val="00132888"/>
    <w:rsid w:val="00132CEA"/>
    <w:rsid w:val="001338F6"/>
    <w:rsid w:val="0013404D"/>
    <w:rsid w:val="00134B79"/>
    <w:rsid w:val="0013533B"/>
    <w:rsid w:val="00135B76"/>
    <w:rsid w:val="00135EA7"/>
    <w:rsid w:val="0013605A"/>
    <w:rsid w:val="00136303"/>
    <w:rsid w:val="00136FA7"/>
    <w:rsid w:val="001376A4"/>
    <w:rsid w:val="00140B17"/>
    <w:rsid w:val="001414E7"/>
    <w:rsid w:val="00141F8B"/>
    <w:rsid w:val="00142268"/>
    <w:rsid w:val="0014324E"/>
    <w:rsid w:val="001436BA"/>
    <w:rsid w:val="0014372F"/>
    <w:rsid w:val="0014489D"/>
    <w:rsid w:val="00145923"/>
    <w:rsid w:val="001460FB"/>
    <w:rsid w:val="00150B00"/>
    <w:rsid w:val="00150F66"/>
    <w:rsid w:val="0015283A"/>
    <w:rsid w:val="00152937"/>
    <w:rsid w:val="00153192"/>
    <w:rsid w:val="00154412"/>
    <w:rsid w:val="00156045"/>
    <w:rsid w:val="00156205"/>
    <w:rsid w:val="001572A8"/>
    <w:rsid w:val="00157DDC"/>
    <w:rsid w:val="0016089C"/>
    <w:rsid w:val="00160AC1"/>
    <w:rsid w:val="00160CC5"/>
    <w:rsid w:val="00161DF7"/>
    <w:rsid w:val="0016267E"/>
    <w:rsid w:val="0016294A"/>
    <w:rsid w:val="00162952"/>
    <w:rsid w:val="00162A99"/>
    <w:rsid w:val="00163BA8"/>
    <w:rsid w:val="00163D99"/>
    <w:rsid w:val="00164969"/>
    <w:rsid w:val="00165B3F"/>
    <w:rsid w:val="001664F7"/>
    <w:rsid w:val="001669C1"/>
    <w:rsid w:val="00166AA9"/>
    <w:rsid w:val="001703C2"/>
    <w:rsid w:val="0017217E"/>
    <w:rsid w:val="001728FD"/>
    <w:rsid w:val="00172D3C"/>
    <w:rsid w:val="001733FF"/>
    <w:rsid w:val="00174EFD"/>
    <w:rsid w:val="00175A92"/>
    <w:rsid w:val="001763BE"/>
    <w:rsid w:val="00176F2C"/>
    <w:rsid w:val="0017732A"/>
    <w:rsid w:val="00177DEF"/>
    <w:rsid w:val="00180753"/>
    <w:rsid w:val="00181410"/>
    <w:rsid w:val="00182A06"/>
    <w:rsid w:val="0018314A"/>
    <w:rsid w:val="00184182"/>
    <w:rsid w:val="00184CFB"/>
    <w:rsid w:val="00186AD2"/>
    <w:rsid w:val="001870ED"/>
    <w:rsid w:val="00187F59"/>
    <w:rsid w:val="00190078"/>
    <w:rsid w:val="00191614"/>
    <w:rsid w:val="00191F5F"/>
    <w:rsid w:val="00192997"/>
    <w:rsid w:val="00193AF0"/>
    <w:rsid w:val="00194176"/>
    <w:rsid w:val="00194AA8"/>
    <w:rsid w:val="00194CDA"/>
    <w:rsid w:val="00194F5B"/>
    <w:rsid w:val="001955C6"/>
    <w:rsid w:val="00195EC4"/>
    <w:rsid w:val="00196757"/>
    <w:rsid w:val="00197A7A"/>
    <w:rsid w:val="00197EA6"/>
    <w:rsid w:val="001A0074"/>
    <w:rsid w:val="001A0F7B"/>
    <w:rsid w:val="001A1131"/>
    <w:rsid w:val="001A439D"/>
    <w:rsid w:val="001A457F"/>
    <w:rsid w:val="001A53F5"/>
    <w:rsid w:val="001A5DDF"/>
    <w:rsid w:val="001A6419"/>
    <w:rsid w:val="001A6644"/>
    <w:rsid w:val="001A6827"/>
    <w:rsid w:val="001A6828"/>
    <w:rsid w:val="001A6F81"/>
    <w:rsid w:val="001A7348"/>
    <w:rsid w:val="001A7F28"/>
    <w:rsid w:val="001B0567"/>
    <w:rsid w:val="001B08AD"/>
    <w:rsid w:val="001B165C"/>
    <w:rsid w:val="001B5AF8"/>
    <w:rsid w:val="001B6520"/>
    <w:rsid w:val="001B6936"/>
    <w:rsid w:val="001B6B2A"/>
    <w:rsid w:val="001B7592"/>
    <w:rsid w:val="001B75E2"/>
    <w:rsid w:val="001B7DB9"/>
    <w:rsid w:val="001C0BF0"/>
    <w:rsid w:val="001C1F9F"/>
    <w:rsid w:val="001C2695"/>
    <w:rsid w:val="001C3019"/>
    <w:rsid w:val="001C34C9"/>
    <w:rsid w:val="001C3C19"/>
    <w:rsid w:val="001C4867"/>
    <w:rsid w:val="001C59B2"/>
    <w:rsid w:val="001C61C3"/>
    <w:rsid w:val="001C675C"/>
    <w:rsid w:val="001C7A55"/>
    <w:rsid w:val="001D0384"/>
    <w:rsid w:val="001D2011"/>
    <w:rsid w:val="001D20E3"/>
    <w:rsid w:val="001D285F"/>
    <w:rsid w:val="001D338A"/>
    <w:rsid w:val="001D4569"/>
    <w:rsid w:val="001D4882"/>
    <w:rsid w:val="001D4D99"/>
    <w:rsid w:val="001D5457"/>
    <w:rsid w:val="001D6ECF"/>
    <w:rsid w:val="001D759E"/>
    <w:rsid w:val="001D78ED"/>
    <w:rsid w:val="001E1072"/>
    <w:rsid w:val="001E131D"/>
    <w:rsid w:val="001E1C24"/>
    <w:rsid w:val="001E24A5"/>
    <w:rsid w:val="001E3EA8"/>
    <w:rsid w:val="001E4B9C"/>
    <w:rsid w:val="001E4D6F"/>
    <w:rsid w:val="001E4FF9"/>
    <w:rsid w:val="001E53F1"/>
    <w:rsid w:val="001E5D7F"/>
    <w:rsid w:val="001E5F46"/>
    <w:rsid w:val="001E65C5"/>
    <w:rsid w:val="001E6702"/>
    <w:rsid w:val="001E6E6E"/>
    <w:rsid w:val="001E763D"/>
    <w:rsid w:val="001E7D42"/>
    <w:rsid w:val="001F0BEB"/>
    <w:rsid w:val="001F12C7"/>
    <w:rsid w:val="001F1BE7"/>
    <w:rsid w:val="001F3A6A"/>
    <w:rsid w:val="001F3C7D"/>
    <w:rsid w:val="001F415B"/>
    <w:rsid w:val="001F5909"/>
    <w:rsid w:val="001F6123"/>
    <w:rsid w:val="001F667B"/>
    <w:rsid w:val="001F68DE"/>
    <w:rsid w:val="001F71E8"/>
    <w:rsid w:val="001F7C9D"/>
    <w:rsid w:val="00200F52"/>
    <w:rsid w:val="00202AD9"/>
    <w:rsid w:val="00203491"/>
    <w:rsid w:val="0020377B"/>
    <w:rsid w:val="00204AAD"/>
    <w:rsid w:val="002053A4"/>
    <w:rsid w:val="00205644"/>
    <w:rsid w:val="00205CCE"/>
    <w:rsid w:val="00206330"/>
    <w:rsid w:val="00207867"/>
    <w:rsid w:val="0021230F"/>
    <w:rsid w:val="00212A68"/>
    <w:rsid w:val="00212C6C"/>
    <w:rsid w:val="00212E96"/>
    <w:rsid w:val="002137A1"/>
    <w:rsid w:val="002137D5"/>
    <w:rsid w:val="00214170"/>
    <w:rsid w:val="0021425C"/>
    <w:rsid w:val="00215569"/>
    <w:rsid w:val="00217A61"/>
    <w:rsid w:val="00217B66"/>
    <w:rsid w:val="0022066D"/>
    <w:rsid w:val="002209D7"/>
    <w:rsid w:val="00220D8F"/>
    <w:rsid w:val="00221262"/>
    <w:rsid w:val="00221D81"/>
    <w:rsid w:val="002228FF"/>
    <w:rsid w:val="00223C84"/>
    <w:rsid w:val="00224741"/>
    <w:rsid w:val="00224ACA"/>
    <w:rsid w:val="00224CD2"/>
    <w:rsid w:val="00224EEE"/>
    <w:rsid w:val="002265FE"/>
    <w:rsid w:val="00226B56"/>
    <w:rsid w:val="00226B59"/>
    <w:rsid w:val="00230D69"/>
    <w:rsid w:val="002310E9"/>
    <w:rsid w:val="00231749"/>
    <w:rsid w:val="00231BC2"/>
    <w:rsid w:val="002323D0"/>
    <w:rsid w:val="002329E8"/>
    <w:rsid w:val="00232EDC"/>
    <w:rsid w:val="00232FF7"/>
    <w:rsid w:val="0023315D"/>
    <w:rsid w:val="00233524"/>
    <w:rsid w:val="00233956"/>
    <w:rsid w:val="00234115"/>
    <w:rsid w:val="002346CD"/>
    <w:rsid w:val="00235072"/>
    <w:rsid w:val="00235523"/>
    <w:rsid w:val="002356D4"/>
    <w:rsid w:val="00235DD9"/>
    <w:rsid w:val="00236F35"/>
    <w:rsid w:val="00236F9D"/>
    <w:rsid w:val="00240AEF"/>
    <w:rsid w:val="00243939"/>
    <w:rsid w:val="0024397D"/>
    <w:rsid w:val="00243CAA"/>
    <w:rsid w:val="00244DE8"/>
    <w:rsid w:val="00245646"/>
    <w:rsid w:val="002462FE"/>
    <w:rsid w:val="0024630B"/>
    <w:rsid w:val="00246AA2"/>
    <w:rsid w:val="00246AFB"/>
    <w:rsid w:val="00246EAB"/>
    <w:rsid w:val="00247C83"/>
    <w:rsid w:val="00247E65"/>
    <w:rsid w:val="00250C0B"/>
    <w:rsid w:val="00251092"/>
    <w:rsid w:val="0025149A"/>
    <w:rsid w:val="00251F32"/>
    <w:rsid w:val="00252951"/>
    <w:rsid w:val="00253AF4"/>
    <w:rsid w:val="00254774"/>
    <w:rsid w:val="0025577D"/>
    <w:rsid w:val="00255A4D"/>
    <w:rsid w:val="00255CB4"/>
    <w:rsid w:val="00256481"/>
    <w:rsid w:val="002568B4"/>
    <w:rsid w:val="002571DC"/>
    <w:rsid w:val="00257E62"/>
    <w:rsid w:val="002604B2"/>
    <w:rsid w:val="00260978"/>
    <w:rsid w:val="002609FD"/>
    <w:rsid w:val="00261EA3"/>
    <w:rsid w:val="00263CA8"/>
    <w:rsid w:val="00263E78"/>
    <w:rsid w:val="002643F3"/>
    <w:rsid w:val="0026448F"/>
    <w:rsid w:val="00264D83"/>
    <w:rsid w:val="002652B4"/>
    <w:rsid w:val="002660BC"/>
    <w:rsid w:val="00267FE2"/>
    <w:rsid w:val="002707F7"/>
    <w:rsid w:val="00270B46"/>
    <w:rsid w:val="002721FA"/>
    <w:rsid w:val="002728E4"/>
    <w:rsid w:val="00272E1D"/>
    <w:rsid w:val="0027543D"/>
    <w:rsid w:val="00275F5E"/>
    <w:rsid w:val="00276AF3"/>
    <w:rsid w:val="00277A52"/>
    <w:rsid w:val="0028081A"/>
    <w:rsid w:val="00280D51"/>
    <w:rsid w:val="002825D6"/>
    <w:rsid w:val="002826D8"/>
    <w:rsid w:val="002835D6"/>
    <w:rsid w:val="002837C0"/>
    <w:rsid w:val="00284E5C"/>
    <w:rsid w:val="00285121"/>
    <w:rsid w:val="00285D9A"/>
    <w:rsid w:val="002867C7"/>
    <w:rsid w:val="002931ED"/>
    <w:rsid w:val="00293EC8"/>
    <w:rsid w:val="00294383"/>
    <w:rsid w:val="00294B1B"/>
    <w:rsid w:val="002953D8"/>
    <w:rsid w:val="00295998"/>
    <w:rsid w:val="00296E8B"/>
    <w:rsid w:val="002A0CC9"/>
    <w:rsid w:val="002A2068"/>
    <w:rsid w:val="002A206F"/>
    <w:rsid w:val="002A2980"/>
    <w:rsid w:val="002A4196"/>
    <w:rsid w:val="002A4896"/>
    <w:rsid w:val="002A49B8"/>
    <w:rsid w:val="002A4E8C"/>
    <w:rsid w:val="002A5352"/>
    <w:rsid w:val="002A5D07"/>
    <w:rsid w:val="002A5DBC"/>
    <w:rsid w:val="002A6136"/>
    <w:rsid w:val="002B3F22"/>
    <w:rsid w:val="002B4000"/>
    <w:rsid w:val="002B4777"/>
    <w:rsid w:val="002B5928"/>
    <w:rsid w:val="002B59AC"/>
    <w:rsid w:val="002B5E03"/>
    <w:rsid w:val="002B601A"/>
    <w:rsid w:val="002B6B5E"/>
    <w:rsid w:val="002B6F3F"/>
    <w:rsid w:val="002B743D"/>
    <w:rsid w:val="002B7469"/>
    <w:rsid w:val="002B7AB3"/>
    <w:rsid w:val="002B7E31"/>
    <w:rsid w:val="002C3395"/>
    <w:rsid w:val="002C35A0"/>
    <w:rsid w:val="002C4201"/>
    <w:rsid w:val="002C44B2"/>
    <w:rsid w:val="002C52D5"/>
    <w:rsid w:val="002C547E"/>
    <w:rsid w:val="002C5AD2"/>
    <w:rsid w:val="002C5F73"/>
    <w:rsid w:val="002C68A7"/>
    <w:rsid w:val="002C7906"/>
    <w:rsid w:val="002D0264"/>
    <w:rsid w:val="002D067A"/>
    <w:rsid w:val="002D1B12"/>
    <w:rsid w:val="002D1EA4"/>
    <w:rsid w:val="002D34A9"/>
    <w:rsid w:val="002D4317"/>
    <w:rsid w:val="002D74C4"/>
    <w:rsid w:val="002D7BB8"/>
    <w:rsid w:val="002E170F"/>
    <w:rsid w:val="002E17CD"/>
    <w:rsid w:val="002E250C"/>
    <w:rsid w:val="002E35A6"/>
    <w:rsid w:val="002E540D"/>
    <w:rsid w:val="002E65ED"/>
    <w:rsid w:val="002E675D"/>
    <w:rsid w:val="002E7287"/>
    <w:rsid w:val="002F195F"/>
    <w:rsid w:val="002F252E"/>
    <w:rsid w:val="002F4183"/>
    <w:rsid w:val="002F4458"/>
    <w:rsid w:val="002F5987"/>
    <w:rsid w:val="002F5D01"/>
    <w:rsid w:val="002F6D79"/>
    <w:rsid w:val="002F6DE6"/>
    <w:rsid w:val="002F7A1B"/>
    <w:rsid w:val="002F7A63"/>
    <w:rsid w:val="002F7FC3"/>
    <w:rsid w:val="0030038D"/>
    <w:rsid w:val="00300BAE"/>
    <w:rsid w:val="0030232B"/>
    <w:rsid w:val="00302737"/>
    <w:rsid w:val="00303830"/>
    <w:rsid w:val="00304450"/>
    <w:rsid w:val="003045F6"/>
    <w:rsid w:val="00305262"/>
    <w:rsid w:val="003056D6"/>
    <w:rsid w:val="00306E0A"/>
    <w:rsid w:val="00310664"/>
    <w:rsid w:val="0031087C"/>
    <w:rsid w:val="003114C2"/>
    <w:rsid w:val="0031160B"/>
    <w:rsid w:val="00314B0B"/>
    <w:rsid w:val="00315508"/>
    <w:rsid w:val="0031560A"/>
    <w:rsid w:val="00315E87"/>
    <w:rsid w:val="00316631"/>
    <w:rsid w:val="00316EE5"/>
    <w:rsid w:val="003173DC"/>
    <w:rsid w:val="00321093"/>
    <w:rsid w:val="00321368"/>
    <w:rsid w:val="00321DE0"/>
    <w:rsid w:val="0032440F"/>
    <w:rsid w:val="0032477D"/>
    <w:rsid w:val="003262D2"/>
    <w:rsid w:val="0032731B"/>
    <w:rsid w:val="00327499"/>
    <w:rsid w:val="00327DDD"/>
    <w:rsid w:val="00331693"/>
    <w:rsid w:val="0033195A"/>
    <w:rsid w:val="00331FF5"/>
    <w:rsid w:val="00332A82"/>
    <w:rsid w:val="00333971"/>
    <w:rsid w:val="003343A2"/>
    <w:rsid w:val="00340D83"/>
    <w:rsid w:val="00340D9C"/>
    <w:rsid w:val="0034130D"/>
    <w:rsid w:val="00343D64"/>
    <w:rsid w:val="00344369"/>
    <w:rsid w:val="0034466F"/>
    <w:rsid w:val="0034477A"/>
    <w:rsid w:val="00344D60"/>
    <w:rsid w:val="00345B7B"/>
    <w:rsid w:val="00346C40"/>
    <w:rsid w:val="003502C0"/>
    <w:rsid w:val="003504FE"/>
    <w:rsid w:val="00351678"/>
    <w:rsid w:val="00351BA3"/>
    <w:rsid w:val="00351CEF"/>
    <w:rsid w:val="003521B8"/>
    <w:rsid w:val="00352316"/>
    <w:rsid w:val="0035260C"/>
    <w:rsid w:val="0035316E"/>
    <w:rsid w:val="0035402B"/>
    <w:rsid w:val="00354514"/>
    <w:rsid w:val="00354D12"/>
    <w:rsid w:val="003550DA"/>
    <w:rsid w:val="00355231"/>
    <w:rsid w:val="003553D6"/>
    <w:rsid w:val="0035552F"/>
    <w:rsid w:val="003558E7"/>
    <w:rsid w:val="00355AA9"/>
    <w:rsid w:val="00357C5C"/>
    <w:rsid w:val="003601E8"/>
    <w:rsid w:val="00361146"/>
    <w:rsid w:val="003616B2"/>
    <w:rsid w:val="00361CC3"/>
    <w:rsid w:val="003622B9"/>
    <w:rsid w:val="0036281D"/>
    <w:rsid w:val="003634AF"/>
    <w:rsid w:val="00363CE7"/>
    <w:rsid w:val="003642D4"/>
    <w:rsid w:val="00365CE8"/>
    <w:rsid w:val="0036684C"/>
    <w:rsid w:val="003674DA"/>
    <w:rsid w:val="0037043A"/>
    <w:rsid w:val="0037146A"/>
    <w:rsid w:val="00371AE2"/>
    <w:rsid w:val="00372F7D"/>
    <w:rsid w:val="003741FF"/>
    <w:rsid w:val="003757ED"/>
    <w:rsid w:val="00375820"/>
    <w:rsid w:val="00376799"/>
    <w:rsid w:val="003769A0"/>
    <w:rsid w:val="00376C5B"/>
    <w:rsid w:val="00380C4B"/>
    <w:rsid w:val="003812DA"/>
    <w:rsid w:val="003813BF"/>
    <w:rsid w:val="003814EF"/>
    <w:rsid w:val="00381F3C"/>
    <w:rsid w:val="00383060"/>
    <w:rsid w:val="00383267"/>
    <w:rsid w:val="00383DA8"/>
    <w:rsid w:val="00384469"/>
    <w:rsid w:val="0039057C"/>
    <w:rsid w:val="003905E7"/>
    <w:rsid w:val="0039077E"/>
    <w:rsid w:val="0039127F"/>
    <w:rsid w:val="0039189E"/>
    <w:rsid w:val="003924E4"/>
    <w:rsid w:val="00392781"/>
    <w:rsid w:val="00393270"/>
    <w:rsid w:val="003936CB"/>
    <w:rsid w:val="00393AA6"/>
    <w:rsid w:val="00393D1A"/>
    <w:rsid w:val="00394DF1"/>
    <w:rsid w:val="00394F4A"/>
    <w:rsid w:val="0039705E"/>
    <w:rsid w:val="003974F9"/>
    <w:rsid w:val="00397811"/>
    <w:rsid w:val="00397D57"/>
    <w:rsid w:val="003A05C5"/>
    <w:rsid w:val="003A13CA"/>
    <w:rsid w:val="003A15E2"/>
    <w:rsid w:val="003A1AB1"/>
    <w:rsid w:val="003A231A"/>
    <w:rsid w:val="003A3022"/>
    <w:rsid w:val="003A35A7"/>
    <w:rsid w:val="003A3BED"/>
    <w:rsid w:val="003A3C31"/>
    <w:rsid w:val="003A3DFE"/>
    <w:rsid w:val="003A4F9E"/>
    <w:rsid w:val="003A510A"/>
    <w:rsid w:val="003A683D"/>
    <w:rsid w:val="003A7301"/>
    <w:rsid w:val="003A7DA4"/>
    <w:rsid w:val="003B2053"/>
    <w:rsid w:val="003B2D3A"/>
    <w:rsid w:val="003B3AA9"/>
    <w:rsid w:val="003B441D"/>
    <w:rsid w:val="003B47FF"/>
    <w:rsid w:val="003B4B83"/>
    <w:rsid w:val="003B4F96"/>
    <w:rsid w:val="003B5D48"/>
    <w:rsid w:val="003B66A4"/>
    <w:rsid w:val="003C09D0"/>
    <w:rsid w:val="003C0FDC"/>
    <w:rsid w:val="003C1628"/>
    <w:rsid w:val="003C1968"/>
    <w:rsid w:val="003C43B8"/>
    <w:rsid w:val="003D0515"/>
    <w:rsid w:val="003D070F"/>
    <w:rsid w:val="003D0C7F"/>
    <w:rsid w:val="003D1264"/>
    <w:rsid w:val="003D20C4"/>
    <w:rsid w:val="003D2179"/>
    <w:rsid w:val="003D2D3C"/>
    <w:rsid w:val="003D45C0"/>
    <w:rsid w:val="003D56FB"/>
    <w:rsid w:val="003D59E6"/>
    <w:rsid w:val="003D5B3E"/>
    <w:rsid w:val="003D5C8D"/>
    <w:rsid w:val="003D5E02"/>
    <w:rsid w:val="003D6697"/>
    <w:rsid w:val="003D6CD4"/>
    <w:rsid w:val="003D6FCF"/>
    <w:rsid w:val="003D72A1"/>
    <w:rsid w:val="003E1610"/>
    <w:rsid w:val="003E171E"/>
    <w:rsid w:val="003E202C"/>
    <w:rsid w:val="003E22CB"/>
    <w:rsid w:val="003E258F"/>
    <w:rsid w:val="003E284D"/>
    <w:rsid w:val="003E3F93"/>
    <w:rsid w:val="003E4568"/>
    <w:rsid w:val="003E57C0"/>
    <w:rsid w:val="003E6D00"/>
    <w:rsid w:val="003E7057"/>
    <w:rsid w:val="003F001E"/>
    <w:rsid w:val="003F06AF"/>
    <w:rsid w:val="003F2047"/>
    <w:rsid w:val="003F31E6"/>
    <w:rsid w:val="003F38FB"/>
    <w:rsid w:val="003F5F7A"/>
    <w:rsid w:val="004000E2"/>
    <w:rsid w:val="00400274"/>
    <w:rsid w:val="00400B9A"/>
    <w:rsid w:val="0040144A"/>
    <w:rsid w:val="0040183F"/>
    <w:rsid w:val="00402B53"/>
    <w:rsid w:val="00403D51"/>
    <w:rsid w:val="004041B3"/>
    <w:rsid w:val="004056C3"/>
    <w:rsid w:val="00407683"/>
    <w:rsid w:val="0040796B"/>
    <w:rsid w:val="004107DD"/>
    <w:rsid w:val="004108F4"/>
    <w:rsid w:val="00411CE7"/>
    <w:rsid w:val="00413518"/>
    <w:rsid w:val="00414E9D"/>
    <w:rsid w:val="00415BA6"/>
    <w:rsid w:val="00416FB6"/>
    <w:rsid w:val="00417A3C"/>
    <w:rsid w:val="004216FD"/>
    <w:rsid w:val="00422243"/>
    <w:rsid w:val="00423F3B"/>
    <w:rsid w:val="004241CA"/>
    <w:rsid w:val="00425815"/>
    <w:rsid w:val="0043182E"/>
    <w:rsid w:val="00431A8A"/>
    <w:rsid w:val="00432796"/>
    <w:rsid w:val="00432EB4"/>
    <w:rsid w:val="00434057"/>
    <w:rsid w:val="004340B1"/>
    <w:rsid w:val="0043422E"/>
    <w:rsid w:val="004362F0"/>
    <w:rsid w:val="0043699A"/>
    <w:rsid w:val="004400DB"/>
    <w:rsid w:val="00440773"/>
    <w:rsid w:val="0044241B"/>
    <w:rsid w:val="00442B4C"/>
    <w:rsid w:val="00443A29"/>
    <w:rsid w:val="004441CA"/>
    <w:rsid w:val="004448CA"/>
    <w:rsid w:val="00444933"/>
    <w:rsid w:val="00444BE8"/>
    <w:rsid w:val="0044524A"/>
    <w:rsid w:val="004468BC"/>
    <w:rsid w:val="004469FF"/>
    <w:rsid w:val="00446FA2"/>
    <w:rsid w:val="00447517"/>
    <w:rsid w:val="00447C48"/>
    <w:rsid w:val="00450760"/>
    <w:rsid w:val="00451B1C"/>
    <w:rsid w:val="00452263"/>
    <w:rsid w:val="00452579"/>
    <w:rsid w:val="0045283E"/>
    <w:rsid w:val="00453780"/>
    <w:rsid w:val="0045398A"/>
    <w:rsid w:val="00453A5D"/>
    <w:rsid w:val="00455374"/>
    <w:rsid w:val="00455495"/>
    <w:rsid w:val="004560ED"/>
    <w:rsid w:val="00456916"/>
    <w:rsid w:val="004618A9"/>
    <w:rsid w:val="00461BC9"/>
    <w:rsid w:val="004628D1"/>
    <w:rsid w:val="004629B8"/>
    <w:rsid w:val="004646A4"/>
    <w:rsid w:val="0046519F"/>
    <w:rsid w:val="004657FC"/>
    <w:rsid w:val="00466557"/>
    <w:rsid w:val="0046678C"/>
    <w:rsid w:val="00467A8F"/>
    <w:rsid w:val="004702B9"/>
    <w:rsid w:val="00470BB5"/>
    <w:rsid w:val="004713D1"/>
    <w:rsid w:val="004718FE"/>
    <w:rsid w:val="004735A5"/>
    <w:rsid w:val="0047462B"/>
    <w:rsid w:val="00474C83"/>
    <w:rsid w:val="00477A88"/>
    <w:rsid w:val="0048057D"/>
    <w:rsid w:val="004822F1"/>
    <w:rsid w:val="004829FE"/>
    <w:rsid w:val="00482C32"/>
    <w:rsid w:val="004834D7"/>
    <w:rsid w:val="00483E66"/>
    <w:rsid w:val="0048572B"/>
    <w:rsid w:val="00487807"/>
    <w:rsid w:val="00490153"/>
    <w:rsid w:val="00490E8F"/>
    <w:rsid w:val="00492174"/>
    <w:rsid w:val="00492522"/>
    <w:rsid w:val="00494561"/>
    <w:rsid w:val="004945AC"/>
    <w:rsid w:val="00497231"/>
    <w:rsid w:val="004977BF"/>
    <w:rsid w:val="004A1D57"/>
    <w:rsid w:val="004A2076"/>
    <w:rsid w:val="004A2448"/>
    <w:rsid w:val="004A2462"/>
    <w:rsid w:val="004A2A46"/>
    <w:rsid w:val="004A38D6"/>
    <w:rsid w:val="004A402D"/>
    <w:rsid w:val="004A5050"/>
    <w:rsid w:val="004A7384"/>
    <w:rsid w:val="004B08AF"/>
    <w:rsid w:val="004B23BC"/>
    <w:rsid w:val="004B2719"/>
    <w:rsid w:val="004B35BC"/>
    <w:rsid w:val="004B3E8D"/>
    <w:rsid w:val="004B4810"/>
    <w:rsid w:val="004B50AE"/>
    <w:rsid w:val="004B5288"/>
    <w:rsid w:val="004B5616"/>
    <w:rsid w:val="004B5691"/>
    <w:rsid w:val="004B5A00"/>
    <w:rsid w:val="004B6B73"/>
    <w:rsid w:val="004B7342"/>
    <w:rsid w:val="004B7869"/>
    <w:rsid w:val="004C0183"/>
    <w:rsid w:val="004C0761"/>
    <w:rsid w:val="004C0F2C"/>
    <w:rsid w:val="004C19DE"/>
    <w:rsid w:val="004C280F"/>
    <w:rsid w:val="004C4853"/>
    <w:rsid w:val="004C4E6E"/>
    <w:rsid w:val="004C554B"/>
    <w:rsid w:val="004C6323"/>
    <w:rsid w:val="004C6682"/>
    <w:rsid w:val="004C686C"/>
    <w:rsid w:val="004C753E"/>
    <w:rsid w:val="004C7E7D"/>
    <w:rsid w:val="004C7E89"/>
    <w:rsid w:val="004D12DD"/>
    <w:rsid w:val="004D1847"/>
    <w:rsid w:val="004D1EF8"/>
    <w:rsid w:val="004D2EF4"/>
    <w:rsid w:val="004D3AE0"/>
    <w:rsid w:val="004D4D95"/>
    <w:rsid w:val="004D5008"/>
    <w:rsid w:val="004D753E"/>
    <w:rsid w:val="004D77EA"/>
    <w:rsid w:val="004E06E9"/>
    <w:rsid w:val="004E23A4"/>
    <w:rsid w:val="004E2C11"/>
    <w:rsid w:val="004E3D2D"/>
    <w:rsid w:val="004E50D0"/>
    <w:rsid w:val="004E5CB8"/>
    <w:rsid w:val="004E7AE7"/>
    <w:rsid w:val="004E7D5F"/>
    <w:rsid w:val="004F07E5"/>
    <w:rsid w:val="004F0D4F"/>
    <w:rsid w:val="004F0F57"/>
    <w:rsid w:val="004F2470"/>
    <w:rsid w:val="004F38B8"/>
    <w:rsid w:val="004F3C75"/>
    <w:rsid w:val="004F4014"/>
    <w:rsid w:val="004F7A38"/>
    <w:rsid w:val="0050196C"/>
    <w:rsid w:val="005021B4"/>
    <w:rsid w:val="00503716"/>
    <w:rsid w:val="00503EE0"/>
    <w:rsid w:val="00504D2F"/>
    <w:rsid w:val="00504EE0"/>
    <w:rsid w:val="005051DD"/>
    <w:rsid w:val="0050554B"/>
    <w:rsid w:val="00505B84"/>
    <w:rsid w:val="00507544"/>
    <w:rsid w:val="00507EF1"/>
    <w:rsid w:val="005113F5"/>
    <w:rsid w:val="00511841"/>
    <w:rsid w:val="005127B3"/>
    <w:rsid w:val="00512873"/>
    <w:rsid w:val="00512DF5"/>
    <w:rsid w:val="005131B0"/>
    <w:rsid w:val="0051398E"/>
    <w:rsid w:val="00514C7B"/>
    <w:rsid w:val="0051545A"/>
    <w:rsid w:val="00515ECB"/>
    <w:rsid w:val="0051697E"/>
    <w:rsid w:val="00516FC7"/>
    <w:rsid w:val="00521B6A"/>
    <w:rsid w:val="00522134"/>
    <w:rsid w:val="0052234D"/>
    <w:rsid w:val="00523217"/>
    <w:rsid w:val="00524FC6"/>
    <w:rsid w:val="00530783"/>
    <w:rsid w:val="005318B8"/>
    <w:rsid w:val="005330F7"/>
    <w:rsid w:val="0053537A"/>
    <w:rsid w:val="0053569D"/>
    <w:rsid w:val="00536030"/>
    <w:rsid w:val="00536A5D"/>
    <w:rsid w:val="00536B89"/>
    <w:rsid w:val="00536CE1"/>
    <w:rsid w:val="00537446"/>
    <w:rsid w:val="005401AF"/>
    <w:rsid w:val="00540586"/>
    <w:rsid w:val="0054081F"/>
    <w:rsid w:val="00540BDF"/>
    <w:rsid w:val="00540EF7"/>
    <w:rsid w:val="00541D88"/>
    <w:rsid w:val="00542013"/>
    <w:rsid w:val="00542805"/>
    <w:rsid w:val="00542E35"/>
    <w:rsid w:val="005438C6"/>
    <w:rsid w:val="00545DE7"/>
    <w:rsid w:val="005470CE"/>
    <w:rsid w:val="00551776"/>
    <w:rsid w:val="0055194F"/>
    <w:rsid w:val="00551EA6"/>
    <w:rsid w:val="00552158"/>
    <w:rsid w:val="005523A0"/>
    <w:rsid w:val="005535E3"/>
    <w:rsid w:val="00553B94"/>
    <w:rsid w:val="005546C9"/>
    <w:rsid w:val="00554930"/>
    <w:rsid w:val="00554D8C"/>
    <w:rsid w:val="00555841"/>
    <w:rsid w:val="005566BD"/>
    <w:rsid w:val="00556A53"/>
    <w:rsid w:val="005607C4"/>
    <w:rsid w:val="00560DD5"/>
    <w:rsid w:val="00560E5D"/>
    <w:rsid w:val="0056306C"/>
    <w:rsid w:val="005640FE"/>
    <w:rsid w:val="0056434A"/>
    <w:rsid w:val="0056695E"/>
    <w:rsid w:val="00566AD6"/>
    <w:rsid w:val="00566EA1"/>
    <w:rsid w:val="00571DC6"/>
    <w:rsid w:val="00571F71"/>
    <w:rsid w:val="005720BF"/>
    <w:rsid w:val="00572286"/>
    <w:rsid w:val="00572D8A"/>
    <w:rsid w:val="00572E71"/>
    <w:rsid w:val="00573168"/>
    <w:rsid w:val="00573451"/>
    <w:rsid w:val="00575829"/>
    <w:rsid w:val="00575D4E"/>
    <w:rsid w:val="00577A52"/>
    <w:rsid w:val="005803CD"/>
    <w:rsid w:val="00580F89"/>
    <w:rsid w:val="005816FC"/>
    <w:rsid w:val="00581869"/>
    <w:rsid w:val="0058430F"/>
    <w:rsid w:val="00584916"/>
    <w:rsid w:val="00584C2C"/>
    <w:rsid w:val="00585432"/>
    <w:rsid w:val="00585FC7"/>
    <w:rsid w:val="00586582"/>
    <w:rsid w:val="00587DD4"/>
    <w:rsid w:val="005902D2"/>
    <w:rsid w:val="005913A4"/>
    <w:rsid w:val="0059214C"/>
    <w:rsid w:val="005943CB"/>
    <w:rsid w:val="00594D9A"/>
    <w:rsid w:val="00596C4D"/>
    <w:rsid w:val="00597F2A"/>
    <w:rsid w:val="005A031D"/>
    <w:rsid w:val="005A06D4"/>
    <w:rsid w:val="005A0870"/>
    <w:rsid w:val="005A0A55"/>
    <w:rsid w:val="005A22D2"/>
    <w:rsid w:val="005A236B"/>
    <w:rsid w:val="005A28F5"/>
    <w:rsid w:val="005A384F"/>
    <w:rsid w:val="005A38E5"/>
    <w:rsid w:val="005A4CE7"/>
    <w:rsid w:val="005A56A4"/>
    <w:rsid w:val="005A6341"/>
    <w:rsid w:val="005A6511"/>
    <w:rsid w:val="005A71C5"/>
    <w:rsid w:val="005A75C2"/>
    <w:rsid w:val="005A7B5B"/>
    <w:rsid w:val="005B114E"/>
    <w:rsid w:val="005B1C08"/>
    <w:rsid w:val="005B1C1A"/>
    <w:rsid w:val="005B27DA"/>
    <w:rsid w:val="005B2D2F"/>
    <w:rsid w:val="005B3518"/>
    <w:rsid w:val="005B41CA"/>
    <w:rsid w:val="005B4A79"/>
    <w:rsid w:val="005C021E"/>
    <w:rsid w:val="005C0D60"/>
    <w:rsid w:val="005C15D2"/>
    <w:rsid w:val="005C17AC"/>
    <w:rsid w:val="005C1A32"/>
    <w:rsid w:val="005C1F1C"/>
    <w:rsid w:val="005C2232"/>
    <w:rsid w:val="005C2AC9"/>
    <w:rsid w:val="005C2AD9"/>
    <w:rsid w:val="005C44FA"/>
    <w:rsid w:val="005C66C7"/>
    <w:rsid w:val="005D0354"/>
    <w:rsid w:val="005D0D3F"/>
    <w:rsid w:val="005D112C"/>
    <w:rsid w:val="005D1323"/>
    <w:rsid w:val="005D1713"/>
    <w:rsid w:val="005D1834"/>
    <w:rsid w:val="005D28B7"/>
    <w:rsid w:val="005D3A3B"/>
    <w:rsid w:val="005D57FC"/>
    <w:rsid w:val="005D60CD"/>
    <w:rsid w:val="005D6D7E"/>
    <w:rsid w:val="005D6E27"/>
    <w:rsid w:val="005D74C7"/>
    <w:rsid w:val="005E0130"/>
    <w:rsid w:val="005E3EC4"/>
    <w:rsid w:val="005E478F"/>
    <w:rsid w:val="005E5820"/>
    <w:rsid w:val="005E624A"/>
    <w:rsid w:val="005E65FD"/>
    <w:rsid w:val="005E669F"/>
    <w:rsid w:val="005E68A8"/>
    <w:rsid w:val="005E6AA7"/>
    <w:rsid w:val="005E6E47"/>
    <w:rsid w:val="005E712A"/>
    <w:rsid w:val="005F21E8"/>
    <w:rsid w:val="005F2B7C"/>
    <w:rsid w:val="005F324E"/>
    <w:rsid w:val="005F3836"/>
    <w:rsid w:val="005F4B6C"/>
    <w:rsid w:val="005F4E97"/>
    <w:rsid w:val="005F69CC"/>
    <w:rsid w:val="005F6F31"/>
    <w:rsid w:val="005F70D4"/>
    <w:rsid w:val="005F7C9B"/>
    <w:rsid w:val="005F7D60"/>
    <w:rsid w:val="0060180B"/>
    <w:rsid w:val="0060218E"/>
    <w:rsid w:val="006034B5"/>
    <w:rsid w:val="00603AC8"/>
    <w:rsid w:val="00603C7E"/>
    <w:rsid w:val="00603D0C"/>
    <w:rsid w:val="00604622"/>
    <w:rsid w:val="006053DE"/>
    <w:rsid w:val="00606851"/>
    <w:rsid w:val="00606AA0"/>
    <w:rsid w:val="00606F80"/>
    <w:rsid w:val="00607C46"/>
    <w:rsid w:val="0061101D"/>
    <w:rsid w:val="00611099"/>
    <w:rsid w:val="006113C3"/>
    <w:rsid w:val="0061281E"/>
    <w:rsid w:val="00612D63"/>
    <w:rsid w:val="00612D8D"/>
    <w:rsid w:val="00613FC5"/>
    <w:rsid w:val="00614481"/>
    <w:rsid w:val="006150A7"/>
    <w:rsid w:val="006151EC"/>
    <w:rsid w:val="00616684"/>
    <w:rsid w:val="00617974"/>
    <w:rsid w:val="006201FF"/>
    <w:rsid w:val="006211BC"/>
    <w:rsid w:val="0062186C"/>
    <w:rsid w:val="006222B0"/>
    <w:rsid w:val="00622B09"/>
    <w:rsid w:val="00622F64"/>
    <w:rsid w:val="00623145"/>
    <w:rsid w:val="00623DCC"/>
    <w:rsid w:val="00625311"/>
    <w:rsid w:val="00625F85"/>
    <w:rsid w:val="00626214"/>
    <w:rsid w:val="00626273"/>
    <w:rsid w:val="006263E2"/>
    <w:rsid w:val="006265B4"/>
    <w:rsid w:val="0062742C"/>
    <w:rsid w:val="006278C0"/>
    <w:rsid w:val="00627A37"/>
    <w:rsid w:val="006308DE"/>
    <w:rsid w:val="00631E30"/>
    <w:rsid w:val="00632401"/>
    <w:rsid w:val="00633253"/>
    <w:rsid w:val="006343B2"/>
    <w:rsid w:val="0063486A"/>
    <w:rsid w:val="00634978"/>
    <w:rsid w:val="006349AE"/>
    <w:rsid w:val="00634F83"/>
    <w:rsid w:val="00635810"/>
    <w:rsid w:val="00636899"/>
    <w:rsid w:val="00637636"/>
    <w:rsid w:val="0064021C"/>
    <w:rsid w:val="00640563"/>
    <w:rsid w:val="00641661"/>
    <w:rsid w:val="0064190F"/>
    <w:rsid w:val="00642674"/>
    <w:rsid w:val="006434CD"/>
    <w:rsid w:val="006449FF"/>
    <w:rsid w:val="00644A8B"/>
    <w:rsid w:val="00645293"/>
    <w:rsid w:val="006474AF"/>
    <w:rsid w:val="00647D86"/>
    <w:rsid w:val="0065131A"/>
    <w:rsid w:val="00652006"/>
    <w:rsid w:val="0065246C"/>
    <w:rsid w:val="0065255E"/>
    <w:rsid w:val="00653C34"/>
    <w:rsid w:val="00653E6E"/>
    <w:rsid w:val="0065549B"/>
    <w:rsid w:val="00660C80"/>
    <w:rsid w:val="00661433"/>
    <w:rsid w:val="0066232C"/>
    <w:rsid w:val="0066382B"/>
    <w:rsid w:val="00664AA7"/>
    <w:rsid w:val="006651FC"/>
    <w:rsid w:val="00665241"/>
    <w:rsid w:val="00665277"/>
    <w:rsid w:val="006655A4"/>
    <w:rsid w:val="006658A8"/>
    <w:rsid w:val="006664DF"/>
    <w:rsid w:val="0066677D"/>
    <w:rsid w:val="00670714"/>
    <w:rsid w:val="00671C60"/>
    <w:rsid w:val="00672068"/>
    <w:rsid w:val="00672DD1"/>
    <w:rsid w:val="00672E7A"/>
    <w:rsid w:val="00673DC6"/>
    <w:rsid w:val="00674C23"/>
    <w:rsid w:val="006754FD"/>
    <w:rsid w:val="00675DA6"/>
    <w:rsid w:val="00677021"/>
    <w:rsid w:val="00677C85"/>
    <w:rsid w:val="006803F6"/>
    <w:rsid w:val="00680AF7"/>
    <w:rsid w:val="00681CD4"/>
    <w:rsid w:val="006838A0"/>
    <w:rsid w:val="00684391"/>
    <w:rsid w:val="00685031"/>
    <w:rsid w:val="00685714"/>
    <w:rsid w:val="00685DE2"/>
    <w:rsid w:val="00686749"/>
    <w:rsid w:val="00686948"/>
    <w:rsid w:val="00690181"/>
    <w:rsid w:val="00690559"/>
    <w:rsid w:val="00690F4C"/>
    <w:rsid w:val="00691875"/>
    <w:rsid w:val="0069273F"/>
    <w:rsid w:val="006942F4"/>
    <w:rsid w:val="00694EE7"/>
    <w:rsid w:val="006950B9"/>
    <w:rsid w:val="00695178"/>
    <w:rsid w:val="00695965"/>
    <w:rsid w:val="006960B5"/>
    <w:rsid w:val="0069660F"/>
    <w:rsid w:val="006A035A"/>
    <w:rsid w:val="006A13EB"/>
    <w:rsid w:val="006A1B7A"/>
    <w:rsid w:val="006A1B9F"/>
    <w:rsid w:val="006A306E"/>
    <w:rsid w:val="006A3251"/>
    <w:rsid w:val="006A5CF6"/>
    <w:rsid w:val="006A6CEE"/>
    <w:rsid w:val="006A709E"/>
    <w:rsid w:val="006A7B8B"/>
    <w:rsid w:val="006B04CE"/>
    <w:rsid w:val="006B0718"/>
    <w:rsid w:val="006B0B0B"/>
    <w:rsid w:val="006B3540"/>
    <w:rsid w:val="006B42E4"/>
    <w:rsid w:val="006B4576"/>
    <w:rsid w:val="006B4894"/>
    <w:rsid w:val="006B4955"/>
    <w:rsid w:val="006B4C68"/>
    <w:rsid w:val="006B5988"/>
    <w:rsid w:val="006B6D17"/>
    <w:rsid w:val="006B7EAA"/>
    <w:rsid w:val="006C0115"/>
    <w:rsid w:val="006C1C1B"/>
    <w:rsid w:val="006C32CB"/>
    <w:rsid w:val="006C3518"/>
    <w:rsid w:val="006C364F"/>
    <w:rsid w:val="006C3FD7"/>
    <w:rsid w:val="006C44E9"/>
    <w:rsid w:val="006C4C77"/>
    <w:rsid w:val="006C5A87"/>
    <w:rsid w:val="006C716D"/>
    <w:rsid w:val="006C7724"/>
    <w:rsid w:val="006C7AC0"/>
    <w:rsid w:val="006D07E0"/>
    <w:rsid w:val="006D34BA"/>
    <w:rsid w:val="006D3ADB"/>
    <w:rsid w:val="006D3FDB"/>
    <w:rsid w:val="006D4F93"/>
    <w:rsid w:val="006D5301"/>
    <w:rsid w:val="006D5403"/>
    <w:rsid w:val="006D571A"/>
    <w:rsid w:val="006D658C"/>
    <w:rsid w:val="006D6906"/>
    <w:rsid w:val="006E0C5F"/>
    <w:rsid w:val="006E1389"/>
    <w:rsid w:val="006E1797"/>
    <w:rsid w:val="006E18CB"/>
    <w:rsid w:val="006E2047"/>
    <w:rsid w:val="006E249E"/>
    <w:rsid w:val="006E257D"/>
    <w:rsid w:val="006E282A"/>
    <w:rsid w:val="006E3482"/>
    <w:rsid w:val="006E4DEC"/>
    <w:rsid w:val="006E4E6B"/>
    <w:rsid w:val="006E4E83"/>
    <w:rsid w:val="006E59B8"/>
    <w:rsid w:val="006E5BF9"/>
    <w:rsid w:val="006E5F96"/>
    <w:rsid w:val="006E7155"/>
    <w:rsid w:val="006F0A51"/>
    <w:rsid w:val="006F12D4"/>
    <w:rsid w:val="006F19C5"/>
    <w:rsid w:val="006F24BD"/>
    <w:rsid w:val="006F3358"/>
    <w:rsid w:val="006F3E9C"/>
    <w:rsid w:val="006F49D7"/>
    <w:rsid w:val="006F71B9"/>
    <w:rsid w:val="006F746C"/>
    <w:rsid w:val="006F7A4C"/>
    <w:rsid w:val="007013CF"/>
    <w:rsid w:val="00701C4B"/>
    <w:rsid w:val="00702BAF"/>
    <w:rsid w:val="00703551"/>
    <w:rsid w:val="00704E86"/>
    <w:rsid w:val="007052ED"/>
    <w:rsid w:val="0070546E"/>
    <w:rsid w:val="00706C26"/>
    <w:rsid w:val="00706F51"/>
    <w:rsid w:val="00710110"/>
    <w:rsid w:val="0071070B"/>
    <w:rsid w:val="007124E0"/>
    <w:rsid w:val="00713D4D"/>
    <w:rsid w:val="007144DD"/>
    <w:rsid w:val="00714AA4"/>
    <w:rsid w:val="0071587E"/>
    <w:rsid w:val="00715B36"/>
    <w:rsid w:val="007172F1"/>
    <w:rsid w:val="00721F36"/>
    <w:rsid w:val="00722B5D"/>
    <w:rsid w:val="007238A9"/>
    <w:rsid w:val="00725D3A"/>
    <w:rsid w:val="00725EA1"/>
    <w:rsid w:val="00726964"/>
    <w:rsid w:val="00727740"/>
    <w:rsid w:val="007300BE"/>
    <w:rsid w:val="00731B72"/>
    <w:rsid w:val="0073427D"/>
    <w:rsid w:val="007344F1"/>
    <w:rsid w:val="007363FD"/>
    <w:rsid w:val="00736F43"/>
    <w:rsid w:val="0073776B"/>
    <w:rsid w:val="0073788C"/>
    <w:rsid w:val="00737F12"/>
    <w:rsid w:val="0074017C"/>
    <w:rsid w:val="00740733"/>
    <w:rsid w:val="007409EF"/>
    <w:rsid w:val="00740AAD"/>
    <w:rsid w:val="00740AD4"/>
    <w:rsid w:val="007412C3"/>
    <w:rsid w:val="0074344B"/>
    <w:rsid w:val="00743949"/>
    <w:rsid w:val="00744C51"/>
    <w:rsid w:val="00745E9A"/>
    <w:rsid w:val="00747FBD"/>
    <w:rsid w:val="007507D8"/>
    <w:rsid w:val="00750EA1"/>
    <w:rsid w:val="00752484"/>
    <w:rsid w:val="00752ED4"/>
    <w:rsid w:val="00752F2D"/>
    <w:rsid w:val="00753341"/>
    <w:rsid w:val="00753BB7"/>
    <w:rsid w:val="00755CCF"/>
    <w:rsid w:val="0075614D"/>
    <w:rsid w:val="00756C1F"/>
    <w:rsid w:val="00756E3B"/>
    <w:rsid w:val="0075731A"/>
    <w:rsid w:val="00757398"/>
    <w:rsid w:val="007577DC"/>
    <w:rsid w:val="00760FE1"/>
    <w:rsid w:val="0076214F"/>
    <w:rsid w:val="00762F45"/>
    <w:rsid w:val="007639A7"/>
    <w:rsid w:val="007649B9"/>
    <w:rsid w:val="007664A1"/>
    <w:rsid w:val="00767BB1"/>
    <w:rsid w:val="007712BB"/>
    <w:rsid w:val="00771668"/>
    <w:rsid w:val="00773D6C"/>
    <w:rsid w:val="00773E74"/>
    <w:rsid w:val="00774572"/>
    <w:rsid w:val="00774F22"/>
    <w:rsid w:val="0077502D"/>
    <w:rsid w:val="00775C1C"/>
    <w:rsid w:val="0077629B"/>
    <w:rsid w:val="00776E70"/>
    <w:rsid w:val="00781EF3"/>
    <w:rsid w:val="007821F2"/>
    <w:rsid w:val="0078263B"/>
    <w:rsid w:val="0078283B"/>
    <w:rsid w:val="00782F74"/>
    <w:rsid w:val="00783890"/>
    <w:rsid w:val="00784BF3"/>
    <w:rsid w:val="00784F23"/>
    <w:rsid w:val="0078560A"/>
    <w:rsid w:val="00785AFD"/>
    <w:rsid w:val="00785B88"/>
    <w:rsid w:val="00785BF8"/>
    <w:rsid w:val="00785D56"/>
    <w:rsid w:val="0079226E"/>
    <w:rsid w:val="00792F29"/>
    <w:rsid w:val="00793C28"/>
    <w:rsid w:val="00794935"/>
    <w:rsid w:val="00794CEB"/>
    <w:rsid w:val="0079588A"/>
    <w:rsid w:val="00795DDC"/>
    <w:rsid w:val="00795FB7"/>
    <w:rsid w:val="007A17E6"/>
    <w:rsid w:val="007A249C"/>
    <w:rsid w:val="007A2F0F"/>
    <w:rsid w:val="007A37C2"/>
    <w:rsid w:val="007A45CE"/>
    <w:rsid w:val="007A55B0"/>
    <w:rsid w:val="007A6169"/>
    <w:rsid w:val="007A66C3"/>
    <w:rsid w:val="007A6C54"/>
    <w:rsid w:val="007A6E48"/>
    <w:rsid w:val="007A79A6"/>
    <w:rsid w:val="007B0256"/>
    <w:rsid w:val="007B0AC6"/>
    <w:rsid w:val="007B0B05"/>
    <w:rsid w:val="007B0DDC"/>
    <w:rsid w:val="007B11DD"/>
    <w:rsid w:val="007B1E32"/>
    <w:rsid w:val="007B2073"/>
    <w:rsid w:val="007B262D"/>
    <w:rsid w:val="007B2C7A"/>
    <w:rsid w:val="007B3360"/>
    <w:rsid w:val="007B35C5"/>
    <w:rsid w:val="007B37C1"/>
    <w:rsid w:val="007B66B1"/>
    <w:rsid w:val="007B7388"/>
    <w:rsid w:val="007C0902"/>
    <w:rsid w:val="007C178C"/>
    <w:rsid w:val="007C24DF"/>
    <w:rsid w:val="007C33FD"/>
    <w:rsid w:val="007C410C"/>
    <w:rsid w:val="007C709C"/>
    <w:rsid w:val="007C7925"/>
    <w:rsid w:val="007D00A7"/>
    <w:rsid w:val="007D0B41"/>
    <w:rsid w:val="007D0F81"/>
    <w:rsid w:val="007D2AFF"/>
    <w:rsid w:val="007D3B8E"/>
    <w:rsid w:val="007D407D"/>
    <w:rsid w:val="007D4512"/>
    <w:rsid w:val="007D6278"/>
    <w:rsid w:val="007D670D"/>
    <w:rsid w:val="007D7813"/>
    <w:rsid w:val="007E2500"/>
    <w:rsid w:val="007E317F"/>
    <w:rsid w:val="007E3665"/>
    <w:rsid w:val="007E6BD9"/>
    <w:rsid w:val="007E7D06"/>
    <w:rsid w:val="007F1801"/>
    <w:rsid w:val="007F2E0A"/>
    <w:rsid w:val="007F313E"/>
    <w:rsid w:val="007F4C92"/>
    <w:rsid w:val="007F4E09"/>
    <w:rsid w:val="008013D4"/>
    <w:rsid w:val="008021E7"/>
    <w:rsid w:val="00802F6D"/>
    <w:rsid w:val="008032DD"/>
    <w:rsid w:val="0080435B"/>
    <w:rsid w:val="00804FD8"/>
    <w:rsid w:val="00806546"/>
    <w:rsid w:val="008100C1"/>
    <w:rsid w:val="00811713"/>
    <w:rsid w:val="00811D46"/>
    <w:rsid w:val="00812DDE"/>
    <w:rsid w:val="00813088"/>
    <w:rsid w:val="0081340A"/>
    <w:rsid w:val="00813FDE"/>
    <w:rsid w:val="008147E7"/>
    <w:rsid w:val="00814A8E"/>
    <w:rsid w:val="0081682C"/>
    <w:rsid w:val="00817315"/>
    <w:rsid w:val="00820321"/>
    <w:rsid w:val="0082039B"/>
    <w:rsid w:val="00820D95"/>
    <w:rsid w:val="0082146C"/>
    <w:rsid w:val="008217FB"/>
    <w:rsid w:val="008225C9"/>
    <w:rsid w:val="00822631"/>
    <w:rsid w:val="00823554"/>
    <w:rsid w:val="008245D2"/>
    <w:rsid w:val="00824CBF"/>
    <w:rsid w:val="00824FA7"/>
    <w:rsid w:val="00826653"/>
    <w:rsid w:val="00826A3E"/>
    <w:rsid w:val="00827DE9"/>
    <w:rsid w:val="0083067B"/>
    <w:rsid w:val="00833616"/>
    <w:rsid w:val="0083401E"/>
    <w:rsid w:val="00834E11"/>
    <w:rsid w:val="00835D5C"/>
    <w:rsid w:val="00840187"/>
    <w:rsid w:val="008417C6"/>
    <w:rsid w:val="00841A8D"/>
    <w:rsid w:val="008425D0"/>
    <w:rsid w:val="00842C15"/>
    <w:rsid w:val="00843250"/>
    <w:rsid w:val="0084334C"/>
    <w:rsid w:val="008434B5"/>
    <w:rsid w:val="00843642"/>
    <w:rsid w:val="00843C80"/>
    <w:rsid w:val="00844251"/>
    <w:rsid w:val="00844A61"/>
    <w:rsid w:val="00844B53"/>
    <w:rsid w:val="00845C9A"/>
    <w:rsid w:val="00846971"/>
    <w:rsid w:val="00846E4C"/>
    <w:rsid w:val="0085081F"/>
    <w:rsid w:val="0085134A"/>
    <w:rsid w:val="00851368"/>
    <w:rsid w:val="00852869"/>
    <w:rsid w:val="00853DEB"/>
    <w:rsid w:val="00854867"/>
    <w:rsid w:val="00856547"/>
    <w:rsid w:val="0085688B"/>
    <w:rsid w:val="00856DB6"/>
    <w:rsid w:val="008573DE"/>
    <w:rsid w:val="00857E66"/>
    <w:rsid w:val="00857F81"/>
    <w:rsid w:val="0086024D"/>
    <w:rsid w:val="00860487"/>
    <w:rsid w:val="008613B8"/>
    <w:rsid w:val="00862CAD"/>
    <w:rsid w:val="008645A9"/>
    <w:rsid w:val="00864921"/>
    <w:rsid w:val="0086582E"/>
    <w:rsid w:val="00867251"/>
    <w:rsid w:val="008676F3"/>
    <w:rsid w:val="008700FB"/>
    <w:rsid w:val="00871EFD"/>
    <w:rsid w:val="00871FB4"/>
    <w:rsid w:val="00872276"/>
    <w:rsid w:val="00872439"/>
    <w:rsid w:val="00873583"/>
    <w:rsid w:val="00873703"/>
    <w:rsid w:val="0087683D"/>
    <w:rsid w:val="0087713F"/>
    <w:rsid w:val="00880F9A"/>
    <w:rsid w:val="00881271"/>
    <w:rsid w:val="00882580"/>
    <w:rsid w:val="008830A1"/>
    <w:rsid w:val="0088338D"/>
    <w:rsid w:val="0088452A"/>
    <w:rsid w:val="00884B0F"/>
    <w:rsid w:val="00885519"/>
    <w:rsid w:val="00886737"/>
    <w:rsid w:val="00886C09"/>
    <w:rsid w:val="00886F1D"/>
    <w:rsid w:val="008871BE"/>
    <w:rsid w:val="008875E7"/>
    <w:rsid w:val="00887F56"/>
    <w:rsid w:val="008909A1"/>
    <w:rsid w:val="008911C5"/>
    <w:rsid w:val="00891785"/>
    <w:rsid w:val="00891B5E"/>
    <w:rsid w:val="00892B7E"/>
    <w:rsid w:val="00892CE3"/>
    <w:rsid w:val="00892E72"/>
    <w:rsid w:val="00894D69"/>
    <w:rsid w:val="00895AF0"/>
    <w:rsid w:val="00896D79"/>
    <w:rsid w:val="00897D59"/>
    <w:rsid w:val="008A005F"/>
    <w:rsid w:val="008A1EFE"/>
    <w:rsid w:val="008A2B64"/>
    <w:rsid w:val="008A2D1D"/>
    <w:rsid w:val="008A398C"/>
    <w:rsid w:val="008A401F"/>
    <w:rsid w:val="008A43A6"/>
    <w:rsid w:val="008A4F9E"/>
    <w:rsid w:val="008A6191"/>
    <w:rsid w:val="008A6E06"/>
    <w:rsid w:val="008A71E7"/>
    <w:rsid w:val="008B04E8"/>
    <w:rsid w:val="008B298E"/>
    <w:rsid w:val="008B2ABF"/>
    <w:rsid w:val="008B2D5E"/>
    <w:rsid w:val="008B33A0"/>
    <w:rsid w:val="008B37DF"/>
    <w:rsid w:val="008B535E"/>
    <w:rsid w:val="008B564C"/>
    <w:rsid w:val="008B74BB"/>
    <w:rsid w:val="008B7CBA"/>
    <w:rsid w:val="008C1647"/>
    <w:rsid w:val="008C1CF8"/>
    <w:rsid w:val="008C2A67"/>
    <w:rsid w:val="008C3587"/>
    <w:rsid w:val="008C37E8"/>
    <w:rsid w:val="008C4F77"/>
    <w:rsid w:val="008C5B65"/>
    <w:rsid w:val="008C64AD"/>
    <w:rsid w:val="008C65D3"/>
    <w:rsid w:val="008C6F52"/>
    <w:rsid w:val="008D00C0"/>
    <w:rsid w:val="008D0197"/>
    <w:rsid w:val="008D2B45"/>
    <w:rsid w:val="008D2E6B"/>
    <w:rsid w:val="008D32C6"/>
    <w:rsid w:val="008D3364"/>
    <w:rsid w:val="008D3839"/>
    <w:rsid w:val="008D4015"/>
    <w:rsid w:val="008D417A"/>
    <w:rsid w:val="008D4DCD"/>
    <w:rsid w:val="008D4E10"/>
    <w:rsid w:val="008D5677"/>
    <w:rsid w:val="008D6489"/>
    <w:rsid w:val="008E0238"/>
    <w:rsid w:val="008E0827"/>
    <w:rsid w:val="008E1598"/>
    <w:rsid w:val="008E3CE6"/>
    <w:rsid w:val="008E3EFD"/>
    <w:rsid w:val="008E3FF2"/>
    <w:rsid w:val="008E4093"/>
    <w:rsid w:val="008E4468"/>
    <w:rsid w:val="008E4DEC"/>
    <w:rsid w:val="008E4F2B"/>
    <w:rsid w:val="008E5450"/>
    <w:rsid w:val="008E55AE"/>
    <w:rsid w:val="008E6929"/>
    <w:rsid w:val="008E6A7D"/>
    <w:rsid w:val="008E71D9"/>
    <w:rsid w:val="008E7A4E"/>
    <w:rsid w:val="008E7DE7"/>
    <w:rsid w:val="008F05CF"/>
    <w:rsid w:val="008F1EF5"/>
    <w:rsid w:val="008F27CE"/>
    <w:rsid w:val="008F285A"/>
    <w:rsid w:val="008F3130"/>
    <w:rsid w:val="008F38C7"/>
    <w:rsid w:val="008F3A82"/>
    <w:rsid w:val="008F3C4D"/>
    <w:rsid w:val="009002D5"/>
    <w:rsid w:val="009004B8"/>
    <w:rsid w:val="00900970"/>
    <w:rsid w:val="00900C1A"/>
    <w:rsid w:val="00901289"/>
    <w:rsid w:val="0090174C"/>
    <w:rsid w:val="00901A33"/>
    <w:rsid w:val="00901B2F"/>
    <w:rsid w:val="00901FA8"/>
    <w:rsid w:val="0090305C"/>
    <w:rsid w:val="009052FB"/>
    <w:rsid w:val="0090552B"/>
    <w:rsid w:val="00905E6A"/>
    <w:rsid w:val="009070F0"/>
    <w:rsid w:val="009071F5"/>
    <w:rsid w:val="00907D17"/>
    <w:rsid w:val="0091239E"/>
    <w:rsid w:val="00912DF4"/>
    <w:rsid w:val="00914866"/>
    <w:rsid w:val="00914DA6"/>
    <w:rsid w:val="009163D0"/>
    <w:rsid w:val="009166AF"/>
    <w:rsid w:val="009170E8"/>
    <w:rsid w:val="009170F7"/>
    <w:rsid w:val="00917FA2"/>
    <w:rsid w:val="00921962"/>
    <w:rsid w:val="00922425"/>
    <w:rsid w:val="00923B74"/>
    <w:rsid w:val="0092602F"/>
    <w:rsid w:val="009260FE"/>
    <w:rsid w:val="00926242"/>
    <w:rsid w:val="009273EC"/>
    <w:rsid w:val="0093116E"/>
    <w:rsid w:val="009322F9"/>
    <w:rsid w:val="0093480B"/>
    <w:rsid w:val="00935744"/>
    <w:rsid w:val="00936482"/>
    <w:rsid w:val="00936843"/>
    <w:rsid w:val="00936A62"/>
    <w:rsid w:val="00940053"/>
    <w:rsid w:val="009406CD"/>
    <w:rsid w:val="00940C44"/>
    <w:rsid w:val="0094223C"/>
    <w:rsid w:val="00942D42"/>
    <w:rsid w:val="00942F2E"/>
    <w:rsid w:val="00943F2C"/>
    <w:rsid w:val="00945A9B"/>
    <w:rsid w:val="00945FB9"/>
    <w:rsid w:val="00947388"/>
    <w:rsid w:val="00947E81"/>
    <w:rsid w:val="00950104"/>
    <w:rsid w:val="009509E9"/>
    <w:rsid w:val="00950C03"/>
    <w:rsid w:val="0095108D"/>
    <w:rsid w:val="00951CAF"/>
    <w:rsid w:val="0095219F"/>
    <w:rsid w:val="009525E5"/>
    <w:rsid w:val="00952A72"/>
    <w:rsid w:val="0095595D"/>
    <w:rsid w:val="00955FBB"/>
    <w:rsid w:val="00956692"/>
    <w:rsid w:val="00956CD6"/>
    <w:rsid w:val="00957DF4"/>
    <w:rsid w:val="00960D72"/>
    <w:rsid w:val="00960E2D"/>
    <w:rsid w:val="00962B33"/>
    <w:rsid w:val="00964535"/>
    <w:rsid w:val="009646B9"/>
    <w:rsid w:val="00964B86"/>
    <w:rsid w:val="0096500A"/>
    <w:rsid w:val="00965674"/>
    <w:rsid w:val="00966E97"/>
    <w:rsid w:val="00966FFA"/>
    <w:rsid w:val="009673B5"/>
    <w:rsid w:val="0096775E"/>
    <w:rsid w:val="009704E5"/>
    <w:rsid w:val="009707C5"/>
    <w:rsid w:val="00970FEC"/>
    <w:rsid w:val="00971891"/>
    <w:rsid w:val="00972A07"/>
    <w:rsid w:val="009735E6"/>
    <w:rsid w:val="00973B58"/>
    <w:rsid w:val="00973DB7"/>
    <w:rsid w:val="009744BE"/>
    <w:rsid w:val="009745FE"/>
    <w:rsid w:val="00975433"/>
    <w:rsid w:val="00975B3E"/>
    <w:rsid w:val="00975DE3"/>
    <w:rsid w:val="00975EE0"/>
    <w:rsid w:val="009770D8"/>
    <w:rsid w:val="00977394"/>
    <w:rsid w:val="009773B2"/>
    <w:rsid w:val="00977DC0"/>
    <w:rsid w:val="00981140"/>
    <w:rsid w:val="009813A9"/>
    <w:rsid w:val="009815CD"/>
    <w:rsid w:val="00981D5F"/>
    <w:rsid w:val="00981EAD"/>
    <w:rsid w:val="00981EBA"/>
    <w:rsid w:val="00982F25"/>
    <w:rsid w:val="0098301A"/>
    <w:rsid w:val="00983A13"/>
    <w:rsid w:val="00984BE7"/>
    <w:rsid w:val="00985795"/>
    <w:rsid w:val="00986262"/>
    <w:rsid w:val="009862C2"/>
    <w:rsid w:val="0098781B"/>
    <w:rsid w:val="00987D17"/>
    <w:rsid w:val="00994EB9"/>
    <w:rsid w:val="00995920"/>
    <w:rsid w:val="00995CF5"/>
    <w:rsid w:val="00996B5E"/>
    <w:rsid w:val="009A24B5"/>
    <w:rsid w:val="009A2FD9"/>
    <w:rsid w:val="009A34F3"/>
    <w:rsid w:val="009A38B6"/>
    <w:rsid w:val="009A5702"/>
    <w:rsid w:val="009A5716"/>
    <w:rsid w:val="009A5F4E"/>
    <w:rsid w:val="009A6798"/>
    <w:rsid w:val="009A6E8C"/>
    <w:rsid w:val="009A7C3B"/>
    <w:rsid w:val="009B0B28"/>
    <w:rsid w:val="009B16EE"/>
    <w:rsid w:val="009B202B"/>
    <w:rsid w:val="009B306F"/>
    <w:rsid w:val="009B3C01"/>
    <w:rsid w:val="009B42BB"/>
    <w:rsid w:val="009B438C"/>
    <w:rsid w:val="009B47D9"/>
    <w:rsid w:val="009B5E8F"/>
    <w:rsid w:val="009B6C74"/>
    <w:rsid w:val="009B73F1"/>
    <w:rsid w:val="009B7482"/>
    <w:rsid w:val="009B766C"/>
    <w:rsid w:val="009B7B5D"/>
    <w:rsid w:val="009B7C1E"/>
    <w:rsid w:val="009C1D1B"/>
    <w:rsid w:val="009C3135"/>
    <w:rsid w:val="009C4410"/>
    <w:rsid w:val="009C48CA"/>
    <w:rsid w:val="009C59A7"/>
    <w:rsid w:val="009C626C"/>
    <w:rsid w:val="009C6626"/>
    <w:rsid w:val="009C72D3"/>
    <w:rsid w:val="009C7AC6"/>
    <w:rsid w:val="009D05DF"/>
    <w:rsid w:val="009D08DB"/>
    <w:rsid w:val="009D1AE9"/>
    <w:rsid w:val="009D2023"/>
    <w:rsid w:val="009D2206"/>
    <w:rsid w:val="009D2F75"/>
    <w:rsid w:val="009D325B"/>
    <w:rsid w:val="009D36DA"/>
    <w:rsid w:val="009D476A"/>
    <w:rsid w:val="009D594F"/>
    <w:rsid w:val="009D624F"/>
    <w:rsid w:val="009D694A"/>
    <w:rsid w:val="009D73BD"/>
    <w:rsid w:val="009E100E"/>
    <w:rsid w:val="009E104F"/>
    <w:rsid w:val="009E1997"/>
    <w:rsid w:val="009E2BB3"/>
    <w:rsid w:val="009E3EEC"/>
    <w:rsid w:val="009E4092"/>
    <w:rsid w:val="009E443D"/>
    <w:rsid w:val="009E55F0"/>
    <w:rsid w:val="009E65DD"/>
    <w:rsid w:val="009F067F"/>
    <w:rsid w:val="009F0735"/>
    <w:rsid w:val="009F1EF8"/>
    <w:rsid w:val="009F23FC"/>
    <w:rsid w:val="009F2DBE"/>
    <w:rsid w:val="009F38F2"/>
    <w:rsid w:val="009F3CD6"/>
    <w:rsid w:val="009F3ED7"/>
    <w:rsid w:val="009F5514"/>
    <w:rsid w:val="009F5EC1"/>
    <w:rsid w:val="009F6191"/>
    <w:rsid w:val="009F665C"/>
    <w:rsid w:val="009F6ABD"/>
    <w:rsid w:val="009F724A"/>
    <w:rsid w:val="00A006C3"/>
    <w:rsid w:val="00A00D72"/>
    <w:rsid w:val="00A00EB2"/>
    <w:rsid w:val="00A015E5"/>
    <w:rsid w:val="00A02632"/>
    <w:rsid w:val="00A05FF4"/>
    <w:rsid w:val="00A0706A"/>
    <w:rsid w:val="00A1053A"/>
    <w:rsid w:val="00A12AE4"/>
    <w:rsid w:val="00A13688"/>
    <w:rsid w:val="00A14FC3"/>
    <w:rsid w:val="00A15540"/>
    <w:rsid w:val="00A173A3"/>
    <w:rsid w:val="00A2102A"/>
    <w:rsid w:val="00A21160"/>
    <w:rsid w:val="00A2183E"/>
    <w:rsid w:val="00A22DA9"/>
    <w:rsid w:val="00A253DC"/>
    <w:rsid w:val="00A2575D"/>
    <w:rsid w:val="00A25BCB"/>
    <w:rsid w:val="00A265CE"/>
    <w:rsid w:val="00A2749C"/>
    <w:rsid w:val="00A27F03"/>
    <w:rsid w:val="00A30A91"/>
    <w:rsid w:val="00A31228"/>
    <w:rsid w:val="00A31238"/>
    <w:rsid w:val="00A31500"/>
    <w:rsid w:val="00A31A17"/>
    <w:rsid w:val="00A31D5B"/>
    <w:rsid w:val="00A323C2"/>
    <w:rsid w:val="00A3295F"/>
    <w:rsid w:val="00A332F7"/>
    <w:rsid w:val="00A33D1E"/>
    <w:rsid w:val="00A341CB"/>
    <w:rsid w:val="00A34D46"/>
    <w:rsid w:val="00A363B6"/>
    <w:rsid w:val="00A37571"/>
    <w:rsid w:val="00A37950"/>
    <w:rsid w:val="00A37C8E"/>
    <w:rsid w:val="00A40368"/>
    <w:rsid w:val="00A40B7C"/>
    <w:rsid w:val="00A42A24"/>
    <w:rsid w:val="00A42C4C"/>
    <w:rsid w:val="00A43EB7"/>
    <w:rsid w:val="00A44FDC"/>
    <w:rsid w:val="00A45773"/>
    <w:rsid w:val="00A45FEF"/>
    <w:rsid w:val="00A464AC"/>
    <w:rsid w:val="00A4694F"/>
    <w:rsid w:val="00A47725"/>
    <w:rsid w:val="00A5008B"/>
    <w:rsid w:val="00A5029B"/>
    <w:rsid w:val="00A505C9"/>
    <w:rsid w:val="00A50C9B"/>
    <w:rsid w:val="00A50F5E"/>
    <w:rsid w:val="00A51162"/>
    <w:rsid w:val="00A5173B"/>
    <w:rsid w:val="00A520CF"/>
    <w:rsid w:val="00A5399D"/>
    <w:rsid w:val="00A552B1"/>
    <w:rsid w:val="00A5558C"/>
    <w:rsid w:val="00A56195"/>
    <w:rsid w:val="00A56364"/>
    <w:rsid w:val="00A56D3E"/>
    <w:rsid w:val="00A571D0"/>
    <w:rsid w:val="00A57D6C"/>
    <w:rsid w:val="00A60422"/>
    <w:rsid w:val="00A6174F"/>
    <w:rsid w:val="00A627FE"/>
    <w:rsid w:val="00A63158"/>
    <w:rsid w:val="00A642C9"/>
    <w:rsid w:val="00A64931"/>
    <w:rsid w:val="00A665E8"/>
    <w:rsid w:val="00A703EC"/>
    <w:rsid w:val="00A7221E"/>
    <w:rsid w:val="00A72A95"/>
    <w:rsid w:val="00A7382F"/>
    <w:rsid w:val="00A749BE"/>
    <w:rsid w:val="00A749C0"/>
    <w:rsid w:val="00A75277"/>
    <w:rsid w:val="00A752FE"/>
    <w:rsid w:val="00A77303"/>
    <w:rsid w:val="00A80B68"/>
    <w:rsid w:val="00A81D17"/>
    <w:rsid w:val="00A82D42"/>
    <w:rsid w:val="00A82FE0"/>
    <w:rsid w:val="00A8431B"/>
    <w:rsid w:val="00A8482E"/>
    <w:rsid w:val="00A849CB"/>
    <w:rsid w:val="00A84F27"/>
    <w:rsid w:val="00A8628C"/>
    <w:rsid w:val="00A87464"/>
    <w:rsid w:val="00A91ABA"/>
    <w:rsid w:val="00A91B91"/>
    <w:rsid w:val="00A91D6B"/>
    <w:rsid w:val="00A92A51"/>
    <w:rsid w:val="00A9480B"/>
    <w:rsid w:val="00A948F1"/>
    <w:rsid w:val="00A9535D"/>
    <w:rsid w:val="00A97A29"/>
    <w:rsid w:val="00A97EE2"/>
    <w:rsid w:val="00AA0359"/>
    <w:rsid w:val="00AA0A98"/>
    <w:rsid w:val="00AA0B68"/>
    <w:rsid w:val="00AA2025"/>
    <w:rsid w:val="00AA2359"/>
    <w:rsid w:val="00AA5AE7"/>
    <w:rsid w:val="00AA65F5"/>
    <w:rsid w:val="00AA7092"/>
    <w:rsid w:val="00AA78DC"/>
    <w:rsid w:val="00AB1270"/>
    <w:rsid w:val="00AB3391"/>
    <w:rsid w:val="00AB4AD2"/>
    <w:rsid w:val="00AB6453"/>
    <w:rsid w:val="00AB664E"/>
    <w:rsid w:val="00AB69A9"/>
    <w:rsid w:val="00AB6BE7"/>
    <w:rsid w:val="00AB7948"/>
    <w:rsid w:val="00AB7D32"/>
    <w:rsid w:val="00AB7E17"/>
    <w:rsid w:val="00AC039F"/>
    <w:rsid w:val="00AC0F87"/>
    <w:rsid w:val="00AC2369"/>
    <w:rsid w:val="00AC29DA"/>
    <w:rsid w:val="00AC3A99"/>
    <w:rsid w:val="00AC4DB9"/>
    <w:rsid w:val="00AC679B"/>
    <w:rsid w:val="00AC6969"/>
    <w:rsid w:val="00AD0885"/>
    <w:rsid w:val="00AD196F"/>
    <w:rsid w:val="00AD260B"/>
    <w:rsid w:val="00AD287A"/>
    <w:rsid w:val="00AD3D7C"/>
    <w:rsid w:val="00AD4328"/>
    <w:rsid w:val="00AD50EF"/>
    <w:rsid w:val="00AD6239"/>
    <w:rsid w:val="00AD6388"/>
    <w:rsid w:val="00AD75A9"/>
    <w:rsid w:val="00AD7E03"/>
    <w:rsid w:val="00AE3650"/>
    <w:rsid w:val="00AE4035"/>
    <w:rsid w:val="00AE4853"/>
    <w:rsid w:val="00AE4C2D"/>
    <w:rsid w:val="00AE4DFD"/>
    <w:rsid w:val="00AE5503"/>
    <w:rsid w:val="00AE6801"/>
    <w:rsid w:val="00AE7A55"/>
    <w:rsid w:val="00AF087F"/>
    <w:rsid w:val="00AF0EAF"/>
    <w:rsid w:val="00AF1352"/>
    <w:rsid w:val="00AF1CEF"/>
    <w:rsid w:val="00AF3A76"/>
    <w:rsid w:val="00AF406C"/>
    <w:rsid w:val="00AF4FF7"/>
    <w:rsid w:val="00AF544D"/>
    <w:rsid w:val="00AF5663"/>
    <w:rsid w:val="00AF5C86"/>
    <w:rsid w:val="00AF669C"/>
    <w:rsid w:val="00AF738F"/>
    <w:rsid w:val="00B0006D"/>
    <w:rsid w:val="00B00136"/>
    <w:rsid w:val="00B007CA"/>
    <w:rsid w:val="00B0136B"/>
    <w:rsid w:val="00B0187F"/>
    <w:rsid w:val="00B02F92"/>
    <w:rsid w:val="00B03A5C"/>
    <w:rsid w:val="00B041F4"/>
    <w:rsid w:val="00B04BD3"/>
    <w:rsid w:val="00B050BD"/>
    <w:rsid w:val="00B0537D"/>
    <w:rsid w:val="00B056BC"/>
    <w:rsid w:val="00B05AA1"/>
    <w:rsid w:val="00B05CFD"/>
    <w:rsid w:val="00B070CE"/>
    <w:rsid w:val="00B0745F"/>
    <w:rsid w:val="00B10BA9"/>
    <w:rsid w:val="00B10E9D"/>
    <w:rsid w:val="00B119A5"/>
    <w:rsid w:val="00B1267E"/>
    <w:rsid w:val="00B128B5"/>
    <w:rsid w:val="00B1307E"/>
    <w:rsid w:val="00B13B33"/>
    <w:rsid w:val="00B14EA7"/>
    <w:rsid w:val="00B15726"/>
    <w:rsid w:val="00B15896"/>
    <w:rsid w:val="00B16275"/>
    <w:rsid w:val="00B2028B"/>
    <w:rsid w:val="00B207B1"/>
    <w:rsid w:val="00B21369"/>
    <w:rsid w:val="00B21C8A"/>
    <w:rsid w:val="00B21FBB"/>
    <w:rsid w:val="00B245C8"/>
    <w:rsid w:val="00B24C35"/>
    <w:rsid w:val="00B24FBE"/>
    <w:rsid w:val="00B25014"/>
    <w:rsid w:val="00B25B82"/>
    <w:rsid w:val="00B26F08"/>
    <w:rsid w:val="00B27203"/>
    <w:rsid w:val="00B276CD"/>
    <w:rsid w:val="00B31251"/>
    <w:rsid w:val="00B31BD6"/>
    <w:rsid w:val="00B327EA"/>
    <w:rsid w:val="00B33482"/>
    <w:rsid w:val="00B33732"/>
    <w:rsid w:val="00B33834"/>
    <w:rsid w:val="00B362BB"/>
    <w:rsid w:val="00B366A0"/>
    <w:rsid w:val="00B37C21"/>
    <w:rsid w:val="00B42F80"/>
    <w:rsid w:val="00B42FD8"/>
    <w:rsid w:val="00B43686"/>
    <w:rsid w:val="00B458D2"/>
    <w:rsid w:val="00B46470"/>
    <w:rsid w:val="00B50652"/>
    <w:rsid w:val="00B52789"/>
    <w:rsid w:val="00B53B5C"/>
    <w:rsid w:val="00B55630"/>
    <w:rsid w:val="00B562D9"/>
    <w:rsid w:val="00B568FF"/>
    <w:rsid w:val="00B578E3"/>
    <w:rsid w:val="00B57E44"/>
    <w:rsid w:val="00B57FD3"/>
    <w:rsid w:val="00B6020A"/>
    <w:rsid w:val="00B61928"/>
    <w:rsid w:val="00B619B2"/>
    <w:rsid w:val="00B62912"/>
    <w:rsid w:val="00B63C06"/>
    <w:rsid w:val="00B63E68"/>
    <w:rsid w:val="00B65C59"/>
    <w:rsid w:val="00B67707"/>
    <w:rsid w:val="00B70EB7"/>
    <w:rsid w:val="00B7196B"/>
    <w:rsid w:val="00B72880"/>
    <w:rsid w:val="00B728ED"/>
    <w:rsid w:val="00B73125"/>
    <w:rsid w:val="00B7361D"/>
    <w:rsid w:val="00B73A57"/>
    <w:rsid w:val="00B74C58"/>
    <w:rsid w:val="00B74D1B"/>
    <w:rsid w:val="00B75114"/>
    <w:rsid w:val="00B76B8A"/>
    <w:rsid w:val="00B772DB"/>
    <w:rsid w:val="00B77597"/>
    <w:rsid w:val="00B775A7"/>
    <w:rsid w:val="00B7764D"/>
    <w:rsid w:val="00B8024C"/>
    <w:rsid w:val="00B80D86"/>
    <w:rsid w:val="00B8119C"/>
    <w:rsid w:val="00B81535"/>
    <w:rsid w:val="00B821C6"/>
    <w:rsid w:val="00B8249C"/>
    <w:rsid w:val="00B834B5"/>
    <w:rsid w:val="00B835EA"/>
    <w:rsid w:val="00B83987"/>
    <w:rsid w:val="00B839C8"/>
    <w:rsid w:val="00B84730"/>
    <w:rsid w:val="00B85C17"/>
    <w:rsid w:val="00B85C25"/>
    <w:rsid w:val="00B86009"/>
    <w:rsid w:val="00B87DD9"/>
    <w:rsid w:val="00B90DAF"/>
    <w:rsid w:val="00B90F74"/>
    <w:rsid w:val="00B91B5D"/>
    <w:rsid w:val="00B92720"/>
    <w:rsid w:val="00B945D5"/>
    <w:rsid w:val="00B95AA2"/>
    <w:rsid w:val="00BA0926"/>
    <w:rsid w:val="00BA19EA"/>
    <w:rsid w:val="00BA38CD"/>
    <w:rsid w:val="00BA3C0A"/>
    <w:rsid w:val="00BA5B9E"/>
    <w:rsid w:val="00BA6107"/>
    <w:rsid w:val="00BA66AA"/>
    <w:rsid w:val="00BA679D"/>
    <w:rsid w:val="00BB06A6"/>
    <w:rsid w:val="00BB0B30"/>
    <w:rsid w:val="00BB0EE5"/>
    <w:rsid w:val="00BB1A88"/>
    <w:rsid w:val="00BB1B23"/>
    <w:rsid w:val="00BB30AB"/>
    <w:rsid w:val="00BB416E"/>
    <w:rsid w:val="00BB5CCD"/>
    <w:rsid w:val="00BB62A9"/>
    <w:rsid w:val="00BB7CA0"/>
    <w:rsid w:val="00BC059D"/>
    <w:rsid w:val="00BC0ABA"/>
    <w:rsid w:val="00BC14C9"/>
    <w:rsid w:val="00BC1DAE"/>
    <w:rsid w:val="00BC446D"/>
    <w:rsid w:val="00BC52B6"/>
    <w:rsid w:val="00BC5C1B"/>
    <w:rsid w:val="00BC5D8D"/>
    <w:rsid w:val="00BC6403"/>
    <w:rsid w:val="00BD030B"/>
    <w:rsid w:val="00BD0408"/>
    <w:rsid w:val="00BD05C4"/>
    <w:rsid w:val="00BD0F4E"/>
    <w:rsid w:val="00BD21E4"/>
    <w:rsid w:val="00BD2469"/>
    <w:rsid w:val="00BD3554"/>
    <w:rsid w:val="00BD3C18"/>
    <w:rsid w:val="00BD54B2"/>
    <w:rsid w:val="00BD6066"/>
    <w:rsid w:val="00BD6151"/>
    <w:rsid w:val="00BD73B5"/>
    <w:rsid w:val="00BE02A7"/>
    <w:rsid w:val="00BE0A41"/>
    <w:rsid w:val="00BE0D9D"/>
    <w:rsid w:val="00BE30A4"/>
    <w:rsid w:val="00BE42B5"/>
    <w:rsid w:val="00BE4709"/>
    <w:rsid w:val="00BE489B"/>
    <w:rsid w:val="00BE5CDB"/>
    <w:rsid w:val="00BE7128"/>
    <w:rsid w:val="00BE7F33"/>
    <w:rsid w:val="00BF0882"/>
    <w:rsid w:val="00BF0F57"/>
    <w:rsid w:val="00BF1407"/>
    <w:rsid w:val="00BF1D79"/>
    <w:rsid w:val="00BF1F87"/>
    <w:rsid w:val="00BF2649"/>
    <w:rsid w:val="00BF2A34"/>
    <w:rsid w:val="00BF6097"/>
    <w:rsid w:val="00BF7A75"/>
    <w:rsid w:val="00BF7C74"/>
    <w:rsid w:val="00C02436"/>
    <w:rsid w:val="00C029B2"/>
    <w:rsid w:val="00C03959"/>
    <w:rsid w:val="00C04F43"/>
    <w:rsid w:val="00C05B04"/>
    <w:rsid w:val="00C0607D"/>
    <w:rsid w:val="00C07618"/>
    <w:rsid w:val="00C1027A"/>
    <w:rsid w:val="00C102B0"/>
    <w:rsid w:val="00C10594"/>
    <w:rsid w:val="00C1103C"/>
    <w:rsid w:val="00C111E7"/>
    <w:rsid w:val="00C11248"/>
    <w:rsid w:val="00C11FA2"/>
    <w:rsid w:val="00C1257B"/>
    <w:rsid w:val="00C14E52"/>
    <w:rsid w:val="00C16B14"/>
    <w:rsid w:val="00C16C07"/>
    <w:rsid w:val="00C16DF1"/>
    <w:rsid w:val="00C17326"/>
    <w:rsid w:val="00C20FD8"/>
    <w:rsid w:val="00C219CF"/>
    <w:rsid w:val="00C22435"/>
    <w:rsid w:val="00C23065"/>
    <w:rsid w:val="00C24966"/>
    <w:rsid w:val="00C24A27"/>
    <w:rsid w:val="00C24AF0"/>
    <w:rsid w:val="00C2620D"/>
    <w:rsid w:val="00C26A48"/>
    <w:rsid w:val="00C26CC0"/>
    <w:rsid w:val="00C270F6"/>
    <w:rsid w:val="00C274E4"/>
    <w:rsid w:val="00C27C04"/>
    <w:rsid w:val="00C30CAB"/>
    <w:rsid w:val="00C32C25"/>
    <w:rsid w:val="00C33217"/>
    <w:rsid w:val="00C340E1"/>
    <w:rsid w:val="00C35260"/>
    <w:rsid w:val="00C353FE"/>
    <w:rsid w:val="00C422FB"/>
    <w:rsid w:val="00C42AC6"/>
    <w:rsid w:val="00C42F6B"/>
    <w:rsid w:val="00C454C3"/>
    <w:rsid w:val="00C47883"/>
    <w:rsid w:val="00C51622"/>
    <w:rsid w:val="00C51E60"/>
    <w:rsid w:val="00C52207"/>
    <w:rsid w:val="00C529E9"/>
    <w:rsid w:val="00C52DA9"/>
    <w:rsid w:val="00C52E49"/>
    <w:rsid w:val="00C53EF4"/>
    <w:rsid w:val="00C55F5B"/>
    <w:rsid w:val="00C57FF4"/>
    <w:rsid w:val="00C60D1B"/>
    <w:rsid w:val="00C61A29"/>
    <w:rsid w:val="00C61D7F"/>
    <w:rsid w:val="00C62B2C"/>
    <w:rsid w:val="00C63154"/>
    <w:rsid w:val="00C66369"/>
    <w:rsid w:val="00C66F27"/>
    <w:rsid w:val="00C70484"/>
    <w:rsid w:val="00C71EAB"/>
    <w:rsid w:val="00C743AC"/>
    <w:rsid w:val="00C75BD7"/>
    <w:rsid w:val="00C77017"/>
    <w:rsid w:val="00C770AD"/>
    <w:rsid w:val="00C7734F"/>
    <w:rsid w:val="00C77C42"/>
    <w:rsid w:val="00C80DA2"/>
    <w:rsid w:val="00C82706"/>
    <w:rsid w:val="00C82779"/>
    <w:rsid w:val="00C82A59"/>
    <w:rsid w:val="00C83F08"/>
    <w:rsid w:val="00C84222"/>
    <w:rsid w:val="00C8690B"/>
    <w:rsid w:val="00C8691C"/>
    <w:rsid w:val="00C87016"/>
    <w:rsid w:val="00C8752A"/>
    <w:rsid w:val="00C87F33"/>
    <w:rsid w:val="00C90FCF"/>
    <w:rsid w:val="00C9253C"/>
    <w:rsid w:val="00C92E25"/>
    <w:rsid w:val="00C92F15"/>
    <w:rsid w:val="00C93119"/>
    <w:rsid w:val="00C934A6"/>
    <w:rsid w:val="00C95248"/>
    <w:rsid w:val="00C95CB5"/>
    <w:rsid w:val="00C95D64"/>
    <w:rsid w:val="00C95E4E"/>
    <w:rsid w:val="00C95E5D"/>
    <w:rsid w:val="00C95EDC"/>
    <w:rsid w:val="00C96108"/>
    <w:rsid w:val="00C96374"/>
    <w:rsid w:val="00C96962"/>
    <w:rsid w:val="00C9717D"/>
    <w:rsid w:val="00C97429"/>
    <w:rsid w:val="00CA0A36"/>
    <w:rsid w:val="00CA13B1"/>
    <w:rsid w:val="00CA1CF8"/>
    <w:rsid w:val="00CA22E2"/>
    <w:rsid w:val="00CA2D93"/>
    <w:rsid w:val="00CA2F72"/>
    <w:rsid w:val="00CA326D"/>
    <w:rsid w:val="00CA36EA"/>
    <w:rsid w:val="00CA5BC8"/>
    <w:rsid w:val="00CA5E80"/>
    <w:rsid w:val="00CA626A"/>
    <w:rsid w:val="00CA6A76"/>
    <w:rsid w:val="00CA7260"/>
    <w:rsid w:val="00CB0D81"/>
    <w:rsid w:val="00CB19D0"/>
    <w:rsid w:val="00CB2C07"/>
    <w:rsid w:val="00CB2F38"/>
    <w:rsid w:val="00CB360F"/>
    <w:rsid w:val="00CB399B"/>
    <w:rsid w:val="00CB449D"/>
    <w:rsid w:val="00CB481C"/>
    <w:rsid w:val="00CB7979"/>
    <w:rsid w:val="00CC283E"/>
    <w:rsid w:val="00CC2C7A"/>
    <w:rsid w:val="00CC2CE2"/>
    <w:rsid w:val="00CC2DD1"/>
    <w:rsid w:val="00CC2DE6"/>
    <w:rsid w:val="00CC41B5"/>
    <w:rsid w:val="00CC45E0"/>
    <w:rsid w:val="00CC4B43"/>
    <w:rsid w:val="00CC59CB"/>
    <w:rsid w:val="00CC5B08"/>
    <w:rsid w:val="00CC67F6"/>
    <w:rsid w:val="00CC7632"/>
    <w:rsid w:val="00CC771B"/>
    <w:rsid w:val="00CC77CB"/>
    <w:rsid w:val="00CD06C1"/>
    <w:rsid w:val="00CD0DF9"/>
    <w:rsid w:val="00CD0E0E"/>
    <w:rsid w:val="00CD1DF0"/>
    <w:rsid w:val="00CD24C7"/>
    <w:rsid w:val="00CD2EBD"/>
    <w:rsid w:val="00CD4B5B"/>
    <w:rsid w:val="00CD556F"/>
    <w:rsid w:val="00CD5DBB"/>
    <w:rsid w:val="00CD63BE"/>
    <w:rsid w:val="00CD652A"/>
    <w:rsid w:val="00CD68B7"/>
    <w:rsid w:val="00CD6C90"/>
    <w:rsid w:val="00CD7B3C"/>
    <w:rsid w:val="00CD7D62"/>
    <w:rsid w:val="00CD7D80"/>
    <w:rsid w:val="00CE0E1C"/>
    <w:rsid w:val="00CE27BB"/>
    <w:rsid w:val="00CE3CBB"/>
    <w:rsid w:val="00CE4564"/>
    <w:rsid w:val="00CE525C"/>
    <w:rsid w:val="00CE5751"/>
    <w:rsid w:val="00CE5873"/>
    <w:rsid w:val="00CE626D"/>
    <w:rsid w:val="00CE64DC"/>
    <w:rsid w:val="00CE65E5"/>
    <w:rsid w:val="00CE676C"/>
    <w:rsid w:val="00CF0067"/>
    <w:rsid w:val="00CF13F0"/>
    <w:rsid w:val="00CF2761"/>
    <w:rsid w:val="00CF53EE"/>
    <w:rsid w:val="00CF57D1"/>
    <w:rsid w:val="00CF6310"/>
    <w:rsid w:val="00CF6C2D"/>
    <w:rsid w:val="00CF7247"/>
    <w:rsid w:val="00CF7B06"/>
    <w:rsid w:val="00D00C1A"/>
    <w:rsid w:val="00D0135E"/>
    <w:rsid w:val="00D01C84"/>
    <w:rsid w:val="00D02360"/>
    <w:rsid w:val="00D0298D"/>
    <w:rsid w:val="00D0446D"/>
    <w:rsid w:val="00D04972"/>
    <w:rsid w:val="00D07407"/>
    <w:rsid w:val="00D077C4"/>
    <w:rsid w:val="00D07D6B"/>
    <w:rsid w:val="00D07EAD"/>
    <w:rsid w:val="00D111F9"/>
    <w:rsid w:val="00D125AA"/>
    <w:rsid w:val="00D12733"/>
    <w:rsid w:val="00D138CC"/>
    <w:rsid w:val="00D14746"/>
    <w:rsid w:val="00D151B2"/>
    <w:rsid w:val="00D1535D"/>
    <w:rsid w:val="00D1580B"/>
    <w:rsid w:val="00D16588"/>
    <w:rsid w:val="00D22E25"/>
    <w:rsid w:val="00D23658"/>
    <w:rsid w:val="00D26858"/>
    <w:rsid w:val="00D2752D"/>
    <w:rsid w:val="00D27B68"/>
    <w:rsid w:val="00D27F70"/>
    <w:rsid w:val="00D30F98"/>
    <w:rsid w:val="00D3152E"/>
    <w:rsid w:val="00D31FC1"/>
    <w:rsid w:val="00D322D2"/>
    <w:rsid w:val="00D3279E"/>
    <w:rsid w:val="00D32B71"/>
    <w:rsid w:val="00D32DB8"/>
    <w:rsid w:val="00D337A8"/>
    <w:rsid w:val="00D33AC9"/>
    <w:rsid w:val="00D37223"/>
    <w:rsid w:val="00D3754C"/>
    <w:rsid w:val="00D43D50"/>
    <w:rsid w:val="00D443C6"/>
    <w:rsid w:val="00D44FC6"/>
    <w:rsid w:val="00D4525B"/>
    <w:rsid w:val="00D45974"/>
    <w:rsid w:val="00D46277"/>
    <w:rsid w:val="00D46D9A"/>
    <w:rsid w:val="00D47A86"/>
    <w:rsid w:val="00D507A3"/>
    <w:rsid w:val="00D50962"/>
    <w:rsid w:val="00D50E02"/>
    <w:rsid w:val="00D51A79"/>
    <w:rsid w:val="00D522E7"/>
    <w:rsid w:val="00D5234C"/>
    <w:rsid w:val="00D53DD9"/>
    <w:rsid w:val="00D53FF9"/>
    <w:rsid w:val="00D54102"/>
    <w:rsid w:val="00D541D0"/>
    <w:rsid w:val="00D55A86"/>
    <w:rsid w:val="00D600A5"/>
    <w:rsid w:val="00D605AA"/>
    <w:rsid w:val="00D618DE"/>
    <w:rsid w:val="00D61CF1"/>
    <w:rsid w:val="00D621DB"/>
    <w:rsid w:val="00D6302A"/>
    <w:rsid w:val="00D636DA"/>
    <w:rsid w:val="00D63869"/>
    <w:rsid w:val="00D639C6"/>
    <w:rsid w:val="00D63B64"/>
    <w:rsid w:val="00D63F5C"/>
    <w:rsid w:val="00D642E1"/>
    <w:rsid w:val="00D644CC"/>
    <w:rsid w:val="00D65AB3"/>
    <w:rsid w:val="00D65B4D"/>
    <w:rsid w:val="00D65EE9"/>
    <w:rsid w:val="00D65FAE"/>
    <w:rsid w:val="00D66059"/>
    <w:rsid w:val="00D664EF"/>
    <w:rsid w:val="00D66903"/>
    <w:rsid w:val="00D67597"/>
    <w:rsid w:val="00D70818"/>
    <w:rsid w:val="00D70ECA"/>
    <w:rsid w:val="00D71190"/>
    <w:rsid w:val="00D7136A"/>
    <w:rsid w:val="00D715D9"/>
    <w:rsid w:val="00D71E5C"/>
    <w:rsid w:val="00D721AE"/>
    <w:rsid w:val="00D72BDE"/>
    <w:rsid w:val="00D73114"/>
    <w:rsid w:val="00D733A5"/>
    <w:rsid w:val="00D736D5"/>
    <w:rsid w:val="00D74192"/>
    <w:rsid w:val="00D75577"/>
    <w:rsid w:val="00D75EE0"/>
    <w:rsid w:val="00D762C8"/>
    <w:rsid w:val="00D77B5B"/>
    <w:rsid w:val="00D80814"/>
    <w:rsid w:val="00D81723"/>
    <w:rsid w:val="00D82482"/>
    <w:rsid w:val="00D841DA"/>
    <w:rsid w:val="00D844B2"/>
    <w:rsid w:val="00D858F1"/>
    <w:rsid w:val="00D859B8"/>
    <w:rsid w:val="00D86FDC"/>
    <w:rsid w:val="00D87B53"/>
    <w:rsid w:val="00D87B64"/>
    <w:rsid w:val="00D91042"/>
    <w:rsid w:val="00D9133B"/>
    <w:rsid w:val="00D91655"/>
    <w:rsid w:val="00D93F62"/>
    <w:rsid w:val="00D94AE9"/>
    <w:rsid w:val="00D96D8E"/>
    <w:rsid w:val="00D97168"/>
    <w:rsid w:val="00D975BC"/>
    <w:rsid w:val="00D97E54"/>
    <w:rsid w:val="00DA030B"/>
    <w:rsid w:val="00DA034F"/>
    <w:rsid w:val="00DA0BAB"/>
    <w:rsid w:val="00DA1500"/>
    <w:rsid w:val="00DA2709"/>
    <w:rsid w:val="00DA2999"/>
    <w:rsid w:val="00DA3582"/>
    <w:rsid w:val="00DA4ED3"/>
    <w:rsid w:val="00DB1161"/>
    <w:rsid w:val="00DB1DD7"/>
    <w:rsid w:val="00DB2061"/>
    <w:rsid w:val="00DB285C"/>
    <w:rsid w:val="00DB3E81"/>
    <w:rsid w:val="00DB4A89"/>
    <w:rsid w:val="00DB4D5C"/>
    <w:rsid w:val="00DB618B"/>
    <w:rsid w:val="00DB677F"/>
    <w:rsid w:val="00DB690E"/>
    <w:rsid w:val="00DB7427"/>
    <w:rsid w:val="00DB79FD"/>
    <w:rsid w:val="00DB7E7B"/>
    <w:rsid w:val="00DC0148"/>
    <w:rsid w:val="00DC0303"/>
    <w:rsid w:val="00DC178B"/>
    <w:rsid w:val="00DC5D74"/>
    <w:rsid w:val="00DC63C2"/>
    <w:rsid w:val="00DC6BB7"/>
    <w:rsid w:val="00DC7212"/>
    <w:rsid w:val="00DD103A"/>
    <w:rsid w:val="00DD10BA"/>
    <w:rsid w:val="00DD1FA1"/>
    <w:rsid w:val="00DD23A7"/>
    <w:rsid w:val="00DD2583"/>
    <w:rsid w:val="00DD2A3A"/>
    <w:rsid w:val="00DD399E"/>
    <w:rsid w:val="00DD441C"/>
    <w:rsid w:val="00DD49F9"/>
    <w:rsid w:val="00DD4C6F"/>
    <w:rsid w:val="00DD579C"/>
    <w:rsid w:val="00DD6BCB"/>
    <w:rsid w:val="00DD6BFD"/>
    <w:rsid w:val="00DD7B6F"/>
    <w:rsid w:val="00DD7BC7"/>
    <w:rsid w:val="00DD7D32"/>
    <w:rsid w:val="00DE43AF"/>
    <w:rsid w:val="00DE4AD6"/>
    <w:rsid w:val="00DE507C"/>
    <w:rsid w:val="00DE5C53"/>
    <w:rsid w:val="00DE6B90"/>
    <w:rsid w:val="00DE6C1C"/>
    <w:rsid w:val="00DE6F82"/>
    <w:rsid w:val="00DE70CE"/>
    <w:rsid w:val="00DF0A15"/>
    <w:rsid w:val="00DF0AAB"/>
    <w:rsid w:val="00DF12D7"/>
    <w:rsid w:val="00DF3750"/>
    <w:rsid w:val="00DF3B5B"/>
    <w:rsid w:val="00DF405D"/>
    <w:rsid w:val="00DF56EF"/>
    <w:rsid w:val="00DF6275"/>
    <w:rsid w:val="00DF7224"/>
    <w:rsid w:val="00DF76EB"/>
    <w:rsid w:val="00DF7C6D"/>
    <w:rsid w:val="00E006CF"/>
    <w:rsid w:val="00E0213D"/>
    <w:rsid w:val="00E02B0F"/>
    <w:rsid w:val="00E030CC"/>
    <w:rsid w:val="00E04978"/>
    <w:rsid w:val="00E04FEC"/>
    <w:rsid w:val="00E06107"/>
    <w:rsid w:val="00E07BC6"/>
    <w:rsid w:val="00E10961"/>
    <w:rsid w:val="00E10CB8"/>
    <w:rsid w:val="00E10D3E"/>
    <w:rsid w:val="00E10DA6"/>
    <w:rsid w:val="00E113D7"/>
    <w:rsid w:val="00E1161A"/>
    <w:rsid w:val="00E124AA"/>
    <w:rsid w:val="00E12996"/>
    <w:rsid w:val="00E143B9"/>
    <w:rsid w:val="00E14647"/>
    <w:rsid w:val="00E1580E"/>
    <w:rsid w:val="00E15E40"/>
    <w:rsid w:val="00E15F22"/>
    <w:rsid w:val="00E16886"/>
    <w:rsid w:val="00E169C7"/>
    <w:rsid w:val="00E16CD5"/>
    <w:rsid w:val="00E200AF"/>
    <w:rsid w:val="00E20477"/>
    <w:rsid w:val="00E20906"/>
    <w:rsid w:val="00E20C21"/>
    <w:rsid w:val="00E2165B"/>
    <w:rsid w:val="00E219C8"/>
    <w:rsid w:val="00E222F1"/>
    <w:rsid w:val="00E22B3C"/>
    <w:rsid w:val="00E23522"/>
    <w:rsid w:val="00E2458D"/>
    <w:rsid w:val="00E2495F"/>
    <w:rsid w:val="00E25091"/>
    <w:rsid w:val="00E258C6"/>
    <w:rsid w:val="00E25B71"/>
    <w:rsid w:val="00E263F0"/>
    <w:rsid w:val="00E272C2"/>
    <w:rsid w:val="00E27A71"/>
    <w:rsid w:val="00E306EA"/>
    <w:rsid w:val="00E31CD0"/>
    <w:rsid w:val="00E32784"/>
    <w:rsid w:val="00E34F6F"/>
    <w:rsid w:val="00E3658B"/>
    <w:rsid w:val="00E3662B"/>
    <w:rsid w:val="00E37E5A"/>
    <w:rsid w:val="00E401D2"/>
    <w:rsid w:val="00E40A44"/>
    <w:rsid w:val="00E4172B"/>
    <w:rsid w:val="00E41E2F"/>
    <w:rsid w:val="00E420F3"/>
    <w:rsid w:val="00E42483"/>
    <w:rsid w:val="00E42E3C"/>
    <w:rsid w:val="00E432EC"/>
    <w:rsid w:val="00E43A85"/>
    <w:rsid w:val="00E44FFD"/>
    <w:rsid w:val="00E45505"/>
    <w:rsid w:val="00E5039C"/>
    <w:rsid w:val="00E520EC"/>
    <w:rsid w:val="00E5218D"/>
    <w:rsid w:val="00E54055"/>
    <w:rsid w:val="00E54913"/>
    <w:rsid w:val="00E55BB8"/>
    <w:rsid w:val="00E56CB4"/>
    <w:rsid w:val="00E620F4"/>
    <w:rsid w:val="00E6231F"/>
    <w:rsid w:val="00E6235D"/>
    <w:rsid w:val="00E6292B"/>
    <w:rsid w:val="00E62C9D"/>
    <w:rsid w:val="00E646FE"/>
    <w:rsid w:val="00E64D88"/>
    <w:rsid w:val="00E65702"/>
    <w:rsid w:val="00E7017E"/>
    <w:rsid w:val="00E707A6"/>
    <w:rsid w:val="00E70C92"/>
    <w:rsid w:val="00E7106F"/>
    <w:rsid w:val="00E71789"/>
    <w:rsid w:val="00E72A60"/>
    <w:rsid w:val="00E72BB1"/>
    <w:rsid w:val="00E72C52"/>
    <w:rsid w:val="00E72F11"/>
    <w:rsid w:val="00E733D9"/>
    <w:rsid w:val="00E73A4D"/>
    <w:rsid w:val="00E7425D"/>
    <w:rsid w:val="00E74286"/>
    <w:rsid w:val="00E74427"/>
    <w:rsid w:val="00E745B1"/>
    <w:rsid w:val="00E74FE1"/>
    <w:rsid w:val="00E75355"/>
    <w:rsid w:val="00E75DCD"/>
    <w:rsid w:val="00E75EDD"/>
    <w:rsid w:val="00E7613C"/>
    <w:rsid w:val="00E7661A"/>
    <w:rsid w:val="00E76C43"/>
    <w:rsid w:val="00E7739A"/>
    <w:rsid w:val="00E77C4C"/>
    <w:rsid w:val="00E77FDD"/>
    <w:rsid w:val="00E8388E"/>
    <w:rsid w:val="00E85948"/>
    <w:rsid w:val="00E865C8"/>
    <w:rsid w:val="00E86767"/>
    <w:rsid w:val="00E86F9A"/>
    <w:rsid w:val="00E87735"/>
    <w:rsid w:val="00E9042C"/>
    <w:rsid w:val="00E912ED"/>
    <w:rsid w:val="00E916CD"/>
    <w:rsid w:val="00E91DA3"/>
    <w:rsid w:val="00E9218C"/>
    <w:rsid w:val="00E9295A"/>
    <w:rsid w:val="00E92A8E"/>
    <w:rsid w:val="00E95C81"/>
    <w:rsid w:val="00E95F24"/>
    <w:rsid w:val="00E96DD1"/>
    <w:rsid w:val="00E96F5F"/>
    <w:rsid w:val="00E97AB5"/>
    <w:rsid w:val="00E97F04"/>
    <w:rsid w:val="00EA072E"/>
    <w:rsid w:val="00EA0AFF"/>
    <w:rsid w:val="00EA0B05"/>
    <w:rsid w:val="00EA199E"/>
    <w:rsid w:val="00EA2ABD"/>
    <w:rsid w:val="00EA3C72"/>
    <w:rsid w:val="00EA47C5"/>
    <w:rsid w:val="00EA4FF6"/>
    <w:rsid w:val="00EA6450"/>
    <w:rsid w:val="00EA6759"/>
    <w:rsid w:val="00EA7B76"/>
    <w:rsid w:val="00EB195A"/>
    <w:rsid w:val="00EB2906"/>
    <w:rsid w:val="00EB2D6A"/>
    <w:rsid w:val="00EB30AC"/>
    <w:rsid w:val="00EB416C"/>
    <w:rsid w:val="00EB5750"/>
    <w:rsid w:val="00EB5762"/>
    <w:rsid w:val="00EB5987"/>
    <w:rsid w:val="00EB5A55"/>
    <w:rsid w:val="00EB62FE"/>
    <w:rsid w:val="00EB6344"/>
    <w:rsid w:val="00EB6AAA"/>
    <w:rsid w:val="00EC0E29"/>
    <w:rsid w:val="00EC0E2F"/>
    <w:rsid w:val="00EC3831"/>
    <w:rsid w:val="00EC3E8A"/>
    <w:rsid w:val="00EC4018"/>
    <w:rsid w:val="00EC43E8"/>
    <w:rsid w:val="00EC4C2D"/>
    <w:rsid w:val="00EC51A5"/>
    <w:rsid w:val="00EC5252"/>
    <w:rsid w:val="00EC7FC2"/>
    <w:rsid w:val="00ED0068"/>
    <w:rsid w:val="00ED1E39"/>
    <w:rsid w:val="00ED2428"/>
    <w:rsid w:val="00ED430E"/>
    <w:rsid w:val="00ED4C76"/>
    <w:rsid w:val="00ED4DA1"/>
    <w:rsid w:val="00ED5AEA"/>
    <w:rsid w:val="00ED76E4"/>
    <w:rsid w:val="00EE0AA7"/>
    <w:rsid w:val="00EE123F"/>
    <w:rsid w:val="00EE1B97"/>
    <w:rsid w:val="00EE3B18"/>
    <w:rsid w:val="00EE47B8"/>
    <w:rsid w:val="00EE56C7"/>
    <w:rsid w:val="00EE5920"/>
    <w:rsid w:val="00EE6F8C"/>
    <w:rsid w:val="00EF181C"/>
    <w:rsid w:val="00EF2C48"/>
    <w:rsid w:val="00EF2CC8"/>
    <w:rsid w:val="00EF327A"/>
    <w:rsid w:val="00EF3550"/>
    <w:rsid w:val="00EF3B7E"/>
    <w:rsid w:val="00EF3D9E"/>
    <w:rsid w:val="00EF44AB"/>
    <w:rsid w:val="00EF44B0"/>
    <w:rsid w:val="00EF48BD"/>
    <w:rsid w:val="00EF58C9"/>
    <w:rsid w:val="00EF5A67"/>
    <w:rsid w:val="00EF5A90"/>
    <w:rsid w:val="00EF5A9F"/>
    <w:rsid w:val="00EF5B80"/>
    <w:rsid w:val="00EF5C44"/>
    <w:rsid w:val="00EF5F3D"/>
    <w:rsid w:val="00EF677C"/>
    <w:rsid w:val="00EF7125"/>
    <w:rsid w:val="00EF7421"/>
    <w:rsid w:val="00EF750F"/>
    <w:rsid w:val="00EF7523"/>
    <w:rsid w:val="00EF7804"/>
    <w:rsid w:val="00EF7C2C"/>
    <w:rsid w:val="00F00145"/>
    <w:rsid w:val="00F02BEB"/>
    <w:rsid w:val="00F04895"/>
    <w:rsid w:val="00F0581A"/>
    <w:rsid w:val="00F06326"/>
    <w:rsid w:val="00F06716"/>
    <w:rsid w:val="00F06B34"/>
    <w:rsid w:val="00F070CA"/>
    <w:rsid w:val="00F078D0"/>
    <w:rsid w:val="00F07E83"/>
    <w:rsid w:val="00F12C1E"/>
    <w:rsid w:val="00F12E7A"/>
    <w:rsid w:val="00F14A8C"/>
    <w:rsid w:val="00F15467"/>
    <w:rsid w:val="00F16C58"/>
    <w:rsid w:val="00F215A4"/>
    <w:rsid w:val="00F21AF0"/>
    <w:rsid w:val="00F23E23"/>
    <w:rsid w:val="00F24602"/>
    <w:rsid w:val="00F24AAC"/>
    <w:rsid w:val="00F24B24"/>
    <w:rsid w:val="00F25003"/>
    <w:rsid w:val="00F2559A"/>
    <w:rsid w:val="00F26307"/>
    <w:rsid w:val="00F26990"/>
    <w:rsid w:val="00F273F6"/>
    <w:rsid w:val="00F274C7"/>
    <w:rsid w:val="00F27763"/>
    <w:rsid w:val="00F27EB2"/>
    <w:rsid w:val="00F3105C"/>
    <w:rsid w:val="00F31639"/>
    <w:rsid w:val="00F31F75"/>
    <w:rsid w:val="00F32D1F"/>
    <w:rsid w:val="00F33010"/>
    <w:rsid w:val="00F33874"/>
    <w:rsid w:val="00F33EE0"/>
    <w:rsid w:val="00F34232"/>
    <w:rsid w:val="00F353A6"/>
    <w:rsid w:val="00F362BF"/>
    <w:rsid w:val="00F37B60"/>
    <w:rsid w:val="00F405A1"/>
    <w:rsid w:val="00F42848"/>
    <w:rsid w:val="00F42D9F"/>
    <w:rsid w:val="00F43C57"/>
    <w:rsid w:val="00F43DDB"/>
    <w:rsid w:val="00F4409B"/>
    <w:rsid w:val="00F44A8E"/>
    <w:rsid w:val="00F45A38"/>
    <w:rsid w:val="00F474E0"/>
    <w:rsid w:val="00F50658"/>
    <w:rsid w:val="00F5101A"/>
    <w:rsid w:val="00F51391"/>
    <w:rsid w:val="00F51441"/>
    <w:rsid w:val="00F514B7"/>
    <w:rsid w:val="00F5270A"/>
    <w:rsid w:val="00F5329A"/>
    <w:rsid w:val="00F53698"/>
    <w:rsid w:val="00F53C53"/>
    <w:rsid w:val="00F54D6D"/>
    <w:rsid w:val="00F54DCD"/>
    <w:rsid w:val="00F5505A"/>
    <w:rsid w:val="00F56C7E"/>
    <w:rsid w:val="00F56CA8"/>
    <w:rsid w:val="00F56E09"/>
    <w:rsid w:val="00F56FD1"/>
    <w:rsid w:val="00F57C03"/>
    <w:rsid w:val="00F57E16"/>
    <w:rsid w:val="00F60084"/>
    <w:rsid w:val="00F6017C"/>
    <w:rsid w:val="00F60DD4"/>
    <w:rsid w:val="00F60E55"/>
    <w:rsid w:val="00F61286"/>
    <w:rsid w:val="00F6148B"/>
    <w:rsid w:val="00F637D6"/>
    <w:rsid w:val="00F658BA"/>
    <w:rsid w:val="00F665F4"/>
    <w:rsid w:val="00F7048F"/>
    <w:rsid w:val="00F70D0E"/>
    <w:rsid w:val="00F70EFE"/>
    <w:rsid w:val="00F7327F"/>
    <w:rsid w:val="00F73787"/>
    <w:rsid w:val="00F739A9"/>
    <w:rsid w:val="00F73ACC"/>
    <w:rsid w:val="00F73DD0"/>
    <w:rsid w:val="00F740F3"/>
    <w:rsid w:val="00F74292"/>
    <w:rsid w:val="00F74E26"/>
    <w:rsid w:val="00F75BE5"/>
    <w:rsid w:val="00F779C6"/>
    <w:rsid w:val="00F77A5E"/>
    <w:rsid w:val="00F77CC6"/>
    <w:rsid w:val="00F8093D"/>
    <w:rsid w:val="00F80D78"/>
    <w:rsid w:val="00F84A77"/>
    <w:rsid w:val="00F8506D"/>
    <w:rsid w:val="00F85189"/>
    <w:rsid w:val="00F8556F"/>
    <w:rsid w:val="00F85FA8"/>
    <w:rsid w:val="00F8657F"/>
    <w:rsid w:val="00F86815"/>
    <w:rsid w:val="00F86BA5"/>
    <w:rsid w:val="00F8787C"/>
    <w:rsid w:val="00F8788F"/>
    <w:rsid w:val="00F90D9C"/>
    <w:rsid w:val="00F91D71"/>
    <w:rsid w:val="00F926A2"/>
    <w:rsid w:val="00F92EA8"/>
    <w:rsid w:val="00F93369"/>
    <w:rsid w:val="00F93E9A"/>
    <w:rsid w:val="00F94844"/>
    <w:rsid w:val="00F94CFB"/>
    <w:rsid w:val="00F957CC"/>
    <w:rsid w:val="00F95EEF"/>
    <w:rsid w:val="00F9640D"/>
    <w:rsid w:val="00F972D3"/>
    <w:rsid w:val="00F9756F"/>
    <w:rsid w:val="00FA01B1"/>
    <w:rsid w:val="00FA2CFA"/>
    <w:rsid w:val="00FA42AD"/>
    <w:rsid w:val="00FA4367"/>
    <w:rsid w:val="00FA6002"/>
    <w:rsid w:val="00FA6649"/>
    <w:rsid w:val="00FB058D"/>
    <w:rsid w:val="00FB0B40"/>
    <w:rsid w:val="00FB11BA"/>
    <w:rsid w:val="00FB1EAF"/>
    <w:rsid w:val="00FB2BB6"/>
    <w:rsid w:val="00FB2D74"/>
    <w:rsid w:val="00FB377A"/>
    <w:rsid w:val="00FB3F37"/>
    <w:rsid w:val="00FB45D0"/>
    <w:rsid w:val="00FB532F"/>
    <w:rsid w:val="00FB7246"/>
    <w:rsid w:val="00FB7AAA"/>
    <w:rsid w:val="00FB7D76"/>
    <w:rsid w:val="00FB7E59"/>
    <w:rsid w:val="00FC1508"/>
    <w:rsid w:val="00FC1A14"/>
    <w:rsid w:val="00FC1A5A"/>
    <w:rsid w:val="00FC2677"/>
    <w:rsid w:val="00FC280A"/>
    <w:rsid w:val="00FC344A"/>
    <w:rsid w:val="00FC39B6"/>
    <w:rsid w:val="00FC6472"/>
    <w:rsid w:val="00FC648E"/>
    <w:rsid w:val="00FD06CB"/>
    <w:rsid w:val="00FD1540"/>
    <w:rsid w:val="00FD2D1F"/>
    <w:rsid w:val="00FD38CD"/>
    <w:rsid w:val="00FD3A31"/>
    <w:rsid w:val="00FD4746"/>
    <w:rsid w:val="00FD5623"/>
    <w:rsid w:val="00FD5904"/>
    <w:rsid w:val="00FD6B3A"/>
    <w:rsid w:val="00FD70F0"/>
    <w:rsid w:val="00FD7857"/>
    <w:rsid w:val="00FD7949"/>
    <w:rsid w:val="00FE3D0A"/>
    <w:rsid w:val="00FE3D1A"/>
    <w:rsid w:val="00FE3DB8"/>
    <w:rsid w:val="00FE423B"/>
    <w:rsid w:val="00FE46B3"/>
    <w:rsid w:val="00FE48FC"/>
    <w:rsid w:val="00FE565F"/>
    <w:rsid w:val="00FE6259"/>
    <w:rsid w:val="00FE6362"/>
    <w:rsid w:val="00FE736A"/>
    <w:rsid w:val="00FE778B"/>
    <w:rsid w:val="00FE7B9C"/>
    <w:rsid w:val="00FE7FF6"/>
    <w:rsid w:val="00FF14B7"/>
    <w:rsid w:val="00FF1DD3"/>
    <w:rsid w:val="00FF3A7D"/>
    <w:rsid w:val="00FF4146"/>
    <w:rsid w:val="00FF4395"/>
    <w:rsid w:val="00FF4908"/>
    <w:rsid w:val="00FF4B3D"/>
    <w:rsid w:val="00FF58BC"/>
    <w:rsid w:val="00FF6327"/>
    <w:rsid w:val="00FF6368"/>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284DEF1A"/>
  <w15:docId w15:val="{20FF86A2-B98E-40DD-91D0-DBA5C856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1A6419"/>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1A6419"/>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9184">
      <w:bodyDiv w:val="1"/>
      <w:marLeft w:val="0"/>
      <w:marRight w:val="0"/>
      <w:marTop w:val="0"/>
      <w:marBottom w:val="0"/>
      <w:divBdr>
        <w:top w:val="none" w:sz="0" w:space="0" w:color="auto"/>
        <w:left w:val="none" w:sz="0" w:space="0" w:color="auto"/>
        <w:bottom w:val="none" w:sz="0" w:space="0" w:color="auto"/>
        <w:right w:val="none" w:sz="0" w:space="0" w:color="auto"/>
      </w:divBdr>
    </w:div>
    <w:div w:id="399599710">
      <w:bodyDiv w:val="1"/>
      <w:marLeft w:val="0"/>
      <w:marRight w:val="0"/>
      <w:marTop w:val="0"/>
      <w:marBottom w:val="0"/>
      <w:divBdr>
        <w:top w:val="none" w:sz="0" w:space="0" w:color="auto"/>
        <w:left w:val="none" w:sz="0" w:space="0" w:color="auto"/>
        <w:bottom w:val="none" w:sz="0" w:space="0" w:color="auto"/>
        <w:right w:val="none" w:sz="0" w:space="0" w:color="auto"/>
      </w:divBdr>
    </w:div>
    <w:div w:id="421148648">
      <w:bodyDiv w:val="1"/>
      <w:marLeft w:val="0"/>
      <w:marRight w:val="0"/>
      <w:marTop w:val="0"/>
      <w:marBottom w:val="0"/>
      <w:divBdr>
        <w:top w:val="none" w:sz="0" w:space="0" w:color="auto"/>
        <w:left w:val="none" w:sz="0" w:space="0" w:color="auto"/>
        <w:bottom w:val="none" w:sz="0" w:space="0" w:color="auto"/>
        <w:right w:val="none" w:sz="0" w:space="0" w:color="auto"/>
      </w:divBdr>
    </w:div>
    <w:div w:id="526867807">
      <w:bodyDiv w:val="1"/>
      <w:marLeft w:val="0"/>
      <w:marRight w:val="0"/>
      <w:marTop w:val="0"/>
      <w:marBottom w:val="0"/>
      <w:divBdr>
        <w:top w:val="none" w:sz="0" w:space="0" w:color="auto"/>
        <w:left w:val="none" w:sz="0" w:space="0" w:color="auto"/>
        <w:bottom w:val="none" w:sz="0" w:space="0" w:color="auto"/>
        <w:right w:val="none" w:sz="0" w:space="0" w:color="auto"/>
      </w:divBdr>
    </w:div>
    <w:div w:id="690304635">
      <w:bodyDiv w:val="1"/>
      <w:marLeft w:val="0"/>
      <w:marRight w:val="0"/>
      <w:marTop w:val="0"/>
      <w:marBottom w:val="0"/>
      <w:divBdr>
        <w:top w:val="none" w:sz="0" w:space="0" w:color="auto"/>
        <w:left w:val="none" w:sz="0" w:space="0" w:color="auto"/>
        <w:bottom w:val="none" w:sz="0" w:space="0" w:color="auto"/>
        <w:right w:val="none" w:sz="0" w:space="0" w:color="auto"/>
      </w:divBdr>
    </w:div>
    <w:div w:id="1139809128">
      <w:bodyDiv w:val="1"/>
      <w:marLeft w:val="0"/>
      <w:marRight w:val="0"/>
      <w:marTop w:val="0"/>
      <w:marBottom w:val="0"/>
      <w:divBdr>
        <w:top w:val="none" w:sz="0" w:space="0" w:color="auto"/>
        <w:left w:val="none" w:sz="0" w:space="0" w:color="auto"/>
        <w:bottom w:val="none" w:sz="0" w:space="0" w:color="auto"/>
        <w:right w:val="none" w:sz="0" w:space="0" w:color="auto"/>
      </w:divBdr>
    </w:div>
    <w:div w:id="1415738481">
      <w:bodyDiv w:val="1"/>
      <w:marLeft w:val="0"/>
      <w:marRight w:val="0"/>
      <w:marTop w:val="0"/>
      <w:marBottom w:val="0"/>
      <w:divBdr>
        <w:top w:val="none" w:sz="0" w:space="0" w:color="auto"/>
        <w:left w:val="none" w:sz="0" w:space="0" w:color="auto"/>
        <w:bottom w:val="none" w:sz="0" w:space="0" w:color="auto"/>
        <w:right w:val="none" w:sz="0" w:space="0" w:color="auto"/>
      </w:divBdr>
    </w:div>
    <w:div w:id="1876581782">
      <w:bodyDiv w:val="1"/>
      <w:marLeft w:val="0"/>
      <w:marRight w:val="0"/>
      <w:marTop w:val="0"/>
      <w:marBottom w:val="0"/>
      <w:divBdr>
        <w:top w:val="none" w:sz="0" w:space="0" w:color="auto"/>
        <w:left w:val="none" w:sz="0" w:space="0" w:color="auto"/>
        <w:bottom w:val="none" w:sz="0" w:space="0" w:color="auto"/>
        <w:right w:val="none" w:sz="0" w:space="0" w:color="auto"/>
      </w:divBdr>
    </w:div>
    <w:div w:id="1982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alerie.Moore@nccommerce.com"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erie.Moore@nccommerce.com" TargetMode="Externa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BF0FA9-D878-4E9F-99F0-E954CFDD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140</Pages>
  <Words>25691</Words>
  <Characters>151225</Characters>
  <Application>Microsoft Office Word</Application>
  <DocSecurity>0</DocSecurity>
  <Lines>1260</Lines>
  <Paragraphs>353</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176563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 2021-2025 Consolidated Plan and 2021 annual action plan</dc:title>
  <dc:subject>Public Comment Draft 3.29.2021</dc:subject>
  <dc:creator>Rocio</dc:creator>
  <cp:lastModifiedBy>Moore, Valerie D</cp:lastModifiedBy>
  <cp:revision>5</cp:revision>
  <dcterms:created xsi:type="dcterms:W3CDTF">2021-03-29T20:06:00Z</dcterms:created>
  <dcterms:modified xsi:type="dcterms:W3CDTF">2021-03-29T20:17:00Z</dcterms:modified>
</cp:coreProperties>
</file>