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DF07E" w14:textId="77777777" w:rsidR="00D05F0A" w:rsidRDefault="00163980" w:rsidP="00163980">
      <w:pPr>
        <w:spacing w:after="0"/>
        <w:jc w:val="center"/>
        <w:rPr>
          <w:rFonts w:ascii="Arial" w:hAnsi="Arial" w:cs="Arial"/>
          <w:b/>
          <w:sz w:val="32"/>
        </w:rPr>
      </w:pPr>
      <w:r w:rsidRPr="007A7453">
        <w:rPr>
          <w:rFonts w:ascii="Arial" w:hAnsi="Arial" w:cs="Arial"/>
          <w:b/>
          <w:sz w:val="32"/>
        </w:rPr>
        <w:t>State</w:t>
      </w:r>
      <w:r w:rsidR="00052521" w:rsidRPr="007A7453">
        <w:rPr>
          <w:rFonts w:ascii="Arial" w:hAnsi="Arial" w:cs="Arial"/>
          <w:b/>
          <w:sz w:val="32"/>
        </w:rPr>
        <w:t xml:space="preserve"> Stormwater </w:t>
      </w:r>
      <w:r w:rsidRPr="007A7453">
        <w:rPr>
          <w:rFonts w:ascii="Arial" w:hAnsi="Arial" w:cs="Arial"/>
          <w:b/>
          <w:sz w:val="32"/>
        </w:rPr>
        <w:t xml:space="preserve">Permit </w:t>
      </w:r>
    </w:p>
    <w:p w14:paraId="48044ED3" w14:textId="2D28B505" w:rsidR="00A60E7C" w:rsidRPr="003411FE" w:rsidRDefault="001D72BF" w:rsidP="003411FE">
      <w:pPr>
        <w:spacing w:after="0"/>
        <w:jc w:val="center"/>
        <w:rPr>
          <w:rFonts w:ascii="Arial" w:hAnsi="Arial" w:cs="Arial"/>
          <w:b/>
          <w:sz w:val="40"/>
        </w:rPr>
      </w:pPr>
      <w:r>
        <w:rPr>
          <w:rFonts w:ascii="Arial" w:hAnsi="Arial" w:cs="Arial"/>
          <w:b/>
          <w:sz w:val="32"/>
        </w:rPr>
        <w:t>Express</w:t>
      </w:r>
      <w:r w:rsidR="007A7453" w:rsidRPr="007A7453">
        <w:rPr>
          <w:rFonts w:ascii="Arial" w:hAnsi="Arial" w:cs="Arial"/>
          <w:b/>
          <w:sz w:val="32"/>
        </w:rPr>
        <w:t xml:space="preserve"> Process </w:t>
      </w:r>
      <w:r w:rsidR="00163980" w:rsidRPr="007A7453">
        <w:rPr>
          <w:rFonts w:ascii="Arial" w:hAnsi="Arial" w:cs="Arial"/>
          <w:b/>
          <w:sz w:val="32"/>
        </w:rPr>
        <w:t xml:space="preserve">Application </w:t>
      </w:r>
      <w:r w:rsidR="00052521" w:rsidRPr="007A7453">
        <w:rPr>
          <w:rFonts w:ascii="Arial" w:hAnsi="Arial" w:cs="Arial"/>
          <w:b/>
          <w:sz w:val="32"/>
        </w:rPr>
        <w:t>Fees</w:t>
      </w:r>
      <w:r w:rsidR="00EF1FDB" w:rsidRPr="00EF1FDB">
        <w:rPr>
          <w:rFonts w:ascii="Arial" w:hAnsi="Arial" w:cs="Arial"/>
          <w:b/>
          <w:sz w:val="32"/>
          <w:vertAlign w:val="superscript"/>
        </w:rPr>
        <w:t>1</w:t>
      </w:r>
      <w:r w:rsidR="00163980" w:rsidRPr="007A7453">
        <w:rPr>
          <w:rFonts w:ascii="Arial" w:hAnsi="Arial" w:cs="Arial"/>
          <w:b/>
          <w:sz w:val="32"/>
        </w:rPr>
        <w:br/>
      </w:r>
      <w:r w:rsidR="00163980" w:rsidRPr="00D05F0A">
        <w:rPr>
          <w:rFonts w:ascii="Arial" w:hAnsi="Arial" w:cs="Arial"/>
          <w:b/>
          <w:i/>
          <w:szCs w:val="20"/>
        </w:rPr>
        <w:t xml:space="preserve">Effective </w:t>
      </w:r>
      <w:r w:rsidR="00CA0148">
        <w:rPr>
          <w:rFonts w:ascii="Arial" w:hAnsi="Arial" w:cs="Arial"/>
          <w:b/>
          <w:i/>
          <w:szCs w:val="20"/>
        </w:rPr>
        <w:t>March</w:t>
      </w:r>
      <w:r w:rsidR="00163980" w:rsidRPr="00D05F0A">
        <w:rPr>
          <w:rFonts w:ascii="Arial" w:hAnsi="Arial" w:cs="Arial"/>
          <w:b/>
          <w:i/>
          <w:szCs w:val="20"/>
        </w:rPr>
        <w:t xml:space="preserve"> 1, 2017</w:t>
      </w:r>
      <w:r w:rsidR="00163980" w:rsidRPr="00D05F0A">
        <w:rPr>
          <w:rFonts w:ascii="Arial" w:hAnsi="Arial" w:cs="Arial"/>
          <w:b/>
          <w:sz w:val="36"/>
        </w:rPr>
        <w:br/>
      </w:r>
    </w:p>
    <w:tbl>
      <w:tblPr>
        <w:tblStyle w:val="TableGrid"/>
        <w:tblW w:w="10165" w:type="dxa"/>
        <w:jc w:val="center"/>
        <w:tblLayout w:type="fixed"/>
        <w:tblLook w:val="04A0" w:firstRow="1" w:lastRow="0" w:firstColumn="1" w:lastColumn="0" w:noHBand="0" w:noVBand="1"/>
      </w:tblPr>
      <w:tblGrid>
        <w:gridCol w:w="2065"/>
        <w:gridCol w:w="1890"/>
        <w:gridCol w:w="1440"/>
        <w:gridCol w:w="1800"/>
        <w:gridCol w:w="2970"/>
      </w:tblGrid>
      <w:tr w:rsidR="0027000D" w:rsidRPr="007A7453" w14:paraId="4568FEBD" w14:textId="6900D6DA" w:rsidTr="00A0167F">
        <w:trPr>
          <w:jc w:val="center"/>
        </w:trPr>
        <w:tc>
          <w:tcPr>
            <w:tcW w:w="2065" w:type="dxa"/>
          </w:tcPr>
          <w:p w14:paraId="0105AC1B" w14:textId="77777777" w:rsidR="0027000D" w:rsidRPr="007A7453" w:rsidRDefault="0027000D" w:rsidP="004F7194">
            <w:pPr>
              <w:spacing w:before="240" w:after="120"/>
              <w:ind w:left="-270" w:right="-360"/>
              <w:jc w:val="center"/>
              <w:rPr>
                <w:rFonts w:ascii="Arial" w:hAnsi="Arial" w:cs="Arial"/>
                <w:b/>
                <w:sz w:val="20"/>
                <w:szCs w:val="20"/>
              </w:rPr>
            </w:pPr>
            <w:r w:rsidRPr="007A7453">
              <w:rPr>
                <w:rFonts w:ascii="Arial" w:hAnsi="Arial" w:cs="Arial"/>
                <w:b/>
                <w:sz w:val="20"/>
                <w:szCs w:val="20"/>
              </w:rPr>
              <w:t>Permit Service</w:t>
            </w:r>
            <w:r w:rsidRPr="00A60E7C">
              <w:rPr>
                <w:rFonts w:ascii="Arial" w:hAnsi="Arial" w:cs="Arial"/>
                <w:b/>
                <w:sz w:val="20"/>
                <w:szCs w:val="20"/>
                <w:vertAlign w:val="superscript"/>
              </w:rPr>
              <w:t>2</w:t>
            </w:r>
          </w:p>
        </w:tc>
        <w:tc>
          <w:tcPr>
            <w:tcW w:w="1890" w:type="dxa"/>
          </w:tcPr>
          <w:p w14:paraId="6A79A98A" w14:textId="67960D63" w:rsidR="0027000D" w:rsidRPr="007A7453" w:rsidRDefault="0027000D" w:rsidP="00BF1573">
            <w:pPr>
              <w:spacing w:before="240" w:after="120"/>
              <w:ind w:left="-14" w:right="-15" w:firstLine="14"/>
              <w:jc w:val="center"/>
              <w:rPr>
                <w:rFonts w:ascii="Arial" w:hAnsi="Arial" w:cs="Arial"/>
                <w:b/>
                <w:sz w:val="20"/>
                <w:szCs w:val="20"/>
              </w:rPr>
            </w:pPr>
            <w:r>
              <w:rPr>
                <w:rFonts w:ascii="Arial" w:hAnsi="Arial" w:cs="Arial"/>
                <w:b/>
                <w:sz w:val="20"/>
                <w:szCs w:val="20"/>
              </w:rPr>
              <w:t>Permit Type</w:t>
            </w:r>
          </w:p>
        </w:tc>
        <w:tc>
          <w:tcPr>
            <w:tcW w:w="1440" w:type="dxa"/>
          </w:tcPr>
          <w:p w14:paraId="7D3425F5" w14:textId="7EE6773F" w:rsidR="0027000D" w:rsidRPr="007A7453" w:rsidRDefault="0027000D" w:rsidP="00BF1573">
            <w:pPr>
              <w:spacing w:before="240" w:after="120"/>
              <w:ind w:left="-14" w:right="-15"/>
              <w:jc w:val="center"/>
              <w:rPr>
                <w:rFonts w:ascii="Arial" w:hAnsi="Arial" w:cs="Arial"/>
                <w:b/>
                <w:sz w:val="20"/>
                <w:szCs w:val="20"/>
              </w:rPr>
            </w:pPr>
            <w:r w:rsidRPr="007A7453">
              <w:rPr>
                <w:rFonts w:ascii="Arial" w:hAnsi="Arial" w:cs="Arial"/>
                <w:b/>
                <w:sz w:val="20"/>
                <w:szCs w:val="20"/>
              </w:rPr>
              <w:t>Fee</w:t>
            </w:r>
          </w:p>
        </w:tc>
        <w:tc>
          <w:tcPr>
            <w:tcW w:w="1800" w:type="dxa"/>
          </w:tcPr>
          <w:p w14:paraId="4A954F14" w14:textId="24301E1E" w:rsidR="0027000D" w:rsidRPr="007A7453" w:rsidRDefault="0027000D" w:rsidP="004F7194">
            <w:pPr>
              <w:spacing w:before="240" w:after="120"/>
              <w:ind w:left="-14"/>
              <w:jc w:val="center"/>
              <w:rPr>
                <w:rFonts w:ascii="Arial" w:hAnsi="Arial" w:cs="Arial"/>
                <w:b/>
                <w:sz w:val="20"/>
                <w:szCs w:val="20"/>
              </w:rPr>
            </w:pPr>
            <w:r w:rsidRPr="007A7453">
              <w:rPr>
                <w:rFonts w:ascii="Arial" w:hAnsi="Arial" w:cs="Arial"/>
                <w:b/>
                <w:sz w:val="20"/>
                <w:szCs w:val="20"/>
              </w:rPr>
              <w:t>New or Updated Permit Issued?</w:t>
            </w:r>
          </w:p>
        </w:tc>
        <w:tc>
          <w:tcPr>
            <w:tcW w:w="2970" w:type="dxa"/>
          </w:tcPr>
          <w:p w14:paraId="603F5850" w14:textId="0185C7CB" w:rsidR="0027000D" w:rsidRPr="007A7453" w:rsidRDefault="0027000D" w:rsidP="004F7194">
            <w:pPr>
              <w:spacing w:before="120"/>
              <w:ind w:right="-14"/>
              <w:jc w:val="center"/>
              <w:rPr>
                <w:rFonts w:ascii="Arial" w:hAnsi="Arial" w:cs="Arial"/>
                <w:b/>
                <w:sz w:val="20"/>
                <w:szCs w:val="20"/>
              </w:rPr>
            </w:pPr>
            <w:r>
              <w:rPr>
                <w:rFonts w:ascii="Arial" w:hAnsi="Arial" w:cs="Arial"/>
                <w:b/>
                <w:sz w:val="20"/>
                <w:szCs w:val="20"/>
              </w:rPr>
              <w:t>Expiration Date</w:t>
            </w:r>
          </w:p>
        </w:tc>
      </w:tr>
      <w:tr w:rsidR="00BF1573" w:rsidRPr="007A7453" w14:paraId="5FBEF0F3" w14:textId="77777777" w:rsidTr="00A0167F">
        <w:trPr>
          <w:trHeight w:val="70"/>
          <w:jc w:val="center"/>
        </w:trPr>
        <w:tc>
          <w:tcPr>
            <w:tcW w:w="2065" w:type="dxa"/>
            <w:vMerge w:val="restart"/>
          </w:tcPr>
          <w:p w14:paraId="638AADDA" w14:textId="77777777" w:rsidR="00BF1573" w:rsidRDefault="00BF1573" w:rsidP="0027000D">
            <w:pPr>
              <w:ind w:left="-15" w:right="-15"/>
              <w:contextualSpacing/>
              <w:jc w:val="center"/>
              <w:rPr>
                <w:rFonts w:ascii="Arial" w:hAnsi="Arial" w:cs="Arial"/>
                <w:sz w:val="20"/>
                <w:szCs w:val="20"/>
              </w:rPr>
            </w:pPr>
            <w:r w:rsidRPr="0027000D">
              <w:rPr>
                <w:rFonts w:ascii="Arial" w:hAnsi="Arial" w:cs="Arial"/>
                <w:sz w:val="20"/>
                <w:szCs w:val="20"/>
              </w:rPr>
              <w:t>New permit</w:t>
            </w:r>
          </w:p>
          <w:p w14:paraId="0051CD96" w14:textId="75FBE2DA" w:rsidR="00BF1573" w:rsidRPr="0027000D" w:rsidRDefault="00BF1573" w:rsidP="0027000D">
            <w:pPr>
              <w:ind w:left="-15" w:right="-15"/>
              <w:contextualSpacing/>
              <w:jc w:val="center"/>
              <w:rPr>
                <w:rFonts w:ascii="Arial" w:hAnsi="Arial" w:cs="Arial"/>
                <w:sz w:val="20"/>
                <w:szCs w:val="20"/>
              </w:rPr>
            </w:pPr>
          </w:p>
        </w:tc>
        <w:tc>
          <w:tcPr>
            <w:tcW w:w="1890" w:type="dxa"/>
            <w:vAlign w:val="center"/>
          </w:tcPr>
          <w:p w14:paraId="643A3850" w14:textId="11B4C3E8" w:rsidR="00BF1573" w:rsidRPr="0027000D" w:rsidRDefault="00BF1573" w:rsidP="00BF1573">
            <w:pPr>
              <w:ind w:left="-14" w:right="-15" w:firstLine="14"/>
              <w:contextualSpacing/>
              <w:jc w:val="center"/>
              <w:rPr>
                <w:rFonts w:ascii="Arial" w:hAnsi="Arial" w:cs="Arial"/>
                <w:sz w:val="20"/>
                <w:szCs w:val="20"/>
              </w:rPr>
            </w:pPr>
            <w:r>
              <w:rPr>
                <w:rFonts w:ascii="Arial" w:hAnsi="Arial" w:cs="Arial"/>
                <w:sz w:val="20"/>
                <w:szCs w:val="20"/>
              </w:rPr>
              <w:t>High Density</w:t>
            </w:r>
          </w:p>
        </w:tc>
        <w:tc>
          <w:tcPr>
            <w:tcW w:w="1440" w:type="dxa"/>
            <w:vAlign w:val="center"/>
          </w:tcPr>
          <w:p w14:paraId="5D48A53E" w14:textId="76EBCB44" w:rsidR="00BF1573" w:rsidRPr="0027000D" w:rsidRDefault="00BF1573" w:rsidP="00BF1573">
            <w:pPr>
              <w:ind w:left="-14" w:right="-15"/>
              <w:contextualSpacing/>
              <w:jc w:val="center"/>
              <w:rPr>
                <w:rFonts w:ascii="Arial" w:hAnsi="Arial" w:cs="Arial"/>
                <w:sz w:val="20"/>
                <w:szCs w:val="20"/>
              </w:rPr>
            </w:pPr>
            <w:r>
              <w:rPr>
                <w:rFonts w:ascii="Arial" w:hAnsi="Arial" w:cs="Arial"/>
                <w:sz w:val="20"/>
                <w:szCs w:val="20"/>
              </w:rPr>
              <w:t>$4,000</w:t>
            </w:r>
            <w:r w:rsidR="00A0167F">
              <w:rPr>
                <w:rFonts w:ascii="Arial" w:hAnsi="Arial" w:cs="Arial"/>
                <w:sz w:val="20"/>
                <w:szCs w:val="20"/>
                <w:vertAlign w:val="superscript"/>
              </w:rPr>
              <w:t>3</w:t>
            </w:r>
          </w:p>
        </w:tc>
        <w:tc>
          <w:tcPr>
            <w:tcW w:w="1800" w:type="dxa"/>
            <w:vMerge w:val="restart"/>
            <w:vAlign w:val="center"/>
          </w:tcPr>
          <w:p w14:paraId="46F82CBE" w14:textId="18BFBE9B" w:rsidR="00BF1573" w:rsidRPr="0027000D" w:rsidRDefault="00BF1573" w:rsidP="0027000D">
            <w:pPr>
              <w:ind w:left="-14"/>
              <w:contextualSpacing/>
              <w:jc w:val="center"/>
              <w:rPr>
                <w:rFonts w:ascii="Arial" w:hAnsi="Arial" w:cs="Arial"/>
                <w:sz w:val="20"/>
                <w:szCs w:val="20"/>
              </w:rPr>
            </w:pPr>
            <w:r>
              <w:rPr>
                <w:rFonts w:ascii="Arial" w:hAnsi="Arial" w:cs="Arial"/>
                <w:sz w:val="20"/>
                <w:szCs w:val="20"/>
              </w:rPr>
              <w:t>Yes</w:t>
            </w:r>
          </w:p>
        </w:tc>
        <w:tc>
          <w:tcPr>
            <w:tcW w:w="2970" w:type="dxa"/>
            <w:vMerge w:val="restart"/>
            <w:vAlign w:val="center"/>
          </w:tcPr>
          <w:p w14:paraId="39D9487F" w14:textId="79C28604" w:rsidR="00BF1573" w:rsidRPr="0027000D" w:rsidRDefault="00BF1573" w:rsidP="0027000D">
            <w:pPr>
              <w:ind w:right="-14"/>
              <w:contextualSpacing/>
              <w:jc w:val="center"/>
              <w:rPr>
                <w:rFonts w:ascii="Arial" w:hAnsi="Arial" w:cs="Arial"/>
                <w:sz w:val="20"/>
                <w:szCs w:val="20"/>
              </w:rPr>
            </w:pPr>
            <w:r w:rsidRPr="00E85F03">
              <w:rPr>
                <w:rFonts w:ascii="Arial" w:hAnsi="Arial" w:cs="Arial"/>
                <w:sz w:val="20"/>
                <w:szCs w:val="20"/>
              </w:rPr>
              <w:t xml:space="preserve">New </w:t>
            </w:r>
            <w:r>
              <w:rPr>
                <w:rFonts w:ascii="Arial" w:hAnsi="Arial" w:cs="Arial"/>
                <w:sz w:val="20"/>
                <w:szCs w:val="20"/>
              </w:rPr>
              <w:t xml:space="preserve">High Density </w:t>
            </w:r>
            <w:r w:rsidRPr="00E85F03">
              <w:rPr>
                <w:rFonts w:ascii="Arial" w:hAnsi="Arial" w:cs="Arial"/>
                <w:sz w:val="20"/>
                <w:szCs w:val="20"/>
              </w:rPr>
              <w:t>permits</w:t>
            </w:r>
            <w:r>
              <w:rPr>
                <w:rFonts w:ascii="Arial" w:hAnsi="Arial" w:cs="Arial"/>
                <w:sz w:val="20"/>
                <w:szCs w:val="20"/>
              </w:rPr>
              <w:t xml:space="preserve"> (only)</w:t>
            </w:r>
            <w:r w:rsidRPr="00E85F03">
              <w:rPr>
                <w:rFonts w:ascii="Arial" w:hAnsi="Arial" w:cs="Arial"/>
                <w:sz w:val="20"/>
                <w:szCs w:val="20"/>
              </w:rPr>
              <w:t xml:space="preserve"> will expire 8 years later after issuance.  [15A NCAC 02H.1040(4)(b)]</w:t>
            </w:r>
          </w:p>
        </w:tc>
      </w:tr>
      <w:tr w:rsidR="00BF1573" w:rsidRPr="007A7453" w14:paraId="659AABED" w14:textId="77777777" w:rsidTr="00A0167F">
        <w:trPr>
          <w:trHeight w:val="70"/>
          <w:jc w:val="center"/>
        </w:trPr>
        <w:tc>
          <w:tcPr>
            <w:tcW w:w="2065" w:type="dxa"/>
            <w:vMerge/>
          </w:tcPr>
          <w:p w14:paraId="135FB8A7" w14:textId="77777777" w:rsidR="00BF1573" w:rsidRPr="0027000D" w:rsidRDefault="00BF1573" w:rsidP="0027000D">
            <w:pPr>
              <w:ind w:left="-15" w:right="-15"/>
              <w:contextualSpacing/>
              <w:jc w:val="center"/>
              <w:rPr>
                <w:rFonts w:ascii="Arial" w:hAnsi="Arial" w:cs="Arial"/>
                <w:sz w:val="20"/>
                <w:szCs w:val="20"/>
              </w:rPr>
            </w:pPr>
          </w:p>
        </w:tc>
        <w:tc>
          <w:tcPr>
            <w:tcW w:w="1890" w:type="dxa"/>
            <w:vAlign w:val="center"/>
          </w:tcPr>
          <w:p w14:paraId="0ADB9A9D" w14:textId="3500F26A" w:rsidR="00BF1573" w:rsidRDefault="00BF1573" w:rsidP="00BF1573">
            <w:pPr>
              <w:ind w:left="-14" w:right="-15" w:firstLine="14"/>
              <w:contextualSpacing/>
              <w:jc w:val="center"/>
              <w:rPr>
                <w:rFonts w:ascii="Arial" w:hAnsi="Arial" w:cs="Arial"/>
                <w:sz w:val="20"/>
                <w:szCs w:val="20"/>
              </w:rPr>
            </w:pPr>
            <w:r>
              <w:rPr>
                <w:rFonts w:ascii="Arial" w:hAnsi="Arial" w:cs="Arial"/>
                <w:sz w:val="20"/>
                <w:szCs w:val="20"/>
              </w:rPr>
              <w:t>Low Density</w:t>
            </w:r>
          </w:p>
        </w:tc>
        <w:tc>
          <w:tcPr>
            <w:tcW w:w="1440" w:type="dxa"/>
            <w:vAlign w:val="center"/>
          </w:tcPr>
          <w:p w14:paraId="5A3B885D" w14:textId="799DC7A5" w:rsidR="00BF1573" w:rsidRDefault="00BF1573" w:rsidP="00BF1573">
            <w:pPr>
              <w:ind w:left="-14" w:right="-15"/>
              <w:contextualSpacing/>
              <w:jc w:val="center"/>
              <w:rPr>
                <w:rFonts w:ascii="Arial" w:hAnsi="Arial" w:cs="Arial"/>
                <w:sz w:val="20"/>
                <w:szCs w:val="20"/>
              </w:rPr>
            </w:pPr>
            <w:r>
              <w:rPr>
                <w:rFonts w:ascii="Arial" w:hAnsi="Arial" w:cs="Arial"/>
                <w:sz w:val="20"/>
                <w:szCs w:val="20"/>
              </w:rPr>
              <w:t>$2,000</w:t>
            </w:r>
          </w:p>
        </w:tc>
        <w:tc>
          <w:tcPr>
            <w:tcW w:w="1800" w:type="dxa"/>
            <w:vMerge/>
            <w:vAlign w:val="center"/>
          </w:tcPr>
          <w:p w14:paraId="38EB47FE" w14:textId="77777777" w:rsidR="00BF1573" w:rsidRDefault="00BF1573" w:rsidP="0027000D">
            <w:pPr>
              <w:ind w:left="-14"/>
              <w:contextualSpacing/>
              <w:jc w:val="center"/>
              <w:rPr>
                <w:rFonts w:ascii="Arial" w:hAnsi="Arial" w:cs="Arial"/>
                <w:sz w:val="20"/>
                <w:szCs w:val="20"/>
              </w:rPr>
            </w:pPr>
          </w:p>
        </w:tc>
        <w:tc>
          <w:tcPr>
            <w:tcW w:w="2970" w:type="dxa"/>
            <w:vMerge/>
            <w:vAlign w:val="center"/>
          </w:tcPr>
          <w:p w14:paraId="3535A228" w14:textId="77777777" w:rsidR="00BF1573" w:rsidRPr="00E85F03" w:rsidRDefault="00BF1573" w:rsidP="0027000D">
            <w:pPr>
              <w:ind w:right="-14"/>
              <w:contextualSpacing/>
              <w:jc w:val="center"/>
              <w:rPr>
                <w:rFonts w:ascii="Arial" w:hAnsi="Arial" w:cs="Arial"/>
                <w:sz w:val="20"/>
                <w:szCs w:val="20"/>
              </w:rPr>
            </w:pPr>
          </w:p>
        </w:tc>
      </w:tr>
      <w:tr w:rsidR="00BF1573" w:rsidRPr="007A7453" w14:paraId="000ECAE5" w14:textId="77777777" w:rsidTr="00A0167F">
        <w:trPr>
          <w:trHeight w:val="71"/>
          <w:jc w:val="center"/>
        </w:trPr>
        <w:tc>
          <w:tcPr>
            <w:tcW w:w="2065" w:type="dxa"/>
            <w:vMerge/>
          </w:tcPr>
          <w:p w14:paraId="79C2834D" w14:textId="77777777" w:rsidR="00BF1573" w:rsidRPr="0027000D" w:rsidRDefault="00BF1573" w:rsidP="0027000D">
            <w:pPr>
              <w:ind w:left="-15" w:right="-15"/>
              <w:contextualSpacing/>
              <w:jc w:val="center"/>
              <w:rPr>
                <w:rFonts w:ascii="Arial" w:hAnsi="Arial" w:cs="Arial"/>
                <w:sz w:val="20"/>
                <w:szCs w:val="20"/>
              </w:rPr>
            </w:pPr>
          </w:p>
        </w:tc>
        <w:tc>
          <w:tcPr>
            <w:tcW w:w="1890" w:type="dxa"/>
            <w:vAlign w:val="center"/>
          </w:tcPr>
          <w:p w14:paraId="3324C61E" w14:textId="4175D0B5" w:rsidR="00BF1573" w:rsidRDefault="00BF1573" w:rsidP="00BF1573">
            <w:pPr>
              <w:ind w:left="-14" w:right="-15" w:firstLine="14"/>
              <w:contextualSpacing/>
              <w:jc w:val="center"/>
              <w:rPr>
                <w:rFonts w:ascii="Arial" w:hAnsi="Arial" w:cs="Arial"/>
                <w:sz w:val="20"/>
                <w:szCs w:val="20"/>
              </w:rPr>
            </w:pPr>
            <w:r>
              <w:rPr>
                <w:rFonts w:ascii="Arial" w:hAnsi="Arial" w:cs="Arial"/>
                <w:sz w:val="20"/>
                <w:szCs w:val="20"/>
              </w:rPr>
              <w:t>Offsite</w:t>
            </w:r>
          </w:p>
        </w:tc>
        <w:tc>
          <w:tcPr>
            <w:tcW w:w="1440" w:type="dxa"/>
            <w:vAlign w:val="center"/>
          </w:tcPr>
          <w:p w14:paraId="363429DE" w14:textId="5FD4967B" w:rsidR="00BF1573" w:rsidRDefault="00BF1573" w:rsidP="00BF1573">
            <w:pPr>
              <w:ind w:left="-14" w:right="-15"/>
              <w:contextualSpacing/>
              <w:jc w:val="center"/>
              <w:rPr>
                <w:rFonts w:ascii="Arial" w:hAnsi="Arial" w:cs="Arial"/>
                <w:sz w:val="20"/>
                <w:szCs w:val="20"/>
              </w:rPr>
            </w:pPr>
            <w:r>
              <w:rPr>
                <w:rFonts w:ascii="Arial" w:hAnsi="Arial" w:cs="Arial"/>
                <w:sz w:val="20"/>
                <w:szCs w:val="20"/>
              </w:rPr>
              <w:t>$2,000</w:t>
            </w:r>
          </w:p>
        </w:tc>
        <w:tc>
          <w:tcPr>
            <w:tcW w:w="1800" w:type="dxa"/>
            <w:vMerge/>
            <w:vAlign w:val="center"/>
          </w:tcPr>
          <w:p w14:paraId="0A36FE19" w14:textId="77777777" w:rsidR="00BF1573" w:rsidRDefault="00BF1573" w:rsidP="0027000D">
            <w:pPr>
              <w:ind w:left="-14"/>
              <w:contextualSpacing/>
              <w:jc w:val="center"/>
              <w:rPr>
                <w:rFonts w:ascii="Arial" w:hAnsi="Arial" w:cs="Arial"/>
                <w:sz w:val="20"/>
                <w:szCs w:val="20"/>
              </w:rPr>
            </w:pPr>
          </w:p>
        </w:tc>
        <w:tc>
          <w:tcPr>
            <w:tcW w:w="2970" w:type="dxa"/>
            <w:vMerge/>
            <w:vAlign w:val="center"/>
          </w:tcPr>
          <w:p w14:paraId="7ABEAD64" w14:textId="77777777" w:rsidR="00BF1573" w:rsidRPr="00E85F03" w:rsidRDefault="00BF1573" w:rsidP="0027000D">
            <w:pPr>
              <w:ind w:right="-14"/>
              <w:contextualSpacing/>
              <w:jc w:val="center"/>
              <w:rPr>
                <w:rFonts w:ascii="Arial" w:hAnsi="Arial" w:cs="Arial"/>
                <w:sz w:val="20"/>
                <w:szCs w:val="20"/>
              </w:rPr>
            </w:pPr>
          </w:p>
        </w:tc>
      </w:tr>
      <w:tr w:rsidR="00BF1573" w:rsidRPr="007A7453" w14:paraId="3E4E86AB" w14:textId="77777777" w:rsidTr="00A0167F">
        <w:trPr>
          <w:trHeight w:val="116"/>
          <w:jc w:val="center"/>
        </w:trPr>
        <w:tc>
          <w:tcPr>
            <w:tcW w:w="2065" w:type="dxa"/>
            <w:vMerge/>
          </w:tcPr>
          <w:p w14:paraId="528A6684" w14:textId="77777777" w:rsidR="00BF1573" w:rsidRPr="0027000D" w:rsidRDefault="00BF1573" w:rsidP="0027000D">
            <w:pPr>
              <w:ind w:left="-15" w:right="-15"/>
              <w:contextualSpacing/>
              <w:jc w:val="center"/>
              <w:rPr>
                <w:rFonts w:ascii="Arial" w:hAnsi="Arial" w:cs="Arial"/>
                <w:sz w:val="20"/>
                <w:szCs w:val="20"/>
              </w:rPr>
            </w:pPr>
          </w:p>
        </w:tc>
        <w:tc>
          <w:tcPr>
            <w:tcW w:w="1890" w:type="dxa"/>
            <w:vAlign w:val="center"/>
          </w:tcPr>
          <w:p w14:paraId="3D5F7F55" w14:textId="015EE63B" w:rsidR="00BF1573" w:rsidRDefault="00BF1573" w:rsidP="00BF1573">
            <w:pPr>
              <w:ind w:left="-14" w:right="-15" w:firstLine="14"/>
              <w:contextualSpacing/>
              <w:jc w:val="center"/>
              <w:rPr>
                <w:rFonts w:ascii="Arial" w:hAnsi="Arial" w:cs="Arial"/>
                <w:sz w:val="20"/>
                <w:szCs w:val="20"/>
              </w:rPr>
            </w:pPr>
            <w:r>
              <w:rPr>
                <w:rFonts w:ascii="Arial" w:hAnsi="Arial" w:cs="Arial"/>
                <w:sz w:val="20"/>
                <w:szCs w:val="20"/>
              </w:rPr>
              <w:t>General Permit</w:t>
            </w:r>
          </w:p>
        </w:tc>
        <w:tc>
          <w:tcPr>
            <w:tcW w:w="1440" w:type="dxa"/>
            <w:vAlign w:val="center"/>
          </w:tcPr>
          <w:p w14:paraId="228BC00E" w14:textId="7DCE52A7" w:rsidR="00BF1573" w:rsidRDefault="00BF1573" w:rsidP="00BF1573">
            <w:pPr>
              <w:ind w:left="-14" w:right="-15"/>
              <w:contextualSpacing/>
              <w:jc w:val="center"/>
              <w:rPr>
                <w:rFonts w:ascii="Arial" w:hAnsi="Arial" w:cs="Arial"/>
                <w:sz w:val="20"/>
                <w:szCs w:val="20"/>
              </w:rPr>
            </w:pPr>
            <w:r>
              <w:rPr>
                <w:rFonts w:ascii="Arial" w:hAnsi="Arial" w:cs="Arial"/>
                <w:sz w:val="20"/>
                <w:szCs w:val="20"/>
              </w:rPr>
              <w:t>$1,000</w:t>
            </w:r>
          </w:p>
        </w:tc>
        <w:tc>
          <w:tcPr>
            <w:tcW w:w="1800" w:type="dxa"/>
            <w:vMerge/>
            <w:vAlign w:val="center"/>
          </w:tcPr>
          <w:p w14:paraId="6653A1FD" w14:textId="77777777" w:rsidR="00BF1573" w:rsidRDefault="00BF1573" w:rsidP="0027000D">
            <w:pPr>
              <w:ind w:left="-14"/>
              <w:contextualSpacing/>
              <w:jc w:val="center"/>
              <w:rPr>
                <w:rFonts w:ascii="Arial" w:hAnsi="Arial" w:cs="Arial"/>
                <w:sz w:val="20"/>
                <w:szCs w:val="20"/>
              </w:rPr>
            </w:pPr>
          </w:p>
        </w:tc>
        <w:tc>
          <w:tcPr>
            <w:tcW w:w="2970" w:type="dxa"/>
            <w:vMerge/>
            <w:vAlign w:val="center"/>
          </w:tcPr>
          <w:p w14:paraId="317A5D00" w14:textId="77777777" w:rsidR="00BF1573" w:rsidRPr="00E85F03" w:rsidRDefault="00BF1573" w:rsidP="0027000D">
            <w:pPr>
              <w:ind w:right="-14"/>
              <w:contextualSpacing/>
              <w:jc w:val="center"/>
              <w:rPr>
                <w:rFonts w:ascii="Arial" w:hAnsi="Arial" w:cs="Arial"/>
                <w:sz w:val="20"/>
                <w:szCs w:val="20"/>
              </w:rPr>
            </w:pPr>
          </w:p>
        </w:tc>
      </w:tr>
      <w:tr w:rsidR="00BF1573" w:rsidRPr="007A7453" w14:paraId="4EADE69D" w14:textId="77777777" w:rsidTr="00A0167F">
        <w:trPr>
          <w:trHeight w:val="461"/>
          <w:jc w:val="center"/>
        </w:trPr>
        <w:tc>
          <w:tcPr>
            <w:tcW w:w="2065" w:type="dxa"/>
            <w:vMerge/>
          </w:tcPr>
          <w:p w14:paraId="4B7FC35F" w14:textId="77777777" w:rsidR="00BF1573" w:rsidRPr="0027000D" w:rsidRDefault="00BF1573" w:rsidP="00BF1573">
            <w:pPr>
              <w:ind w:left="-15" w:right="-15"/>
              <w:contextualSpacing/>
              <w:jc w:val="center"/>
              <w:rPr>
                <w:rFonts w:ascii="Arial" w:hAnsi="Arial" w:cs="Arial"/>
                <w:sz w:val="20"/>
                <w:szCs w:val="20"/>
              </w:rPr>
            </w:pPr>
          </w:p>
        </w:tc>
        <w:tc>
          <w:tcPr>
            <w:tcW w:w="1890" w:type="dxa"/>
            <w:vAlign w:val="center"/>
          </w:tcPr>
          <w:p w14:paraId="7F76F7D6" w14:textId="4BCB3611" w:rsidR="00BF1573" w:rsidRDefault="00BF1573" w:rsidP="00BF1573">
            <w:pPr>
              <w:ind w:left="-14" w:right="-15" w:firstLine="14"/>
              <w:contextualSpacing/>
              <w:jc w:val="center"/>
              <w:rPr>
                <w:rFonts w:ascii="Arial" w:hAnsi="Arial" w:cs="Arial"/>
                <w:sz w:val="20"/>
                <w:szCs w:val="20"/>
              </w:rPr>
            </w:pPr>
            <w:r>
              <w:rPr>
                <w:rFonts w:ascii="Arial" w:hAnsi="Arial" w:cs="Arial"/>
                <w:sz w:val="20"/>
                <w:szCs w:val="20"/>
              </w:rPr>
              <w:t>Redevelopment Exclusions</w:t>
            </w:r>
          </w:p>
        </w:tc>
        <w:tc>
          <w:tcPr>
            <w:tcW w:w="1440" w:type="dxa"/>
            <w:vAlign w:val="center"/>
          </w:tcPr>
          <w:p w14:paraId="120ED544" w14:textId="7D072C20" w:rsidR="00BF1573" w:rsidRDefault="00BF1573" w:rsidP="00BF1573">
            <w:pPr>
              <w:ind w:left="-14" w:right="-15"/>
              <w:contextualSpacing/>
              <w:jc w:val="center"/>
              <w:rPr>
                <w:rFonts w:ascii="Arial" w:hAnsi="Arial" w:cs="Arial"/>
                <w:sz w:val="20"/>
                <w:szCs w:val="20"/>
              </w:rPr>
            </w:pPr>
            <w:r w:rsidRPr="007A7453">
              <w:rPr>
                <w:rFonts w:ascii="Arial" w:hAnsi="Arial" w:cs="Arial"/>
                <w:sz w:val="20"/>
                <w:szCs w:val="20"/>
              </w:rPr>
              <w:t>$</w:t>
            </w:r>
            <w:r>
              <w:rPr>
                <w:rFonts w:ascii="Arial" w:hAnsi="Arial" w:cs="Arial"/>
                <w:sz w:val="20"/>
                <w:szCs w:val="20"/>
              </w:rPr>
              <w:t>500</w:t>
            </w:r>
          </w:p>
        </w:tc>
        <w:tc>
          <w:tcPr>
            <w:tcW w:w="1800" w:type="dxa"/>
            <w:vMerge/>
            <w:vAlign w:val="center"/>
          </w:tcPr>
          <w:p w14:paraId="5E184361" w14:textId="77777777" w:rsidR="00BF1573" w:rsidRDefault="00BF1573" w:rsidP="00BF1573">
            <w:pPr>
              <w:ind w:left="-14"/>
              <w:contextualSpacing/>
              <w:jc w:val="center"/>
              <w:rPr>
                <w:rFonts w:ascii="Arial" w:hAnsi="Arial" w:cs="Arial"/>
                <w:sz w:val="20"/>
                <w:szCs w:val="20"/>
              </w:rPr>
            </w:pPr>
          </w:p>
        </w:tc>
        <w:tc>
          <w:tcPr>
            <w:tcW w:w="2970" w:type="dxa"/>
            <w:vMerge/>
            <w:vAlign w:val="center"/>
          </w:tcPr>
          <w:p w14:paraId="63DDCA7C" w14:textId="77777777" w:rsidR="00BF1573" w:rsidRPr="00E85F03" w:rsidRDefault="00BF1573" w:rsidP="00BF1573">
            <w:pPr>
              <w:ind w:right="-14"/>
              <w:contextualSpacing/>
              <w:jc w:val="center"/>
              <w:rPr>
                <w:rFonts w:ascii="Arial" w:hAnsi="Arial" w:cs="Arial"/>
                <w:sz w:val="20"/>
                <w:szCs w:val="20"/>
              </w:rPr>
            </w:pPr>
          </w:p>
        </w:tc>
      </w:tr>
      <w:tr w:rsidR="00BF1573" w:rsidRPr="007A7453" w14:paraId="50F2C963" w14:textId="77777777" w:rsidTr="00A0167F">
        <w:trPr>
          <w:trHeight w:val="70"/>
          <w:jc w:val="center"/>
        </w:trPr>
        <w:tc>
          <w:tcPr>
            <w:tcW w:w="2065" w:type="dxa"/>
            <w:vMerge/>
          </w:tcPr>
          <w:p w14:paraId="0B2F795D" w14:textId="77777777" w:rsidR="00BF1573" w:rsidRPr="0027000D" w:rsidRDefault="00BF1573" w:rsidP="00BF1573">
            <w:pPr>
              <w:ind w:left="-15" w:right="-15"/>
              <w:contextualSpacing/>
              <w:jc w:val="center"/>
              <w:rPr>
                <w:rFonts w:ascii="Arial" w:hAnsi="Arial" w:cs="Arial"/>
                <w:sz w:val="20"/>
                <w:szCs w:val="20"/>
              </w:rPr>
            </w:pPr>
          </w:p>
        </w:tc>
        <w:tc>
          <w:tcPr>
            <w:tcW w:w="1890" w:type="dxa"/>
            <w:vAlign w:val="center"/>
          </w:tcPr>
          <w:p w14:paraId="374F8CDF" w14:textId="12B2D631" w:rsidR="00BF1573" w:rsidRDefault="00BF1573" w:rsidP="00BF1573">
            <w:pPr>
              <w:ind w:left="-14" w:right="-15" w:firstLine="14"/>
              <w:contextualSpacing/>
              <w:jc w:val="center"/>
              <w:rPr>
                <w:rFonts w:ascii="Arial" w:hAnsi="Arial" w:cs="Arial"/>
                <w:sz w:val="20"/>
                <w:szCs w:val="20"/>
              </w:rPr>
            </w:pPr>
            <w:r>
              <w:rPr>
                <w:rFonts w:ascii="Arial" w:hAnsi="Arial" w:cs="Arial"/>
                <w:sz w:val="20"/>
                <w:szCs w:val="20"/>
              </w:rPr>
              <w:t>Exemption</w:t>
            </w:r>
          </w:p>
        </w:tc>
        <w:tc>
          <w:tcPr>
            <w:tcW w:w="1440" w:type="dxa"/>
            <w:vAlign w:val="center"/>
          </w:tcPr>
          <w:p w14:paraId="01DC27AC" w14:textId="1734D086" w:rsidR="00BF1573" w:rsidRDefault="00BF1573" w:rsidP="00BF1573">
            <w:pPr>
              <w:ind w:left="-14" w:right="-15"/>
              <w:contextualSpacing/>
              <w:jc w:val="center"/>
              <w:rPr>
                <w:rFonts w:ascii="Arial" w:hAnsi="Arial" w:cs="Arial"/>
                <w:sz w:val="20"/>
                <w:szCs w:val="20"/>
              </w:rPr>
            </w:pPr>
            <w:r>
              <w:rPr>
                <w:rFonts w:ascii="Arial" w:hAnsi="Arial" w:cs="Arial"/>
                <w:sz w:val="20"/>
                <w:szCs w:val="20"/>
              </w:rPr>
              <w:t>$500</w:t>
            </w:r>
          </w:p>
        </w:tc>
        <w:tc>
          <w:tcPr>
            <w:tcW w:w="1800" w:type="dxa"/>
            <w:vMerge/>
            <w:vAlign w:val="center"/>
          </w:tcPr>
          <w:p w14:paraId="75EAB118" w14:textId="77777777" w:rsidR="00BF1573" w:rsidRDefault="00BF1573" w:rsidP="00BF1573">
            <w:pPr>
              <w:ind w:left="-14"/>
              <w:contextualSpacing/>
              <w:jc w:val="center"/>
              <w:rPr>
                <w:rFonts w:ascii="Arial" w:hAnsi="Arial" w:cs="Arial"/>
                <w:sz w:val="20"/>
                <w:szCs w:val="20"/>
              </w:rPr>
            </w:pPr>
          </w:p>
        </w:tc>
        <w:tc>
          <w:tcPr>
            <w:tcW w:w="2970" w:type="dxa"/>
            <w:vMerge/>
            <w:vAlign w:val="center"/>
          </w:tcPr>
          <w:p w14:paraId="4798EE17" w14:textId="77777777" w:rsidR="00BF1573" w:rsidRPr="00E85F03" w:rsidRDefault="00BF1573" w:rsidP="00BF1573">
            <w:pPr>
              <w:ind w:right="-14"/>
              <w:contextualSpacing/>
              <w:jc w:val="center"/>
              <w:rPr>
                <w:rFonts w:ascii="Arial" w:hAnsi="Arial" w:cs="Arial"/>
                <w:sz w:val="20"/>
                <w:szCs w:val="20"/>
              </w:rPr>
            </w:pPr>
          </w:p>
        </w:tc>
      </w:tr>
      <w:tr w:rsidR="00BF1573" w:rsidRPr="007A7453" w14:paraId="07E94FB0" w14:textId="77777777" w:rsidTr="00A0167F">
        <w:trPr>
          <w:trHeight w:val="70"/>
          <w:jc w:val="center"/>
        </w:trPr>
        <w:tc>
          <w:tcPr>
            <w:tcW w:w="2065" w:type="dxa"/>
            <w:vMerge w:val="restart"/>
          </w:tcPr>
          <w:p w14:paraId="75B995B6" w14:textId="76178F63" w:rsidR="00BF1573" w:rsidRPr="0027000D" w:rsidRDefault="00BF1573" w:rsidP="0027000D">
            <w:pPr>
              <w:ind w:left="-15" w:right="-15"/>
              <w:contextualSpacing/>
              <w:jc w:val="center"/>
              <w:rPr>
                <w:rFonts w:ascii="Arial" w:hAnsi="Arial" w:cs="Arial"/>
                <w:sz w:val="20"/>
                <w:szCs w:val="20"/>
              </w:rPr>
            </w:pPr>
            <w:r>
              <w:rPr>
                <w:rFonts w:ascii="Arial" w:hAnsi="Arial" w:cs="Arial"/>
                <w:sz w:val="20"/>
                <w:szCs w:val="20"/>
              </w:rPr>
              <w:t>Major modification</w:t>
            </w:r>
          </w:p>
        </w:tc>
        <w:tc>
          <w:tcPr>
            <w:tcW w:w="1890" w:type="dxa"/>
            <w:vAlign w:val="center"/>
          </w:tcPr>
          <w:p w14:paraId="2885DE0A" w14:textId="1837CA0A" w:rsidR="00BF1573" w:rsidRPr="0027000D" w:rsidRDefault="00BF1573" w:rsidP="00BF1573">
            <w:pPr>
              <w:ind w:left="-14" w:right="-15" w:firstLine="14"/>
              <w:contextualSpacing/>
              <w:jc w:val="center"/>
              <w:rPr>
                <w:rFonts w:ascii="Arial" w:hAnsi="Arial" w:cs="Arial"/>
                <w:sz w:val="20"/>
                <w:szCs w:val="20"/>
              </w:rPr>
            </w:pPr>
            <w:r>
              <w:rPr>
                <w:rFonts w:ascii="Arial" w:hAnsi="Arial" w:cs="Arial"/>
                <w:sz w:val="20"/>
                <w:szCs w:val="20"/>
              </w:rPr>
              <w:t>High Density</w:t>
            </w:r>
          </w:p>
        </w:tc>
        <w:tc>
          <w:tcPr>
            <w:tcW w:w="1440" w:type="dxa"/>
            <w:vAlign w:val="center"/>
          </w:tcPr>
          <w:p w14:paraId="6BB16D16" w14:textId="0203CA54" w:rsidR="00BF1573" w:rsidRPr="0027000D" w:rsidRDefault="00BF1573" w:rsidP="00BF1573">
            <w:pPr>
              <w:ind w:left="-14" w:right="-15"/>
              <w:contextualSpacing/>
              <w:jc w:val="center"/>
              <w:rPr>
                <w:rFonts w:ascii="Arial" w:hAnsi="Arial" w:cs="Arial"/>
                <w:sz w:val="20"/>
                <w:szCs w:val="20"/>
              </w:rPr>
            </w:pPr>
            <w:r>
              <w:rPr>
                <w:rFonts w:ascii="Arial" w:hAnsi="Arial" w:cs="Arial"/>
                <w:sz w:val="20"/>
                <w:szCs w:val="20"/>
              </w:rPr>
              <w:t>$4,000</w:t>
            </w:r>
            <w:r w:rsidR="00A0167F">
              <w:rPr>
                <w:rFonts w:ascii="Arial" w:hAnsi="Arial" w:cs="Arial"/>
                <w:sz w:val="20"/>
                <w:szCs w:val="20"/>
                <w:vertAlign w:val="superscript"/>
              </w:rPr>
              <w:t>3</w:t>
            </w:r>
          </w:p>
        </w:tc>
        <w:tc>
          <w:tcPr>
            <w:tcW w:w="1800" w:type="dxa"/>
            <w:vMerge w:val="restart"/>
            <w:vAlign w:val="center"/>
          </w:tcPr>
          <w:p w14:paraId="10B2DC82" w14:textId="40273A20" w:rsidR="00BF1573" w:rsidRPr="0027000D" w:rsidRDefault="00BF1573" w:rsidP="0027000D">
            <w:pPr>
              <w:ind w:left="-14"/>
              <w:contextualSpacing/>
              <w:jc w:val="center"/>
              <w:rPr>
                <w:rFonts w:ascii="Arial" w:hAnsi="Arial" w:cs="Arial"/>
                <w:sz w:val="20"/>
                <w:szCs w:val="20"/>
              </w:rPr>
            </w:pPr>
            <w:r>
              <w:rPr>
                <w:rFonts w:ascii="Arial" w:hAnsi="Arial" w:cs="Arial"/>
                <w:sz w:val="20"/>
                <w:szCs w:val="20"/>
              </w:rPr>
              <w:t>Yes</w:t>
            </w:r>
          </w:p>
        </w:tc>
        <w:tc>
          <w:tcPr>
            <w:tcW w:w="2970" w:type="dxa"/>
            <w:vMerge w:val="restart"/>
            <w:vAlign w:val="center"/>
          </w:tcPr>
          <w:p w14:paraId="38C20FEA" w14:textId="695FB119" w:rsidR="00BF1573" w:rsidRPr="0027000D" w:rsidRDefault="00BF1573" w:rsidP="0027000D">
            <w:pPr>
              <w:ind w:right="-14"/>
              <w:contextualSpacing/>
              <w:jc w:val="center"/>
              <w:rPr>
                <w:rFonts w:ascii="Arial" w:hAnsi="Arial" w:cs="Arial"/>
                <w:sz w:val="20"/>
                <w:szCs w:val="20"/>
              </w:rPr>
            </w:pPr>
            <w:r>
              <w:rPr>
                <w:rFonts w:ascii="Arial" w:hAnsi="Arial" w:cs="Arial"/>
                <w:sz w:val="20"/>
                <w:szCs w:val="20"/>
              </w:rPr>
              <w:t>As specified in current permit for major modifications to High Density permits (only).</w:t>
            </w:r>
          </w:p>
        </w:tc>
      </w:tr>
      <w:tr w:rsidR="00BF1573" w:rsidRPr="007A7453" w14:paraId="4856162A" w14:textId="77777777" w:rsidTr="00A0167F">
        <w:trPr>
          <w:trHeight w:val="89"/>
          <w:jc w:val="center"/>
        </w:trPr>
        <w:tc>
          <w:tcPr>
            <w:tcW w:w="2065" w:type="dxa"/>
            <w:vMerge/>
          </w:tcPr>
          <w:p w14:paraId="738D6587" w14:textId="77777777" w:rsidR="00BF1573" w:rsidRDefault="00BF1573" w:rsidP="0027000D">
            <w:pPr>
              <w:ind w:left="-15" w:right="-15"/>
              <w:contextualSpacing/>
              <w:jc w:val="center"/>
              <w:rPr>
                <w:rFonts w:ascii="Arial" w:hAnsi="Arial" w:cs="Arial"/>
                <w:sz w:val="20"/>
                <w:szCs w:val="20"/>
              </w:rPr>
            </w:pPr>
          </w:p>
        </w:tc>
        <w:tc>
          <w:tcPr>
            <w:tcW w:w="1890" w:type="dxa"/>
            <w:vAlign w:val="center"/>
          </w:tcPr>
          <w:p w14:paraId="764B270F" w14:textId="6FBC3F08" w:rsidR="00BF1573" w:rsidRDefault="00BF1573" w:rsidP="00BF1573">
            <w:pPr>
              <w:ind w:left="-14" w:right="-15" w:firstLine="14"/>
              <w:contextualSpacing/>
              <w:jc w:val="center"/>
              <w:rPr>
                <w:rFonts w:ascii="Arial" w:hAnsi="Arial" w:cs="Arial"/>
                <w:sz w:val="20"/>
                <w:szCs w:val="20"/>
              </w:rPr>
            </w:pPr>
            <w:r>
              <w:rPr>
                <w:rFonts w:ascii="Arial" w:hAnsi="Arial" w:cs="Arial"/>
                <w:sz w:val="20"/>
                <w:szCs w:val="20"/>
              </w:rPr>
              <w:t>Low Density</w:t>
            </w:r>
          </w:p>
        </w:tc>
        <w:tc>
          <w:tcPr>
            <w:tcW w:w="1440" w:type="dxa"/>
            <w:vAlign w:val="center"/>
          </w:tcPr>
          <w:p w14:paraId="127CF19B" w14:textId="23CB0939" w:rsidR="00BF1573" w:rsidRDefault="00BF1573" w:rsidP="00BF1573">
            <w:pPr>
              <w:ind w:left="-14" w:right="-15"/>
              <w:contextualSpacing/>
              <w:jc w:val="center"/>
              <w:rPr>
                <w:rFonts w:ascii="Arial" w:hAnsi="Arial" w:cs="Arial"/>
                <w:sz w:val="20"/>
                <w:szCs w:val="20"/>
              </w:rPr>
            </w:pPr>
            <w:r>
              <w:rPr>
                <w:rFonts w:ascii="Arial" w:hAnsi="Arial" w:cs="Arial"/>
                <w:sz w:val="20"/>
                <w:szCs w:val="20"/>
              </w:rPr>
              <w:t>$2,000</w:t>
            </w:r>
          </w:p>
        </w:tc>
        <w:tc>
          <w:tcPr>
            <w:tcW w:w="1800" w:type="dxa"/>
            <w:vMerge/>
            <w:vAlign w:val="center"/>
          </w:tcPr>
          <w:p w14:paraId="5E4D856C" w14:textId="77777777" w:rsidR="00BF1573" w:rsidRDefault="00BF1573" w:rsidP="0027000D">
            <w:pPr>
              <w:ind w:left="-14"/>
              <w:contextualSpacing/>
              <w:jc w:val="center"/>
              <w:rPr>
                <w:rFonts w:ascii="Arial" w:hAnsi="Arial" w:cs="Arial"/>
                <w:sz w:val="20"/>
                <w:szCs w:val="20"/>
              </w:rPr>
            </w:pPr>
          </w:p>
        </w:tc>
        <w:tc>
          <w:tcPr>
            <w:tcW w:w="2970" w:type="dxa"/>
            <w:vMerge/>
            <w:vAlign w:val="center"/>
          </w:tcPr>
          <w:p w14:paraId="5F047053" w14:textId="77777777" w:rsidR="00BF1573" w:rsidRDefault="00BF1573" w:rsidP="0027000D">
            <w:pPr>
              <w:ind w:right="-14"/>
              <w:contextualSpacing/>
              <w:jc w:val="center"/>
              <w:rPr>
                <w:rFonts w:ascii="Arial" w:hAnsi="Arial" w:cs="Arial"/>
                <w:sz w:val="20"/>
                <w:szCs w:val="20"/>
              </w:rPr>
            </w:pPr>
          </w:p>
        </w:tc>
      </w:tr>
      <w:tr w:rsidR="00BF1573" w:rsidRPr="007A7453" w14:paraId="376131FA" w14:textId="77777777" w:rsidTr="00A0167F">
        <w:trPr>
          <w:trHeight w:val="70"/>
          <w:jc w:val="center"/>
        </w:trPr>
        <w:tc>
          <w:tcPr>
            <w:tcW w:w="2065" w:type="dxa"/>
            <w:vMerge/>
          </w:tcPr>
          <w:p w14:paraId="299D2652" w14:textId="77777777" w:rsidR="00BF1573" w:rsidRDefault="00BF1573" w:rsidP="0027000D">
            <w:pPr>
              <w:ind w:left="-15" w:right="-15"/>
              <w:contextualSpacing/>
              <w:jc w:val="center"/>
              <w:rPr>
                <w:rFonts w:ascii="Arial" w:hAnsi="Arial" w:cs="Arial"/>
                <w:sz w:val="20"/>
                <w:szCs w:val="20"/>
              </w:rPr>
            </w:pPr>
          </w:p>
        </w:tc>
        <w:tc>
          <w:tcPr>
            <w:tcW w:w="1890" w:type="dxa"/>
            <w:vAlign w:val="center"/>
          </w:tcPr>
          <w:p w14:paraId="2812C0E2" w14:textId="0BF83316" w:rsidR="00BF1573" w:rsidRDefault="00BF1573" w:rsidP="00BF1573">
            <w:pPr>
              <w:ind w:left="-14" w:right="-15" w:firstLine="14"/>
              <w:contextualSpacing/>
              <w:jc w:val="center"/>
              <w:rPr>
                <w:rFonts w:ascii="Arial" w:hAnsi="Arial" w:cs="Arial"/>
                <w:sz w:val="20"/>
                <w:szCs w:val="20"/>
              </w:rPr>
            </w:pPr>
            <w:r>
              <w:rPr>
                <w:rFonts w:ascii="Arial" w:hAnsi="Arial" w:cs="Arial"/>
                <w:sz w:val="20"/>
                <w:szCs w:val="20"/>
              </w:rPr>
              <w:t>Offsite</w:t>
            </w:r>
          </w:p>
        </w:tc>
        <w:tc>
          <w:tcPr>
            <w:tcW w:w="1440" w:type="dxa"/>
            <w:vAlign w:val="center"/>
          </w:tcPr>
          <w:p w14:paraId="0CD3E232" w14:textId="4BCC93BB" w:rsidR="00BF1573" w:rsidRDefault="00BF1573" w:rsidP="00BF1573">
            <w:pPr>
              <w:ind w:left="-14" w:right="-15"/>
              <w:contextualSpacing/>
              <w:jc w:val="center"/>
              <w:rPr>
                <w:rFonts w:ascii="Arial" w:hAnsi="Arial" w:cs="Arial"/>
                <w:sz w:val="20"/>
                <w:szCs w:val="20"/>
              </w:rPr>
            </w:pPr>
            <w:r>
              <w:rPr>
                <w:rFonts w:ascii="Arial" w:hAnsi="Arial" w:cs="Arial"/>
                <w:sz w:val="20"/>
                <w:szCs w:val="20"/>
              </w:rPr>
              <w:t>$2,000</w:t>
            </w:r>
          </w:p>
        </w:tc>
        <w:tc>
          <w:tcPr>
            <w:tcW w:w="1800" w:type="dxa"/>
            <w:vMerge/>
            <w:vAlign w:val="center"/>
          </w:tcPr>
          <w:p w14:paraId="379959CD" w14:textId="77777777" w:rsidR="00BF1573" w:rsidRDefault="00BF1573" w:rsidP="0027000D">
            <w:pPr>
              <w:ind w:left="-14"/>
              <w:contextualSpacing/>
              <w:jc w:val="center"/>
              <w:rPr>
                <w:rFonts w:ascii="Arial" w:hAnsi="Arial" w:cs="Arial"/>
                <w:sz w:val="20"/>
                <w:szCs w:val="20"/>
              </w:rPr>
            </w:pPr>
          </w:p>
        </w:tc>
        <w:tc>
          <w:tcPr>
            <w:tcW w:w="2970" w:type="dxa"/>
            <w:vMerge/>
            <w:vAlign w:val="center"/>
          </w:tcPr>
          <w:p w14:paraId="1116EBD0" w14:textId="77777777" w:rsidR="00BF1573" w:rsidRDefault="00BF1573" w:rsidP="0027000D">
            <w:pPr>
              <w:ind w:right="-14"/>
              <w:contextualSpacing/>
              <w:jc w:val="center"/>
              <w:rPr>
                <w:rFonts w:ascii="Arial" w:hAnsi="Arial" w:cs="Arial"/>
                <w:sz w:val="20"/>
                <w:szCs w:val="20"/>
              </w:rPr>
            </w:pPr>
          </w:p>
        </w:tc>
      </w:tr>
      <w:tr w:rsidR="00BF1573" w:rsidRPr="007A7453" w14:paraId="386DA87A" w14:textId="77777777" w:rsidTr="00A0167F">
        <w:trPr>
          <w:trHeight w:val="152"/>
          <w:jc w:val="center"/>
        </w:trPr>
        <w:tc>
          <w:tcPr>
            <w:tcW w:w="2065" w:type="dxa"/>
            <w:vMerge/>
          </w:tcPr>
          <w:p w14:paraId="26C70C21" w14:textId="77777777" w:rsidR="00BF1573" w:rsidRDefault="00BF1573" w:rsidP="0027000D">
            <w:pPr>
              <w:ind w:left="-15" w:right="-15"/>
              <w:contextualSpacing/>
              <w:jc w:val="center"/>
              <w:rPr>
                <w:rFonts w:ascii="Arial" w:hAnsi="Arial" w:cs="Arial"/>
                <w:sz w:val="20"/>
                <w:szCs w:val="20"/>
              </w:rPr>
            </w:pPr>
          </w:p>
        </w:tc>
        <w:tc>
          <w:tcPr>
            <w:tcW w:w="1890" w:type="dxa"/>
            <w:vAlign w:val="center"/>
          </w:tcPr>
          <w:p w14:paraId="6FF0E89A" w14:textId="4126DF65" w:rsidR="00BF1573" w:rsidRDefault="00BF1573" w:rsidP="00BF1573">
            <w:pPr>
              <w:ind w:left="-14" w:right="-15" w:firstLine="14"/>
              <w:contextualSpacing/>
              <w:jc w:val="center"/>
              <w:rPr>
                <w:rFonts w:ascii="Arial" w:hAnsi="Arial" w:cs="Arial"/>
                <w:sz w:val="20"/>
                <w:szCs w:val="20"/>
              </w:rPr>
            </w:pPr>
            <w:r>
              <w:rPr>
                <w:rFonts w:ascii="Arial" w:hAnsi="Arial" w:cs="Arial"/>
                <w:sz w:val="20"/>
                <w:szCs w:val="20"/>
              </w:rPr>
              <w:t>General Permit</w:t>
            </w:r>
          </w:p>
        </w:tc>
        <w:tc>
          <w:tcPr>
            <w:tcW w:w="1440" w:type="dxa"/>
            <w:vAlign w:val="center"/>
          </w:tcPr>
          <w:p w14:paraId="3D290C54" w14:textId="2E830169" w:rsidR="00BF1573" w:rsidRDefault="00BF1573" w:rsidP="00BF1573">
            <w:pPr>
              <w:ind w:left="-14" w:right="-15"/>
              <w:contextualSpacing/>
              <w:jc w:val="center"/>
              <w:rPr>
                <w:rFonts w:ascii="Arial" w:hAnsi="Arial" w:cs="Arial"/>
                <w:sz w:val="20"/>
                <w:szCs w:val="20"/>
              </w:rPr>
            </w:pPr>
            <w:r>
              <w:rPr>
                <w:rFonts w:ascii="Arial" w:hAnsi="Arial" w:cs="Arial"/>
                <w:sz w:val="20"/>
                <w:szCs w:val="20"/>
              </w:rPr>
              <w:t>$1,000</w:t>
            </w:r>
          </w:p>
        </w:tc>
        <w:tc>
          <w:tcPr>
            <w:tcW w:w="1800" w:type="dxa"/>
            <w:vMerge/>
            <w:vAlign w:val="center"/>
          </w:tcPr>
          <w:p w14:paraId="6ACAD126" w14:textId="77777777" w:rsidR="00BF1573" w:rsidRDefault="00BF1573" w:rsidP="0027000D">
            <w:pPr>
              <w:ind w:left="-14"/>
              <w:contextualSpacing/>
              <w:jc w:val="center"/>
              <w:rPr>
                <w:rFonts w:ascii="Arial" w:hAnsi="Arial" w:cs="Arial"/>
                <w:sz w:val="20"/>
                <w:szCs w:val="20"/>
              </w:rPr>
            </w:pPr>
          </w:p>
        </w:tc>
        <w:tc>
          <w:tcPr>
            <w:tcW w:w="2970" w:type="dxa"/>
            <w:vMerge/>
            <w:vAlign w:val="center"/>
          </w:tcPr>
          <w:p w14:paraId="01C68875" w14:textId="77777777" w:rsidR="00BF1573" w:rsidRDefault="00BF1573" w:rsidP="0027000D">
            <w:pPr>
              <w:ind w:right="-14"/>
              <w:contextualSpacing/>
              <w:jc w:val="center"/>
              <w:rPr>
                <w:rFonts w:ascii="Arial" w:hAnsi="Arial" w:cs="Arial"/>
                <w:sz w:val="20"/>
                <w:szCs w:val="20"/>
              </w:rPr>
            </w:pPr>
          </w:p>
        </w:tc>
      </w:tr>
      <w:tr w:rsidR="00BF1573" w:rsidRPr="007A7453" w14:paraId="5363A139" w14:textId="77777777" w:rsidTr="00A0167F">
        <w:trPr>
          <w:trHeight w:val="461"/>
          <w:jc w:val="center"/>
        </w:trPr>
        <w:tc>
          <w:tcPr>
            <w:tcW w:w="2065" w:type="dxa"/>
            <w:vMerge/>
          </w:tcPr>
          <w:p w14:paraId="5C277F3C" w14:textId="77777777" w:rsidR="00BF1573" w:rsidRDefault="00BF1573" w:rsidP="00BF1573">
            <w:pPr>
              <w:ind w:left="-15" w:right="-15"/>
              <w:contextualSpacing/>
              <w:jc w:val="center"/>
              <w:rPr>
                <w:rFonts w:ascii="Arial" w:hAnsi="Arial" w:cs="Arial"/>
                <w:sz w:val="20"/>
                <w:szCs w:val="20"/>
              </w:rPr>
            </w:pPr>
          </w:p>
        </w:tc>
        <w:tc>
          <w:tcPr>
            <w:tcW w:w="1890" w:type="dxa"/>
            <w:vAlign w:val="center"/>
          </w:tcPr>
          <w:p w14:paraId="724913BC" w14:textId="5445D71A" w:rsidR="00BF1573" w:rsidRDefault="00BF1573" w:rsidP="00BF1573">
            <w:pPr>
              <w:ind w:left="-14" w:right="-15" w:firstLine="14"/>
              <w:contextualSpacing/>
              <w:jc w:val="center"/>
              <w:rPr>
                <w:rFonts w:ascii="Arial" w:hAnsi="Arial" w:cs="Arial"/>
                <w:sz w:val="20"/>
                <w:szCs w:val="20"/>
              </w:rPr>
            </w:pPr>
            <w:r>
              <w:rPr>
                <w:rFonts w:ascii="Arial" w:hAnsi="Arial" w:cs="Arial"/>
                <w:sz w:val="20"/>
                <w:szCs w:val="20"/>
              </w:rPr>
              <w:t>Redevelopment Exclusions</w:t>
            </w:r>
          </w:p>
        </w:tc>
        <w:tc>
          <w:tcPr>
            <w:tcW w:w="1440" w:type="dxa"/>
            <w:vAlign w:val="center"/>
          </w:tcPr>
          <w:p w14:paraId="7887058F" w14:textId="1707CCCA" w:rsidR="00BF1573" w:rsidRDefault="00BF1573" w:rsidP="00BF1573">
            <w:pPr>
              <w:ind w:left="-14" w:right="-15"/>
              <w:contextualSpacing/>
              <w:jc w:val="center"/>
              <w:rPr>
                <w:rFonts w:ascii="Arial" w:hAnsi="Arial" w:cs="Arial"/>
                <w:sz w:val="20"/>
                <w:szCs w:val="20"/>
              </w:rPr>
            </w:pPr>
            <w:r w:rsidRPr="007A7453">
              <w:rPr>
                <w:rFonts w:ascii="Arial" w:hAnsi="Arial" w:cs="Arial"/>
                <w:sz w:val="20"/>
                <w:szCs w:val="20"/>
              </w:rPr>
              <w:t>$</w:t>
            </w:r>
            <w:r>
              <w:rPr>
                <w:rFonts w:ascii="Arial" w:hAnsi="Arial" w:cs="Arial"/>
                <w:sz w:val="20"/>
                <w:szCs w:val="20"/>
              </w:rPr>
              <w:t>500</w:t>
            </w:r>
          </w:p>
        </w:tc>
        <w:tc>
          <w:tcPr>
            <w:tcW w:w="1800" w:type="dxa"/>
            <w:vMerge/>
            <w:vAlign w:val="center"/>
          </w:tcPr>
          <w:p w14:paraId="6EED3F4D" w14:textId="77777777" w:rsidR="00BF1573" w:rsidRDefault="00BF1573" w:rsidP="00BF1573">
            <w:pPr>
              <w:ind w:left="-14"/>
              <w:contextualSpacing/>
              <w:jc w:val="center"/>
              <w:rPr>
                <w:rFonts w:ascii="Arial" w:hAnsi="Arial" w:cs="Arial"/>
                <w:sz w:val="20"/>
                <w:szCs w:val="20"/>
              </w:rPr>
            </w:pPr>
          </w:p>
        </w:tc>
        <w:tc>
          <w:tcPr>
            <w:tcW w:w="2970" w:type="dxa"/>
            <w:vMerge/>
            <w:vAlign w:val="center"/>
          </w:tcPr>
          <w:p w14:paraId="1EA24CA9" w14:textId="77777777" w:rsidR="00BF1573" w:rsidRDefault="00BF1573" w:rsidP="00BF1573">
            <w:pPr>
              <w:ind w:right="-14"/>
              <w:contextualSpacing/>
              <w:jc w:val="center"/>
              <w:rPr>
                <w:rFonts w:ascii="Arial" w:hAnsi="Arial" w:cs="Arial"/>
                <w:sz w:val="20"/>
                <w:szCs w:val="20"/>
              </w:rPr>
            </w:pPr>
          </w:p>
        </w:tc>
      </w:tr>
      <w:tr w:rsidR="00BF1573" w:rsidRPr="007A7453" w14:paraId="144159E9" w14:textId="77777777" w:rsidTr="00A0167F">
        <w:trPr>
          <w:trHeight w:val="161"/>
          <w:jc w:val="center"/>
        </w:trPr>
        <w:tc>
          <w:tcPr>
            <w:tcW w:w="2065" w:type="dxa"/>
            <w:vMerge/>
          </w:tcPr>
          <w:p w14:paraId="02F59CA1" w14:textId="77777777" w:rsidR="00BF1573" w:rsidRDefault="00BF1573" w:rsidP="00BF1573">
            <w:pPr>
              <w:ind w:left="-15" w:right="-15"/>
              <w:contextualSpacing/>
              <w:jc w:val="center"/>
              <w:rPr>
                <w:rFonts w:ascii="Arial" w:hAnsi="Arial" w:cs="Arial"/>
                <w:sz w:val="20"/>
                <w:szCs w:val="20"/>
              </w:rPr>
            </w:pPr>
          </w:p>
        </w:tc>
        <w:tc>
          <w:tcPr>
            <w:tcW w:w="1890" w:type="dxa"/>
            <w:vAlign w:val="center"/>
          </w:tcPr>
          <w:p w14:paraId="23867E65" w14:textId="76CEE8C1" w:rsidR="00BF1573" w:rsidRDefault="00BF1573" w:rsidP="00BF1573">
            <w:pPr>
              <w:ind w:left="-14" w:right="-15" w:firstLine="14"/>
              <w:contextualSpacing/>
              <w:jc w:val="center"/>
              <w:rPr>
                <w:rFonts w:ascii="Arial" w:hAnsi="Arial" w:cs="Arial"/>
                <w:sz w:val="20"/>
                <w:szCs w:val="20"/>
              </w:rPr>
            </w:pPr>
            <w:r>
              <w:rPr>
                <w:rFonts w:ascii="Arial" w:hAnsi="Arial" w:cs="Arial"/>
                <w:sz w:val="20"/>
                <w:szCs w:val="20"/>
              </w:rPr>
              <w:t>Exemption</w:t>
            </w:r>
          </w:p>
        </w:tc>
        <w:tc>
          <w:tcPr>
            <w:tcW w:w="1440" w:type="dxa"/>
            <w:vAlign w:val="center"/>
          </w:tcPr>
          <w:p w14:paraId="79AB9B1E" w14:textId="214820C6" w:rsidR="00BF1573" w:rsidRDefault="00BF1573" w:rsidP="00BF1573">
            <w:pPr>
              <w:ind w:left="-14" w:right="-15"/>
              <w:contextualSpacing/>
              <w:jc w:val="center"/>
              <w:rPr>
                <w:rFonts w:ascii="Arial" w:hAnsi="Arial" w:cs="Arial"/>
                <w:sz w:val="20"/>
                <w:szCs w:val="20"/>
              </w:rPr>
            </w:pPr>
            <w:r>
              <w:rPr>
                <w:rFonts w:ascii="Arial" w:hAnsi="Arial" w:cs="Arial"/>
                <w:sz w:val="20"/>
                <w:szCs w:val="20"/>
              </w:rPr>
              <w:t>$500</w:t>
            </w:r>
          </w:p>
        </w:tc>
        <w:tc>
          <w:tcPr>
            <w:tcW w:w="1800" w:type="dxa"/>
            <w:vMerge/>
            <w:vAlign w:val="center"/>
          </w:tcPr>
          <w:p w14:paraId="476AC81B" w14:textId="77777777" w:rsidR="00BF1573" w:rsidRDefault="00BF1573" w:rsidP="00BF1573">
            <w:pPr>
              <w:ind w:left="-14"/>
              <w:contextualSpacing/>
              <w:jc w:val="center"/>
              <w:rPr>
                <w:rFonts w:ascii="Arial" w:hAnsi="Arial" w:cs="Arial"/>
                <w:sz w:val="20"/>
                <w:szCs w:val="20"/>
              </w:rPr>
            </w:pPr>
          </w:p>
        </w:tc>
        <w:tc>
          <w:tcPr>
            <w:tcW w:w="2970" w:type="dxa"/>
            <w:vMerge/>
            <w:vAlign w:val="center"/>
          </w:tcPr>
          <w:p w14:paraId="668B9789" w14:textId="77777777" w:rsidR="00BF1573" w:rsidRDefault="00BF1573" w:rsidP="00BF1573">
            <w:pPr>
              <w:ind w:right="-14"/>
              <w:contextualSpacing/>
              <w:jc w:val="center"/>
              <w:rPr>
                <w:rFonts w:ascii="Arial" w:hAnsi="Arial" w:cs="Arial"/>
                <w:sz w:val="20"/>
                <w:szCs w:val="20"/>
              </w:rPr>
            </w:pPr>
          </w:p>
        </w:tc>
      </w:tr>
      <w:tr w:rsidR="001D1DAD" w:rsidRPr="007A7453" w14:paraId="0FB2757E" w14:textId="28DDFF3E" w:rsidTr="001D1DAD">
        <w:trPr>
          <w:trHeight w:val="377"/>
          <w:jc w:val="center"/>
        </w:trPr>
        <w:tc>
          <w:tcPr>
            <w:tcW w:w="2065" w:type="dxa"/>
            <w:vMerge w:val="restart"/>
          </w:tcPr>
          <w:p w14:paraId="7CFE3FD8" w14:textId="77777777" w:rsidR="001D1DAD" w:rsidRPr="001D72BF" w:rsidRDefault="001D1DAD" w:rsidP="0027000D">
            <w:pPr>
              <w:ind w:left="-15" w:right="-15"/>
              <w:contextualSpacing/>
              <w:jc w:val="center"/>
              <w:rPr>
                <w:rFonts w:ascii="Arial" w:hAnsi="Arial" w:cs="Arial"/>
                <w:sz w:val="20"/>
                <w:szCs w:val="20"/>
              </w:rPr>
            </w:pPr>
            <w:r>
              <w:rPr>
                <w:rFonts w:ascii="Arial" w:hAnsi="Arial" w:cs="Arial"/>
                <w:sz w:val="20"/>
                <w:szCs w:val="20"/>
              </w:rPr>
              <w:t>Minor Modification</w:t>
            </w:r>
          </w:p>
        </w:tc>
        <w:tc>
          <w:tcPr>
            <w:tcW w:w="864" w:type="dxa"/>
            <w:vAlign w:val="center"/>
          </w:tcPr>
          <w:p w14:paraId="1C74A354" w14:textId="27ECF10F" w:rsidR="001D1DAD" w:rsidRPr="007A7453" w:rsidRDefault="001D1DAD" w:rsidP="001D1DAD">
            <w:pPr>
              <w:ind w:left="-14" w:right="-15" w:firstLine="14"/>
              <w:contextualSpacing/>
              <w:jc w:val="center"/>
              <w:rPr>
                <w:rFonts w:ascii="Arial" w:hAnsi="Arial" w:cs="Arial"/>
                <w:sz w:val="20"/>
                <w:szCs w:val="20"/>
              </w:rPr>
            </w:pPr>
            <w:r>
              <w:rPr>
                <w:rFonts w:ascii="Arial" w:hAnsi="Arial" w:cs="Arial"/>
                <w:sz w:val="20"/>
                <w:szCs w:val="20"/>
              </w:rPr>
              <w:t>High Density</w:t>
            </w:r>
          </w:p>
        </w:tc>
        <w:tc>
          <w:tcPr>
            <w:tcW w:w="1440" w:type="dxa"/>
            <w:vAlign w:val="center"/>
          </w:tcPr>
          <w:p w14:paraId="40E44185" w14:textId="5A71BBC8" w:rsidR="001D1DAD" w:rsidRPr="007A7453" w:rsidRDefault="001D1DAD" w:rsidP="001D1DAD">
            <w:pPr>
              <w:ind w:left="-14" w:right="-15"/>
              <w:contextualSpacing/>
              <w:jc w:val="center"/>
              <w:rPr>
                <w:rFonts w:ascii="Arial" w:hAnsi="Arial" w:cs="Arial"/>
                <w:sz w:val="20"/>
                <w:szCs w:val="20"/>
              </w:rPr>
            </w:pPr>
            <w:r w:rsidRPr="007A7453">
              <w:rPr>
                <w:rFonts w:ascii="Arial" w:hAnsi="Arial" w:cs="Arial"/>
                <w:sz w:val="20"/>
                <w:szCs w:val="20"/>
              </w:rPr>
              <w:t>$</w:t>
            </w:r>
            <w:r>
              <w:rPr>
                <w:rFonts w:ascii="Arial" w:hAnsi="Arial" w:cs="Arial"/>
                <w:sz w:val="20"/>
                <w:szCs w:val="20"/>
              </w:rPr>
              <w:t>1,500</w:t>
            </w:r>
          </w:p>
        </w:tc>
        <w:tc>
          <w:tcPr>
            <w:tcW w:w="1800" w:type="dxa"/>
            <w:vMerge w:val="restart"/>
            <w:vAlign w:val="center"/>
          </w:tcPr>
          <w:p w14:paraId="41D5F7C3" w14:textId="4C444F76" w:rsidR="001D1DAD" w:rsidRPr="007A7453" w:rsidRDefault="001D1DAD" w:rsidP="0027000D">
            <w:pPr>
              <w:ind w:left="-14"/>
              <w:contextualSpacing/>
              <w:jc w:val="center"/>
              <w:rPr>
                <w:rFonts w:ascii="Arial" w:hAnsi="Arial" w:cs="Arial"/>
                <w:sz w:val="20"/>
                <w:szCs w:val="20"/>
              </w:rPr>
            </w:pPr>
            <w:r>
              <w:rPr>
                <w:rFonts w:ascii="Arial" w:hAnsi="Arial" w:cs="Arial"/>
                <w:sz w:val="20"/>
                <w:szCs w:val="20"/>
              </w:rPr>
              <w:t>Yes</w:t>
            </w:r>
          </w:p>
        </w:tc>
        <w:tc>
          <w:tcPr>
            <w:tcW w:w="2970" w:type="dxa"/>
            <w:vMerge w:val="restart"/>
            <w:vAlign w:val="center"/>
          </w:tcPr>
          <w:p w14:paraId="6795BF31" w14:textId="6C2C6862" w:rsidR="001D1DAD" w:rsidRPr="007A7453" w:rsidRDefault="001D1DAD" w:rsidP="00BF1573">
            <w:pPr>
              <w:ind w:right="-14"/>
              <w:contextualSpacing/>
              <w:jc w:val="center"/>
              <w:rPr>
                <w:rFonts w:ascii="Arial" w:hAnsi="Arial" w:cs="Arial"/>
                <w:sz w:val="20"/>
                <w:szCs w:val="20"/>
              </w:rPr>
            </w:pPr>
            <w:r>
              <w:rPr>
                <w:rFonts w:ascii="Arial" w:hAnsi="Arial" w:cs="Arial"/>
                <w:sz w:val="20"/>
                <w:szCs w:val="20"/>
              </w:rPr>
              <w:t>As specified in current permit for minor modifications to High Density permits (only).</w:t>
            </w:r>
          </w:p>
        </w:tc>
      </w:tr>
      <w:tr w:rsidR="001D1DAD" w:rsidRPr="007A7453" w14:paraId="1C0C0114" w14:textId="77777777" w:rsidTr="001D1DAD">
        <w:trPr>
          <w:trHeight w:val="228"/>
          <w:jc w:val="center"/>
        </w:trPr>
        <w:tc>
          <w:tcPr>
            <w:tcW w:w="2065" w:type="dxa"/>
            <w:vMerge/>
          </w:tcPr>
          <w:p w14:paraId="7FCE2652" w14:textId="77777777" w:rsidR="001D1DAD" w:rsidRDefault="001D1DAD" w:rsidP="0027000D">
            <w:pPr>
              <w:ind w:left="-15" w:right="-15"/>
              <w:contextualSpacing/>
              <w:jc w:val="center"/>
              <w:rPr>
                <w:rFonts w:ascii="Arial" w:hAnsi="Arial" w:cs="Arial"/>
                <w:sz w:val="20"/>
                <w:szCs w:val="20"/>
              </w:rPr>
            </w:pPr>
          </w:p>
        </w:tc>
        <w:tc>
          <w:tcPr>
            <w:tcW w:w="864" w:type="dxa"/>
            <w:vAlign w:val="center"/>
          </w:tcPr>
          <w:p w14:paraId="22A11F69" w14:textId="47E8907C" w:rsidR="001D1DAD" w:rsidRDefault="001D1DAD" w:rsidP="001D1DAD">
            <w:pPr>
              <w:ind w:left="-14" w:right="-15" w:firstLine="14"/>
              <w:contextualSpacing/>
              <w:jc w:val="center"/>
              <w:rPr>
                <w:rFonts w:ascii="Arial" w:hAnsi="Arial" w:cs="Arial"/>
                <w:sz w:val="20"/>
                <w:szCs w:val="20"/>
              </w:rPr>
            </w:pPr>
            <w:r>
              <w:rPr>
                <w:rFonts w:ascii="Arial" w:hAnsi="Arial" w:cs="Arial"/>
                <w:sz w:val="20"/>
                <w:szCs w:val="20"/>
              </w:rPr>
              <w:t>Low Density</w:t>
            </w:r>
          </w:p>
        </w:tc>
        <w:tc>
          <w:tcPr>
            <w:tcW w:w="1440" w:type="dxa"/>
            <w:vAlign w:val="center"/>
          </w:tcPr>
          <w:p w14:paraId="1A3ED04B" w14:textId="0225A068" w:rsidR="001D1DAD" w:rsidRPr="007A7453" w:rsidRDefault="001D1DAD" w:rsidP="00BF1573">
            <w:pPr>
              <w:ind w:left="-14" w:right="-15"/>
              <w:contextualSpacing/>
              <w:jc w:val="center"/>
              <w:rPr>
                <w:rFonts w:ascii="Arial" w:hAnsi="Arial" w:cs="Arial"/>
                <w:sz w:val="20"/>
                <w:szCs w:val="20"/>
              </w:rPr>
            </w:pPr>
            <w:r>
              <w:rPr>
                <w:rFonts w:ascii="Arial" w:hAnsi="Arial" w:cs="Arial"/>
                <w:sz w:val="20"/>
                <w:szCs w:val="20"/>
              </w:rPr>
              <w:t>$1,000</w:t>
            </w:r>
          </w:p>
        </w:tc>
        <w:tc>
          <w:tcPr>
            <w:tcW w:w="1800" w:type="dxa"/>
            <w:vMerge/>
            <w:vAlign w:val="center"/>
          </w:tcPr>
          <w:p w14:paraId="76C99C38" w14:textId="77777777" w:rsidR="001D1DAD" w:rsidRDefault="001D1DAD" w:rsidP="0027000D">
            <w:pPr>
              <w:ind w:left="-14"/>
              <w:contextualSpacing/>
              <w:jc w:val="center"/>
              <w:rPr>
                <w:rFonts w:ascii="Arial" w:hAnsi="Arial" w:cs="Arial"/>
                <w:sz w:val="20"/>
                <w:szCs w:val="20"/>
              </w:rPr>
            </w:pPr>
          </w:p>
        </w:tc>
        <w:tc>
          <w:tcPr>
            <w:tcW w:w="2970" w:type="dxa"/>
            <w:vMerge/>
            <w:vAlign w:val="center"/>
          </w:tcPr>
          <w:p w14:paraId="2F7AFB6B" w14:textId="77777777" w:rsidR="001D1DAD" w:rsidRDefault="001D1DAD" w:rsidP="00BF1573">
            <w:pPr>
              <w:ind w:right="-14"/>
              <w:contextualSpacing/>
              <w:jc w:val="center"/>
              <w:rPr>
                <w:rFonts w:ascii="Arial" w:hAnsi="Arial" w:cs="Arial"/>
                <w:sz w:val="20"/>
                <w:szCs w:val="20"/>
              </w:rPr>
            </w:pPr>
          </w:p>
        </w:tc>
      </w:tr>
      <w:tr w:rsidR="001D1DAD" w:rsidRPr="007A7453" w14:paraId="36F400BB" w14:textId="77777777" w:rsidTr="001D1DAD">
        <w:trPr>
          <w:trHeight w:val="228"/>
          <w:jc w:val="center"/>
        </w:trPr>
        <w:tc>
          <w:tcPr>
            <w:tcW w:w="2065" w:type="dxa"/>
            <w:vMerge/>
          </w:tcPr>
          <w:p w14:paraId="13922181" w14:textId="77777777" w:rsidR="001D1DAD" w:rsidRDefault="001D1DAD" w:rsidP="0027000D">
            <w:pPr>
              <w:ind w:left="-15" w:right="-15"/>
              <w:contextualSpacing/>
              <w:jc w:val="center"/>
              <w:rPr>
                <w:rFonts w:ascii="Arial" w:hAnsi="Arial" w:cs="Arial"/>
                <w:sz w:val="20"/>
                <w:szCs w:val="20"/>
              </w:rPr>
            </w:pPr>
          </w:p>
        </w:tc>
        <w:tc>
          <w:tcPr>
            <w:tcW w:w="864" w:type="dxa"/>
            <w:vAlign w:val="center"/>
          </w:tcPr>
          <w:p w14:paraId="681BFF0B" w14:textId="3FFBBC30" w:rsidR="001D1DAD" w:rsidRDefault="001D1DAD" w:rsidP="001D1DAD">
            <w:pPr>
              <w:ind w:left="-14" w:right="-15" w:firstLine="14"/>
              <w:contextualSpacing/>
              <w:jc w:val="center"/>
              <w:rPr>
                <w:rFonts w:ascii="Arial" w:hAnsi="Arial" w:cs="Arial"/>
                <w:sz w:val="20"/>
                <w:szCs w:val="20"/>
              </w:rPr>
            </w:pPr>
            <w:r>
              <w:rPr>
                <w:rFonts w:ascii="Arial" w:hAnsi="Arial" w:cs="Arial"/>
                <w:sz w:val="20"/>
                <w:szCs w:val="20"/>
              </w:rPr>
              <w:t>Offsite</w:t>
            </w:r>
          </w:p>
        </w:tc>
        <w:tc>
          <w:tcPr>
            <w:tcW w:w="1440" w:type="dxa"/>
            <w:vAlign w:val="center"/>
          </w:tcPr>
          <w:p w14:paraId="15143725" w14:textId="228490CC" w:rsidR="001D1DAD" w:rsidRPr="007A7453" w:rsidRDefault="001D1DAD" w:rsidP="00BF1573">
            <w:pPr>
              <w:ind w:left="-14" w:right="-15"/>
              <w:contextualSpacing/>
              <w:jc w:val="center"/>
              <w:rPr>
                <w:rFonts w:ascii="Arial" w:hAnsi="Arial" w:cs="Arial"/>
                <w:sz w:val="20"/>
                <w:szCs w:val="20"/>
              </w:rPr>
            </w:pPr>
            <w:r>
              <w:rPr>
                <w:rFonts w:ascii="Arial" w:hAnsi="Arial" w:cs="Arial"/>
                <w:sz w:val="20"/>
                <w:szCs w:val="20"/>
              </w:rPr>
              <w:t>$750</w:t>
            </w:r>
          </w:p>
        </w:tc>
        <w:tc>
          <w:tcPr>
            <w:tcW w:w="1800" w:type="dxa"/>
            <w:vMerge/>
            <w:vAlign w:val="center"/>
          </w:tcPr>
          <w:p w14:paraId="43943A5E" w14:textId="77777777" w:rsidR="001D1DAD" w:rsidRDefault="001D1DAD" w:rsidP="0027000D">
            <w:pPr>
              <w:ind w:left="-14"/>
              <w:contextualSpacing/>
              <w:jc w:val="center"/>
              <w:rPr>
                <w:rFonts w:ascii="Arial" w:hAnsi="Arial" w:cs="Arial"/>
                <w:sz w:val="20"/>
                <w:szCs w:val="20"/>
              </w:rPr>
            </w:pPr>
          </w:p>
        </w:tc>
        <w:tc>
          <w:tcPr>
            <w:tcW w:w="2970" w:type="dxa"/>
            <w:vMerge/>
            <w:vAlign w:val="center"/>
          </w:tcPr>
          <w:p w14:paraId="288FFD45" w14:textId="77777777" w:rsidR="001D1DAD" w:rsidRDefault="001D1DAD" w:rsidP="00BF1573">
            <w:pPr>
              <w:ind w:right="-14"/>
              <w:contextualSpacing/>
              <w:jc w:val="center"/>
              <w:rPr>
                <w:rFonts w:ascii="Arial" w:hAnsi="Arial" w:cs="Arial"/>
                <w:sz w:val="20"/>
                <w:szCs w:val="20"/>
              </w:rPr>
            </w:pPr>
          </w:p>
        </w:tc>
      </w:tr>
      <w:tr w:rsidR="001D1DAD" w:rsidRPr="007A7453" w14:paraId="2901F315" w14:textId="77777777" w:rsidTr="00A0167F">
        <w:trPr>
          <w:trHeight w:val="228"/>
          <w:jc w:val="center"/>
        </w:trPr>
        <w:tc>
          <w:tcPr>
            <w:tcW w:w="2065" w:type="dxa"/>
            <w:vMerge/>
          </w:tcPr>
          <w:p w14:paraId="49CCD668" w14:textId="77777777" w:rsidR="001D1DAD" w:rsidRDefault="001D1DAD" w:rsidP="0027000D">
            <w:pPr>
              <w:ind w:left="-15" w:right="-15"/>
              <w:contextualSpacing/>
              <w:jc w:val="center"/>
              <w:rPr>
                <w:rFonts w:ascii="Arial" w:hAnsi="Arial" w:cs="Arial"/>
                <w:sz w:val="20"/>
                <w:szCs w:val="20"/>
              </w:rPr>
            </w:pPr>
          </w:p>
        </w:tc>
        <w:tc>
          <w:tcPr>
            <w:tcW w:w="1890" w:type="dxa"/>
            <w:vAlign w:val="center"/>
          </w:tcPr>
          <w:p w14:paraId="524A30C4" w14:textId="0232716D" w:rsidR="001D1DAD" w:rsidRDefault="001D1DAD" w:rsidP="00BF1573">
            <w:pPr>
              <w:ind w:left="-14" w:right="-15" w:firstLine="14"/>
              <w:contextualSpacing/>
              <w:jc w:val="center"/>
              <w:rPr>
                <w:rFonts w:ascii="Arial" w:hAnsi="Arial" w:cs="Arial"/>
                <w:sz w:val="20"/>
                <w:szCs w:val="20"/>
              </w:rPr>
            </w:pPr>
            <w:r>
              <w:rPr>
                <w:rFonts w:ascii="Arial" w:hAnsi="Arial" w:cs="Arial"/>
                <w:sz w:val="20"/>
                <w:szCs w:val="20"/>
              </w:rPr>
              <w:t>General Permit</w:t>
            </w:r>
          </w:p>
        </w:tc>
        <w:tc>
          <w:tcPr>
            <w:tcW w:w="1440" w:type="dxa"/>
            <w:vAlign w:val="center"/>
          </w:tcPr>
          <w:p w14:paraId="033DB902" w14:textId="3126EFF0" w:rsidR="001D1DAD" w:rsidRPr="007A7453" w:rsidRDefault="001D1DAD" w:rsidP="00BF1573">
            <w:pPr>
              <w:ind w:left="-14" w:right="-15"/>
              <w:contextualSpacing/>
              <w:jc w:val="center"/>
              <w:rPr>
                <w:rFonts w:ascii="Arial" w:hAnsi="Arial" w:cs="Arial"/>
                <w:sz w:val="20"/>
                <w:szCs w:val="20"/>
              </w:rPr>
            </w:pPr>
            <w:r>
              <w:rPr>
                <w:rFonts w:ascii="Arial" w:hAnsi="Arial" w:cs="Arial"/>
                <w:sz w:val="20"/>
                <w:szCs w:val="20"/>
              </w:rPr>
              <w:t>$750</w:t>
            </w:r>
          </w:p>
        </w:tc>
        <w:tc>
          <w:tcPr>
            <w:tcW w:w="1800" w:type="dxa"/>
            <w:vMerge/>
            <w:vAlign w:val="center"/>
          </w:tcPr>
          <w:p w14:paraId="71EF211E" w14:textId="77777777" w:rsidR="001D1DAD" w:rsidRDefault="001D1DAD" w:rsidP="0027000D">
            <w:pPr>
              <w:ind w:left="-14"/>
              <w:contextualSpacing/>
              <w:jc w:val="center"/>
              <w:rPr>
                <w:rFonts w:ascii="Arial" w:hAnsi="Arial" w:cs="Arial"/>
                <w:sz w:val="20"/>
                <w:szCs w:val="20"/>
              </w:rPr>
            </w:pPr>
          </w:p>
        </w:tc>
        <w:tc>
          <w:tcPr>
            <w:tcW w:w="2970" w:type="dxa"/>
            <w:vMerge/>
            <w:vAlign w:val="center"/>
          </w:tcPr>
          <w:p w14:paraId="7DD68038" w14:textId="77777777" w:rsidR="001D1DAD" w:rsidRDefault="001D1DAD" w:rsidP="00BF1573">
            <w:pPr>
              <w:ind w:right="-14"/>
              <w:contextualSpacing/>
              <w:jc w:val="center"/>
              <w:rPr>
                <w:rFonts w:ascii="Arial" w:hAnsi="Arial" w:cs="Arial"/>
                <w:sz w:val="20"/>
                <w:szCs w:val="20"/>
              </w:rPr>
            </w:pPr>
          </w:p>
        </w:tc>
      </w:tr>
      <w:tr w:rsidR="001D1DAD" w:rsidRPr="007A7453" w14:paraId="48166D21" w14:textId="77777777" w:rsidTr="00A0167F">
        <w:trPr>
          <w:jc w:val="center"/>
        </w:trPr>
        <w:tc>
          <w:tcPr>
            <w:tcW w:w="2065" w:type="dxa"/>
            <w:vMerge/>
          </w:tcPr>
          <w:p w14:paraId="301621A6" w14:textId="77777777" w:rsidR="001D1DAD" w:rsidRDefault="001D1DAD" w:rsidP="00BF1573">
            <w:pPr>
              <w:ind w:left="-15" w:right="-15"/>
              <w:contextualSpacing/>
              <w:jc w:val="center"/>
              <w:rPr>
                <w:rFonts w:ascii="Arial" w:hAnsi="Arial" w:cs="Arial"/>
                <w:sz w:val="20"/>
                <w:szCs w:val="20"/>
              </w:rPr>
            </w:pPr>
          </w:p>
        </w:tc>
        <w:tc>
          <w:tcPr>
            <w:tcW w:w="1890" w:type="dxa"/>
            <w:vAlign w:val="center"/>
          </w:tcPr>
          <w:p w14:paraId="5C15AB01" w14:textId="307D43CD" w:rsidR="001D1DAD" w:rsidRDefault="001D1DAD" w:rsidP="00BF1573">
            <w:pPr>
              <w:ind w:left="-14" w:right="-15" w:firstLine="14"/>
              <w:contextualSpacing/>
              <w:jc w:val="center"/>
              <w:rPr>
                <w:rFonts w:ascii="Arial" w:hAnsi="Arial" w:cs="Arial"/>
                <w:sz w:val="20"/>
                <w:szCs w:val="20"/>
              </w:rPr>
            </w:pPr>
            <w:r>
              <w:rPr>
                <w:rFonts w:ascii="Arial" w:hAnsi="Arial" w:cs="Arial"/>
                <w:sz w:val="20"/>
                <w:szCs w:val="20"/>
              </w:rPr>
              <w:t>Redevelopment Exclusions</w:t>
            </w:r>
          </w:p>
        </w:tc>
        <w:tc>
          <w:tcPr>
            <w:tcW w:w="1440" w:type="dxa"/>
            <w:vAlign w:val="center"/>
          </w:tcPr>
          <w:p w14:paraId="464E2D10" w14:textId="406C6610" w:rsidR="001D1DAD" w:rsidRPr="007A7453" w:rsidRDefault="001D1DAD" w:rsidP="00BF1573">
            <w:pPr>
              <w:ind w:left="-14" w:right="-15"/>
              <w:contextualSpacing/>
              <w:jc w:val="center"/>
              <w:rPr>
                <w:rFonts w:ascii="Arial" w:hAnsi="Arial" w:cs="Arial"/>
                <w:sz w:val="20"/>
                <w:szCs w:val="20"/>
              </w:rPr>
            </w:pPr>
            <w:r w:rsidRPr="007A7453">
              <w:rPr>
                <w:rFonts w:ascii="Arial" w:hAnsi="Arial" w:cs="Arial"/>
                <w:sz w:val="20"/>
                <w:szCs w:val="20"/>
              </w:rPr>
              <w:t>$</w:t>
            </w:r>
            <w:r>
              <w:rPr>
                <w:rFonts w:ascii="Arial" w:hAnsi="Arial" w:cs="Arial"/>
                <w:sz w:val="20"/>
                <w:szCs w:val="20"/>
              </w:rPr>
              <w:t>500</w:t>
            </w:r>
          </w:p>
        </w:tc>
        <w:tc>
          <w:tcPr>
            <w:tcW w:w="1800" w:type="dxa"/>
            <w:vMerge/>
            <w:vAlign w:val="center"/>
          </w:tcPr>
          <w:p w14:paraId="4023A7A3" w14:textId="77777777" w:rsidR="001D1DAD" w:rsidRDefault="001D1DAD" w:rsidP="00BF1573">
            <w:pPr>
              <w:ind w:left="-14"/>
              <w:contextualSpacing/>
              <w:jc w:val="center"/>
              <w:rPr>
                <w:rFonts w:ascii="Arial" w:hAnsi="Arial" w:cs="Arial"/>
                <w:sz w:val="20"/>
                <w:szCs w:val="20"/>
              </w:rPr>
            </w:pPr>
          </w:p>
        </w:tc>
        <w:tc>
          <w:tcPr>
            <w:tcW w:w="2970" w:type="dxa"/>
            <w:vMerge/>
            <w:vAlign w:val="center"/>
          </w:tcPr>
          <w:p w14:paraId="32E2F67A" w14:textId="77777777" w:rsidR="001D1DAD" w:rsidRDefault="001D1DAD" w:rsidP="00BF1573">
            <w:pPr>
              <w:ind w:right="-14"/>
              <w:contextualSpacing/>
              <w:jc w:val="center"/>
              <w:rPr>
                <w:rFonts w:ascii="Arial" w:hAnsi="Arial" w:cs="Arial"/>
                <w:sz w:val="20"/>
                <w:szCs w:val="20"/>
              </w:rPr>
            </w:pPr>
          </w:p>
        </w:tc>
      </w:tr>
      <w:tr w:rsidR="001D1DAD" w:rsidRPr="007A7453" w14:paraId="70916360" w14:textId="77777777" w:rsidTr="00A0167F">
        <w:trPr>
          <w:jc w:val="center"/>
        </w:trPr>
        <w:tc>
          <w:tcPr>
            <w:tcW w:w="2065" w:type="dxa"/>
            <w:vMerge/>
          </w:tcPr>
          <w:p w14:paraId="6794A535" w14:textId="77777777" w:rsidR="001D1DAD" w:rsidRDefault="001D1DAD" w:rsidP="00BF1573">
            <w:pPr>
              <w:ind w:left="-15" w:right="-15"/>
              <w:contextualSpacing/>
              <w:jc w:val="center"/>
              <w:rPr>
                <w:rFonts w:ascii="Arial" w:hAnsi="Arial" w:cs="Arial"/>
                <w:sz w:val="20"/>
                <w:szCs w:val="20"/>
              </w:rPr>
            </w:pPr>
          </w:p>
        </w:tc>
        <w:tc>
          <w:tcPr>
            <w:tcW w:w="1890" w:type="dxa"/>
            <w:vAlign w:val="center"/>
          </w:tcPr>
          <w:p w14:paraId="4C92DBCA" w14:textId="4DE57BC8" w:rsidR="001D1DAD" w:rsidRDefault="001D1DAD" w:rsidP="00BF1573">
            <w:pPr>
              <w:ind w:left="-14" w:right="-15" w:firstLine="14"/>
              <w:contextualSpacing/>
              <w:jc w:val="center"/>
              <w:rPr>
                <w:rFonts w:ascii="Arial" w:hAnsi="Arial" w:cs="Arial"/>
                <w:sz w:val="20"/>
                <w:szCs w:val="20"/>
              </w:rPr>
            </w:pPr>
            <w:r>
              <w:rPr>
                <w:rFonts w:ascii="Arial" w:hAnsi="Arial" w:cs="Arial"/>
                <w:sz w:val="20"/>
                <w:szCs w:val="20"/>
              </w:rPr>
              <w:t>Exemption</w:t>
            </w:r>
          </w:p>
        </w:tc>
        <w:tc>
          <w:tcPr>
            <w:tcW w:w="1440" w:type="dxa"/>
            <w:vAlign w:val="center"/>
          </w:tcPr>
          <w:p w14:paraId="39069FB0" w14:textId="6AFABFC0" w:rsidR="001D1DAD" w:rsidRPr="007A7453" w:rsidRDefault="001D1DAD" w:rsidP="00BF1573">
            <w:pPr>
              <w:ind w:left="-14" w:right="-15"/>
              <w:contextualSpacing/>
              <w:jc w:val="center"/>
              <w:rPr>
                <w:rFonts w:ascii="Arial" w:hAnsi="Arial" w:cs="Arial"/>
                <w:sz w:val="20"/>
                <w:szCs w:val="20"/>
              </w:rPr>
            </w:pPr>
            <w:r>
              <w:rPr>
                <w:rFonts w:ascii="Arial" w:hAnsi="Arial" w:cs="Arial"/>
                <w:sz w:val="20"/>
                <w:szCs w:val="20"/>
              </w:rPr>
              <w:t>$500</w:t>
            </w:r>
          </w:p>
        </w:tc>
        <w:tc>
          <w:tcPr>
            <w:tcW w:w="1800" w:type="dxa"/>
            <w:vMerge/>
            <w:vAlign w:val="center"/>
          </w:tcPr>
          <w:p w14:paraId="4E28EB78" w14:textId="77777777" w:rsidR="001D1DAD" w:rsidRDefault="001D1DAD" w:rsidP="00BF1573">
            <w:pPr>
              <w:ind w:left="-14"/>
              <w:contextualSpacing/>
              <w:jc w:val="center"/>
              <w:rPr>
                <w:rFonts w:ascii="Arial" w:hAnsi="Arial" w:cs="Arial"/>
                <w:sz w:val="20"/>
                <w:szCs w:val="20"/>
              </w:rPr>
            </w:pPr>
          </w:p>
        </w:tc>
        <w:tc>
          <w:tcPr>
            <w:tcW w:w="2970" w:type="dxa"/>
            <w:vMerge/>
            <w:vAlign w:val="center"/>
          </w:tcPr>
          <w:p w14:paraId="12DE2DD8" w14:textId="77777777" w:rsidR="001D1DAD" w:rsidRDefault="001D1DAD" w:rsidP="00BF1573">
            <w:pPr>
              <w:ind w:right="-14"/>
              <w:contextualSpacing/>
              <w:jc w:val="center"/>
              <w:rPr>
                <w:rFonts w:ascii="Arial" w:hAnsi="Arial" w:cs="Arial"/>
                <w:sz w:val="20"/>
                <w:szCs w:val="20"/>
              </w:rPr>
            </w:pPr>
          </w:p>
        </w:tc>
      </w:tr>
      <w:tr w:rsidR="0027000D" w:rsidRPr="007A7453" w14:paraId="0C84F6E0" w14:textId="76D4BA8D" w:rsidTr="001D1DAD">
        <w:trPr>
          <w:trHeight w:val="359"/>
          <w:jc w:val="center"/>
        </w:trPr>
        <w:tc>
          <w:tcPr>
            <w:tcW w:w="2065" w:type="dxa"/>
            <w:vAlign w:val="center"/>
          </w:tcPr>
          <w:p w14:paraId="4A618DE3" w14:textId="74FA138F" w:rsidR="0027000D" w:rsidRDefault="0027000D" w:rsidP="0027000D">
            <w:pPr>
              <w:ind w:left="-15" w:right="-15"/>
              <w:contextualSpacing/>
              <w:jc w:val="center"/>
              <w:rPr>
                <w:rFonts w:ascii="Arial" w:hAnsi="Arial" w:cs="Arial"/>
                <w:sz w:val="20"/>
                <w:szCs w:val="20"/>
              </w:rPr>
            </w:pPr>
            <w:r>
              <w:rPr>
                <w:rFonts w:ascii="Arial" w:hAnsi="Arial" w:cs="Arial"/>
                <w:sz w:val="20"/>
                <w:szCs w:val="20"/>
              </w:rPr>
              <w:t>Rescission Request</w:t>
            </w:r>
          </w:p>
        </w:tc>
        <w:tc>
          <w:tcPr>
            <w:tcW w:w="1890" w:type="dxa"/>
            <w:vAlign w:val="center"/>
          </w:tcPr>
          <w:p w14:paraId="48A43998" w14:textId="361F49EE" w:rsidR="0027000D" w:rsidRDefault="0027000D" w:rsidP="00BF1573">
            <w:pPr>
              <w:ind w:left="-14" w:right="-15" w:firstLine="14"/>
              <w:contextualSpacing/>
              <w:jc w:val="center"/>
              <w:rPr>
                <w:rFonts w:ascii="Arial" w:hAnsi="Arial" w:cs="Arial"/>
                <w:sz w:val="20"/>
                <w:szCs w:val="20"/>
              </w:rPr>
            </w:pPr>
            <w:r>
              <w:rPr>
                <w:rFonts w:ascii="Arial" w:hAnsi="Arial" w:cs="Arial"/>
                <w:sz w:val="20"/>
                <w:szCs w:val="20"/>
              </w:rPr>
              <w:t>Any</w:t>
            </w:r>
          </w:p>
        </w:tc>
        <w:tc>
          <w:tcPr>
            <w:tcW w:w="1440" w:type="dxa"/>
            <w:vAlign w:val="center"/>
          </w:tcPr>
          <w:p w14:paraId="1B8D0852" w14:textId="41AA985F" w:rsidR="0027000D" w:rsidRDefault="0027000D" w:rsidP="00BF1573">
            <w:pPr>
              <w:ind w:left="-14" w:right="-15"/>
              <w:contextualSpacing/>
              <w:jc w:val="center"/>
              <w:rPr>
                <w:rFonts w:ascii="Arial" w:hAnsi="Arial" w:cs="Arial"/>
                <w:sz w:val="20"/>
                <w:szCs w:val="20"/>
              </w:rPr>
            </w:pPr>
            <w:r>
              <w:rPr>
                <w:rFonts w:ascii="Arial" w:hAnsi="Arial" w:cs="Arial"/>
                <w:sz w:val="20"/>
                <w:szCs w:val="20"/>
              </w:rPr>
              <w:t>$500</w:t>
            </w:r>
          </w:p>
        </w:tc>
        <w:tc>
          <w:tcPr>
            <w:tcW w:w="1800" w:type="dxa"/>
            <w:vAlign w:val="center"/>
          </w:tcPr>
          <w:p w14:paraId="2872A986" w14:textId="3EB4DCCE" w:rsidR="0027000D" w:rsidRDefault="0027000D" w:rsidP="0027000D">
            <w:pPr>
              <w:ind w:left="-14"/>
              <w:contextualSpacing/>
              <w:jc w:val="center"/>
              <w:rPr>
                <w:rFonts w:ascii="Arial" w:hAnsi="Arial" w:cs="Arial"/>
                <w:sz w:val="20"/>
                <w:szCs w:val="20"/>
              </w:rPr>
            </w:pPr>
            <w:r>
              <w:rPr>
                <w:rFonts w:ascii="Arial" w:hAnsi="Arial" w:cs="Arial"/>
                <w:sz w:val="20"/>
                <w:szCs w:val="20"/>
              </w:rPr>
              <w:t>No</w:t>
            </w:r>
          </w:p>
        </w:tc>
        <w:tc>
          <w:tcPr>
            <w:tcW w:w="2970" w:type="dxa"/>
            <w:vAlign w:val="center"/>
          </w:tcPr>
          <w:p w14:paraId="5A05A7CF" w14:textId="35C93454" w:rsidR="0027000D" w:rsidRDefault="0027000D" w:rsidP="0027000D">
            <w:pPr>
              <w:ind w:right="-14"/>
              <w:contextualSpacing/>
              <w:jc w:val="center"/>
              <w:rPr>
                <w:rFonts w:ascii="Arial" w:hAnsi="Arial" w:cs="Arial"/>
                <w:sz w:val="20"/>
                <w:szCs w:val="20"/>
              </w:rPr>
            </w:pPr>
            <w:r>
              <w:rPr>
                <w:rFonts w:ascii="Arial" w:hAnsi="Arial" w:cs="Arial"/>
                <w:sz w:val="20"/>
                <w:szCs w:val="20"/>
              </w:rPr>
              <w:t>n/a</w:t>
            </w:r>
          </w:p>
        </w:tc>
      </w:tr>
    </w:tbl>
    <w:p w14:paraId="6D454562" w14:textId="77777777" w:rsidR="00870C9B" w:rsidRDefault="00870C9B" w:rsidP="00EF1FDB">
      <w:pPr>
        <w:spacing w:line="200" w:lineRule="exact"/>
        <w:ind w:left="-270" w:right="-360"/>
        <w:rPr>
          <w:rFonts w:ascii="Arial" w:hAnsi="Arial" w:cs="Arial"/>
          <w:sz w:val="20"/>
          <w:szCs w:val="20"/>
        </w:rPr>
      </w:pPr>
    </w:p>
    <w:p w14:paraId="6F24BA4E" w14:textId="482AA319" w:rsidR="00EF1FDB" w:rsidRPr="00A60E7C" w:rsidRDefault="00EF1FDB" w:rsidP="003411FE">
      <w:pPr>
        <w:spacing w:line="200" w:lineRule="exact"/>
        <w:ind w:left="-180" w:right="-360" w:hanging="90"/>
        <w:rPr>
          <w:rFonts w:ascii="Arial" w:hAnsi="Arial" w:cs="Arial"/>
          <w:sz w:val="20"/>
          <w:szCs w:val="20"/>
        </w:rPr>
      </w:pPr>
      <w:r w:rsidRPr="00EF1FDB">
        <w:rPr>
          <w:rFonts w:ascii="Arial" w:hAnsi="Arial" w:cs="Arial"/>
          <w:sz w:val="20"/>
          <w:szCs w:val="20"/>
          <w:vertAlign w:val="superscript"/>
        </w:rPr>
        <w:t>1</w:t>
      </w:r>
      <w:r w:rsidRPr="00EF1FDB">
        <w:rPr>
          <w:rFonts w:ascii="Arial" w:hAnsi="Arial" w:cs="Arial"/>
          <w:sz w:val="20"/>
          <w:szCs w:val="20"/>
        </w:rPr>
        <w:t xml:space="preserve"> Session Law 2003-284, Section 11.4A(b) allows additional fees, not to exceed 50% of the original express review permit </w:t>
      </w:r>
      <w:r w:rsidRPr="00A60E7C">
        <w:rPr>
          <w:rFonts w:ascii="Arial" w:hAnsi="Arial" w:cs="Arial"/>
          <w:sz w:val="20"/>
          <w:szCs w:val="20"/>
        </w:rPr>
        <w:t>application fee, to be charged for subsequent reviews due to the insufficiency of the permit application.</w:t>
      </w:r>
    </w:p>
    <w:p w14:paraId="6E22A769" w14:textId="71E05481" w:rsidR="00A60E7C" w:rsidRPr="00A60E7C" w:rsidRDefault="00EF1FDB" w:rsidP="003411FE">
      <w:pPr>
        <w:spacing w:after="0" w:line="200" w:lineRule="exact"/>
        <w:ind w:left="-180" w:right="-360" w:hanging="90"/>
        <w:contextualSpacing/>
        <w:rPr>
          <w:rFonts w:ascii="Arial" w:hAnsi="Arial" w:cs="Arial"/>
          <w:sz w:val="20"/>
          <w:szCs w:val="20"/>
        </w:rPr>
      </w:pPr>
      <w:r w:rsidRPr="00A60E7C">
        <w:rPr>
          <w:rFonts w:ascii="Arial" w:hAnsi="Arial" w:cs="Arial"/>
          <w:sz w:val="20"/>
          <w:szCs w:val="20"/>
          <w:vertAlign w:val="superscript"/>
        </w:rPr>
        <w:t>2</w:t>
      </w:r>
      <w:r w:rsidRPr="00A60E7C">
        <w:rPr>
          <w:rFonts w:ascii="Arial" w:hAnsi="Arial" w:cs="Arial"/>
          <w:sz w:val="20"/>
          <w:szCs w:val="20"/>
        </w:rPr>
        <w:t xml:space="preserve"> </w:t>
      </w:r>
      <w:r w:rsidR="00A60E7C" w:rsidRPr="00A60E7C">
        <w:rPr>
          <w:rFonts w:ascii="Arial" w:hAnsi="Arial" w:cs="Arial"/>
          <w:sz w:val="20"/>
          <w:szCs w:val="20"/>
        </w:rPr>
        <w:t xml:space="preserve">For transfers, name changes, and renewals, see </w:t>
      </w:r>
      <w:hyperlink r:id="rId8" w:history="1">
        <w:r w:rsidR="00A60E7C" w:rsidRPr="00916D0C">
          <w:rPr>
            <w:rStyle w:val="Hyperlink"/>
            <w:rFonts w:ascii="Arial" w:hAnsi="Arial" w:cs="Arial"/>
            <w:sz w:val="20"/>
            <w:szCs w:val="20"/>
          </w:rPr>
          <w:t>the State Stormwater Permit Standard Process Application Fee schedule</w:t>
        </w:r>
      </w:hyperlink>
      <w:r w:rsidR="00A60E7C" w:rsidRPr="00A60E7C">
        <w:rPr>
          <w:rFonts w:ascii="Arial" w:hAnsi="Arial" w:cs="Arial"/>
          <w:sz w:val="20"/>
          <w:szCs w:val="20"/>
        </w:rPr>
        <w:t>.  Please note that expired permits cannot be modified until renewed and returned to an active status.</w:t>
      </w:r>
      <w:r w:rsidR="00A60E7C">
        <w:rPr>
          <w:rFonts w:ascii="Arial" w:hAnsi="Arial" w:cs="Arial"/>
          <w:sz w:val="20"/>
          <w:szCs w:val="20"/>
        </w:rPr>
        <w:t xml:space="preserve">  </w:t>
      </w:r>
      <w:r w:rsidR="00A60E7C" w:rsidRPr="00A60E7C">
        <w:rPr>
          <w:rFonts w:ascii="Arial" w:hAnsi="Arial" w:cs="Arial"/>
          <w:sz w:val="20"/>
          <w:szCs w:val="20"/>
        </w:rPr>
        <w:t>The following projects are not eligible for the express process:</w:t>
      </w:r>
    </w:p>
    <w:p w14:paraId="66CF54BD" w14:textId="291E4A5D" w:rsidR="00A0167F" w:rsidRDefault="00A60E7C" w:rsidP="003411FE">
      <w:pPr>
        <w:pStyle w:val="ListParagraph"/>
        <w:numPr>
          <w:ilvl w:val="0"/>
          <w:numId w:val="17"/>
        </w:numPr>
        <w:spacing w:after="0" w:line="200" w:lineRule="exact"/>
        <w:ind w:right="-360"/>
        <w:rPr>
          <w:rFonts w:ascii="Arial" w:hAnsi="Arial" w:cs="Arial"/>
          <w:sz w:val="20"/>
          <w:szCs w:val="20"/>
        </w:rPr>
      </w:pPr>
      <w:r w:rsidRPr="003411FE">
        <w:rPr>
          <w:rFonts w:ascii="Arial" w:hAnsi="Arial" w:cs="Arial"/>
          <w:sz w:val="20"/>
          <w:szCs w:val="20"/>
        </w:rPr>
        <w:t>High density projects that propose or modify more than five (5) stormwater control measures (SCMs)</w:t>
      </w:r>
      <w:r w:rsidR="00BF1573">
        <w:rPr>
          <w:rFonts w:ascii="Arial" w:hAnsi="Arial" w:cs="Arial"/>
          <w:sz w:val="20"/>
          <w:szCs w:val="20"/>
        </w:rPr>
        <w:t xml:space="preserve">.  Up to three (3) additional SCMs, for a total of eight (8), may be allowed if </w:t>
      </w:r>
      <w:r w:rsidR="00A0167F">
        <w:rPr>
          <w:rFonts w:ascii="Arial" w:hAnsi="Arial" w:cs="Arial"/>
          <w:sz w:val="20"/>
          <w:szCs w:val="20"/>
        </w:rPr>
        <w:t>approved by the stormwater supervisor and/or discussions during the scoping meeting determine the modifications to be minor in nature.</w:t>
      </w:r>
    </w:p>
    <w:p w14:paraId="5C048057" w14:textId="4221E92C" w:rsidR="00A60E7C" w:rsidRPr="003411FE" w:rsidRDefault="00A60E7C" w:rsidP="003411FE">
      <w:pPr>
        <w:pStyle w:val="ListParagraph"/>
        <w:numPr>
          <w:ilvl w:val="0"/>
          <w:numId w:val="17"/>
        </w:numPr>
        <w:spacing w:line="200" w:lineRule="exact"/>
        <w:ind w:right="-360"/>
        <w:rPr>
          <w:rFonts w:ascii="Arial" w:hAnsi="Arial" w:cs="Arial"/>
          <w:sz w:val="20"/>
          <w:szCs w:val="20"/>
        </w:rPr>
      </w:pPr>
      <w:r w:rsidRPr="003411FE">
        <w:rPr>
          <w:rFonts w:ascii="Arial" w:hAnsi="Arial" w:cs="Arial"/>
          <w:sz w:val="20"/>
          <w:szCs w:val="20"/>
        </w:rPr>
        <w:t xml:space="preserve">Projects that impact another permit, overlap another permit, or cause another permit to become out of compliance.  The only exception is when the necessary resolution to the adjacent or impacted permit is also submitted to the express stormwater permitting program and accepted </w:t>
      </w:r>
      <w:r w:rsidRPr="003411FE">
        <w:rPr>
          <w:rFonts w:ascii="Arial" w:hAnsi="Arial" w:cs="Arial"/>
          <w:sz w:val="20"/>
          <w:szCs w:val="20"/>
          <w:u w:val="single"/>
        </w:rPr>
        <w:t>at the same time</w:t>
      </w:r>
      <w:r w:rsidRPr="003411FE">
        <w:rPr>
          <w:rFonts w:ascii="Arial" w:hAnsi="Arial" w:cs="Arial"/>
          <w:sz w:val="20"/>
          <w:szCs w:val="20"/>
        </w:rPr>
        <w:t>.</w:t>
      </w:r>
    </w:p>
    <w:p w14:paraId="4E06EA5C" w14:textId="77777777" w:rsidR="00A60E7C" w:rsidRPr="004C16A9" w:rsidRDefault="00A60E7C" w:rsidP="003411FE">
      <w:pPr>
        <w:pStyle w:val="ListParagraph"/>
        <w:numPr>
          <w:ilvl w:val="0"/>
          <w:numId w:val="17"/>
        </w:numPr>
        <w:spacing w:line="200" w:lineRule="exact"/>
        <w:ind w:right="-360"/>
        <w:rPr>
          <w:rFonts w:ascii="Arial" w:hAnsi="Arial" w:cs="Arial"/>
          <w:sz w:val="20"/>
          <w:szCs w:val="20"/>
        </w:rPr>
      </w:pPr>
      <w:r w:rsidRPr="003411FE">
        <w:rPr>
          <w:rFonts w:ascii="Arial" w:hAnsi="Arial" w:cs="Arial"/>
          <w:sz w:val="20"/>
          <w:szCs w:val="20"/>
        </w:rPr>
        <w:t>Alternative designs. The express program is designed for those projects that meet all established rules, policy and guidance.  Projects that propose alternatives to these established requirements require additional review time that cannot be met under the timelines established for the express stormwater permitting program.</w:t>
      </w:r>
    </w:p>
    <w:p w14:paraId="6AFD537D" w14:textId="2A38544D" w:rsidR="00A60E7C" w:rsidRPr="004C16A9" w:rsidRDefault="00A60E7C" w:rsidP="003411FE">
      <w:pPr>
        <w:pStyle w:val="ListParagraph"/>
        <w:numPr>
          <w:ilvl w:val="0"/>
          <w:numId w:val="17"/>
        </w:numPr>
        <w:spacing w:line="200" w:lineRule="exact"/>
        <w:ind w:right="-360"/>
        <w:rPr>
          <w:rFonts w:ascii="Arial" w:hAnsi="Arial" w:cs="Arial"/>
          <w:sz w:val="20"/>
          <w:szCs w:val="20"/>
        </w:rPr>
      </w:pPr>
      <w:r w:rsidRPr="004C16A9">
        <w:rPr>
          <w:rFonts w:ascii="Arial" w:hAnsi="Arial" w:cs="Arial"/>
          <w:sz w:val="20"/>
          <w:szCs w:val="20"/>
        </w:rPr>
        <w:t>Projects with compliance issues where the issues will not be resolved by the proposed permitting action.</w:t>
      </w:r>
    </w:p>
    <w:p w14:paraId="4C9E4C34" w14:textId="215C350C" w:rsidR="004F7194" w:rsidRPr="004C16A9" w:rsidRDefault="00A0167F" w:rsidP="003411FE">
      <w:pPr>
        <w:spacing w:line="200" w:lineRule="exact"/>
        <w:ind w:left="-180" w:right="-360" w:hanging="90"/>
        <w:rPr>
          <w:rFonts w:ascii="Arial" w:hAnsi="Arial" w:cs="Arial"/>
          <w:sz w:val="20"/>
          <w:szCs w:val="20"/>
        </w:rPr>
      </w:pPr>
      <w:r w:rsidRPr="004C16A9">
        <w:rPr>
          <w:rFonts w:ascii="Arial" w:hAnsi="Arial" w:cs="Arial"/>
          <w:sz w:val="20"/>
          <w:szCs w:val="20"/>
          <w:vertAlign w:val="superscript"/>
        </w:rPr>
        <w:t>3</w:t>
      </w:r>
      <w:r w:rsidR="00EF1FDB" w:rsidRPr="004C16A9">
        <w:rPr>
          <w:rFonts w:ascii="Arial" w:hAnsi="Arial" w:cs="Arial"/>
          <w:sz w:val="20"/>
          <w:szCs w:val="20"/>
        </w:rPr>
        <w:t xml:space="preserve"> Please refer to the </w:t>
      </w:r>
      <w:hyperlink r:id="rId9" w:history="1">
        <w:r w:rsidR="00EF1FDB" w:rsidRPr="0056046A">
          <w:rPr>
            <w:rStyle w:val="Hyperlink"/>
            <w:rFonts w:ascii="Arial" w:hAnsi="Arial" w:cs="Arial"/>
            <w:sz w:val="20"/>
            <w:szCs w:val="20"/>
          </w:rPr>
          <w:t xml:space="preserve">Express Permitting </w:t>
        </w:r>
        <w:r w:rsidR="0056046A" w:rsidRPr="0056046A">
          <w:rPr>
            <w:rStyle w:val="Hyperlink"/>
            <w:rFonts w:ascii="Arial" w:hAnsi="Arial" w:cs="Arial"/>
            <w:sz w:val="20"/>
            <w:szCs w:val="20"/>
          </w:rPr>
          <w:t>Program</w:t>
        </w:r>
      </w:hyperlink>
      <w:r w:rsidR="0056046A">
        <w:rPr>
          <w:rFonts w:ascii="Arial" w:hAnsi="Arial" w:cs="Arial"/>
          <w:sz w:val="20"/>
          <w:szCs w:val="20"/>
        </w:rPr>
        <w:t xml:space="preserve"> and the Express coordinators regarding the option to bundle express fees when more than one type of express permit application is submitted at the same time</w:t>
      </w:r>
      <w:bookmarkStart w:id="0" w:name="_GoBack"/>
      <w:bookmarkEnd w:id="0"/>
      <w:r w:rsidR="00EF1FDB" w:rsidRPr="004C16A9">
        <w:rPr>
          <w:rFonts w:ascii="Arial" w:hAnsi="Arial" w:cs="Arial"/>
          <w:sz w:val="20"/>
          <w:szCs w:val="20"/>
        </w:rPr>
        <w:t>.</w:t>
      </w:r>
    </w:p>
    <w:p w14:paraId="281FE6E2" w14:textId="77777777" w:rsidR="004C16A9" w:rsidRDefault="004C16A9" w:rsidP="004C16A9">
      <w:pPr>
        <w:spacing w:after="0" w:line="220" w:lineRule="exact"/>
        <w:ind w:left="-274" w:right="-360"/>
        <w:rPr>
          <w:rFonts w:ascii="Arial" w:hAnsi="Arial" w:cs="Arial"/>
          <w:b/>
          <w:i/>
          <w:u w:val="single"/>
        </w:rPr>
      </w:pPr>
    </w:p>
    <w:p w14:paraId="0B8A2B84" w14:textId="0579AE49" w:rsidR="00EF1FDB" w:rsidRPr="004C16A9" w:rsidRDefault="004C16A9" w:rsidP="008D2771">
      <w:pPr>
        <w:spacing w:after="0" w:line="220" w:lineRule="exact"/>
        <w:ind w:left="-274" w:right="-360"/>
        <w:rPr>
          <w:rFonts w:ascii="Arial" w:hAnsi="Arial" w:cs="Arial"/>
          <w:b/>
          <w:i/>
          <w:u w:val="single"/>
        </w:rPr>
      </w:pPr>
      <w:r w:rsidRPr="004C16A9">
        <w:rPr>
          <w:rFonts w:ascii="Arial" w:hAnsi="Arial" w:cs="Arial"/>
          <w:b/>
          <w:i/>
          <w:u w:val="single"/>
        </w:rPr>
        <w:t>Definitions</w:t>
      </w:r>
    </w:p>
    <w:p w14:paraId="023F8B98" w14:textId="0936849D" w:rsidR="00526352" w:rsidRPr="004C16A9" w:rsidRDefault="00016F78" w:rsidP="008D2771">
      <w:pPr>
        <w:spacing w:line="220" w:lineRule="exact"/>
        <w:ind w:left="-274" w:right="-360"/>
        <w:rPr>
          <w:rFonts w:ascii="Arial" w:hAnsi="Arial" w:cs="Arial"/>
        </w:rPr>
      </w:pPr>
      <w:r w:rsidRPr="004C16A9">
        <w:rPr>
          <w:rFonts w:ascii="Arial" w:hAnsi="Arial" w:cs="Arial"/>
          <w:b/>
          <w:i/>
        </w:rPr>
        <w:t>New permit</w:t>
      </w:r>
      <w:r w:rsidRPr="004C16A9">
        <w:rPr>
          <w:rFonts w:ascii="Arial" w:hAnsi="Arial" w:cs="Arial"/>
        </w:rPr>
        <w:t xml:space="preserve"> means </w:t>
      </w:r>
      <w:r w:rsidR="007A7453" w:rsidRPr="004C16A9">
        <w:rPr>
          <w:rFonts w:ascii="Arial" w:hAnsi="Arial" w:cs="Arial"/>
        </w:rPr>
        <w:t>issuing</w:t>
      </w:r>
      <w:r w:rsidRPr="004C16A9">
        <w:rPr>
          <w:rFonts w:ascii="Arial" w:hAnsi="Arial" w:cs="Arial"/>
        </w:rPr>
        <w:t xml:space="preserve"> a permit for a project that has never received a stormwater permit </w:t>
      </w:r>
      <w:r w:rsidR="001A5602" w:rsidRPr="004C16A9">
        <w:rPr>
          <w:rFonts w:ascii="Arial" w:hAnsi="Arial" w:cs="Arial"/>
        </w:rPr>
        <w:t xml:space="preserve">or </w:t>
      </w:r>
      <w:r w:rsidR="004E4118" w:rsidRPr="004C16A9">
        <w:rPr>
          <w:rFonts w:ascii="Arial" w:hAnsi="Arial" w:cs="Arial"/>
        </w:rPr>
        <w:t>for which a previously-issued permit cannot be renewed</w:t>
      </w:r>
      <w:r w:rsidR="00526352" w:rsidRPr="004C16A9">
        <w:rPr>
          <w:rFonts w:ascii="Arial" w:hAnsi="Arial" w:cs="Arial"/>
        </w:rPr>
        <w:t>.</w:t>
      </w:r>
      <w:r w:rsidR="002C1627" w:rsidRPr="004C16A9">
        <w:rPr>
          <w:rFonts w:ascii="Arial" w:hAnsi="Arial" w:cs="Arial"/>
        </w:rPr>
        <w:t xml:space="preserve">  </w:t>
      </w:r>
      <w:r w:rsidR="00867C25" w:rsidRPr="004C16A9">
        <w:rPr>
          <w:rFonts w:ascii="Arial" w:hAnsi="Arial" w:cs="Arial"/>
        </w:rPr>
        <w:t>In order to issue a new permit, DEQ staff conduct</w:t>
      </w:r>
      <w:r w:rsidR="002C1627" w:rsidRPr="004C16A9">
        <w:rPr>
          <w:rFonts w:ascii="Arial" w:hAnsi="Arial" w:cs="Arial"/>
        </w:rPr>
        <w:t xml:space="preserve"> a technical review of plans and calculations.</w:t>
      </w:r>
    </w:p>
    <w:p w14:paraId="179D8666" w14:textId="06A4E7C8" w:rsidR="002C1627" w:rsidRPr="004C16A9" w:rsidRDefault="00526352" w:rsidP="008D2771">
      <w:pPr>
        <w:pStyle w:val="FootnoteText"/>
        <w:keepNext/>
        <w:keepLines/>
        <w:spacing w:after="160" w:line="220" w:lineRule="exact"/>
        <w:ind w:left="-274" w:right="-360"/>
        <w:rPr>
          <w:rFonts w:ascii="Arial" w:hAnsi="Arial" w:cs="Arial"/>
          <w:sz w:val="22"/>
          <w:szCs w:val="22"/>
        </w:rPr>
      </w:pPr>
      <w:r w:rsidRPr="004C16A9">
        <w:rPr>
          <w:rFonts w:ascii="Arial" w:hAnsi="Arial" w:cs="Arial"/>
          <w:b/>
          <w:i/>
          <w:sz w:val="22"/>
          <w:szCs w:val="22"/>
        </w:rPr>
        <w:lastRenderedPageBreak/>
        <w:t>M</w:t>
      </w:r>
      <w:r w:rsidR="000F1A8D" w:rsidRPr="004C16A9">
        <w:rPr>
          <w:rFonts w:ascii="Arial" w:hAnsi="Arial" w:cs="Arial"/>
          <w:b/>
          <w:i/>
          <w:sz w:val="22"/>
          <w:szCs w:val="22"/>
        </w:rPr>
        <w:t>ajor modification</w:t>
      </w:r>
      <w:r w:rsidR="000F1A8D" w:rsidRPr="004C16A9">
        <w:rPr>
          <w:rFonts w:ascii="Arial" w:hAnsi="Arial" w:cs="Arial"/>
          <w:sz w:val="22"/>
          <w:szCs w:val="22"/>
        </w:rPr>
        <w:t xml:space="preserve"> means </w:t>
      </w:r>
      <w:r w:rsidR="007A7453" w:rsidRPr="004C16A9">
        <w:rPr>
          <w:rFonts w:ascii="Arial" w:hAnsi="Arial" w:cs="Arial"/>
          <w:sz w:val="22"/>
          <w:szCs w:val="22"/>
        </w:rPr>
        <w:t>issuing</w:t>
      </w:r>
      <w:r w:rsidRPr="004C16A9">
        <w:rPr>
          <w:rFonts w:ascii="Arial" w:hAnsi="Arial" w:cs="Arial"/>
          <w:sz w:val="22"/>
          <w:szCs w:val="22"/>
        </w:rPr>
        <w:t xml:space="preserve"> a permit for a currently-permitted project that has </w:t>
      </w:r>
      <w:r w:rsidR="000F1A8D" w:rsidRPr="004C16A9">
        <w:rPr>
          <w:rFonts w:ascii="Arial" w:hAnsi="Arial" w:cs="Arial"/>
          <w:sz w:val="22"/>
          <w:szCs w:val="22"/>
        </w:rPr>
        <w:t>an increase in the BUA, a change in the SCM design, or any other change that does not meet the definition of “minor modification.”</w:t>
      </w:r>
      <w:r w:rsidRPr="004C16A9">
        <w:rPr>
          <w:rFonts w:ascii="Arial" w:hAnsi="Arial" w:cs="Arial"/>
          <w:sz w:val="22"/>
          <w:szCs w:val="22"/>
        </w:rPr>
        <w:t xml:space="preserve">  </w:t>
      </w:r>
      <w:r w:rsidR="00867C25" w:rsidRPr="004C16A9">
        <w:rPr>
          <w:rFonts w:ascii="Arial" w:hAnsi="Arial" w:cs="Arial"/>
          <w:sz w:val="22"/>
          <w:szCs w:val="22"/>
        </w:rPr>
        <w:t>In order to issue a m</w:t>
      </w:r>
      <w:r w:rsidR="002C1627" w:rsidRPr="004C16A9">
        <w:rPr>
          <w:rFonts w:ascii="Arial" w:hAnsi="Arial" w:cs="Arial"/>
          <w:sz w:val="22"/>
          <w:szCs w:val="22"/>
        </w:rPr>
        <w:t xml:space="preserve">ajor </w:t>
      </w:r>
      <w:r w:rsidR="00867C25" w:rsidRPr="004C16A9">
        <w:rPr>
          <w:rFonts w:ascii="Arial" w:hAnsi="Arial" w:cs="Arial"/>
          <w:sz w:val="22"/>
          <w:szCs w:val="22"/>
        </w:rPr>
        <w:t>modification, DEQ staff conduct</w:t>
      </w:r>
      <w:r w:rsidR="002C1627" w:rsidRPr="004C16A9">
        <w:rPr>
          <w:rFonts w:ascii="Arial" w:hAnsi="Arial" w:cs="Arial"/>
          <w:sz w:val="22"/>
          <w:szCs w:val="22"/>
        </w:rPr>
        <w:t xml:space="preserve"> </w:t>
      </w:r>
      <w:r w:rsidRPr="004C16A9">
        <w:rPr>
          <w:rFonts w:ascii="Arial" w:hAnsi="Arial" w:cs="Arial"/>
          <w:sz w:val="22"/>
          <w:szCs w:val="22"/>
        </w:rPr>
        <w:t xml:space="preserve">a </w:t>
      </w:r>
      <w:r w:rsidR="007A7453" w:rsidRPr="004C16A9">
        <w:rPr>
          <w:rFonts w:ascii="Arial" w:hAnsi="Arial" w:cs="Arial"/>
          <w:sz w:val="22"/>
          <w:szCs w:val="22"/>
        </w:rPr>
        <w:t xml:space="preserve">technical </w:t>
      </w:r>
      <w:r w:rsidRPr="004C16A9">
        <w:rPr>
          <w:rFonts w:ascii="Arial" w:hAnsi="Arial" w:cs="Arial"/>
          <w:sz w:val="22"/>
          <w:szCs w:val="22"/>
        </w:rPr>
        <w:t xml:space="preserve">review of </w:t>
      </w:r>
      <w:r w:rsidR="007A7453" w:rsidRPr="004C16A9">
        <w:rPr>
          <w:rFonts w:ascii="Arial" w:hAnsi="Arial" w:cs="Arial"/>
          <w:sz w:val="22"/>
          <w:szCs w:val="22"/>
        </w:rPr>
        <w:t>plans and calculations</w:t>
      </w:r>
      <w:r w:rsidRPr="004C16A9">
        <w:rPr>
          <w:rFonts w:ascii="Arial" w:hAnsi="Arial" w:cs="Arial"/>
          <w:sz w:val="22"/>
          <w:szCs w:val="22"/>
        </w:rPr>
        <w:t>.</w:t>
      </w:r>
    </w:p>
    <w:p w14:paraId="0464A9C0" w14:textId="33E90F3A" w:rsidR="002C1627" w:rsidRPr="004C16A9" w:rsidRDefault="00526352" w:rsidP="008D2771">
      <w:pPr>
        <w:pStyle w:val="FootnoteText"/>
        <w:spacing w:after="160" w:line="220" w:lineRule="exact"/>
        <w:ind w:left="-274" w:right="-360"/>
        <w:rPr>
          <w:rFonts w:ascii="Arial" w:hAnsi="Arial" w:cs="Arial"/>
          <w:sz w:val="22"/>
          <w:szCs w:val="22"/>
        </w:rPr>
      </w:pPr>
      <w:r w:rsidRPr="004C16A9">
        <w:rPr>
          <w:rFonts w:ascii="Arial" w:hAnsi="Arial" w:cs="Arial"/>
          <w:b/>
          <w:i/>
          <w:sz w:val="22"/>
          <w:szCs w:val="22"/>
        </w:rPr>
        <w:t>M</w:t>
      </w:r>
      <w:r w:rsidR="000F1A8D" w:rsidRPr="004C16A9">
        <w:rPr>
          <w:rFonts w:ascii="Arial" w:hAnsi="Arial" w:cs="Arial"/>
          <w:b/>
          <w:i/>
          <w:sz w:val="22"/>
          <w:szCs w:val="22"/>
        </w:rPr>
        <w:t>inor modification</w:t>
      </w:r>
      <w:r w:rsidR="000F1A8D" w:rsidRPr="004C16A9">
        <w:rPr>
          <w:rFonts w:ascii="Arial" w:hAnsi="Arial" w:cs="Arial"/>
          <w:sz w:val="22"/>
          <w:szCs w:val="22"/>
        </w:rPr>
        <w:t xml:space="preserve"> means </w:t>
      </w:r>
      <w:r w:rsidRPr="004C16A9">
        <w:rPr>
          <w:rFonts w:ascii="Arial" w:hAnsi="Arial" w:cs="Arial"/>
          <w:sz w:val="22"/>
          <w:szCs w:val="22"/>
        </w:rPr>
        <w:t xml:space="preserve">the approval of </w:t>
      </w:r>
      <w:r w:rsidR="000F1A8D" w:rsidRPr="004C16A9">
        <w:rPr>
          <w:rFonts w:ascii="Arial" w:hAnsi="Arial" w:cs="Arial"/>
          <w:sz w:val="22"/>
          <w:szCs w:val="22"/>
        </w:rPr>
        <w:t>a change of the state stormwater permit that neither increases the BUA nor changes the SCM design.  An example of a minor modification is relocating BUA without a net increase in BUA.  In the past, minor modifications have been called “plan revisions.”</w:t>
      </w:r>
    </w:p>
    <w:p w14:paraId="0F4F9157" w14:textId="77777777" w:rsidR="0055797B" w:rsidRPr="0055797B" w:rsidRDefault="0055797B" w:rsidP="0055797B">
      <w:pPr>
        <w:pStyle w:val="FootnoteText"/>
        <w:spacing w:after="120" w:line="220" w:lineRule="exact"/>
        <w:ind w:left="-274" w:right="-360"/>
        <w:rPr>
          <w:rFonts w:ascii="Arial" w:hAnsi="Arial" w:cs="Arial"/>
          <w:sz w:val="22"/>
        </w:rPr>
      </w:pPr>
      <w:r w:rsidRPr="00F92043">
        <w:rPr>
          <w:rFonts w:ascii="Arial" w:hAnsi="Arial" w:cs="Arial"/>
          <w:b/>
          <w:i/>
          <w:sz w:val="22"/>
        </w:rPr>
        <w:t>Rescission</w:t>
      </w:r>
      <w:r>
        <w:rPr>
          <w:rFonts w:ascii="Arial" w:hAnsi="Arial" w:cs="Arial"/>
          <w:b/>
          <w:i/>
          <w:sz w:val="22"/>
        </w:rPr>
        <w:t xml:space="preserve"> Request</w:t>
      </w:r>
      <w:r w:rsidRPr="00E85F03">
        <w:rPr>
          <w:rFonts w:ascii="Arial" w:hAnsi="Arial" w:cs="Arial"/>
          <w:sz w:val="22"/>
        </w:rPr>
        <w:t xml:space="preserve"> means the termination of a permit upon request by the permittee.  Before a permit can be rescinded, DEQ stormwater staff review the project to determine if rescission is allowable.  </w:t>
      </w:r>
    </w:p>
    <w:p w14:paraId="0E82F91C" w14:textId="1B5FDB7D" w:rsidR="0055797B" w:rsidRPr="0055797B" w:rsidRDefault="0055797B" w:rsidP="008D2771">
      <w:pPr>
        <w:spacing w:line="220" w:lineRule="exact"/>
        <w:ind w:left="-274" w:right="-360"/>
        <w:rPr>
          <w:rFonts w:ascii="Arial" w:hAnsi="Arial" w:cs="Arial"/>
        </w:rPr>
      </w:pPr>
      <w:r>
        <w:rPr>
          <w:rFonts w:ascii="Arial" w:hAnsi="Arial" w:cs="Arial"/>
          <w:b/>
          <w:i/>
        </w:rPr>
        <w:t>High Density</w:t>
      </w:r>
      <w:r>
        <w:rPr>
          <w:rFonts w:ascii="Arial" w:hAnsi="Arial" w:cs="Arial"/>
        </w:rPr>
        <w:t xml:space="preserve"> means a project that does not conform the low density design requirements outlined in Title 15A NCAC 02H.1003(2) and proposes at least one stormwater control measure.</w:t>
      </w:r>
    </w:p>
    <w:p w14:paraId="76AA4B09" w14:textId="0FEB8E16" w:rsidR="0055797B" w:rsidRPr="0055797B" w:rsidRDefault="0055797B" w:rsidP="008D2771">
      <w:pPr>
        <w:spacing w:line="220" w:lineRule="exact"/>
        <w:ind w:left="-274" w:right="-360"/>
        <w:rPr>
          <w:rFonts w:ascii="Arial" w:hAnsi="Arial" w:cs="Arial"/>
        </w:rPr>
      </w:pPr>
      <w:r>
        <w:rPr>
          <w:rFonts w:ascii="Arial" w:hAnsi="Arial" w:cs="Arial"/>
          <w:b/>
          <w:i/>
        </w:rPr>
        <w:t>Low Density</w:t>
      </w:r>
      <w:r>
        <w:rPr>
          <w:rFonts w:ascii="Arial" w:hAnsi="Arial" w:cs="Arial"/>
        </w:rPr>
        <w:t xml:space="preserve"> means a project that meets the design requirements outlined Title 15A NCAC 02H.1002(2).</w:t>
      </w:r>
    </w:p>
    <w:p w14:paraId="215FEAC0" w14:textId="451F9A63" w:rsidR="0055797B" w:rsidRPr="0055797B" w:rsidRDefault="0055797B" w:rsidP="008D2771">
      <w:pPr>
        <w:spacing w:line="220" w:lineRule="exact"/>
        <w:ind w:left="-274" w:right="-360"/>
        <w:rPr>
          <w:rFonts w:ascii="Arial" w:hAnsi="Arial" w:cs="Arial"/>
        </w:rPr>
      </w:pPr>
      <w:r>
        <w:rPr>
          <w:rFonts w:ascii="Arial" w:hAnsi="Arial" w:cs="Arial"/>
          <w:b/>
          <w:i/>
        </w:rPr>
        <w:t xml:space="preserve">Offsite </w:t>
      </w:r>
      <w:r>
        <w:rPr>
          <w:rFonts w:ascii="Arial" w:hAnsi="Arial" w:cs="Arial"/>
        </w:rPr>
        <w:t>means a project that controls runoff through a permitted off-site stormwater system.</w:t>
      </w:r>
    </w:p>
    <w:p w14:paraId="2C1C9E53" w14:textId="77777777" w:rsidR="00F61F46" w:rsidRDefault="004C16A9" w:rsidP="00F61F46">
      <w:pPr>
        <w:spacing w:line="220" w:lineRule="exact"/>
        <w:ind w:left="-274" w:right="-360"/>
        <w:rPr>
          <w:rFonts w:ascii="Arial" w:hAnsi="Arial" w:cs="Arial"/>
        </w:rPr>
      </w:pPr>
      <w:r w:rsidRPr="004C16A9">
        <w:rPr>
          <w:rFonts w:ascii="Arial" w:hAnsi="Arial" w:cs="Arial"/>
          <w:b/>
          <w:i/>
        </w:rPr>
        <w:t xml:space="preserve">General Permit </w:t>
      </w:r>
      <w:r w:rsidR="00F61F46" w:rsidRPr="00737F3D">
        <w:rPr>
          <w:rFonts w:ascii="Arial" w:hAnsi="Arial" w:cs="Arial"/>
        </w:rPr>
        <w:t>means a permit issued by the Director for categories of activities that involve the same or similar operations.  There are five general permits for State Stormwater: SWG-01 Single Family; SWG-02 Bulkheads &amp; Boat Ramps; SWG-03 Clearing &amp; Grading; SWG-04 Linear Utility Projects; and SWG-05 Residential Development less than 1 acre.</w:t>
      </w:r>
    </w:p>
    <w:p w14:paraId="42D73433" w14:textId="353E24F5" w:rsidR="004C16A9" w:rsidRPr="004C16A9" w:rsidRDefault="004C16A9" w:rsidP="00F61F46">
      <w:pPr>
        <w:spacing w:line="220" w:lineRule="exact"/>
        <w:ind w:left="-274" w:right="-360"/>
        <w:rPr>
          <w:rFonts w:ascii="Arial" w:hAnsi="Arial" w:cs="Arial"/>
        </w:rPr>
      </w:pPr>
      <w:r w:rsidRPr="004C16A9">
        <w:rPr>
          <w:rFonts w:ascii="Arial" w:hAnsi="Arial" w:cs="Arial"/>
          <w:b/>
          <w:i/>
        </w:rPr>
        <w:t>Redevelopment Exclusion</w:t>
      </w:r>
      <w:r w:rsidRPr="004C16A9">
        <w:rPr>
          <w:rFonts w:ascii="Arial" w:hAnsi="Arial" w:cs="Arial"/>
        </w:rPr>
        <w:t xml:space="preserve"> means a written approval to exclude the project from obtaining a stormwater permit is given to the applicant if documentation is provided to DEMLR that shows that the new project proposes no net increase in built-upon area AND stormwater control on the site is equal to (or better) than the previous development.</w:t>
      </w:r>
    </w:p>
    <w:p w14:paraId="54FA67C3" w14:textId="77777777" w:rsidR="004C16A9" w:rsidRPr="004C16A9" w:rsidRDefault="004C16A9" w:rsidP="008D2771">
      <w:pPr>
        <w:pStyle w:val="FootnoteText"/>
        <w:spacing w:after="120" w:line="220" w:lineRule="exact"/>
        <w:ind w:left="-274" w:right="-360"/>
        <w:rPr>
          <w:rFonts w:ascii="Arial" w:hAnsi="Arial" w:cs="Arial"/>
          <w:sz w:val="22"/>
          <w:szCs w:val="22"/>
        </w:rPr>
      </w:pPr>
      <w:r w:rsidRPr="004C16A9">
        <w:rPr>
          <w:rFonts w:ascii="Arial" w:hAnsi="Arial" w:cs="Arial"/>
          <w:b/>
          <w:i/>
          <w:sz w:val="22"/>
          <w:szCs w:val="22"/>
        </w:rPr>
        <w:t xml:space="preserve">Exemption </w:t>
      </w:r>
      <w:r w:rsidRPr="004C16A9">
        <w:rPr>
          <w:rFonts w:ascii="Arial" w:hAnsi="Arial" w:cs="Arial"/>
          <w:sz w:val="22"/>
          <w:szCs w:val="22"/>
        </w:rPr>
        <w:t>means a written approval to exempt the project from obtaining a stormwater permit is given to the applicant for a project that requires an Erosion Control or CAMA Major permit if documentation is provided to DEMLR that no BUA is proposed to be constructed on the project site.</w:t>
      </w:r>
    </w:p>
    <w:p w14:paraId="1D3CDE52" w14:textId="77777777" w:rsidR="0055797B" w:rsidRPr="0055797B" w:rsidRDefault="0055797B">
      <w:pPr>
        <w:pStyle w:val="FootnoteText"/>
        <w:spacing w:after="120" w:line="220" w:lineRule="exact"/>
        <w:ind w:left="-274" w:right="-360"/>
        <w:rPr>
          <w:rFonts w:ascii="Arial" w:hAnsi="Arial" w:cs="Arial"/>
          <w:sz w:val="22"/>
        </w:rPr>
      </w:pPr>
    </w:p>
    <w:sectPr w:rsidR="0055797B" w:rsidRPr="0055797B" w:rsidSect="003411FE">
      <w:pgSz w:w="12240" w:h="15840"/>
      <w:pgMar w:top="864" w:right="1440"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F0AEB" w14:textId="77777777" w:rsidR="00404596" w:rsidRDefault="00404596" w:rsidP="00674D08">
      <w:pPr>
        <w:spacing w:after="0" w:line="240" w:lineRule="auto"/>
      </w:pPr>
      <w:r>
        <w:separator/>
      </w:r>
    </w:p>
  </w:endnote>
  <w:endnote w:type="continuationSeparator" w:id="0">
    <w:p w14:paraId="455C6235" w14:textId="77777777" w:rsidR="00404596" w:rsidRDefault="00404596" w:rsidP="0067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A63E2" w14:textId="77777777" w:rsidR="00404596" w:rsidRDefault="00404596" w:rsidP="00674D08">
      <w:pPr>
        <w:spacing w:after="0" w:line="240" w:lineRule="auto"/>
      </w:pPr>
      <w:r>
        <w:separator/>
      </w:r>
    </w:p>
  </w:footnote>
  <w:footnote w:type="continuationSeparator" w:id="0">
    <w:p w14:paraId="1E911183" w14:textId="77777777" w:rsidR="00404596" w:rsidRDefault="00404596" w:rsidP="0067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776"/>
    <w:multiLevelType w:val="hybridMultilevel"/>
    <w:tmpl w:val="71E003E8"/>
    <w:lvl w:ilvl="0" w:tplc="AB7E8F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5E02"/>
    <w:multiLevelType w:val="hybridMultilevel"/>
    <w:tmpl w:val="99442C1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17558AF"/>
    <w:multiLevelType w:val="hybridMultilevel"/>
    <w:tmpl w:val="16A86A6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146924DD"/>
    <w:multiLevelType w:val="hybridMultilevel"/>
    <w:tmpl w:val="DD7EA5A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C1D304A"/>
    <w:multiLevelType w:val="hybridMultilevel"/>
    <w:tmpl w:val="6A4C4AAA"/>
    <w:lvl w:ilvl="0" w:tplc="3036FF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7362FF"/>
    <w:multiLevelType w:val="hybridMultilevel"/>
    <w:tmpl w:val="588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B2B26"/>
    <w:multiLevelType w:val="hybridMultilevel"/>
    <w:tmpl w:val="FD5C5744"/>
    <w:lvl w:ilvl="0" w:tplc="04090013">
      <w:start w:val="1"/>
      <w:numFmt w:val="upp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D574240"/>
    <w:multiLevelType w:val="hybridMultilevel"/>
    <w:tmpl w:val="9FC0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00EC8"/>
    <w:multiLevelType w:val="hybridMultilevel"/>
    <w:tmpl w:val="9588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E718A"/>
    <w:multiLevelType w:val="hybridMultilevel"/>
    <w:tmpl w:val="05F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82D4E"/>
    <w:multiLevelType w:val="hybridMultilevel"/>
    <w:tmpl w:val="1BC81ED8"/>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5E2698C"/>
    <w:multiLevelType w:val="hybridMultilevel"/>
    <w:tmpl w:val="3CE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12DB0"/>
    <w:multiLevelType w:val="hybridMultilevel"/>
    <w:tmpl w:val="0FA692DE"/>
    <w:lvl w:ilvl="0" w:tplc="4B6CFF9E">
      <w:start w:val="1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539AA"/>
    <w:multiLevelType w:val="hybridMultilevel"/>
    <w:tmpl w:val="F5DEDB32"/>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2EF13EF"/>
    <w:multiLevelType w:val="hybridMultilevel"/>
    <w:tmpl w:val="C9B2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E15"/>
    <w:multiLevelType w:val="hybridMultilevel"/>
    <w:tmpl w:val="1BC81ED8"/>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7"/>
  </w:num>
  <w:num w:numId="3">
    <w:abstractNumId w:val="5"/>
  </w:num>
  <w:num w:numId="4">
    <w:abstractNumId w:val="2"/>
  </w:num>
  <w:num w:numId="5">
    <w:abstractNumId w:val="8"/>
  </w:num>
  <w:num w:numId="6">
    <w:abstractNumId w:val="12"/>
  </w:num>
  <w:num w:numId="7">
    <w:abstractNumId w:val="9"/>
  </w:num>
  <w:num w:numId="8">
    <w:abstractNumId w:val="0"/>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5"/>
  </w:num>
  <w:num w:numId="14">
    <w:abstractNumId w:val="10"/>
  </w:num>
  <w:num w:numId="15">
    <w:abstractNumId w:val="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81"/>
    <w:rsid w:val="00010CE9"/>
    <w:rsid w:val="000143EA"/>
    <w:rsid w:val="00014ED7"/>
    <w:rsid w:val="00016F78"/>
    <w:rsid w:val="000235E1"/>
    <w:rsid w:val="000251ED"/>
    <w:rsid w:val="00026936"/>
    <w:rsid w:val="00034FC7"/>
    <w:rsid w:val="00036AE8"/>
    <w:rsid w:val="00052354"/>
    <w:rsid w:val="00052521"/>
    <w:rsid w:val="00066480"/>
    <w:rsid w:val="0008425F"/>
    <w:rsid w:val="00092350"/>
    <w:rsid w:val="000A3681"/>
    <w:rsid w:val="000C461E"/>
    <w:rsid w:val="000E0E4A"/>
    <w:rsid w:val="000F1A8D"/>
    <w:rsid w:val="000F2E55"/>
    <w:rsid w:val="0011115E"/>
    <w:rsid w:val="001404AA"/>
    <w:rsid w:val="00156069"/>
    <w:rsid w:val="00163980"/>
    <w:rsid w:val="001A5602"/>
    <w:rsid w:val="001A6BFB"/>
    <w:rsid w:val="001D1DAD"/>
    <w:rsid w:val="001D72BF"/>
    <w:rsid w:val="001E3590"/>
    <w:rsid w:val="001F081D"/>
    <w:rsid w:val="0027000D"/>
    <w:rsid w:val="00277AE4"/>
    <w:rsid w:val="00280119"/>
    <w:rsid w:val="002935B0"/>
    <w:rsid w:val="002956CD"/>
    <w:rsid w:val="002C1627"/>
    <w:rsid w:val="002D7ED4"/>
    <w:rsid w:val="00313764"/>
    <w:rsid w:val="00320C28"/>
    <w:rsid w:val="0032381D"/>
    <w:rsid w:val="003411FE"/>
    <w:rsid w:val="00397FFE"/>
    <w:rsid w:val="003A0A5B"/>
    <w:rsid w:val="003D4881"/>
    <w:rsid w:val="00404596"/>
    <w:rsid w:val="004055D6"/>
    <w:rsid w:val="00424942"/>
    <w:rsid w:val="00444DAB"/>
    <w:rsid w:val="00450203"/>
    <w:rsid w:val="004602F8"/>
    <w:rsid w:val="0047216A"/>
    <w:rsid w:val="0047585F"/>
    <w:rsid w:val="004A5961"/>
    <w:rsid w:val="004B4996"/>
    <w:rsid w:val="004C16A9"/>
    <w:rsid w:val="004C439E"/>
    <w:rsid w:val="004D3D53"/>
    <w:rsid w:val="004E3A8A"/>
    <w:rsid w:val="004E4118"/>
    <w:rsid w:val="004F7194"/>
    <w:rsid w:val="00507EEE"/>
    <w:rsid w:val="005128FE"/>
    <w:rsid w:val="00526352"/>
    <w:rsid w:val="00531F7F"/>
    <w:rsid w:val="00543E5E"/>
    <w:rsid w:val="00555B9E"/>
    <w:rsid w:val="0055797B"/>
    <w:rsid w:val="0056046A"/>
    <w:rsid w:val="005806B9"/>
    <w:rsid w:val="00596B36"/>
    <w:rsid w:val="005A36D5"/>
    <w:rsid w:val="005B31C2"/>
    <w:rsid w:val="005C3BDF"/>
    <w:rsid w:val="005C779C"/>
    <w:rsid w:val="005D0409"/>
    <w:rsid w:val="00614975"/>
    <w:rsid w:val="00614978"/>
    <w:rsid w:val="006255DC"/>
    <w:rsid w:val="00636075"/>
    <w:rsid w:val="00643CE2"/>
    <w:rsid w:val="00645396"/>
    <w:rsid w:val="00674D08"/>
    <w:rsid w:val="00696369"/>
    <w:rsid w:val="007724AD"/>
    <w:rsid w:val="00774028"/>
    <w:rsid w:val="007A7453"/>
    <w:rsid w:val="007C6BED"/>
    <w:rsid w:val="007E5DC4"/>
    <w:rsid w:val="00821EF3"/>
    <w:rsid w:val="00837B61"/>
    <w:rsid w:val="00850222"/>
    <w:rsid w:val="00867C25"/>
    <w:rsid w:val="00870C9B"/>
    <w:rsid w:val="00892B4A"/>
    <w:rsid w:val="008A26DB"/>
    <w:rsid w:val="008A5853"/>
    <w:rsid w:val="008A5E9B"/>
    <w:rsid w:val="008B1D57"/>
    <w:rsid w:val="008B39B6"/>
    <w:rsid w:val="008D2771"/>
    <w:rsid w:val="00907E52"/>
    <w:rsid w:val="00916D0C"/>
    <w:rsid w:val="00925007"/>
    <w:rsid w:val="00941A5A"/>
    <w:rsid w:val="0095161C"/>
    <w:rsid w:val="009564DC"/>
    <w:rsid w:val="00962F0D"/>
    <w:rsid w:val="00992034"/>
    <w:rsid w:val="009C2DFC"/>
    <w:rsid w:val="009C3862"/>
    <w:rsid w:val="009E384C"/>
    <w:rsid w:val="009E4199"/>
    <w:rsid w:val="009E4CF8"/>
    <w:rsid w:val="00A0167F"/>
    <w:rsid w:val="00A46719"/>
    <w:rsid w:val="00A60E7C"/>
    <w:rsid w:val="00AC2B42"/>
    <w:rsid w:val="00B05884"/>
    <w:rsid w:val="00B07C94"/>
    <w:rsid w:val="00B176E2"/>
    <w:rsid w:val="00B22CF9"/>
    <w:rsid w:val="00B23FD2"/>
    <w:rsid w:val="00B37110"/>
    <w:rsid w:val="00B46A5E"/>
    <w:rsid w:val="00B56074"/>
    <w:rsid w:val="00B97479"/>
    <w:rsid w:val="00B97F78"/>
    <w:rsid w:val="00BA27B5"/>
    <w:rsid w:val="00BD2F71"/>
    <w:rsid w:val="00BF1573"/>
    <w:rsid w:val="00C071C8"/>
    <w:rsid w:val="00C17CE1"/>
    <w:rsid w:val="00C2486D"/>
    <w:rsid w:val="00C32615"/>
    <w:rsid w:val="00C4212E"/>
    <w:rsid w:val="00C54394"/>
    <w:rsid w:val="00C60335"/>
    <w:rsid w:val="00C6611B"/>
    <w:rsid w:val="00CA0148"/>
    <w:rsid w:val="00CA282B"/>
    <w:rsid w:val="00CA75DF"/>
    <w:rsid w:val="00CB1C25"/>
    <w:rsid w:val="00CB68AD"/>
    <w:rsid w:val="00CB6C6C"/>
    <w:rsid w:val="00CC4A51"/>
    <w:rsid w:val="00CD7768"/>
    <w:rsid w:val="00CE087F"/>
    <w:rsid w:val="00D05F0A"/>
    <w:rsid w:val="00D46A38"/>
    <w:rsid w:val="00D739A4"/>
    <w:rsid w:val="00D845E8"/>
    <w:rsid w:val="00D93468"/>
    <w:rsid w:val="00DC7AF9"/>
    <w:rsid w:val="00E01284"/>
    <w:rsid w:val="00E24FFC"/>
    <w:rsid w:val="00E62116"/>
    <w:rsid w:val="00E6312C"/>
    <w:rsid w:val="00E64EC5"/>
    <w:rsid w:val="00E85F03"/>
    <w:rsid w:val="00EC7AAC"/>
    <w:rsid w:val="00ED2F58"/>
    <w:rsid w:val="00EE628A"/>
    <w:rsid w:val="00EF1FDB"/>
    <w:rsid w:val="00EF407F"/>
    <w:rsid w:val="00F14564"/>
    <w:rsid w:val="00F27E26"/>
    <w:rsid w:val="00F31847"/>
    <w:rsid w:val="00F368C0"/>
    <w:rsid w:val="00F479E5"/>
    <w:rsid w:val="00F5357E"/>
    <w:rsid w:val="00F535D4"/>
    <w:rsid w:val="00F61F46"/>
    <w:rsid w:val="00F92174"/>
    <w:rsid w:val="00FA1A47"/>
    <w:rsid w:val="00FA1F24"/>
    <w:rsid w:val="00FB431A"/>
    <w:rsid w:val="00FC35C7"/>
    <w:rsid w:val="00FD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71EB29"/>
  <w15:chartTrackingRefBased/>
  <w15:docId w15:val="{FCE137CE-8436-412D-B9F7-FE9D3756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81"/>
    <w:rPr>
      <w:rFonts w:ascii="Segoe UI" w:hAnsi="Segoe UI" w:cs="Segoe UI"/>
      <w:sz w:val="18"/>
      <w:szCs w:val="18"/>
    </w:rPr>
  </w:style>
  <w:style w:type="paragraph" w:styleId="ListParagraph">
    <w:name w:val="List Paragraph"/>
    <w:basedOn w:val="Normal"/>
    <w:uiPriority w:val="34"/>
    <w:qFormat/>
    <w:rsid w:val="008B39B6"/>
    <w:pPr>
      <w:ind w:left="720"/>
      <w:contextualSpacing/>
    </w:pPr>
  </w:style>
  <w:style w:type="paragraph" w:styleId="Header">
    <w:name w:val="header"/>
    <w:basedOn w:val="Normal"/>
    <w:link w:val="HeaderChar"/>
    <w:uiPriority w:val="99"/>
    <w:unhideWhenUsed/>
    <w:rsid w:val="00674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08"/>
  </w:style>
  <w:style w:type="paragraph" w:styleId="Footer">
    <w:name w:val="footer"/>
    <w:basedOn w:val="Normal"/>
    <w:link w:val="FooterChar"/>
    <w:uiPriority w:val="99"/>
    <w:unhideWhenUsed/>
    <w:rsid w:val="00674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08"/>
  </w:style>
  <w:style w:type="character" w:styleId="CommentReference">
    <w:name w:val="annotation reference"/>
    <w:basedOn w:val="DefaultParagraphFont"/>
    <w:uiPriority w:val="99"/>
    <w:semiHidden/>
    <w:unhideWhenUsed/>
    <w:rsid w:val="00614975"/>
    <w:rPr>
      <w:sz w:val="16"/>
      <w:szCs w:val="16"/>
    </w:rPr>
  </w:style>
  <w:style w:type="paragraph" w:styleId="CommentText">
    <w:name w:val="annotation text"/>
    <w:basedOn w:val="Normal"/>
    <w:link w:val="CommentTextChar"/>
    <w:uiPriority w:val="99"/>
    <w:unhideWhenUsed/>
    <w:rsid w:val="00614975"/>
    <w:pPr>
      <w:spacing w:line="240" w:lineRule="auto"/>
    </w:pPr>
    <w:rPr>
      <w:sz w:val="20"/>
      <w:szCs w:val="20"/>
    </w:rPr>
  </w:style>
  <w:style w:type="character" w:customStyle="1" w:styleId="CommentTextChar">
    <w:name w:val="Comment Text Char"/>
    <w:basedOn w:val="DefaultParagraphFont"/>
    <w:link w:val="CommentText"/>
    <w:uiPriority w:val="99"/>
    <w:rsid w:val="00614975"/>
    <w:rPr>
      <w:sz w:val="20"/>
      <w:szCs w:val="20"/>
    </w:rPr>
  </w:style>
  <w:style w:type="paragraph" w:styleId="CommentSubject">
    <w:name w:val="annotation subject"/>
    <w:basedOn w:val="CommentText"/>
    <w:next w:val="CommentText"/>
    <w:link w:val="CommentSubjectChar"/>
    <w:uiPriority w:val="99"/>
    <w:semiHidden/>
    <w:unhideWhenUsed/>
    <w:rsid w:val="00614975"/>
    <w:rPr>
      <w:b/>
      <w:bCs/>
    </w:rPr>
  </w:style>
  <w:style w:type="character" w:customStyle="1" w:styleId="CommentSubjectChar">
    <w:name w:val="Comment Subject Char"/>
    <w:basedOn w:val="CommentTextChar"/>
    <w:link w:val="CommentSubject"/>
    <w:uiPriority w:val="99"/>
    <w:semiHidden/>
    <w:rsid w:val="00614975"/>
    <w:rPr>
      <w:b/>
      <w:bCs/>
      <w:sz w:val="20"/>
      <w:szCs w:val="20"/>
    </w:rPr>
  </w:style>
  <w:style w:type="paragraph" w:styleId="FootnoteText">
    <w:name w:val="footnote text"/>
    <w:basedOn w:val="Normal"/>
    <w:link w:val="FootnoteTextChar"/>
    <w:uiPriority w:val="99"/>
    <w:unhideWhenUsed/>
    <w:rsid w:val="005D0409"/>
    <w:pPr>
      <w:spacing w:after="0" w:line="240" w:lineRule="auto"/>
    </w:pPr>
    <w:rPr>
      <w:sz w:val="20"/>
      <w:szCs w:val="20"/>
    </w:rPr>
  </w:style>
  <w:style w:type="character" w:customStyle="1" w:styleId="FootnoteTextChar">
    <w:name w:val="Footnote Text Char"/>
    <w:basedOn w:val="DefaultParagraphFont"/>
    <w:link w:val="FootnoteText"/>
    <w:uiPriority w:val="99"/>
    <w:rsid w:val="005D0409"/>
    <w:rPr>
      <w:sz w:val="20"/>
      <w:szCs w:val="20"/>
    </w:rPr>
  </w:style>
  <w:style w:type="character" w:styleId="FootnoteReference">
    <w:name w:val="footnote reference"/>
    <w:basedOn w:val="DefaultParagraphFont"/>
    <w:uiPriority w:val="99"/>
    <w:semiHidden/>
    <w:unhideWhenUsed/>
    <w:rsid w:val="005D0409"/>
    <w:rPr>
      <w:vertAlign w:val="superscript"/>
    </w:rPr>
  </w:style>
  <w:style w:type="paragraph" w:styleId="NormalWeb">
    <w:name w:val="Normal (Web)"/>
    <w:basedOn w:val="Normal"/>
    <w:uiPriority w:val="99"/>
    <w:semiHidden/>
    <w:unhideWhenUsed/>
    <w:rsid w:val="00280119"/>
    <w:pPr>
      <w:spacing w:after="0" w:line="240" w:lineRule="auto"/>
    </w:pPr>
    <w:rPr>
      <w:rFonts w:ascii="Times New Roman" w:hAnsi="Times New Roman" w:cs="Times New Roman"/>
      <w:sz w:val="24"/>
      <w:szCs w:val="24"/>
    </w:rPr>
  </w:style>
  <w:style w:type="paragraph" w:styleId="Revision">
    <w:name w:val="Revision"/>
    <w:hidden/>
    <w:uiPriority w:val="99"/>
    <w:semiHidden/>
    <w:rsid w:val="00C2486D"/>
    <w:pPr>
      <w:spacing w:after="0" w:line="240" w:lineRule="auto"/>
    </w:pPr>
  </w:style>
  <w:style w:type="character" w:styleId="Hyperlink">
    <w:name w:val="Hyperlink"/>
    <w:basedOn w:val="DefaultParagraphFont"/>
    <w:uiPriority w:val="99"/>
    <w:unhideWhenUsed/>
    <w:rsid w:val="00916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136757">
      <w:bodyDiv w:val="1"/>
      <w:marLeft w:val="0"/>
      <w:marRight w:val="0"/>
      <w:marTop w:val="0"/>
      <w:marBottom w:val="0"/>
      <w:divBdr>
        <w:top w:val="none" w:sz="0" w:space="0" w:color="auto"/>
        <w:left w:val="none" w:sz="0" w:space="0" w:color="auto"/>
        <w:bottom w:val="none" w:sz="0" w:space="0" w:color="auto"/>
        <w:right w:val="none" w:sz="0" w:space="0" w:color="auto"/>
      </w:divBdr>
    </w:div>
    <w:div w:id="1488669618">
      <w:bodyDiv w:val="1"/>
      <w:marLeft w:val="0"/>
      <w:marRight w:val="0"/>
      <w:marTop w:val="0"/>
      <w:marBottom w:val="0"/>
      <w:divBdr>
        <w:top w:val="none" w:sz="0" w:space="0" w:color="auto"/>
        <w:left w:val="none" w:sz="0" w:space="0" w:color="auto"/>
        <w:bottom w:val="none" w:sz="0" w:space="0" w:color="auto"/>
        <w:right w:val="none" w:sz="0" w:space="0" w:color="auto"/>
      </w:divBdr>
    </w:div>
    <w:div w:id="19011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energy-mineral-land-resources/energy-mineral-land-permits/stormwater-permits/f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q.nc.gov/permits-regulations/express-permi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DC87-EC9A-473C-8594-D6182441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Annette</dc:creator>
  <cp:keywords/>
  <dc:description/>
  <cp:lastModifiedBy>Author</cp:lastModifiedBy>
  <cp:revision>14</cp:revision>
  <cp:lastPrinted>2017-02-28T13:34:00Z</cp:lastPrinted>
  <dcterms:created xsi:type="dcterms:W3CDTF">2017-03-16T17:39:00Z</dcterms:created>
  <dcterms:modified xsi:type="dcterms:W3CDTF">2017-03-24T16:07:00Z</dcterms:modified>
</cp:coreProperties>
</file>