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BCEC1" w14:textId="106B484D" w:rsidR="00CD5914" w:rsidRPr="00CD5914" w:rsidRDefault="00FC5443" w:rsidP="00CD5914">
      <w:pPr>
        <w:spacing w:after="0"/>
        <w:jc w:val="center"/>
        <w:rPr>
          <w:rFonts w:ascii="Arial Narrow" w:hAnsi="Arial Narrow" w:cs="Arial"/>
          <w:b/>
          <w:sz w:val="28"/>
          <w:szCs w:val="28"/>
        </w:rPr>
      </w:pPr>
      <w:bookmarkStart w:id="0" w:name="_GoBack"/>
      <w:bookmarkEnd w:id="0"/>
      <w:r>
        <w:rPr>
          <w:rFonts w:ascii="Arial Narrow" w:hAnsi="Arial Narrow" w:cs="Arial"/>
          <w:b/>
          <w:sz w:val="28"/>
          <w:szCs w:val="28"/>
        </w:rPr>
        <w:t>Final Remedy</w:t>
      </w:r>
    </w:p>
    <w:p w14:paraId="0157B163" w14:textId="77777777" w:rsidR="00CD5914" w:rsidRPr="00CD5914" w:rsidRDefault="00CD5914" w:rsidP="00CD5914">
      <w:pPr>
        <w:spacing w:after="0"/>
        <w:jc w:val="center"/>
        <w:rPr>
          <w:rFonts w:ascii="Arial Narrow" w:hAnsi="Arial Narrow" w:cs="Arial"/>
          <w:szCs w:val="20"/>
        </w:rPr>
      </w:pPr>
    </w:p>
    <w:p w14:paraId="1C3CCC67" w14:textId="77777777" w:rsidR="001E2510" w:rsidRPr="00CD5914" w:rsidRDefault="00CD5914" w:rsidP="00CD5914">
      <w:pPr>
        <w:spacing w:after="0"/>
        <w:jc w:val="center"/>
        <w:rPr>
          <w:rFonts w:ascii="Arial Narrow" w:hAnsi="Arial Narrow" w:cs="Arial"/>
          <w:szCs w:val="20"/>
        </w:rPr>
      </w:pPr>
      <w:r w:rsidRPr="00CD5914">
        <w:rPr>
          <w:rFonts w:ascii="Arial Narrow" w:hAnsi="Arial Narrow" w:cs="Arial"/>
          <w:szCs w:val="20"/>
        </w:rPr>
        <w:t>Petty Machine Company</w:t>
      </w:r>
    </w:p>
    <w:p w14:paraId="637A500D" w14:textId="77777777" w:rsidR="00CD5914" w:rsidRPr="00CD5914" w:rsidRDefault="00CD5914" w:rsidP="00CD5914">
      <w:pPr>
        <w:spacing w:after="0"/>
        <w:jc w:val="center"/>
        <w:rPr>
          <w:rFonts w:ascii="Arial Narrow" w:hAnsi="Arial Narrow" w:cs="Arial"/>
          <w:szCs w:val="20"/>
        </w:rPr>
      </w:pPr>
      <w:r w:rsidRPr="00CD5914">
        <w:rPr>
          <w:rFonts w:ascii="Arial Narrow" w:hAnsi="Arial Narrow" w:cs="Arial"/>
          <w:szCs w:val="20"/>
        </w:rPr>
        <w:t>2403 Forbes Road</w:t>
      </w:r>
    </w:p>
    <w:p w14:paraId="665DF6BF" w14:textId="77777777" w:rsidR="00CD5914" w:rsidRPr="00CD5914" w:rsidRDefault="00CD5914" w:rsidP="00CD5914">
      <w:pPr>
        <w:spacing w:after="0"/>
        <w:jc w:val="center"/>
        <w:rPr>
          <w:rFonts w:ascii="Arial Narrow" w:hAnsi="Arial Narrow" w:cs="Arial"/>
          <w:szCs w:val="20"/>
        </w:rPr>
      </w:pPr>
      <w:r w:rsidRPr="00CD5914">
        <w:rPr>
          <w:rFonts w:ascii="Arial Narrow" w:hAnsi="Arial Narrow" w:cs="Arial"/>
          <w:szCs w:val="20"/>
        </w:rPr>
        <w:t>Gastonia, North Carolina</w:t>
      </w:r>
    </w:p>
    <w:p w14:paraId="3DCFF4D3" w14:textId="77777777" w:rsidR="00CD5914" w:rsidRDefault="00CD5914" w:rsidP="00CD5914">
      <w:pPr>
        <w:spacing w:after="0"/>
        <w:jc w:val="center"/>
        <w:rPr>
          <w:rFonts w:ascii="Arial Narrow" w:hAnsi="Arial Narrow" w:cs="Arial"/>
          <w:szCs w:val="20"/>
        </w:rPr>
      </w:pPr>
      <w:r w:rsidRPr="00CD5914">
        <w:rPr>
          <w:rFonts w:ascii="Arial Narrow" w:hAnsi="Arial Narrow" w:cs="Arial"/>
          <w:szCs w:val="20"/>
        </w:rPr>
        <w:t>EPA Identification Number:  NCD 991 278 805</w:t>
      </w:r>
    </w:p>
    <w:p w14:paraId="6DF00AA8" w14:textId="77777777" w:rsidR="00CD5914" w:rsidRDefault="00CD5914" w:rsidP="00CD5914">
      <w:pPr>
        <w:spacing w:after="0"/>
        <w:jc w:val="center"/>
        <w:rPr>
          <w:rFonts w:ascii="Arial Narrow" w:hAnsi="Arial Narrow" w:cs="Arial"/>
          <w:szCs w:val="20"/>
        </w:rPr>
      </w:pPr>
    </w:p>
    <w:p w14:paraId="69A26C9E" w14:textId="22325EB6" w:rsidR="00314F15" w:rsidRDefault="00314F15" w:rsidP="00314F15">
      <w:pPr>
        <w:jc w:val="both"/>
        <w:rPr>
          <w:rFonts w:ascii="Arial" w:hAnsi="Arial" w:cs="Arial"/>
          <w:sz w:val="20"/>
          <w:szCs w:val="20"/>
        </w:rPr>
      </w:pPr>
    </w:p>
    <w:p w14:paraId="01683EC4" w14:textId="4D6BCC16" w:rsidR="00BE7592" w:rsidRPr="00BE7592" w:rsidRDefault="00BE7592" w:rsidP="00314F15">
      <w:pPr>
        <w:jc w:val="both"/>
        <w:rPr>
          <w:rFonts w:ascii="Arial" w:hAnsi="Arial" w:cs="Arial"/>
          <w:b/>
          <w:sz w:val="20"/>
          <w:szCs w:val="20"/>
          <w:u w:val="single"/>
        </w:rPr>
      </w:pPr>
      <w:r w:rsidRPr="00BE7592">
        <w:rPr>
          <w:rFonts w:ascii="Arial" w:hAnsi="Arial" w:cs="Arial"/>
          <w:b/>
          <w:sz w:val="20"/>
          <w:szCs w:val="20"/>
          <w:u w:val="single"/>
        </w:rPr>
        <w:t>Background</w:t>
      </w:r>
    </w:p>
    <w:p w14:paraId="1D3594D2" w14:textId="35863262" w:rsidR="00314F15" w:rsidRPr="007A2A9D" w:rsidRDefault="00314F15" w:rsidP="00314F15">
      <w:pPr>
        <w:jc w:val="both"/>
        <w:rPr>
          <w:rFonts w:ascii="Arial" w:hAnsi="Arial" w:cs="Arial"/>
          <w:sz w:val="20"/>
          <w:szCs w:val="20"/>
        </w:rPr>
      </w:pPr>
      <w:r w:rsidRPr="007A2A9D">
        <w:rPr>
          <w:rFonts w:ascii="Arial" w:hAnsi="Arial" w:cs="Arial"/>
          <w:sz w:val="20"/>
          <w:szCs w:val="20"/>
        </w:rPr>
        <w:t>Petty Machine Company, Inc. (Petty Machine)</w:t>
      </w:r>
      <w:r>
        <w:rPr>
          <w:rFonts w:ascii="Arial" w:hAnsi="Arial" w:cs="Arial"/>
          <w:sz w:val="20"/>
          <w:szCs w:val="20"/>
        </w:rPr>
        <w:t>,</w:t>
      </w:r>
      <w:r w:rsidRPr="007A2A9D">
        <w:rPr>
          <w:rFonts w:ascii="Arial" w:hAnsi="Arial" w:cs="Arial"/>
          <w:sz w:val="20"/>
          <w:szCs w:val="20"/>
        </w:rPr>
        <w:t xml:space="preserve"> is a manufacturer of custom process machines and machine parts.  Petty Machine is</w:t>
      </w:r>
      <w:r>
        <w:rPr>
          <w:rFonts w:ascii="Arial" w:hAnsi="Arial" w:cs="Arial"/>
          <w:sz w:val="20"/>
          <w:szCs w:val="20"/>
        </w:rPr>
        <w:t xml:space="preserve"> located at 2403 Forbes Road in </w:t>
      </w:r>
      <w:r w:rsidRPr="007A2A9D">
        <w:rPr>
          <w:rFonts w:ascii="Arial" w:hAnsi="Arial" w:cs="Arial"/>
          <w:sz w:val="20"/>
          <w:szCs w:val="20"/>
        </w:rPr>
        <w:t>Gastonia, North Carolina.  Manufacturing operations began in July 1966 and included machining, finishing, and equipment assembly.  Beginning in the late 1970’s, finishing processes began to utilize “electroless” hard nickel plating and hard chrome electroplating.  Electroless refers to an electroplating process that utilizes ionic solutions as opposed to electricity to bind metals in plating solutions to the metal product.</w:t>
      </w:r>
    </w:p>
    <w:p w14:paraId="1EEF7FD4" w14:textId="06510205" w:rsidR="00CD5914" w:rsidRPr="00435608" w:rsidRDefault="00314F15" w:rsidP="00435608">
      <w:pPr>
        <w:jc w:val="both"/>
        <w:rPr>
          <w:rFonts w:ascii="Arial" w:hAnsi="Arial" w:cs="Arial"/>
          <w:sz w:val="20"/>
          <w:szCs w:val="20"/>
        </w:rPr>
      </w:pPr>
      <w:r w:rsidRPr="007A2A9D">
        <w:rPr>
          <w:rFonts w:ascii="Arial" w:hAnsi="Arial" w:cs="Arial"/>
          <w:sz w:val="20"/>
          <w:szCs w:val="20"/>
        </w:rPr>
        <w:t>Wastes generated during the electroless nickel plating and the chrome electroplating processes consisted of spent plating solutions, solids washed from the plated parts, and wastes generated from cleaning the plating tanks.  The pl</w:t>
      </w:r>
      <w:r w:rsidR="007A09A0">
        <w:rPr>
          <w:rFonts w:ascii="Arial" w:hAnsi="Arial" w:cs="Arial"/>
          <w:sz w:val="20"/>
          <w:szCs w:val="20"/>
        </w:rPr>
        <w:t>ating waste was transported off</w:t>
      </w:r>
      <w:r w:rsidRPr="007A2A9D">
        <w:rPr>
          <w:rFonts w:ascii="Arial" w:hAnsi="Arial" w:cs="Arial"/>
          <w:sz w:val="20"/>
          <w:szCs w:val="20"/>
        </w:rPr>
        <w:t>site for disposal until 1982 when increases in production resulted in increased volume of plating wastes.  When the volume of plating waste became</w:t>
      </w:r>
      <w:r w:rsidR="007A09A0">
        <w:rPr>
          <w:rFonts w:ascii="Arial" w:hAnsi="Arial" w:cs="Arial"/>
          <w:sz w:val="20"/>
          <w:szCs w:val="20"/>
        </w:rPr>
        <w:t xml:space="preserve"> too great to transport for off</w:t>
      </w:r>
      <w:r w:rsidRPr="007A2A9D">
        <w:rPr>
          <w:rFonts w:ascii="Arial" w:hAnsi="Arial" w:cs="Arial"/>
          <w:sz w:val="20"/>
          <w:szCs w:val="20"/>
        </w:rPr>
        <w:t xml:space="preserve">site disposal in a single trip, Petty Machine constructed a concrete settling tank outside the building to collect generated plating wastes.  </w:t>
      </w:r>
    </w:p>
    <w:p w14:paraId="2225B087" w14:textId="77777777" w:rsidR="007D1008" w:rsidRDefault="00435608" w:rsidP="007D1008">
      <w:pPr>
        <w:jc w:val="both"/>
        <w:rPr>
          <w:rFonts w:ascii="Arial" w:hAnsi="Arial" w:cs="Arial"/>
          <w:sz w:val="20"/>
          <w:szCs w:val="20"/>
        </w:rPr>
      </w:pPr>
      <w:r w:rsidRPr="007A2A9D">
        <w:rPr>
          <w:rFonts w:ascii="Arial" w:hAnsi="Arial" w:cs="Arial"/>
          <w:sz w:val="20"/>
          <w:szCs w:val="20"/>
        </w:rPr>
        <w:t xml:space="preserve">On April 12, 1989, representatives from the North Carolina Division of Environmental Management collected samples from three compartments within the </w:t>
      </w:r>
      <w:r>
        <w:rPr>
          <w:rFonts w:ascii="Arial" w:hAnsi="Arial" w:cs="Arial"/>
          <w:sz w:val="20"/>
          <w:szCs w:val="20"/>
        </w:rPr>
        <w:t xml:space="preserve">concrete settling </w:t>
      </w:r>
      <w:r w:rsidRPr="007A2A9D">
        <w:rPr>
          <w:rFonts w:ascii="Arial" w:hAnsi="Arial" w:cs="Arial"/>
          <w:sz w:val="20"/>
          <w:szCs w:val="20"/>
        </w:rPr>
        <w:t xml:space="preserve">tank.  Analysis of the three samples indicated the presence of chromium at concentrations of 21,000 parts per million (ppm), 28,000 ppm, and 34,000 ppm in the waste water.  The waste </w:t>
      </w:r>
      <w:r w:rsidR="007D1008">
        <w:rPr>
          <w:rFonts w:ascii="Arial" w:hAnsi="Arial" w:cs="Arial"/>
          <w:sz w:val="20"/>
          <w:szCs w:val="20"/>
        </w:rPr>
        <w:t xml:space="preserve">was </w:t>
      </w:r>
      <w:r w:rsidRPr="007A2A9D">
        <w:rPr>
          <w:rFonts w:ascii="Arial" w:hAnsi="Arial" w:cs="Arial"/>
          <w:sz w:val="20"/>
          <w:szCs w:val="20"/>
        </w:rPr>
        <w:t>designated as characteristic hazardous waste D007</w:t>
      </w:r>
      <w:r w:rsidR="007D1008">
        <w:rPr>
          <w:rFonts w:ascii="Arial" w:hAnsi="Arial" w:cs="Arial"/>
          <w:sz w:val="20"/>
          <w:szCs w:val="20"/>
        </w:rPr>
        <w:t xml:space="preserve">.  </w:t>
      </w:r>
    </w:p>
    <w:p w14:paraId="5F030FD5" w14:textId="117E86A0" w:rsidR="007D1008" w:rsidRDefault="007D1008" w:rsidP="007D1008">
      <w:pPr>
        <w:jc w:val="both"/>
        <w:rPr>
          <w:rFonts w:ascii="Arial" w:hAnsi="Arial" w:cs="Arial"/>
          <w:sz w:val="20"/>
          <w:szCs w:val="20"/>
        </w:rPr>
      </w:pPr>
      <w:r w:rsidRPr="007A2A9D">
        <w:rPr>
          <w:rFonts w:ascii="Arial" w:hAnsi="Arial" w:cs="Arial"/>
          <w:sz w:val="20"/>
          <w:szCs w:val="20"/>
        </w:rPr>
        <w:t>Petty Machine ceased plating operations in July 1989 and the treatment tank was removed in December 1990.  The former treatment tank was closed as a landfill</w:t>
      </w:r>
      <w:r>
        <w:rPr>
          <w:rFonts w:ascii="Arial" w:hAnsi="Arial" w:cs="Arial"/>
          <w:sz w:val="20"/>
          <w:szCs w:val="20"/>
        </w:rPr>
        <w:t xml:space="preserve"> with waste in place</w:t>
      </w:r>
      <w:r w:rsidRPr="007A2A9D">
        <w:rPr>
          <w:rFonts w:ascii="Arial" w:hAnsi="Arial" w:cs="Arial"/>
          <w:sz w:val="20"/>
          <w:szCs w:val="20"/>
        </w:rPr>
        <w:t xml:space="preserve">.  The closure certification was accepted by the NC DEHNR on June 28, 1994.  </w:t>
      </w:r>
    </w:p>
    <w:p w14:paraId="6B3780D4" w14:textId="68CE5880" w:rsidR="00CC4C79" w:rsidRDefault="00CC4C79" w:rsidP="007D1008">
      <w:pPr>
        <w:jc w:val="both"/>
        <w:rPr>
          <w:rFonts w:ascii="Arial" w:hAnsi="Arial" w:cs="Arial"/>
          <w:sz w:val="20"/>
          <w:szCs w:val="20"/>
        </w:rPr>
      </w:pPr>
      <w:r>
        <w:rPr>
          <w:rFonts w:ascii="Arial" w:hAnsi="Arial" w:cs="Arial"/>
          <w:sz w:val="20"/>
          <w:szCs w:val="20"/>
        </w:rPr>
        <w:t xml:space="preserve">Groundwater quality was evaluated in response to closure with waste in place.  Since 1992, sixteen groundwater monitoring wells and eight piezometers </w:t>
      </w:r>
      <w:r w:rsidR="007A09A0">
        <w:rPr>
          <w:rFonts w:ascii="Arial" w:hAnsi="Arial" w:cs="Arial"/>
          <w:sz w:val="20"/>
          <w:szCs w:val="20"/>
        </w:rPr>
        <w:t>were installed both on- and off-</w:t>
      </w:r>
      <w:r>
        <w:rPr>
          <w:rFonts w:ascii="Arial" w:hAnsi="Arial" w:cs="Arial"/>
          <w:sz w:val="20"/>
          <w:szCs w:val="20"/>
        </w:rPr>
        <w:t xml:space="preserve">site property.  The following volatile organic compounds </w:t>
      </w:r>
      <w:r w:rsidR="00A97D91">
        <w:rPr>
          <w:rFonts w:ascii="Arial" w:hAnsi="Arial" w:cs="Arial"/>
          <w:sz w:val="20"/>
          <w:szCs w:val="20"/>
        </w:rPr>
        <w:t xml:space="preserve">(VOCs) </w:t>
      </w:r>
      <w:r>
        <w:rPr>
          <w:rFonts w:ascii="Arial" w:hAnsi="Arial" w:cs="Arial"/>
          <w:sz w:val="20"/>
          <w:szCs w:val="20"/>
        </w:rPr>
        <w:t>have consistently been measured at concentrations exceeding 15A NCAC Subtitle 2L Groundwater Standards (2L Groundwater Standards):  1,1,1-trichlorethane; trichloroethylene; 1,1-dichloroethane; 1,1</w:t>
      </w:r>
      <w:r>
        <w:rPr>
          <w:rFonts w:ascii="Arial" w:hAnsi="Arial" w:cs="Arial"/>
          <w:sz w:val="20"/>
          <w:szCs w:val="20"/>
        </w:rPr>
        <w:noBreakHyphen/>
        <w:t xml:space="preserve">dichloroethene; </w:t>
      </w:r>
      <w:r>
        <w:rPr>
          <w:rFonts w:ascii="Arial" w:hAnsi="Arial" w:cs="Arial"/>
          <w:i/>
          <w:sz w:val="20"/>
          <w:szCs w:val="20"/>
        </w:rPr>
        <w:t>cis</w:t>
      </w:r>
      <w:r>
        <w:rPr>
          <w:rFonts w:ascii="Arial" w:hAnsi="Arial" w:cs="Arial"/>
          <w:sz w:val="20"/>
          <w:szCs w:val="20"/>
        </w:rPr>
        <w:t xml:space="preserve">-1,2-dichlorethene; and 1,4-dioxane.  The metal, chromium, has also been measured at a concentration exceeding its respective 2L Groundwater Standard.  </w:t>
      </w:r>
    </w:p>
    <w:p w14:paraId="03638CB2" w14:textId="77777777" w:rsidR="00C77196" w:rsidRDefault="00CF7307" w:rsidP="00643945">
      <w:pPr>
        <w:autoSpaceDE w:val="0"/>
        <w:autoSpaceDN w:val="0"/>
        <w:adjustRightInd w:val="0"/>
        <w:spacing w:after="0" w:line="240" w:lineRule="auto"/>
        <w:jc w:val="both"/>
        <w:rPr>
          <w:rFonts w:ascii="Arial" w:hAnsi="Arial" w:cs="Arial"/>
          <w:sz w:val="20"/>
          <w:szCs w:val="20"/>
        </w:rPr>
      </w:pPr>
      <w:r w:rsidRPr="00643945">
        <w:rPr>
          <w:rFonts w:ascii="Arial" w:hAnsi="Arial" w:cs="Arial"/>
          <w:sz w:val="20"/>
          <w:szCs w:val="20"/>
        </w:rPr>
        <w:t xml:space="preserve">Petty Machine submitted a Corrective Measures Study (CMS) on June 14, 2017.  </w:t>
      </w:r>
      <w:r w:rsidR="00600054" w:rsidRPr="00643945">
        <w:rPr>
          <w:rFonts w:ascii="Arial" w:hAnsi="Arial" w:cs="Arial"/>
          <w:sz w:val="20"/>
          <w:szCs w:val="20"/>
        </w:rPr>
        <w:t xml:space="preserve">All potentially-impacted media were evaluated, including soils, groundwater, and indoor air.  It was concluded that indoor air and soils did not constitute a major concern </w:t>
      </w:r>
      <w:r w:rsidR="00643945">
        <w:rPr>
          <w:rFonts w:ascii="Arial" w:hAnsi="Arial" w:cs="Arial"/>
          <w:sz w:val="20"/>
          <w:szCs w:val="20"/>
        </w:rPr>
        <w:t xml:space="preserve">requiring </w:t>
      </w:r>
      <w:r w:rsidR="00600054" w:rsidRPr="00643945">
        <w:rPr>
          <w:rFonts w:ascii="Arial" w:hAnsi="Arial" w:cs="Arial"/>
          <w:sz w:val="20"/>
          <w:szCs w:val="20"/>
        </w:rPr>
        <w:t xml:space="preserve">active remediation.  </w:t>
      </w:r>
    </w:p>
    <w:p w14:paraId="6EBD04E0" w14:textId="77777777" w:rsidR="00C77196" w:rsidRDefault="00C77196" w:rsidP="00643945">
      <w:pPr>
        <w:autoSpaceDE w:val="0"/>
        <w:autoSpaceDN w:val="0"/>
        <w:adjustRightInd w:val="0"/>
        <w:spacing w:after="0" w:line="240" w:lineRule="auto"/>
        <w:jc w:val="both"/>
        <w:rPr>
          <w:rFonts w:ascii="Arial" w:hAnsi="Arial" w:cs="Arial"/>
          <w:sz w:val="20"/>
          <w:szCs w:val="20"/>
        </w:rPr>
      </w:pPr>
    </w:p>
    <w:p w14:paraId="663738AE" w14:textId="6470E5E1" w:rsidR="00CF7307" w:rsidRDefault="00600054" w:rsidP="00643945">
      <w:pPr>
        <w:autoSpaceDE w:val="0"/>
        <w:autoSpaceDN w:val="0"/>
        <w:adjustRightInd w:val="0"/>
        <w:spacing w:after="0" w:line="240" w:lineRule="auto"/>
        <w:jc w:val="both"/>
        <w:rPr>
          <w:rFonts w:ascii="Arial" w:hAnsi="Arial" w:cs="Arial"/>
          <w:sz w:val="20"/>
          <w:szCs w:val="20"/>
        </w:rPr>
      </w:pPr>
      <w:r w:rsidRPr="00643945">
        <w:rPr>
          <w:rFonts w:ascii="Arial" w:hAnsi="Arial" w:cs="Arial"/>
          <w:sz w:val="20"/>
          <w:szCs w:val="20"/>
        </w:rPr>
        <w:t xml:space="preserve">Specifically, </w:t>
      </w:r>
      <w:r w:rsidR="00643945">
        <w:rPr>
          <w:rFonts w:ascii="Arial" w:hAnsi="Arial" w:cs="Arial"/>
          <w:sz w:val="20"/>
          <w:szCs w:val="20"/>
        </w:rPr>
        <w:t xml:space="preserve">although TCE was measured in indoor air at concentrations that exceeded screening levels for an industrial setting, a </w:t>
      </w:r>
      <w:r w:rsidR="00643945" w:rsidRPr="00643945">
        <w:rPr>
          <w:rFonts w:ascii="Arial" w:hAnsi="Arial" w:cs="Arial"/>
          <w:sz w:val="20"/>
          <w:szCs w:val="20"/>
        </w:rPr>
        <w:t xml:space="preserve">risk </w:t>
      </w:r>
      <w:r w:rsidRPr="00643945">
        <w:rPr>
          <w:rFonts w:ascii="Arial" w:hAnsi="Arial" w:cs="Arial"/>
          <w:sz w:val="20"/>
          <w:szCs w:val="20"/>
        </w:rPr>
        <w:t>evaluation indicated that the concentrations did not exceed the cumulative carcinogenic risk of 10</w:t>
      </w:r>
      <w:r w:rsidRPr="00643945">
        <w:rPr>
          <w:rFonts w:ascii="Arial" w:hAnsi="Arial" w:cs="Arial"/>
          <w:sz w:val="20"/>
          <w:szCs w:val="20"/>
          <w:vertAlign w:val="superscript"/>
        </w:rPr>
        <w:t>-5</w:t>
      </w:r>
      <w:r w:rsidR="00643945" w:rsidRPr="00643945">
        <w:rPr>
          <w:rFonts w:ascii="Arial" w:hAnsi="Arial" w:cs="Arial"/>
          <w:sz w:val="20"/>
          <w:szCs w:val="20"/>
        </w:rPr>
        <w:t xml:space="preserve"> </w:t>
      </w:r>
      <w:r w:rsidRPr="00643945">
        <w:rPr>
          <w:rFonts w:ascii="Arial" w:hAnsi="Arial" w:cs="Arial"/>
          <w:sz w:val="20"/>
          <w:szCs w:val="20"/>
        </w:rPr>
        <w:t xml:space="preserve">or the hazard quotient of 1. </w:t>
      </w:r>
      <w:r w:rsidR="00643945">
        <w:rPr>
          <w:rFonts w:ascii="Arial" w:hAnsi="Arial" w:cs="Arial"/>
          <w:sz w:val="20"/>
          <w:szCs w:val="20"/>
        </w:rPr>
        <w:t xml:space="preserve"> No further action was recommended.  The Hazardous Waste Section approved the request for no further action in correspondence dated June 17, 2016.  </w:t>
      </w:r>
    </w:p>
    <w:p w14:paraId="5A2FE724" w14:textId="7AC33A53" w:rsidR="00C77196" w:rsidRDefault="00C77196" w:rsidP="00D37A25">
      <w:pPr>
        <w:autoSpaceDE w:val="0"/>
        <w:autoSpaceDN w:val="0"/>
        <w:adjustRightInd w:val="0"/>
        <w:spacing w:after="0" w:line="240" w:lineRule="auto"/>
        <w:jc w:val="both"/>
        <w:rPr>
          <w:rFonts w:ascii="Arial" w:hAnsi="Arial" w:cs="Arial"/>
          <w:sz w:val="20"/>
          <w:szCs w:val="20"/>
        </w:rPr>
      </w:pPr>
    </w:p>
    <w:p w14:paraId="66B3A3C7" w14:textId="32E8C94D" w:rsidR="00C77196" w:rsidRPr="00C77196" w:rsidRDefault="00C77196" w:rsidP="00D37A25">
      <w:pPr>
        <w:autoSpaceDE w:val="0"/>
        <w:autoSpaceDN w:val="0"/>
        <w:adjustRightInd w:val="0"/>
        <w:spacing w:after="0" w:line="240" w:lineRule="auto"/>
        <w:jc w:val="both"/>
        <w:rPr>
          <w:rFonts w:ascii="Arial" w:hAnsi="Arial" w:cs="Arial"/>
          <w:sz w:val="20"/>
          <w:szCs w:val="20"/>
        </w:rPr>
      </w:pPr>
      <w:r w:rsidRPr="00C77196">
        <w:rPr>
          <w:rFonts w:ascii="Arial" w:hAnsi="Arial" w:cs="Arial"/>
          <w:sz w:val="20"/>
          <w:szCs w:val="20"/>
        </w:rPr>
        <w:t>Although soil contamination has been documented at the site, twelve samples were collected from six soil borings for analysis of metals</w:t>
      </w:r>
      <w:r>
        <w:rPr>
          <w:rFonts w:ascii="Arial" w:hAnsi="Arial" w:cs="Arial"/>
          <w:sz w:val="20"/>
          <w:szCs w:val="20"/>
        </w:rPr>
        <w:t xml:space="preserve"> in January 2016</w:t>
      </w:r>
      <w:r w:rsidRPr="00C77196">
        <w:rPr>
          <w:rFonts w:ascii="Arial" w:hAnsi="Arial" w:cs="Arial"/>
          <w:sz w:val="20"/>
          <w:szCs w:val="20"/>
        </w:rPr>
        <w:t>.</w:t>
      </w:r>
      <w:r>
        <w:rPr>
          <w:rFonts w:ascii="Arial" w:hAnsi="Arial" w:cs="Arial"/>
          <w:sz w:val="20"/>
          <w:szCs w:val="20"/>
        </w:rPr>
        <w:t xml:space="preserve">  </w:t>
      </w:r>
      <w:r w:rsidRPr="00C77196">
        <w:rPr>
          <w:rFonts w:ascii="Arial" w:hAnsi="Arial" w:cs="Arial"/>
          <w:sz w:val="20"/>
          <w:szCs w:val="20"/>
        </w:rPr>
        <w:t xml:space="preserve">Hexavalent chromium was detected above the </w:t>
      </w:r>
      <w:r>
        <w:rPr>
          <w:rFonts w:ascii="Arial" w:hAnsi="Arial" w:cs="Arial"/>
          <w:sz w:val="20"/>
          <w:szCs w:val="20"/>
        </w:rPr>
        <w:t xml:space="preserve">Preliminary Soil Remediation Goal for Protection of Groundwater in three samples.  </w:t>
      </w:r>
      <w:r w:rsidRPr="00C77196">
        <w:rPr>
          <w:rFonts w:ascii="Arial" w:hAnsi="Arial" w:cs="Arial"/>
          <w:sz w:val="20"/>
          <w:szCs w:val="20"/>
        </w:rPr>
        <w:t>The 2016</w:t>
      </w:r>
      <w:r>
        <w:rPr>
          <w:rFonts w:ascii="Arial" w:hAnsi="Arial" w:cs="Arial"/>
          <w:sz w:val="20"/>
          <w:szCs w:val="20"/>
        </w:rPr>
        <w:t xml:space="preserve"> </w:t>
      </w:r>
      <w:r w:rsidRPr="00C77196">
        <w:rPr>
          <w:rFonts w:ascii="Arial" w:hAnsi="Arial" w:cs="Arial"/>
          <w:sz w:val="20"/>
          <w:szCs w:val="20"/>
        </w:rPr>
        <w:t xml:space="preserve">Facility Characterization </w:t>
      </w:r>
      <w:r w:rsidRPr="00C77196">
        <w:rPr>
          <w:rFonts w:ascii="Arial" w:hAnsi="Arial" w:cs="Arial"/>
          <w:sz w:val="20"/>
          <w:szCs w:val="20"/>
        </w:rPr>
        <w:lastRenderedPageBreak/>
        <w:t xml:space="preserve">Report recommended </w:t>
      </w:r>
      <w:r>
        <w:rPr>
          <w:rFonts w:ascii="Arial" w:hAnsi="Arial" w:cs="Arial"/>
          <w:sz w:val="20"/>
          <w:szCs w:val="20"/>
        </w:rPr>
        <w:t xml:space="preserve">no further action for metals </w:t>
      </w:r>
      <w:r w:rsidRPr="00C77196">
        <w:rPr>
          <w:rFonts w:ascii="Arial" w:hAnsi="Arial" w:cs="Arial"/>
          <w:sz w:val="20"/>
          <w:szCs w:val="20"/>
        </w:rPr>
        <w:t xml:space="preserve">in soil in conjunction with </w:t>
      </w:r>
      <w:r>
        <w:rPr>
          <w:rFonts w:ascii="Arial" w:hAnsi="Arial" w:cs="Arial"/>
          <w:sz w:val="20"/>
          <w:szCs w:val="20"/>
        </w:rPr>
        <w:t xml:space="preserve">recordation of </w:t>
      </w:r>
      <w:r w:rsidRPr="00C77196">
        <w:rPr>
          <w:rFonts w:ascii="Arial" w:hAnsi="Arial" w:cs="Arial"/>
          <w:sz w:val="20"/>
          <w:szCs w:val="20"/>
        </w:rPr>
        <w:t>perpetual</w:t>
      </w:r>
      <w:r>
        <w:rPr>
          <w:rFonts w:ascii="Arial" w:hAnsi="Arial" w:cs="Arial"/>
          <w:sz w:val="20"/>
          <w:szCs w:val="20"/>
        </w:rPr>
        <w:t xml:space="preserve"> land use restrictions</w:t>
      </w:r>
      <w:r w:rsidRPr="00C77196">
        <w:rPr>
          <w:rFonts w:ascii="Arial" w:hAnsi="Arial" w:cs="Arial"/>
          <w:sz w:val="20"/>
          <w:szCs w:val="20"/>
        </w:rPr>
        <w:t xml:space="preserve">. </w:t>
      </w:r>
      <w:r>
        <w:rPr>
          <w:rFonts w:ascii="Arial" w:hAnsi="Arial" w:cs="Arial"/>
          <w:sz w:val="20"/>
          <w:szCs w:val="20"/>
        </w:rPr>
        <w:t xml:space="preserve"> The Hazardous Waste Section approved the request for no further action</w:t>
      </w:r>
      <w:r w:rsidRPr="00C77196">
        <w:rPr>
          <w:rFonts w:ascii="Arial" w:hAnsi="Arial" w:cs="Arial"/>
          <w:sz w:val="20"/>
          <w:szCs w:val="20"/>
        </w:rPr>
        <w:t xml:space="preserve"> in a letter dated</w:t>
      </w:r>
    </w:p>
    <w:p w14:paraId="4BF9A142" w14:textId="49EBF55F" w:rsidR="00D37A25" w:rsidRDefault="00C77196" w:rsidP="00D37A25">
      <w:pPr>
        <w:autoSpaceDE w:val="0"/>
        <w:autoSpaceDN w:val="0"/>
        <w:adjustRightInd w:val="0"/>
        <w:spacing w:after="0" w:line="240" w:lineRule="auto"/>
        <w:jc w:val="both"/>
        <w:rPr>
          <w:rFonts w:ascii="Arial" w:hAnsi="Arial" w:cs="Arial"/>
          <w:sz w:val="20"/>
          <w:szCs w:val="20"/>
        </w:rPr>
      </w:pPr>
      <w:r w:rsidRPr="00C77196">
        <w:rPr>
          <w:rFonts w:ascii="Arial" w:hAnsi="Arial" w:cs="Arial"/>
          <w:sz w:val="20"/>
          <w:szCs w:val="20"/>
        </w:rPr>
        <w:t>June 17, 2016.</w:t>
      </w:r>
      <w:r>
        <w:rPr>
          <w:rFonts w:ascii="Arial" w:hAnsi="Arial" w:cs="Arial"/>
          <w:sz w:val="20"/>
          <w:szCs w:val="20"/>
        </w:rPr>
        <w:t xml:space="preserve">  The approval was dependent upon recordation of </w:t>
      </w:r>
      <w:r w:rsidR="00D37A25">
        <w:rPr>
          <w:rFonts w:ascii="Arial" w:hAnsi="Arial" w:cs="Arial"/>
          <w:sz w:val="20"/>
          <w:szCs w:val="20"/>
        </w:rPr>
        <w:t xml:space="preserve">a </w:t>
      </w:r>
      <w:r w:rsidR="00D37A25" w:rsidRPr="00D37A25">
        <w:rPr>
          <w:rFonts w:ascii="Arial" w:hAnsi="Arial" w:cs="Arial"/>
          <w:i/>
          <w:sz w:val="20"/>
          <w:szCs w:val="20"/>
        </w:rPr>
        <w:t>Declaration of Perpetual Land Use Restrictions</w:t>
      </w:r>
      <w:r w:rsidR="00D37A25">
        <w:rPr>
          <w:rFonts w:ascii="Arial" w:hAnsi="Arial" w:cs="Arial"/>
          <w:sz w:val="20"/>
          <w:szCs w:val="20"/>
        </w:rPr>
        <w:t xml:space="preserve">.  These </w:t>
      </w:r>
      <w:r w:rsidR="007A09A0">
        <w:rPr>
          <w:rFonts w:ascii="Arial" w:hAnsi="Arial" w:cs="Arial"/>
          <w:sz w:val="20"/>
          <w:szCs w:val="20"/>
        </w:rPr>
        <w:t>restrictions seek to limit on</w:t>
      </w:r>
      <w:r w:rsidR="00D37A25">
        <w:rPr>
          <w:rFonts w:ascii="Arial" w:hAnsi="Arial" w:cs="Arial"/>
          <w:sz w:val="20"/>
          <w:szCs w:val="20"/>
        </w:rPr>
        <w:t>s</w:t>
      </w:r>
      <w:r w:rsidR="00D37A25" w:rsidRPr="00D37A25">
        <w:rPr>
          <w:rFonts w:ascii="Arial" w:hAnsi="Arial" w:cs="Arial"/>
          <w:sz w:val="20"/>
          <w:szCs w:val="20"/>
        </w:rPr>
        <w:t>ite exposure to po</w:t>
      </w:r>
      <w:r w:rsidR="00D37A25">
        <w:rPr>
          <w:rFonts w:ascii="Arial" w:hAnsi="Arial" w:cs="Arial"/>
          <w:sz w:val="20"/>
          <w:szCs w:val="20"/>
        </w:rPr>
        <w:t xml:space="preserve">tentially contaminated soil and groundwater. These </w:t>
      </w:r>
      <w:r w:rsidR="00D37A25" w:rsidRPr="00D37A25">
        <w:rPr>
          <w:rFonts w:ascii="Arial" w:hAnsi="Arial" w:cs="Arial"/>
          <w:sz w:val="20"/>
          <w:szCs w:val="20"/>
        </w:rPr>
        <w:t>restrictions include limiting future site use to commercial or i</w:t>
      </w:r>
      <w:r w:rsidR="00D37A25">
        <w:rPr>
          <w:rFonts w:ascii="Arial" w:hAnsi="Arial" w:cs="Arial"/>
          <w:sz w:val="20"/>
          <w:szCs w:val="20"/>
        </w:rPr>
        <w:t xml:space="preserve">ndustrial purposes, prohibiting </w:t>
      </w:r>
      <w:r w:rsidR="00D37A25" w:rsidRPr="00D37A25">
        <w:rPr>
          <w:rFonts w:ascii="Arial" w:hAnsi="Arial" w:cs="Arial"/>
          <w:sz w:val="20"/>
          <w:szCs w:val="20"/>
        </w:rPr>
        <w:t>the use of Site groundwater for any purposes, and preventing disturb</w:t>
      </w:r>
      <w:r w:rsidR="00D37A25">
        <w:rPr>
          <w:rFonts w:ascii="Arial" w:hAnsi="Arial" w:cs="Arial"/>
          <w:sz w:val="20"/>
          <w:szCs w:val="20"/>
        </w:rPr>
        <w:t xml:space="preserve">ance of Site soil without prior </w:t>
      </w:r>
      <w:r w:rsidR="00D37A25" w:rsidRPr="00D37A25">
        <w:rPr>
          <w:rFonts w:ascii="Arial" w:hAnsi="Arial" w:cs="Arial"/>
          <w:sz w:val="20"/>
          <w:szCs w:val="20"/>
        </w:rPr>
        <w:t xml:space="preserve">approval from </w:t>
      </w:r>
      <w:r w:rsidR="00D37A25">
        <w:rPr>
          <w:rFonts w:ascii="Arial" w:hAnsi="Arial" w:cs="Arial"/>
          <w:sz w:val="20"/>
          <w:szCs w:val="20"/>
        </w:rPr>
        <w:t xml:space="preserve">the Hazardous Waste Section.  </w:t>
      </w:r>
    </w:p>
    <w:p w14:paraId="3EC75BAD" w14:textId="0114CB93" w:rsidR="00D37A25" w:rsidRDefault="00D37A25" w:rsidP="00D37A25">
      <w:pPr>
        <w:autoSpaceDE w:val="0"/>
        <w:autoSpaceDN w:val="0"/>
        <w:adjustRightInd w:val="0"/>
        <w:spacing w:after="0" w:line="240" w:lineRule="auto"/>
        <w:jc w:val="both"/>
        <w:rPr>
          <w:rFonts w:ascii="Arial" w:hAnsi="Arial" w:cs="Arial"/>
          <w:sz w:val="20"/>
          <w:szCs w:val="20"/>
        </w:rPr>
      </w:pPr>
    </w:p>
    <w:p w14:paraId="40E21332" w14:textId="77777777" w:rsidR="00BE7592" w:rsidRPr="00BE7592" w:rsidRDefault="00BE7592" w:rsidP="00D37A25">
      <w:pPr>
        <w:autoSpaceDE w:val="0"/>
        <w:autoSpaceDN w:val="0"/>
        <w:adjustRightInd w:val="0"/>
        <w:spacing w:after="0" w:line="240" w:lineRule="auto"/>
        <w:jc w:val="both"/>
        <w:rPr>
          <w:rFonts w:ascii="Arial" w:hAnsi="Arial" w:cs="Arial"/>
          <w:b/>
          <w:sz w:val="20"/>
          <w:szCs w:val="20"/>
          <w:u w:val="single"/>
        </w:rPr>
      </w:pPr>
      <w:r w:rsidRPr="00BE7592">
        <w:rPr>
          <w:rFonts w:ascii="Arial" w:hAnsi="Arial" w:cs="Arial"/>
          <w:b/>
          <w:sz w:val="20"/>
          <w:szCs w:val="20"/>
          <w:u w:val="single"/>
        </w:rPr>
        <w:t>Remedy</w:t>
      </w:r>
    </w:p>
    <w:p w14:paraId="7BEC47D6" w14:textId="77777777" w:rsidR="00BE7592" w:rsidRDefault="00BE7592" w:rsidP="00D37A25">
      <w:pPr>
        <w:autoSpaceDE w:val="0"/>
        <w:autoSpaceDN w:val="0"/>
        <w:adjustRightInd w:val="0"/>
        <w:spacing w:after="0" w:line="240" w:lineRule="auto"/>
        <w:jc w:val="both"/>
        <w:rPr>
          <w:rFonts w:ascii="Arial" w:hAnsi="Arial" w:cs="Arial"/>
          <w:sz w:val="20"/>
          <w:szCs w:val="20"/>
        </w:rPr>
      </w:pPr>
    </w:p>
    <w:p w14:paraId="477BDDF7" w14:textId="3C073796" w:rsidR="00A20D9E" w:rsidRDefault="00D37A25" w:rsidP="00D37A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Land use restrictions constitute one part of the final corrective measures strategy.  </w:t>
      </w:r>
      <w:r w:rsidR="00A20D9E">
        <w:rPr>
          <w:rFonts w:ascii="Arial" w:hAnsi="Arial" w:cs="Arial"/>
          <w:sz w:val="20"/>
          <w:szCs w:val="20"/>
        </w:rPr>
        <w:t xml:space="preserve">Annual certification of continued compliance with restrictions is required.  </w:t>
      </w:r>
    </w:p>
    <w:p w14:paraId="56133C42" w14:textId="77777777" w:rsidR="00A20D9E" w:rsidRDefault="00A20D9E" w:rsidP="00D37A25">
      <w:pPr>
        <w:autoSpaceDE w:val="0"/>
        <w:autoSpaceDN w:val="0"/>
        <w:adjustRightInd w:val="0"/>
        <w:spacing w:after="0" w:line="240" w:lineRule="auto"/>
        <w:jc w:val="both"/>
        <w:rPr>
          <w:rFonts w:ascii="Arial" w:hAnsi="Arial" w:cs="Arial"/>
          <w:sz w:val="20"/>
          <w:szCs w:val="20"/>
        </w:rPr>
      </w:pPr>
    </w:p>
    <w:p w14:paraId="15D28412" w14:textId="75FF169B" w:rsidR="00D37A25" w:rsidRDefault="007A09A0" w:rsidP="00D37A25">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The second part of the strategy involves active remediation of contaminated groundwater in the source area and monitored natural attenuation to address downgradient impacts.  </w:t>
      </w:r>
      <w:r w:rsidR="00A50A74">
        <w:rPr>
          <w:rFonts w:ascii="Arial" w:hAnsi="Arial" w:cs="Arial"/>
          <w:sz w:val="20"/>
          <w:szCs w:val="20"/>
        </w:rPr>
        <w:t xml:space="preserve">This strategy was selected as the most cost-efficient source area remedy while still achieving significant reductions in contamination.  </w:t>
      </w:r>
    </w:p>
    <w:p w14:paraId="03CC8BB8" w14:textId="5918CF5C" w:rsidR="007A09A0" w:rsidRDefault="007A09A0" w:rsidP="00D37A25">
      <w:pPr>
        <w:autoSpaceDE w:val="0"/>
        <w:autoSpaceDN w:val="0"/>
        <w:adjustRightInd w:val="0"/>
        <w:spacing w:after="0" w:line="240" w:lineRule="auto"/>
        <w:jc w:val="both"/>
        <w:rPr>
          <w:rFonts w:ascii="Arial" w:hAnsi="Arial" w:cs="Arial"/>
          <w:sz w:val="20"/>
          <w:szCs w:val="20"/>
        </w:rPr>
      </w:pPr>
    </w:p>
    <w:p w14:paraId="27D7DB22" w14:textId="70AC06A9" w:rsidR="007A09A0" w:rsidRPr="00A50A74" w:rsidRDefault="007A09A0" w:rsidP="00A50A74">
      <w:pPr>
        <w:autoSpaceDE w:val="0"/>
        <w:autoSpaceDN w:val="0"/>
        <w:adjustRightInd w:val="0"/>
        <w:spacing w:after="0" w:line="240" w:lineRule="auto"/>
        <w:jc w:val="both"/>
        <w:rPr>
          <w:rFonts w:ascii="Arial" w:hAnsi="Arial" w:cs="Arial"/>
          <w:sz w:val="20"/>
          <w:szCs w:val="20"/>
        </w:rPr>
      </w:pPr>
      <w:r w:rsidRPr="00A50A74">
        <w:rPr>
          <w:rFonts w:ascii="Arial" w:hAnsi="Arial" w:cs="Arial"/>
          <w:sz w:val="20"/>
          <w:szCs w:val="20"/>
        </w:rPr>
        <w:t xml:space="preserve">The groundwater contaminant plume will be addressed in the source area by enhanced reductive </w:t>
      </w:r>
      <w:r w:rsidR="006963B0" w:rsidRPr="00A50A74">
        <w:rPr>
          <w:rFonts w:ascii="Arial" w:hAnsi="Arial" w:cs="Arial"/>
          <w:sz w:val="20"/>
          <w:szCs w:val="20"/>
        </w:rPr>
        <w:t>de</w:t>
      </w:r>
      <w:r w:rsidR="00A50A74">
        <w:rPr>
          <w:rFonts w:ascii="Arial" w:hAnsi="Arial" w:cs="Arial"/>
          <w:sz w:val="20"/>
          <w:szCs w:val="20"/>
        </w:rPr>
        <w:t>chlorination, which is a widely-</w:t>
      </w:r>
      <w:r w:rsidR="006963B0" w:rsidRPr="00A50A74">
        <w:rPr>
          <w:rFonts w:ascii="Arial" w:hAnsi="Arial" w:cs="Arial"/>
          <w:sz w:val="20"/>
          <w:szCs w:val="20"/>
        </w:rPr>
        <w:t xml:space="preserve">accepted technology for </w:t>
      </w:r>
      <w:r w:rsidR="006963B0" w:rsidRPr="00A50A74">
        <w:rPr>
          <w:rFonts w:ascii="Arial" w:hAnsi="Arial" w:cs="Arial"/>
          <w:i/>
          <w:sz w:val="20"/>
          <w:szCs w:val="20"/>
        </w:rPr>
        <w:t xml:space="preserve">in situ </w:t>
      </w:r>
      <w:r w:rsidR="006963B0" w:rsidRPr="00A50A74">
        <w:rPr>
          <w:rFonts w:ascii="Arial" w:hAnsi="Arial" w:cs="Arial"/>
          <w:sz w:val="20"/>
          <w:szCs w:val="20"/>
        </w:rPr>
        <w:t>remediation of chlorinated</w:t>
      </w:r>
      <w:r w:rsidR="00A97D91">
        <w:rPr>
          <w:rFonts w:ascii="Arial" w:hAnsi="Arial" w:cs="Arial"/>
          <w:sz w:val="20"/>
          <w:szCs w:val="20"/>
        </w:rPr>
        <w:t xml:space="preserve"> VOCs</w:t>
      </w:r>
      <w:r w:rsidR="006963B0" w:rsidRPr="00A50A74">
        <w:rPr>
          <w:rFonts w:ascii="Arial" w:hAnsi="Arial" w:cs="Arial"/>
          <w:sz w:val="20"/>
          <w:szCs w:val="20"/>
        </w:rPr>
        <w:t xml:space="preserve">.  </w:t>
      </w:r>
      <w:r w:rsidR="00A50A74" w:rsidRPr="00A50A74">
        <w:rPr>
          <w:rFonts w:ascii="Arial" w:hAnsi="Arial" w:cs="Arial"/>
          <w:sz w:val="20"/>
          <w:szCs w:val="20"/>
        </w:rPr>
        <w:t xml:space="preserve">Three injection wells </w:t>
      </w:r>
      <w:r w:rsidR="00A50A74">
        <w:rPr>
          <w:rFonts w:ascii="Arial" w:hAnsi="Arial" w:cs="Arial"/>
          <w:sz w:val="20"/>
          <w:szCs w:val="20"/>
        </w:rPr>
        <w:t xml:space="preserve">will be used to treat </w:t>
      </w:r>
      <w:r w:rsidR="00A50A74" w:rsidRPr="00A50A74">
        <w:rPr>
          <w:rFonts w:ascii="Arial" w:hAnsi="Arial" w:cs="Arial"/>
          <w:sz w:val="20"/>
          <w:szCs w:val="20"/>
        </w:rPr>
        <w:t>the main source area</w:t>
      </w:r>
      <w:r w:rsidR="004A505B">
        <w:rPr>
          <w:rFonts w:ascii="Arial" w:hAnsi="Arial" w:cs="Arial"/>
          <w:sz w:val="20"/>
          <w:szCs w:val="20"/>
        </w:rPr>
        <w:t xml:space="preserve"> using emulsified </w:t>
      </w:r>
      <w:r w:rsidR="00A945FE">
        <w:rPr>
          <w:rFonts w:ascii="Arial" w:hAnsi="Arial" w:cs="Arial"/>
          <w:sz w:val="20"/>
          <w:szCs w:val="20"/>
        </w:rPr>
        <w:t>vegetable oil</w:t>
      </w:r>
      <w:r w:rsidR="00A50A74" w:rsidRPr="00A50A74">
        <w:rPr>
          <w:rFonts w:ascii="Arial" w:hAnsi="Arial" w:cs="Arial"/>
          <w:sz w:val="20"/>
          <w:szCs w:val="20"/>
        </w:rPr>
        <w:t>.</w:t>
      </w:r>
      <w:r w:rsidR="004A505B">
        <w:rPr>
          <w:rFonts w:ascii="Arial" w:hAnsi="Arial" w:cs="Arial"/>
          <w:sz w:val="20"/>
          <w:szCs w:val="20"/>
        </w:rPr>
        <w:t xml:space="preserve">  </w:t>
      </w:r>
      <w:r w:rsidR="00A50A74" w:rsidRPr="00A50A74">
        <w:rPr>
          <w:rFonts w:ascii="Arial" w:hAnsi="Arial" w:cs="Arial"/>
          <w:sz w:val="20"/>
          <w:szCs w:val="20"/>
        </w:rPr>
        <w:t>The locations and depths of the injection wells</w:t>
      </w:r>
      <w:r w:rsidR="00A50A74">
        <w:rPr>
          <w:rFonts w:ascii="Arial" w:hAnsi="Arial" w:cs="Arial"/>
          <w:sz w:val="20"/>
          <w:szCs w:val="20"/>
        </w:rPr>
        <w:t xml:space="preserve"> </w:t>
      </w:r>
      <w:r w:rsidR="00A50A74" w:rsidRPr="00A50A74">
        <w:rPr>
          <w:rFonts w:ascii="Arial" w:hAnsi="Arial" w:cs="Arial"/>
          <w:sz w:val="20"/>
          <w:szCs w:val="20"/>
        </w:rPr>
        <w:t xml:space="preserve">were selected to treat the zone with the highest concentrations of </w:t>
      </w:r>
      <w:r w:rsidR="00A50A74">
        <w:rPr>
          <w:rFonts w:ascii="Arial" w:hAnsi="Arial" w:cs="Arial"/>
          <w:sz w:val="20"/>
          <w:szCs w:val="20"/>
        </w:rPr>
        <w:t xml:space="preserve">contamination.  The proposed injection </w:t>
      </w:r>
      <w:r w:rsidR="00A50A74" w:rsidRPr="00A50A74">
        <w:rPr>
          <w:rFonts w:ascii="Arial" w:hAnsi="Arial" w:cs="Arial"/>
          <w:sz w:val="20"/>
          <w:szCs w:val="20"/>
        </w:rPr>
        <w:t xml:space="preserve">wells will be drilled using air rotary techniques to total depths of approximately 80 </w:t>
      </w:r>
      <w:r w:rsidR="00A50A74">
        <w:rPr>
          <w:rFonts w:ascii="Arial" w:hAnsi="Arial" w:cs="Arial"/>
          <w:sz w:val="20"/>
          <w:szCs w:val="20"/>
        </w:rPr>
        <w:t xml:space="preserve">feet below land surface.  The wells </w:t>
      </w:r>
      <w:r w:rsidR="00A50A74" w:rsidRPr="00A50A74">
        <w:rPr>
          <w:rFonts w:ascii="Arial" w:hAnsi="Arial" w:cs="Arial"/>
          <w:sz w:val="20"/>
          <w:szCs w:val="20"/>
        </w:rPr>
        <w:t xml:space="preserve">will be screened from 80 </w:t>
      </w:r>
      <w:r w:rsidR="00A50A74">
        <w:rPr>
          <w:rFonts w:ascii="Arial" w:hAnsi="Arial" w:cs="Arial"/>
          <w:sz w:val="20"/>
          <w:szCs w:val="20"/>
        </w:rPr>
        <w:t xml:space="preserve">feet below land surface to the </w:t>
      </w:r>
      <w:r w:rsidR="00A50A74" w:rsidRPr="00A50A74">
        <w:rPr>
          <w:rFonts w:ascii="Arial" w:hAnsi="Arial" w:cs="Arial"/>
          <w:sz w:val="20"/>
          <w:szCs w:val="20"/>
        </w:rPr>
        <w:t xml:space="preserve">top of </w:t>
      </w:r>
      <w:r w:rsidR="00A50A74">
        <w:rPr>
          <w:rFonts w:ascii="Arial" w:hAnsi="Arial" w:cs="Arial"/>
          <w:sz w:val="20"/>
          <w:szCs w:val="20"/>
        </w:rPr>
        <w:t xml:space="preserve">water table, </w:t>
      </w:r>
      <w:r w:rsidR="00A50A74" w:rsidRPr="00A50A74">
        <w:rPr>
          <w:rFonts w:ascii="Arial" w:hAnsi="Arial" w:cs="Arial"/>
          <w:sz w:val="20"/>
          <w:szCs w:val="20"/>
        </w:rPr>
        <w:t xml:space="preserve">approximately 40 </w:t>
      </w:r>
      <w:r w:rsidR="00A50A74">
        <w:rPr>
          <w:rFonts w:ascii="Arial" w:hAnsi="Arial" w:cs="Arial"/>
          <w:sz w:val="20"/>
          <w:szCs w:val="20"/>
        </w:rPr>
        <w:t xml:space="preserve">feet below land surface.  </w:t>
      </w:r>
    </w:p>
    <w:p w14:paraId="75F0FFF2" w14:textId="3997EF22" w:rsidR="006963B0" w:rsidRDefault="006963B0" w:rsidP="00D37A25">
      <w:pPr>
        <w:autoSpaceDE w:val="0"/>
        <w:autoSpaceDN w:val="0"/>
        <w:adjustRightInd w:val="0"/>
        <w:spacing w:after="0" w:line="240" w:lineRule="auto"/>
        <w:jc w:val="both"/>
        <w:rPr>
          <w:rFonts w:ascii="Arial" w:hAnsi="Arial" w:cs="Arial"/>
          <w:sz w:val="20"/>
          <w:szCs w:val="20"/>
        </w:rPr>
      </w:pPr>
    </w:p>
    <w:p w14:paraId="14BDCDE3" w14:textId="3AAEA53B" w:rsidR="006963B0" w:rsidRPr="006963B0" w:rsidRDefault="00196FD1" w:rsidP="006963B0">
      <w:pPr>
        <w:autoSpaceDE w:val="0"/>
        <w:autoSpaceDN w:val="0"/>
        <w:adjustRightInd w:val="0"/>
        <w:spacing w:after="0" w:line="240" w:lineRule="auto"/>
        <w:jc w:val="both"/>
        <w:rPr>
          <w:rFonts w:ascii="Arial" w:hAnsi="Arial" w:cs="Arial"/>
          <w:sz w:val="20"/>
          <w:szCs w:val="20"/>
        </w:rPr>
      </w:pPr>
      <w:r>
        <w:rPr>
          <w:rFonts w:ascii="Arial" w:hAnsi="Arial" w:cs="Arial"/>
          <w:sz w:val="20"/>
          <w:szCs w:val="20"/>
        </w:rPr>
        <w:t>Downgradient impacts will be addressed through m</w:t>
      </w:r>
      <w:r w:rsidR="006963B0">
        <w:rPr>
          <w:rFonts w:ascii="Arial" w:hAnsi="Arial" w:cs="Arial"/>
          <w:sz w:val="20"/>
          <w:szCs w:val="20"/>
        </w:rPr>
        <w:t>onitored natural attenuation</w:t>
      </w:r>
      <w:r w:rsidR="006963B0" w:rsidRPr="006963B0">
        <w:rPr>
          <w:rFonts w:ascii="Arial" w:hAnsi="Arial" w:cs="Arial"/>
          <w:sz w:val="20"/>
          <w:szCs w:val="20"/>
        </w:rPr>
        <w:t xml:space="preserve"> </w:t>
      </w:r>
      <w:r>
        <w:rPr>
          <w:rFonts w:ascii="Arial" w:hAnsi="Arial" w:cs="Arial"/>
          <w:sz w:val="20"/>
          <w:szCs w:val="20"/>
        </w:rPr>
        <w:t xml:space="preserve">(MNA).  MNA </w:t>
      </w:r>
      <w:r w:rsidR="006963B0" w:rsidRPr="006963B0">
        <w:rPr>
          <w:rFonts w:ascii="Arial" w:hAnsi="Arial" w:cs="Arial"/>
          <w:sz w:val="20"/>
          <w:szCs w:val="20"/>
        </w:rPr>
        <w:t xml:space="preserve">is a remedial option in which groundwater samples are </w:t>
      </w:r>
      <w:r w:rsidR="006963B0">
        <w:rPr>
          <w:rFonts w:ascii="Arial" w:hAnsi="Arial" w:cs="Arial"/>
          <w:sz w:val="20"/>
          <w:szCs w:val="20"/>
        </w:rPr>
        <w:t xml:space="preserve">routinely collected from select monitoring </w:t>
      </w:r>
      <w:r w:rsidR="006963B0" w:rsidRPr="006963B0">
        <w:rPr>
          <w:rFonts w:ascii="Arial" w:hAnsi="Arial" w:cs="Arial"/>
          <w:sz w:val="20"/>
          <w:szCs w:val="20"/>
        </w:rPr>
        <w:t>wells for analysis of compounds present in Site groundwa</w:t>
      </w:r>
      <w:r w:rsidR="006963B0">
        <w:rPr>
          <w:rFonts w:ascii="Arial" w:hAnsi="Arial" w:cs="Arial"/>
          <w:sz w:val="20"/>
          <w:szCs w:val="20"/>
        </w:rPr>
        <w:t xml:space="preserve">ter and geochemical parameters.  These data </w:t>
      </w:r>
      <w:r w:rsidR="006963B0" w:rsidRPr="006963B0">
        <w:rPr>
          <w:rFonts w:ascii="Arial" w:hAnsi="Arial" w:cs="Arial"/>
          <w:sz w:val="20"/>
          <w:szCs w:val="20"/>
        </w:rPr>
        <w:t xml:space="preserve">are used to evaluate compound concentrations over time </w:t>
      </w:r>
      <w:r w:rsidR="006963B0">
        <w:rPr>
          <w:rFonts w:ascii="Arial" w:hAnsi="Arial" w:cs="Arial"/>
          <w:sz w:val="20"/>
          <w:szCs w:val="20"/>
        </w:rPr>
        <w:t xml:space="preserve">and to evaluate whether natural processes such </w:t>
      </w:r>
      <w:r w:rsidR="006963B0" w:rsidRPr="006963B0">
        <w:rPr>
          <w:rFonts w:ascii="Arial" w:hAnsi="Arial" w:cs="Arial"/>
          <w:sz w:val="20"/>
          <w:szCs w:val="20"/>
        </w:rPr>
        <w:t xml:space="preserve">as reductive dechlorination continue to occur at the </w:t>
      </w:r>
      <w:r w:rsidR="006963B0">
        <w:rPr>
          <w:rFonts w:ascii="Arial" w:hAnsi="Arial" w:cs="Arial"/>
          <w:sz w:val="20"/>
          <w:szCs w:val="20"/>
        </w:rPr>
        <w:t xml:space="preserve">Site. Additionally, MNA data are used to understand </w:t>
      </w:r>
      <w:r w:rsidR="006963B0" w:rsidRPr="006963B0">
        <w:rPr>
          <w:rFonts w:ascii="Arial" w:hAnsi="Arial" w:cs="Arial"/>
          <w:sz w:val="20"/>
          <w:szCs w:val="20"/>
        </w:rPr>
        <w:t>plume migration over time to ensure that receptors, i</w:t>
      </w:r>
      <w:r w:rsidR="006963B0">
        <w:rPr>
          <w:rFonts w:ascii="Arial" w:hAnsi="Arial" w:cs="Arial"/>
          <w:sz w:val="20"/>
          <w:szCs w:val="20"/>
        </w:rPr>
        <w:t xml:space="preserve">f present, will not be impacted and thereby protecting </w:t>
      </w:r>
      <w:r w:rsidR="006963B0" w:rsidRPr="006963B0">
        <w:rPr>
          <w:rFonts w:ascii="Arial" w:hAnsi="Arial" w:cs="Arial"/>
          <w:sz w:val="20"/>
          <w:szCs w:val="20"/>
        </w:rPr>
        <w:t>human health and the environment. A natural a</w:t>
      </w:r>
      <w:r w:rsidR="006963B0">
        <w:rPr>
          <w:rFonts w:ascii="Arial" w:hAnsi="Arial" w:cs="Arial"/>
          <w:sz w:val="20"/>
          <w:szCs w:val="20"/>
        </w:rPr>
        <w:t xml:space="preserve">ttenuation corrective action approach is appropriate where </w:t>
      </w:r>
      <w:r w:rsidR="006963B0" w:rsidRPr="006963B0">
        <w:rPr>
          <w:rFonts w:ascii="Arial" w:hAnsi="Arial" w:cs="Arial"/>
          <w:sz w:val="20"/>
          <w:szCs w:val="20"/>
        </w:rPr>
        <w:t>impacted soils are not continuin</w:t>
      </w:r>
      <w:r w:rsidR="006963B0">
        <w:rPr>
          <w:rFonts w:ascii="Arial" w:hAnsi="Arial" w:cs="Arial"/>
          <w:sz w:val="20"/>
          <w:szCs w:val="20"/>
        </w:rPr>
        <w:t xml:space="preserve">g to be a source of groundwater </w:t>
      </w:r>
      <w:r w:rsidR="006963B0" w:rsidRPr="006963B0">
        <w:rPr>
          <w:rFonts w:ascii="Arial" w:hAnsi="Arial" w:cs="Arial"/>
          <w:sz w:val="20"/>
          <w:szCs w:val="20"/>
        </w:rPr>
        <w:t>impacts, chemicals of concern are biodegrading, and potential receptors are not affected.</w:t>
      </w:r>
    </w:p>
    <w:p w14:paraId="2EA171B9" w14:textId="1EA37068" w:rsidR="00C77196" w:rsidRPr="006963B0" w:rsidRDefault="00C77196" w:rsidP="00C77196">
      <w:pPr>
        <w:autoSpaceDE w:val="0"/>
        <w:autoSpaceDN w:val="0"/>
        <w:adjustRightInd w:val="0"/>
        <w:spacing w:after="0" w:line="240" w:lineRule="auto"/>
        <w:jc w:val="both"/>
        <w:rPr>
          <w:rFonts w:ascii="Arial" w:hAnsi="Arial" w:cs="Arial"/>
          <w:sz w:val="20"/>
          <w:szCs w:val="20"/>
        </w:rPr>
      </w:pPr>
    </w:p>
    <w:p w14:paraId="14500037" w14:textId="67ED0181" w:rsidR="007D1008" w:rsidRDefault="009215B7" w:rsidP="007C2B30">
      <w:pPr>
        <w:autoSpaceDE w:val="0"/>
        <w:autoSpaceDN w:val="0"/>
        <w:adjustRightInd w:val="0"/>
        <w:spacing w:after="0" w:line="240" w:lineRule="auto"/>
        <w:jc w:val="both"/>
        <w:rPr>
          <w:rFonts w:ascii="Arial" w:hAnsi="Arial" w:cs="Arial"/>
          <w:sz w:val="20"/>
          <w:szCs w:val="20"/>
        </w:rPr>
      </w:pPr>
      <w:r w:rsidRPr="007C2B30">
        <w:rPr>
          <w:rFonts w:ascii="Arial" w:hAnsi="Arial" w:cs="Arial"/>
          <w:sz w:val="20"/>
          <w:szCs w:val="20"/>
        </w:rPr>
        <w:t xml:space="preserve">Baseline and performance monitoring will be conducted as part of the selected remedial strategy.  </w:t>
      </w:r>
      <w:r w:rsidR="00A97D91" w:rsidRPr="007C2B30">
        <w:rPr>
          <w:rFonts w:ascii="Arial" w:hAnsi="Arial" w:cs="Arial"/>
          <w:sz w:val="20"/>
          <w:szCs w:val="20"/>
        </w:rPr>
        <w:t>Baseline conditions will be evaluated prior to injection activities.  Monitoring wells MW-1, MW-2, MW-4, MW-5, MW</w:t>
      </w:r>
      <w:r w:rsidR="00A97D91" w:rsidRPr="007C2B30">
        <w:rPr>
          <w:rFonts w:ascii="Arial" w:hAnsi="Arial" w:cs="Arial"/>
          <w:sz w:val="20"/>
          <w:szCs w:val="20"/>
        </w:rPr>
        <w:noBreakHyphen/>
        <w:t>6, MW-7A, MW-7B, MW-7C, MW-8, MW-9, MW-9A, MW-10, MW-10A, MW-11, MW-11A, IW-1, IW-2, and IW</w:t>
      </w:r>
      <w:r w:rsidR="00A97D91" w:rsidRPr="007C2B30">
        <w:rPr>
          <w:rFonts w:ascii="Arial" w:hAnsi="Arial" w:cs="Arial"/>
          <w:sz w:val="20"/>
          <w:szCs w:val="20"/>
        </w:rPr>
        <w:noBreakHyphen/>
        <w:t xml:space="preserve">3 will be </w:t>
      </w:r>
      <w:r w:rsidR="007C2B30">
        <w:rPr>
          <w:rFonts w:ascii="Arial" w:hAnsi="Arial" w:cs="Arial"/>
          <w:sz w:val="20"/>
          <w:szCs w:val="20"/>
        </w:rPr>
        <w:t xml:space="preserve">analyzed </w:t>
      </w:r>
      <w:r w:rsidR="00A97D91" w:rsidRPr="007C2B30">
        <w:rPr>
          <w:rFonts w:ascii="Arial" w:hAnsi="Arial" w:cs="Arial"/>
          <w:sz w:val="20"/>
          <w:szCs w:val="20"/>
        </w:rPr>
        <w:t xml:space="preserve">for VOCs and 1,4-dioxane using EPA Method 8260B.  </w:t>
      </w:r>
      <w:r w:rsidR="007C2B30">
        <w:rPr>
          <w:rFonts w:ascii="Arial" w:hAnsi="Arial" w:cs="Arial"/>
          <w:sz w:val="20"/>
          <w:szCs w:val="20"/>
        </w:rPr>
        <w:t xml:space="preserve">Groundwater </w:t>
      </w:r>
      <w:r w:rsidR="007C2B30" w:rsidRPr="007C2B30">
        <w:rPr>
          <w:rFonts w:ascii="Arial" w:hAnsi="Arial" w:cs="Arial"/>
          <w:sz w:val="20"/>
          <w:szCs w:val="20"/>
        </w:rPr>
        <w:t>samples wil</w:t>
      </w:r>
      <w:r w:rsidR="007C2B30">
        <w:rPr>
          <w:rFonts w:ascii="Arial" w:hAnsi="Arial" w:cs="Arial"/>
          <w:sz w:val="20"/>
          <w:szCs w:val="20"/>
        </w:rPr>
        <w:t xml:space="preserve">l also be collected from select </w:t>
      </w:r>
      <w:r w:rsidR="007C2B30" w:rsidRPr="007C2B30">
        <w:rPr>
          <w:rFonts w:ascii="Arial" w:hAnsi="Arial" w:cs="Arial"/>
          <w:sz w:val="20"/>
          <w:szCs w:val="20"/>
        </w:rPr>
        <w:t>monitoring wells (MW-1,</w:t>
      </w:r>
      <w:r w:rsidR="007C2B30">
        <w:rPr>
          <w:rFonts w:ascii="Arial" w:hAnsi="Arial" w:cs="Arial"/>
          <w:sz w:val="20"/>
          <w:szCs w:val="20"/>
        </w:rPr>
        <w:t xml:space="preserve"> MW-6, MW-7A, MW-8, MW-9, IW-1, IW-2, and IW-3) for laboratory </w:t>
      </w:r>
      <w:r w:rsidR="007C2B30" w:rsidRPr="007C2B30">
        <w:rPr>
          <w:rFonts w:ascii="Arial" w:hAnsi="Arial" w:cs="Arial"/>
          <w:sz w:val="20"/>
          <w:szCs w:val="20"/>
        </w:rPr>
        <w:t>analysis of sulfate by EPA Method 3</w:t>
      </w:r>
      <w:r w:rsidR="007C2B30">
        <w:rPr>
          <w:rFonts w:ascii="Arial" w:hAnsi="Arial" w:cs="Arial"/>
          <w:sz w:val="20"/>
          <w:szCs w:val="20"/>
        </w:rPr>
        <w:t xml:space="preserve">00.0, dissolved gases (methane, </w:t>
      </w:r>
      <w:r w:rsidR="007C2B30" w:rsidRPr="007C2B30">
        <w:rPr>
          <w:rFonts w:ascii="Arial" w:hAnsi="Arial" w:cs="Arial"/>
          <w:sz w:val="20"/>
          <w:szCs w:val="20"/>
        </w:rPr>
        <w:t>eth</w:t>
      </w:r>
      <w:r w:rsidR="007C2B30">
        <w:rPr>
          <w:rFonts w:ascii="Arial" w:hAnsi="Arial" w:cs="Arial"/>
          <w:sz w:val="20"/>
          <w:szCs w:val="20"/>
        </w:rPr>
        <w:t xml:space="preserve">ane, and ethene) by EPA </w:t>
      </w:r>
      <w:r w:rsidR="007C2B30" w:rsidRPr="007C2B30">
        <w:rPr>
          <w:rFonts w:ascii="Arial" w:hAnsi="Arial" w:cs="Arial"/>
          <w:sz w:val="20"/>
          <w:szCs w:val="20"/>
        </w:rPr>
        <w:t>Method RSK 175, and total organic c</w:t>
      </w:r>
      <w:r w:rsidR="007C2B30">
        <w:rPr>
          <w:rFonts w:ascii="Arial" w:hAnsi="Arial" w:cs="Arial"/>
          <w:sz w:val="20"/>
          <w:szCs w:val="20"/>
        </w:rPr>
        <w:t xml:space="preserve">arbon (TOC) by EPA Method 5310B and field measurement of </w:t>
      </w:r>
      <w:r w:rsidR="007C2B30" w:rsidRPr="007C2B30">
        <w:rPr>
          <w:rFonts w:ascii="Arial" w:hAnsi="Arial" w:cs="Arial"/>
          <w:sz w:val="20"/>
          <w:szCs w:val="20"/>
        </w:rPr>
        <w:t xml:space="preserve">dissolved iron. </w:t>
      </w:r>
      <w:r w:rsidR="007C2B30">
        <w:rPr>
          <w:rFonts w:ascii="Arial" w:hAnsi="Arial" w:cs="Arial"/>
          <w:sz w:val="20"/>
          <w:szCs w:val="20"/>
        </w:rPr>
        <w:t>Baseline m</w:t>
      </w:r>
      <w:r w:rsidR="007C2B30" w:rsidRPr="007C2B30">
        <w:rPr>
          <w:rFonts w:ascii="Arial" w:hAnsi="Arial" w:cs="Arial"/>
          <w:sz w:val="20"/>
          <w:szCs w:val="20"/>
        </w:rPr>
        <w:t>onitoring will</w:t>
      </w:r>
      <w:r w:rsidR="007C2B30">
        <w:rPr>
          <w:rFonts w:ascii="Arial" w:hAnsi="Arial" w:cs="Arial"/>
          <w:sz w:val="20"/>
          <w:szCs w:val="20"/>
        </w:rPr>
        <w:t xml:space="preserve"> also include the collection of four surface water </w:t>
      </w:r>
      <w:r w:rsidR="007C2B30" w:rsidRPr="007C2B30">
        <w:rPr>
          <w:rFonts w:ascii="Arial" w:hAnsi="Arial" w:cs="Arial"/>
          <w:sz w:val="20"/>
          <w:szCs w:val="20"/>
        </w:rPr>
        <w:t>samples (SW-1 through SW-4) for laboratory analysis of VOCs by EPA Method 8260B.</w:t>
      </w:r>
    </w:p>
    <w:p w14:paraId="0A5F90CD" w14:textId="0F42C146" w:rsidR="00255F2C" w:rsidRDefault="00255F2C" w:rsidP="007C2B30">
      <w:pPr>
        <w:autoSpaceDE w:val="0"/>
        <w:autoSpaceDN w:val="0"/>
        <w:adjustRightInd w:val="0"/>
        <w:spacing w:after="0" w:line="240" w:lineRule="auto"/>
        <w:jc w:val="both"/>
        <w:rPr>
          <w:rFonts w:ascii="Arial" w:hAnsi="Arial" w:cs="Arial"/>
          <w:sz w:val="20"/>
          <w:szCs w:val="20"/>
        </w:rPr>
      </w:pPr>
    </w:p>
    <w:p w14:paraId="56E6C360" w14:textId="04754C8F" w:rsidR="00255F2C" w:rsidRDefault="00255F2C" w:rsidP="00255F2C">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w:t>
      </w:r>
      <w:r w:rsidRPr="00255F2C">
        <w:rPr>
          <w:rFonts w:ascii="Arial" w:hAnsi="Arial" w:cs="Arial"/>
          <w:sz w:val="20"/>
          <w:szCs w:val="20"/>
        </w:rPr>
        <w:t>erformance monitoring will be conducte</w:t>
      </w:r>
      <w:r>
        <w:rPr>
          <w:rFonts w:ascii="Arial" w:hAnsi="Arial" w:cs="Arial"/>
          <w:sz w:val="20"/>
          <w:szCs w:val="20"/>
        </w:rPr>
        <w:t xml:space="preserve">d to assess the efficacy of the </w:t>
      </w:r>
      <w:r w:rsidRPr="00255F2C">
        <w:rPr>
          <w:rFonts w:ascii="Arial" w:hAnsi="Arial" w:cs="Arial"/>
          <w:sz w:val="20"/>
          <w:szCs w:val="20"/>
        </w:rPr>
        <w:t xml:space="preserve">selected remedy. </w:t>
      </w:r>
      <w:r>
        <w:rPr>
          <w:rFonts w:ascii="Arial" w:hAnsi="Arial" w:cs="Arial"/>
          <w:sz w:val="20"/>
          <w:szCs w:val="20"/>
        </w:rPr>
        <w:t xml:space="preserve"> </w:t>
      </w:r>
      <w:r w:rsidRPr="00255F2C">
        <w:rPr>
          <w:rFonts w:ascii="Arial" w:hAnsi="Arial" w:cs="Arial"/>
          <w:sz w:val="20"/>
          <w:szCs w:val="20"/>
        </w:rPr>
        <w:t xml:space="preserve">Performance monitoring events will be conducted </w:t>
      </w:r>
      <w:r>
        <w:rPr>
          <w:rFonts w:ascii="Arial" w:hAnsi="Arial" w:cs="Arial"/>
          <w:sz w:val="20"/>
          <w:szCs w:val="20"/>
        </w:rPr>
        <w:t xml:space="preserve">three </w:t>
      </w:r>
      <w:r w:rsidRPr="00255F2C">
        <w:rPr>
          <w:rFonts w:ascii="Arial" w:hAnsi="Arial" w:cs="Arial"/>
          <w:sz w:val="20"/>
          <w:szCs w:val="20"/>
        </w:rPr>
        <w:t xml:space="preserve">months, </w:t>
      </w:r>
      <w:r>
        <w:rPr>
          <w:rFonts w:ascii="Arial" w:hAnsi="Arial" w:cs="Arial"/>
          <w:sz w:val="20"/>
          <w:szCs w:val="20"/>
        </w:rPr>
        <w:t xml:space="preserve">six </w:t>
      </w:r>
      <w:r w:rsidRPr="00255F2C">
        <w:rPr>
          <w:rFonts w:ascii="Arial" w:hAnsi="Arial" w:cs="Arial"/>
          <w:sz w:val="20"/>
          <w:szCs w:val="20"/>
        </w:rPr>
        <w:t xml:space="preserve">months, </w:t>
      </w:r>
      <w:r>
        <w:rPr>
          <w:rFonts w:ascii="Arial" w:hAnsi="Arial" w:cs="Arial"/>
          <w:sz w:val="20"/>
          <w:szCs w:val="20"/>
        </w:rPr>
        <w:t xml:space="preserve">twelve </w:t>
      </w:r>
      <w:r w:rsidRPr="00255F2C">
        <w:rPr>
          <w:rFonts w:ascii="Arial" w:hAnsi="Arial" w:cs="Arial"/>
          <w:sz w:val="20"/>
          <w:szCs w:val="20"/>
        </w:rPr>
        <w:t>months,</w:t>
      </w:r>
      <w:r>
        <w:rPr>
          <w:rFonts w:ascii="Arial" w:hAnsi="Arial" w:cs="Arial"/>
          <w:sz w:val="20"/>
          <w:szCs w:val="20"/>
        </w:rPr>
        <w:t xml:space="preserve"> eighteen </w:t>
      </w:r>
      <w:r w:rsidRPr="00255F2C">
        <w:rPr>
          <w:rFonts w:ascii="Arial" w:hAnsi="Arial" w:cs="Arial"/>
          <w:sz w:val="20"/>
          <w:szCs w:val="20"/>
        </w:rPr>
        <w:t xml:space="preserve">months, and </w:t>
      </w:r>
      <w:r>
        <w:rPr>
          <w:rFonts w:ascii="Arial" w:hAnsi="Arial" w:cs="Arial"/>
          <w:sz w:val="20"/>
          <w:szCs w:val="20"/>
        </w:rPr>
        <w:t xml:space="preserve">twenty-four </w:t>
      </w:r>
      <w:r w:rsidRPr="00255F2C">
        <w:rPr>
          <w:rFonts w:ascii="Arial" w:hAnsi="Arial" w:cs="Arial"/>
          <w:sz w:val="20"/>
          <w:szCs w:val="20"/>
        </w:rPr>
        <w:t xml:space="preserve">months following substrate injection. </w:t>
      </w:r>
      <w:r>
        <w:rPr>
          <w:rFonts w:ascii="Arial" w:hAnsi="Arial" w:cs="Arial"/>
          <w:sz w:val="20"/>
          <w:szCs w:val="20"/>
        </w:rPr>
        <w:t xml:space="preserve"> </w:t>
      </w:r>
      <w:r w:rsidRPr="00255F2C">
        <w:rPr>
          <w:rFonts w:ascii="Arial" w:hAnsi="Arial" w:cs="Arial"/>
          <w:sz w:val="20"/>
          <w:szCs w:val="20"/>
        </w:rPr>
        <w:t>After tw</w:t>
      </w:r>
      <w:r>
        <w:rPr>
          <w:rFonts w:ascii="Arial" w:hAnsi="Arial" w:cs="Arial"/>
          <w:sz w:val="20"/>
          <w:szCs w:val="20"/>
        </w:rPr>
        <w:t xml:space="preserve">o years, the monitoring program </w:t>
      </w:r>
      <w:r w:rsidRPr="00255F2C">
        <w:rPr>
          <w:rFonts w:ascii="Arial" w:hAnsi="Arial" w:cs="Arial"/>
          <w:sz w:val="20"/>
          <w:szCs w:val="20"/>
        </w:rPr>
        <w:t xml:space="preserve">will transition to biennial sampling. </w:t>
      </w:r>
      <w:r>
        <w:rPr>
          <w:rFonts w:ascii="Arial" w:hAnsi="Arial" w:cs="Arial"/>
          <w:sz w:val="20"/>
          <w:szCs w:val="20"/>
        </w:rPr>
        <w:t xml:space="preserve"> </w:t>
      </w:r>
    </w:p>
    <w:p w14:paraId="45688C02" w14:textId="77777777" w:rsidR="00255F2C" w:rsidRPr="00255F2C" w:rsidRDefault="00255F2C" w:rsidP="00255F2C">
      <w:pPr>
        <w:autoSpaceDE w:val="0"/>
        <w:autoSpaceDN w:val="0"/>
        <w:adjustRightInd w:val="0"/>
        <w:spacing w:after="0" w:line="240" w:lineRule="auto"/>
        <w:rPr>
          <w:rFonts w:ascii="Arial" w:hAnsi="Arial" w:cs="Arial"/>
          <w:sz w:val="20"/>
          <w:szCs w:val="20"/>
        </w:rPr>
      </w:pPr>
    </w:p>
    <w:p w14:paraId="33B067FD" w14:textId="3B63EB8B" w:rsidR="00A528C9" w:rsidRPr="00255F2C" w:rsidRDefault="00255F2C" w:rsidP="00255F2C">
      <w:pPr>
        <w:autoSpaceDE w:val="0"/>
        <w:autoSpaceDN w:val="0"/>
        <w:adjustRightInd w:val="0"/>
        <w:spacing w:after="0" w:line="240" w:lineRule="auto"/>
        <w:jc w:val="both"/>
        <w:rPr>
          <w:rFonts w:ascii="Arial" w:hAnsi="Arial" w:cs="Arial"/>
          <w:sz w:val="20"/>
          <w:szCs w:val="20"/>
        </w:rPr>
      </w:pPr>
      <w:r w:rsidRPr="00255F2C">
        <w:rPr>
          <w:rFonts w:ascii="Arial" w:hAnsi="Arial" w:cs="Arial"/>
          <w:sz w:val="20"/>
          <w:szCs w:val="20"/>
        </w:rPr>
        <w:t xml:space="preserve">Surface water samples SW-1 through SW-4 will be collected and analyzed during the </w:t>
      </w:r>
      <w:r>
        <w:rPr>
          <w:rFonts w:ascii="Arial" w:hAnsi="Arial" w:cs="Arial"/>
          <w:sz w:val="20"/>
          <w:szCs w:val="20"/>
        </w:rPr>
        <w:t xml:space="preserve">twelve </w:t>
      </w:r>
      <w:r w:rsidRPr="00255F2C">
        <w:rPr>
          <w:rFonts w:ascii="Arial" w:hAnsi="Arial" w:cs="Arial"/>
          <w:sz w:val="20"/>
          <w:szCs w:val="20"/>
        </w:rPr>
        <w:t>month and</w:t>
      </w:r>
      <w:r>
        <w:rPr>
          <w:rFonts w:ascii="Arial" w:hAnsi="Arial" w:cs="Arial"/>
          <w:sz w:val="20"/>
          <w:szCs w:val="20"/>
        </w:rPr>
        <w:t xml:space="preserve"> twenty-four-month</w:t>
      </w:r>
      <w:r w:rsidRPr="00255F2C">
        <w:rPr>
          <w:rFonts w:ascii="Arial" w:hAnsi="Arial" w:cs="Arial"/>
          <w:sz w:val="20"/>
          <w:szCs w:val="20"/>
        </w:rPr>
        <w:t xml:space="preserve"> monitoring events. Concentrations of VOCs have previously been detected in surface water</w:t>
      </w:r>
      <w:r>
        <w:rPr>
          <w:rFonts w:ascii="Arial" w:hAnsi="Arial" w:cs="Arial"/>
          <w:sz w:val="20"/>
          <w:szCs w:val="20"/>
        </w:rPr>
        <w:t xml:space="preserve"> </w:t>
      </w:r>
      <w:r w:rsidRPr="00255F2C">
        <w:rPr>
          <w:rFonts w:ascii="Arial" w:hAnsi="Arial" w:cs="Arial"/>
          <w:sz w:val="20"/>
          <w:szCs w:val="20"/>
        </w:rPr>
        <w:t xml:space="preserve">samples; however, </w:t>
      </w:r>
      <w:r>
        <w:rPr>
          <w:rFonts w:ascii="Arial" w:hAnsi="Arial" w:cs="Arial"/>
          <w:sz w:val="20"/>
          <w:szCs w:val="20"/>
        </w:rPr>
        <w:t xml:space="preserve">concentrations have been </w:t>
      </w:r>
      <w:r w:rsidRPr="00255F2C">
        <w:rPr>
          <w:rFonts w:ascii="Arial" w:hAnsi="Arial" w:cs="Arial"/>
          <w:sz w:val="20"/>
          <w:szCs w:val="20"/>
        </w:rPr>
        <w:t>consistently below 2B Surface Water Standards. If surface water</w:t>
      </w:r>
      <w:r>
        <w:rPr>
          <w:rFonts w:ascii="Arial" w:hAnsi="Arial" w:cs="Arial"/>
          <w:sz w:val="20"/>
          <w:szCs w:val="20"/>
        </w:rPr>
        <w:t xml:space="preserve"> </w:t>
      </w:r>
      <w:r w:rsidRPr="00255F2C">
        <w:rPr>
          <w:rFonts w:ascii="Arial" w:hAnsi="Arial" w:cs="Arial"/>
          <w:sz w:val="20"/>
          <w:szCs w:val="20"/>
        </w:rPr>
        <w:t>concentrations remain below 2B Standards, surface water sampling will be discontinued following</w:t>
      </w:r>
      <w:r>
        <w:rPr>
          <w:rFonts w:ascii="Arial" w:hAnsi="Arial" w:cs="Arial"/>
          <w:sz w:val="20"/>
          <w:szCs w:val="20"/>
        </w:rPr>
        <w:t xml:space="preserve"> the twenty-four-month </w:t>
      </w:r>
      <w:r w:rsidRPr="00255F2C">
        <w:rPr>
          <w:rFonts w:ascii="Arial" w:hAnsi="Arial" w:cs="Arial"/>
          <w:sz w:val="20"/>
          <w:szCs w:val="20"/>
        </w:rPr>
        <w:t>performance monitoring event.</w:t>
      </w:r>
    </w:p>
    <w:p w14:paraId="6507A9CD" w14:textId="1E488C01" w:rsidR="00CD5914" w:rsidRPr="00CD5914" w:rsidRDefault="00CD5914" w:rsidP="00435608">
      <w:pPr>
        <w:spacing w:after="0"/>
        <w:rPr>
          <w:rFonts w:ascii="Arial" w:hAnsi="Arial" w:cs="Arial"/>
          <w:szCs w:val="20"/>
        </w:rPr>
      </w:pPr>
    </w:p>
    <w:sectPr w:rsidR="00CD5914" w:rsidRPr="00CD5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14"/>
    <w:rsid w:val="00196FD1"/>
    <w:rsid w:val="001E2510"/>
    <w:rsid w:val="00255F2C"/>
    <w:rsid w:val="00314F15"/>
    <w:rsid w:val="003F6B79"/>
    <w:rsid w:val="00435608"/>
    <w:rsid w:val="004A505B"/>
    <w:rsid w:val="00600054"/>
    <w:rsid w:val="00643945"/>
    <w:rsid w:val="006963B0"/>
    <w:rsid w:val="006C1AB9"/>
    <w:rsid w:val="007A09A0"/>
    <w:rsid w:val="007C2B30"/>
    <w:rsid w:val="007D1008"/>
    <w:rsid w:val="007D3443"/>
    <w:rsid w:val="009215B7"/>
    <w:rsid w:val="009D4A06"/>
    <w:rsid w:val="00A20D9E"/>
    <w:rsid w:val="00A50A74"/>
    <w:rsid w:val="00A528C9"/>
    <w:rsid w:val="00A945FE"/>
    <w:rsid w:val="00A97D91"/>
    <w:rsid w:val="00BE7592"/>
    <w:rsid w:val="00C77196"/>
    <w:rsid w:val="00CC4C79"/>
    <w:rsid w:val="00CD5914"/>
    <w:rsid w:val="00CF7307"/>
    <w:rsid w:val="00D37A25"/>
    <w:rsid w:val="00FC5443"/>
    <w:rsid w:val="00FE0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8AAD"/>
  <w15:chartTrackingRefBased/>
  <w15:docId w15:val="{A1D19719-3B4D-4835-9144-1F58A182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A8134-59B8-45F6-A74A-849F8423F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Siedlecki, Mary</dc:creator>
  <cp:keywords/>
  <dc:description/>
  <cp:lastModifiedBy>Galantis, Kelly</cp:lastModifiedBy>
  <cp:revision>2</cp:revision>
  <dcterms:created xsi:type="dcterms:W3CDTF">2017-08-17T14:20:00Z</dcterms:created>
  <dcterms:modified xsi:type="dcterms:W3CDTF">2017-08-17T14:20:00Z</dcterms:modified>
</cp:coreProperties>
</file>