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C0A34" w14:textId="7554188E" w:rsidR="005A419F" w:rsidRPr="00133B4D" w:rsidRDefault="00804A4D" w:rsidP="00C37748">
      <w:pPr>
        <w:jc w:val="center"/>
        <w:rPr>
          <w:rFonts w:asciiTheme="minorHAnsi" w:hAnsiTheme="minorHAnsi"/>
          <w:b/>
          <w:sz w:val="30"/>
          <w:szCs w:val="30"/>
        </w:rPr>
      </w:pPr>
      <w:r>
        <w:rPr>
          <w:rFonts w:asciiTheme="minorHAnsi" w:hAnsiTheme="minorHAnsi"/>
          <w:b/>
          <w:sz w:val="30"/>
          <w:szCs w:val="30"/>
        </w:rPr>
        <w:t>Merger/Regionalization Feasibility Grant</w:t>
      </w:r>
      <w:r w:rsidR="00C37748">
        <w:rPr>
          <w:rFonts w:asciiTheme="minorHAnsi" w:hAnsiTheme="minorHAnsi"/>
          <w:b/>
          <w:sz w:val="30"/>
          <w:szCs w:val="30"/>
        </w:rPr>
        <w:t xml:space="preserve"> </w:t>
      </w:r>
      <w:r w:rsidR="005A419F" w:rsidRPr="00133B4D">
        <w:rPr>
          <w:rFonts w:asciiTheme="minorHAnsi" w:hAnsiTheme="minorHAnsi"/>
          <w:b/>
          <w:sz w:val="30"/>
          <w:szCs w:val="30"/>
        </w:rPr>
        <w:t>Priority Rating System</w:t>
      </w:r>
      <w:r w:rsidR="003A0DFC">
        <w:rPr>
          <w:rFonts w:asciiTheme="minorHAnsi" w:hAnsiTheme="minorHAnsi"/>
          <w:b/>
          <w:sz w:val="30"/>
          <w:szCs w:val="30"/>
        </w:rPr>
        <w:t xml:space="preserve"> Guidance</w:t>
      </w:r>
    </w:p>
    <w:p w14:paraId="67D0380B" w14:textId="77777777" w:rsidR="00B05523" w:rsidRPr="0055601D" w:rsidRDefault="00B05523">
      <w:pPr>
        <w:rPr>
          <w:rFonts w:asciiTheme="minorHAnsi" w:hAnsiTheme="minorHAnsi"/>
          <w:sz w:val="22"/>
        </w:rPr>
      </w:pPr>
    </w:p>
    <w:p w14:paraId="3A02DEF4" w14:textId="77777777" w:rsidR="005A419F" w:rsidRDefault="00537EA0">
      <w:pPr>
        <w:rPr>
          <w:rFonts w:asciiTheme="minorHAnsi" w:hAnsiTheme="minorHAnsi"/>
          <w:sz w:val="22"/>
        </w:rPr>
      </w:pPr>
      <w:r>
        <w:rPr>
          <w:rFonts w:asciiTheme="minorHAnsi" w:hAnsiTheme="minorHAnsi"/>
          <w:noProof/>
          <w:sz w:val="22"/>
        </w:rPr>
        <mc:AlternateContent>
          <mc:Choice Requires="wps">
            <w:drawing>
              <wp:anchor distT="4294967295" distB="4294967295" distL="114300" distR="114300" simplePos="0" relativeHeight="251659264" behindDoc="0" locked="0" layoutInCell="1" allowOverlap="1" wp14:anchorId="6AB6B7B7" wp14:editId="7EB2E030">
                <wp:simplePos x="0" y="0"/>
                <wp:positionH relativeFrom="column">
                  <wp:posOffset>-158750</wp:posOffset>
                </wp:positionH>
                <wp:positionV relativeFrom="paragraph">
                  <wp:posOffset>36194</wp:posOffset>
                </wp:positionV>
                <wp:extent cx="6289675" cy="0"/>
                <wp:effectExtent l="0" t="0" r="158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9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1518E48"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5pt,2.85pt" to="482.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2gG2wEAAB8EAAAOAAAAZHJzL2Uyb0RvYy54bWysU01v2zAMvQ/YfxB0X5wEWNYZcXpI0V2K&#10;LVjWH8DKUixMEgVJS5x/P0qOne4DGFrsIpgi3yPfE72+7a1hRxmiRtfwxWzOmXQCW+0ODX/8dv/u&#10;hrOYwLVg0MmGn2Xkt5u3b9YnX8sldmhaGRiRuFiffMO7lHxdVVF00kKcoZeOkgqDhURhOFRtgBOx&#10;W1Mt5/NVdcLQ+oBCxki3d0OSbwq/UlKkL0pFmZhpOM2WyhnK+ZTParOG+hDAd1pcxoBXTGFBO2o6&#10;Ud1BAvYj6D+orBYBI6o0E2grVEoLWTSQmsX8NzX7DrwsWsic6Ceb4v+jFZ+Pu8B0S2/HmQNLT7RP&#10;AfShS2yLzpGBGNgi+3TysabyrduFrFT0bu8fUHyPlKt+SeYg+qGsV8HmcpLK+uL7efJd9okJulwt&#10;bz6uPrznTIy5CuoR6ENMnyRalj8abrTLlkANx4eYcmuox5J8bVw+Ixrd3mtjSpCXSW5NYEegNUh9&#10;kUO4Z1UUZWTRMYxeRKSzkQPrV6nIJhp2UbqXBb1yghDSpZHXOKrOMEUTTMD5v4GX+gyVZXlfAp4Q&#10;pTO6NIGtdhj+1v1qhRrqRwcG3dmCJ2zPuzA+MW1hcfzyx+Q1fx4X+PW/3vwEAAD//wMAUEsDBBQA&#10;BgAIAAAAIQAHxXxZ3QAAAAcBAAAPAAAAZHJzL2Rvd25yZXYueG1sTI8xT8MwFIR3pP4H61Viax0q&#10;Eto0TlVVsCCWhA6wufFrHBE/p7HThH+PYSnj6U5332W7ybTsir1rLAl4WEbAkCqrGqoFHN9fFmtg&#10;zktSsrWEAr7RwS6f3WUyVXakAq+lr1koIZdKAdr7LuXcVRqNdEvbIQXvbHsjfZB9zVUvx1BuWr6K&#10;ooQb2VBY0LLDg8bqqxyMgNfLmzs+JsVz8XFZl+PnedC1RSHu59N+C8zj5G9h+MUP6JAHppMdSDnW&#10;Clis4vDFC4ifgAV/k8QxsNOf5nnG//PnPwAAAP//AwBQSwECLQAUAAYACAAAACEAtoM4kv4AAADh&#10;AQAAEwAAAAAAAAAAAAAAAAAAAAAAW0NvbnRlbnRfVHlwZXNdLnhtbFBLAQItABQABgAIAAAAIQA4&#10;/SH/1gAAAJQBAAALAAAAAAAAAAAAAAAAAC8BAABfcmVscy8ucmVsc1BLAQItABQABgAIAAAAIQC6&#10;G2gG2wEAAB8EAAAOAAAAAAAAAAAAAAAAAC4CAABkcnMvZTJvRG9jLnhtbFBLAQItABQABgAIAAAA&#10;IQAHxXxZ3QAAAAcBAAAPAAAAAAAAAAAAAAAAADUEAABkcnMvZG93bnJldi54bWxQSwUGAAAAAAQA&#10;BADzAAAAPwUAAAAA&#10;" strokecolor="black [3213]">
                <o:lock v:ext="edit" shapetype="f"/>
              </v:line>
            </w:pict>
          </mc:Fallback>
        </mc:AlternateContent>
      </w:r>
    </w:p>
    <w:p w14:paraId="1B301221" w14:textId="66C3431D" w:rsidR="005A419F" w:rsidRPr="00A870AB" w:rsidRDefault="005A419F" w:rsidP="009B00E8">
      <w:pPr>
        <w:spacing w:after="120"/>
        <w:rPr>
          <w:rFonts w:asciiTheme="minorHAnsi" w:hAnsiTheme="minorHAnsi"/>
          <w:szCs w:val="24"/>
        </w:rPr>
      </w:pPr>
      <w:r w:rsidRPr="00A870AB">
        <w:rPr>
          <w:rFonts w:asciiTheme="minorHAnsi" w:hAnsiTheme="minorHAnsi"/>
          <w:szCs w:val="24"/>
        </w:rPr>
        <w:t>This guidance aid</w:t>
      </w:r>
      <w:r w:rsidR="00E34769" w:rsidRPr="00A870AB">
        <w:rPr>
          <w:rFonts w:asciiTheme="minorHAnsi" w:hAnsiTheme="minorHAnsi"/>
          <w:szCs w:val="24"/>
        </w:rPr>
        <w:t>s the applicant</w:t>
      </w:r>
      <w:r w:rsidRPr="00A870AB">
        <w:rPr>
          <w:rFonts w:asciiTheme="minorHAnsi" w:hAnsiTheme="minorHAnsi"/>
          <w:szCs w:val="24"/>
        </w:rPr>
        <w:t xml:space="preserve"> in understanding and implement</w:t>
      </w:r>
      <w:r w:rsidR="006752D8" w:rsidRPr="00A870AB">
        <w:rPr>
          <w:rFonts w:asciiTheme="minorHAnsi" w:hAnsiTheme="minorHAnsi"/>
          <w:szCs w:val="24"/>
        </w:rPr>
        <w:t>ing</w:t>
      </w:r>
      <w:r w:rsidRPr="00A870AB">
        <w:rPr>
          <w:rFonts w:asciiTheme="minorHAnsi" w:hAnsiTheme="minorHAnsi"/>
          <w:szCs w:val="24"/>
        </w:rPr>
        <w:t xml:space="preserve"> the </w:t>
      </w:r>
      <w:r w:rsidR="00804A4D" w:rsidRPr="00A870AB">
        <w:rPr>
          <w:rFonts w:asciiTheme="minorHAnsi" w:hAnsiTheme="minorHAnsi"/>
          <w:szCs w:val="24"/>
        </w:rPr>
        <w:t>Merger/Regionalization Feasibility Grant</w:t>
      </w:r>
      <w:r w:rsidR="00567F2A" w:rsidRPr="00A870AB">
        <w:rPr>
          <w:rFonts w:asciiTheme="minorHAnsi" w:hAnsiTheme="minorHAnsi"/>
          <w:szCs w:val="24"/>
        </w:rPr>
        <w:t xml:space="preserve"> Priority Rating System (rating s</w:t>
      </w:r>
      <w:r w:rsidR="0049683C" w:rsidRPr="00A870AB">
        <w:rPr>
          <w:rFonts w:asciiTheme="minorHAnsi" w:hAnsiTheme="minorHAnsi"/>
          <w:szCs w:val="24"/>
        </w:rPr>
        <w:t xml:space="preserve">ystem). </w:t>
      </w:r>
      <w:r w:rsidR="00E34769" w:rsidRPr="00A870AB">
        <w:rPr>
          <w:rFonts w:asciiTheme="minorHAnsi" w:hAnsiTheme="minorHAnsi"/>
          <w:b/>
          <w:szCs w:val="24"/>
        </w:rPr>
        <w:t>Use t</w:t>
      </w:r>
      <w:r w:rsidRPr="00A870AB">
        <w:rPr>
          <w:rFonts w:asciiTheme="minorHAnsi" w:hAnsiTheme="minorHAnsi"/>
          <w:b/>
          <w:szCs w:val="24"/>
        </w:rPr>
        <w:t xml:space="preserve">his guidance </w:t>
      </w:r>
      <w:r w:rsidR="00AA4948" w:rsidRPr="00A870AB">
        <w:rPr>
          <w:rFonts w:asciiTheme="minorHAnsi" w:hAnsiTheme="minorHAnsi"/>
          <w:b/>
          <w:szCs w:val="24"/>
        </w:rPr>
        <w:t xml:space="preserve">only for </w:t>
      </w:r>
      <w:r w:rsidR="006A1433" w:rsidRPr="00A870AB">
        <w:rPr>
          <w:rFonts w:asciiTheme="minorHAnsi" w:hAnsiTheme="minorHAnsi"/>
          <w:b/>
          <w:szCs w:val="24"/>
        </w:rPr>
        <w:t xml:space="preserve">projects seeking funding through </w:t>
      </w:r>
      <w:r w:rsidR="00AA4948" w:rsidRPr="00A870AB">
        <w:rPr>
          <w:rFonts w:asciiTheme="minorHAnsi" w:hAnsiTheme="minorHAnsi"/>
          <w:b/>
          <w:szCs w:val="24"/>
        </w:rPr>
        <w:t>the</w:t>
      </w:r>
      <w:r w:rsidRPr="00A870AB">
        <w:rPr>
          <w:rFonts w:asciiTheme="minorHAnsi" w:hAnsiTheme="minorHAnsi"/>
          <w:b/>
          <w:szCs w:val="24"/>
        </w:rPr>
        <w:t xml:space="preserve"> </w:t>
      </w:r>
      <w:r w:rsidR="005E61DF" w:rsidRPr="00A870AB">
        <w:rPr>
          <w:rFonts w:asciiTheme="minorHAnsi" w:hAnsiTheme="minorHAnsi"/>
          <w:b/>
          <w:szCs w:val="24"/>
        </w:rPr>
        <w:t>Merger/Regionalization Feasibility Grant</w:t>
      </w:r>
      <w:r w:rsidRPr="00A870AB">
        <w:rPr>
          <w:rFonts w:asciiTheme="minorHAnsi" w:hAnsiTheme="minorHAnsi"/>
          <w:b/>
          <w:szCs w:val="24"/>
        </w:rPr>
        <w:t>.</w:t>
      </w:r>
      <w:r w:rsidR="0049683C" w:rsidRPr="00A870AB">
        <w:rPr>
          <w:rFonts w:asciiTheme="minorHAnsi" w:hAnsiTheme="minorHAnsi"/>
          <w:szCs w:val="24"/>
        </w:rPr>
        <w:t xml:space="preserve"> </w:t>
      </w:r>
      <w:r w:rsidRPr="00A870AB">
        <w:rPr>
          <w:rFonts w:asciiTheme="minorHAnsi" w:hAnsiTheme="minorHAnsi"/>
          <w:szCs w:val="24"/>
        </w:rPr>
        <w:t xml:space="preserve">For </w:t>
      </w:r>
      <w:r w:rsidR="00E64AE9" w:rsidRPr="00A870AB">
        <w:rPr>
          <w:rFonts w:asciiTheme="minorHAnsi" w:hAnsiTheme="minorHAnsi"/>
          <w:szCs w:val="24"/>
        </w:rPr>
        <w:t xml:space="preserve">any </w:t>
      </w:r>
      <w:r w:rsidR="00F83FD2" w:rsidRPr="00A870AB">
        <w:rPr>
          <w:rFonts w:asciiTheme="minorHAnsi" w:hAnsiTheme="minorHAnsi"/>
          <w:szCs w:val="24"/>
        </w:rPr>
        <w:t>other funding</w:t>
      </w:r>
      <w:r w:rsidR="00E64AE9" w:rsidRPr="00A870AB">
        <w:rPr>
          <w:rFonts w:asciiTheme="minorHAnsi" w:hAnsiTheme="minorHAnsi"/>
          <w:szCs w:val="24"/>
        </w:rPr>
        <w:t xml:space="preserve"> program</w:t>
      </w:r>
      <w:r w:rsidR="00F83FD2" w:rsidRPr="00A870AB">
        <w:rPr>
          <w:rFonts w:asciiTheme="minorHAnsi" w:hAnsiTheme="minorHAnsi"/>
          <w:szCs w:val="24"/>
        </w:rPr>
        <w:t xml:space="preserve">, please use the guidance appropriate for that </w:t>
      </w:r>
      <w:proofErr w:type="gramStart"/>
      <w:r w:rsidR="006669BE" w:rsidRPr="00A870AB">
        <w:rPr>
          <w:rFonts w:asciiTheme="minorHAnsi" w:hAnsiTheme="minorHAnsi"/>
          <w:szCs w:val="24"/>
        </w:rPr>
        <w:t xml:space="preserve">particular </w:t>
      </w:r>
      <w:r w:rsidR="00AA4948" w:rsidRPr="00A870AB">
        <w:rPr>
          <w:rFonts w:asciiTheme="minorHAnsi" w:hAnsiTheme="minorHAnsi"/>
          <w:szCs w:val="24"/>
        </w:rPr>
        <w:t>program</w:t>
      </w:r>
      <w:proofErr w:type="gramEnd"/>
      <w:r w:rsidR="00F83FD2" w:rsidRPr="00A870AB">
        <w:rPr>
          <w:rFonts w:asciiTheme="minorHAnsi" w:hAnsiTheme="minorHAnsi"/>
          <w:szCs w:val="24"/>
        </w:rPr>
        <w:t xml:space="preserve">.   </w:t>
      </w:r>
    </w:p>
    <w:p w14:paraId="71A344E4" w14:textId="40350E65" w:rsidR="00BB1522" w:rsidRPr="00A870AB" w:rsidRDefault="0049683C" w:rsidP="009B00E8">
      <w:pPr>
        <w:spacing w:after="120"/>
        <w:rPr>
          <w:rFonts w:asciiTheme="minorHAnsi" w:hAnsiTheme="minorHAnsi" w:cstheme="minorHAnsi"/>
          <w:szCs w:val="24"/>
        </w:rPr>
      </w:pPr>
      <w:r w:rsidRPr="00A870AB">
        <w:rPr>
          <w:rFonts w:asciiTheme="minorHAnsi" w:hAnsiTheme="minorHAnsi"/>
          <w:szCs w:val="24"/>
        </w:rPr>
        <w:t xml:space="preserve">The goal of a merger/regionalization feasibility grant is to allow a utility to identify and then work with potential partner utilities to investigate the challenges, benefits, and implications for both </w:t>
      </w:r>
      <w:r w:rsidR="005B0F77" w:rsidRPr="00A870AB">
        <w:rPr>
          <w:rFonts w:asciiTheme="minorHAnsi" w:hAnsiTheme="minorHAnsi"/>
          <w:szCs w:val="24"/>
        </w:rPr>
        <w:t>utilitie</w:t>
      </w:r>
      <w:r w:rsidRPr="00A870AB">
        <w:rPr>
          <w:rFonts w:asciiTheme="minorHAnsi" w:hAnsiTheme="minorHAnsi"/>
          <w:szCs w:val="24"/>
        </w:rPr>
        <w:t>s to potentially merge</w:t>
      </w:r>
      <w:r w:rsidR="005A4515" w:rsidRPr="00A870AB">
        <w:rPr>
          <w:rFonts w:asciiTheme="minorHAnsi" w:hAnsiTheme="minorHAnsi"/>
          <w:szCs w:val="24"/>
        </w:rPr>
        <w:t>, in part or in whole,</w:t>
      </w:r>
      <w:r w:rsidRPr="00A870AB">
        <w:rPr>
          <w:rFonts w:asciiTheme="minorHAnsi" w:hAnsiTheme="minorHAnsi"/>
          <w:szCs w:val="24"/>
        </w:rPr>
        <w:t xml:space="preserve"> or regionalize.</w:t>
      </w:r>
      <w:r w:rsidRPr="00A870AB">
        <w:rPr>
          <w:rFonts w:asciiTheme="minorHAnsi" w:hAnsiTheme="minorHAnsi" w:cstheme="minorHAnsi"/>
          <w:szCs w:val="24"/>
        </w:rPr>
        <w:t xml:space="preserve"> </w:t>
      </w:r>
      <w:r w:rsidR="00A870AB" w:rsidRPr="00A870AB">
        <w:rPr>
          <w:rFonts w:asciiTheme="minorHAnsi" w:hAnsiTheme="minorHAnsi" w:cstheme="minorHAnsi"/>
          <w:szCs w:val="24"/>
        </w:rPr>
        <w:t>Applicants may already have existing cooperation agreements. Also, multiple utilities may intend to jointly cooperate with the applicant. The Division structured the rating system to give higher priority to applications that demonstrate the potential for a successful project in the future, beyond this study.</w:t>
      </w:r>
    </w:p>
    <w:p w14:paraId="1E344D83" w14:textId="61EFCBA4" w:rsidR="005A419F" w:rsidRPr="00A870AB" w:rsidRDefault="00E34769" w:rsidP="009B00E8">
      <w:pPr>
        <w:spacing w:after="120"/>
        <w:rPr>
          <w:rFonts w:asciiTheme="minorHAnsi" w:hAnsiTheme="minorHAnsi"/>
          <w:szCs w:val="24"/>
        </w:rPr>
      </w:pPr>
      <w:r w:rsidRPr="00A870AB">
        <w:rPr>
          <w:rFonts w:asciiTheme="minorHAnsi" w:hAnsiTheme="minorHAnsi"/>
          <w:szCs w:val="24"/>
        </w:rPr>
        <w:t xml:space="preserve">Each application </w:t>
      </w:r>
      <w:r w:rsidR="0000007A" w:rsidRPr="00A870AB">
        <w:rPr>
          <w:rFonts w:asciiTheme="minorHAnsi" w:hAnsiTheme="minorHAnsi"/>
          <w:szCs w:val="24"/>
        </w:rPr>
        <w:t xml:space="preserve">earns </w:t>
      </w:r>
      <w:r w:rsidR="00AA4948" w:rsidRPr="00A870AB">
        <w:rPr>
          <w:rFonts w:asciiTheme="minorHAnsi" w:hAnsiTheme="minorHAnsi"/>
          <w:szCs w:val="24"/>
        </w:rPr>
        <w:t xml:space="preserve">priority </w:t>
      </w:r>
      <w:r w:rsidRPr="00A870AB">
        <w:rPr>
          <w:rFonts w:asciiTheme="minorHAnsi" w:hAnsiTheme="minorHAnsi"/>
          <w:szCs w:val="24"/>
        </w:rPr>
        <w:t xml:space="preserve">points </w:t>
      </w:r>
      <w:r w:rsidR="005A419F" w:rsidRPr="00A870AB">
        <w:rPr>
          <w:rFonts w:asciiTheme="minorHAnsi" w:hAnsiTheme="minorHAnsi"/>
          <w:szCs w:val="24"/>
        </w:rPr>
        <w:t xml:space="preserve">for </w:t>
      </w:r>
      <w:r w:rsidR="00804A4D" w:rsidRPr="00A870AB">
        <w:rPr>
          <w:rFonts w:asciiTheme="minorHAnsi" w:hAnsiTheme="minorHAnsi"/>
          <w:szCs w:val="24"/>
        </w:rPr>
        <w:t xml:space="preserve">the Technical, Organizational, and </w:t>
      </w:r>
      <w:r w:rsidR="00567F2A" w:rsidRPr="00A870AB">
        <w:rPr>
          <w:rFonts w:asciiTheme="minorHAnsi" w:hAnsiTheme="minorHAnsi"/>
          <w:szCs w:val="24"/>
        </w:rPr>
        <w:t>Affordability</w:t>
      </w:r>
      <w:r w:rsidR="00804A4D" w:rsidRPr="00A870AB">
        <w:rPr>
          <w:rFonts w:asciiTheme="minorHAnsi" w:hAnsiTheme="minorHAnsi"/>
          <w:szCs w:val="24"/>
        </w:rPr>
        <w:t xml:space="preserve"> status of the </w:t>
      </w:r>
      <w:r w:rsidR="00BB1522" w:rsidRPr="00A870AB">
        <w:rPr>
          <w:rFonts w:asciiTheme="minorHAnsi" w:hAnsiTheme="minorHAnsi"/>
          <w:szCs w:val="24"/>
        </w:rPr>
        <w:t xml:space="preserve">applicant. </w:t>
      </w:r>
      <w:r w:rsidR="00D273C6" w:rsidRPr="00A870AB">
        <w:rPr>
          <w:rFonts w:asciiTheme="minorHAnsi" w:hAnsiTheme="minorHAnsi"/>
          <w:szCs w:val="24"/>
        </w:rPr>
        <w:t xml:space="preserve">The Division </w:t>
      </w:r>
      <w:r w:rsidR="00A870AB">
        <w:rPr>
          <w:rFonts w:asciiTheme="minorHAnsi" w:hAnsiTheme="minorHAnsi"/>
          <w:szCs w:val="24"/>
        </w:rPr>
        <w:t xml:space="preserve">has </w:t>
      </w:r>
      <w:r w:rsidR="00D273C6" w:rsidRPr="00A870AB">
        <w:rPr>
          <w:rFonts w:asciiTheme="minorHAnsi" w:hAnsiTheme="minorHAnsi"/>
          <w:szCs w:val="24"/>
        </w:rPr>
        <w:t xml:space="preserve">structured the rating system to prioritize the applications that in general have fewer connections, more compliance issues, smaller staffs, greater financial barriers, or any combination of the above that may hinder system viability and the ability to self-fund or conduct a feasibility study. Thus, some points will be awarded by comparing applications </w:t>
      </w:r>
      <w:r w:rsidR="00D4327B" w:rsidRPr="00A870AB">
        <w:rPr>
          <w:rFonts w:asciiTheme="minorHAnsi" w:hAnsiTheme="minorHAnsi"/>
          <w:szCs w:val="24"/>
        </w:rPr>
        <w:t>received that round</w:t>
      </w:r>
      <w:r w:rsidR="00D273C6" w:rsidRPr="00A870AB">
        <w:rPr>
          <w:rFonts w:asciiTheme="minorHAnsi" w:hAnsiTheme="minorHAnsi"/>
          <w:szCs w:val="24"/>
        </w:rPr>
        <w:t>, and s</w:t>
      </w:r>
      <w:r w:rsidR="0049683C" w:rsidRPr="00A870AB">
        <w:rPr>
          <w:rFonts w:asciiTheme="minorHAnsi" w:hAnsiTheme="minorHAnsi"/>
          <w:szCs w:val="24"/>
        </w:rPr>
        <w:t>ome points will be awarded based on the inherent LGU indicators</w:t>
      </w:r>
      <w:r w:rsidR="00BB1522" w:rsidRPr="00A870AB">
        <w:rPr>
          <w:rFonts w:asciiTheme="minorHAnsi" w:hAnsiTheme="minorHAnsi"/>
          <w:szCs w:val="24"/>
        </w:rPr>
        <w:t xml:space="preserve"> of the applicant</w:t>
      </w:r>
      <w:r w:rsidR="0049683C" w:rsidRPr="00A870AB">
        <w:rPr>
          <w:rFonts w:asciiTheme="minorHAnsi" w:hAnsiTheme="minorHAnsi"/>
          <w:szCs w:val="24"/>
        </w:rPr>
        <w:t>.</w:t>
      </w:r>
      <w:r w:rsidR="006C2736" w:rsidRPr="00A870AB">
        <w:rPr>
          <w:rFonts w:asciiTheme="minorHAnsi" w:hAnsiTheme="minorHAnsi"/>
          <w:szCs w:val="24"/>
        </w:rPr>
        <w:t xml:space="preserve"> For </w:t>
      </w:r>
      <w:r w:rsidR="00EB028F" w:rsidRPr="00A870AB">
        <w:rPr>
          <w:rFonts w:asciiTheme="minorHAnsi" w:hAnsiTheme="minorHAnsi"/>
          <w:szCs w:val="24"/>
        </w:rPr>
        <w:t xml:space="preserve">applications </w:t>
      </w:r>
      <w:r w:rsidR="00A870AB">
        <w:rPr>
          <w:rFonts w:asciiTheme="minorHAnsi" w:hAnsiTheme="minorHAnsi"/>
          <w:szCs w:val="24"/>
        </w:rPr>
        <w:t>that serve multiple areas</w:t>
      </w:r>
      <w:r w:rsidR="00EB028F" w:rsidRPr="00A870AB">
        <w:rPr>
          <w:rFonts w:asciiTheme="minorHAnsi" w:hAnsiTheme="minorHAnsi"/>
          <w:szCs w:val="24"/>
        </w:rPr>
        <w:t>, a weighted</w:t>
      </w:r>
      <w:r w:rsidR="005A4515" w:rsidRPr="00A870AB">
        <w:rPr>
          <w:rFonts w:asciiTheme="minorHAnsi" w:hAnsiTheme="minorHAnsi"/>
          <w:szCs w:val="24"/>
        </w:rPr>
        <w:t xml:space="preserve"> average of indicators will be us</w:t>
      </w:r>
      <w:r w:rsidR="00EB028F" w:rsidRPr="00A870AB">
        <w:rPr>
          <w:rFonts w:asciiTheme="minorHAnsi" w:hAnsiTheme="minorHAnsi"/>
          <w:szCs w:val="24"/>
        </w:rPr>
        <w:t>ed to determine the service area values.</w:t>
      </w:r>
    </w:p>
    <w:p w14:paraId="0CED8A77" w14:textId="77777777" w:rsidR="005A419F" w:rsidRDefault="00537EA0" w:rsidP="009B00E8">
      <w:pPr>
        <w:spacing w:after="120"/>
        <w:rPr>
          <w:rFonts w:asciiTheme="minorHAnsi" w:hAnsiTheme="minorHAnsi"/>
          <w:sz w:val="22"/>
        </w:rPr>
      </w:pPr>
      <w:r>
        <w:rPr>
          <w:rFonts w:asciiTheme="minorHAnsi" w:hAnsiTheme="minorHAnsi"/>
          <w:noProof/>
          <w:sz w:val="22"/>
        </w:rPr>
        <mc:AlternateContent>
          <mc:Choice Requires="wps">
            <w:drawing>
              <wp:anchor distT="4294967295" distB="4294967295" distL="114300" distR="114300" simplePos="0" relativeHeight="251661312" behindDoc="0" locked="0" layoutInCell="1" allowOverlap="1" wp14:anchorId="2F4F832E" wp14:editId="18684B5D">
                <wp:simplePos x="0" y="0"/>
                <wp:positionH relativeFrom="column">
                  <wp:posOffset>-158750</wp:posOffset>
                </wp:positionH>
                <wp:positionV relativeFrom="paragraph">
                  <wp:posOffset>131444</wp:posOffset>
                </wp:positionV>
                <wp:extent cx="6289675"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967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CB98161"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5pt,10.35pt" to="482.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8G6zwEAAI0DAAAOAAAAZHJzL2Uyb0RvYy54bWysU01v2zAMvQ/YfxB0b5waaNYacXpI0F2K&#10;LUC6H8DKsi1UEgVRi5N/P0r5WLvdhvkgUCL59N4TvXw8OCv2OpJB38rb2VwK7RV2xg+t/PHydHMv&#10;BSXwHVj0upVHTfJx9fnTcgqNrnFE2+koGMRTM4VWjimFpqpIjdoBzTBoz8keo4PE2zhUXYSJ0Z2t&#10;6vl8UU0YuxBRaSI+3ZySclXw+16r9L3vSSdhW8ncUlljWV/zWq2W0AwRwmjUmQb8AwsHxvOlV6gN&#10;JBA/o/kLyhkVkbBPM4Wuwr43ShcNrOZ2/oea3QhBFy1sDoWrTfT/YNW3/TYK07WylsKD4yfapQhm&#10;GJNYo/dsIEZRZ5+mQA2Xr/02ZqXq4HfhGdUbca76kMwbCqeyQx9dLmep4lB8P15914ckFB8u6vuH&#10;xZc7KdQlV0FzaQyR0leNTuSgldb4bAk0sH+mlK+G5lKSjz0+GWvLs1ovplY+3NUZGXi4eguJQxdY&#10;LvlBCrADT61KsSASWtPl7oxDR1rbKPbAg8Pz1uH0wnSlsECJE6yhfNkYZvChNdPZAI2n5pI6l1mf&#10;oXWZyzP7317l6BW74zZeDOU3L+jn+cxD9X7P8fu/aPULAAD//wMAUEsDBBQABgAIAAAAIQCiCfhw&#10;3QAAAAkBAAAPAAAAZHJzL2Rvd25yZXYueG1sTI/NTsMwEITvSLyDtUjc2k0DKRDiVIifO5QgwW0b&#10;L0lEvA6xm4a3x4gDHGdnNPtNsZltryYefedEw2qZgGKpnemk0VA9PywuQflAYqh3whq+2MOmPD4q&#10;KDfuIE88bUOjYon4nDS0IQw5oq9btuSXbmCJ3rsbLYUoxwbNSIdYbntMk2SNljqJH1oa+Lbl+mO7&#10;txrOPt8esZL6NcXpLnu5X1XDOVZan57MN9egAs/hLww/+BEdysi0c3sxXvUaFmkWtwQNaXIBKgau&#10;1lkGavd7wLLA/wvKbwAAAP//AwBQSwECLQAUAAYACAAAACEAtoM4kv4AAADhAQAAEwAAAAAAAAAA&#10;AAAAAAAAAAAAW0NvbnRlbnRfVHlwZXNdLnhtbFBLAQItABQABgAIAAAAIQA4/SH/1gAAAJQBAAAL&#10;AAAAAAAAAAAAAAAAAC8BAABfcmVscy8ucmVsc1BLAQItABQABgAIAAAAIQC458G6zwEAAI0DAAAO&#10;AAAAAAAAAAAAAAAAAC4CAABkcnMvZTJvRG9jLnhtbFBLAQItABQABgAIAAAAIQCiCfhw3QAAAAkB&#10;AAAPAAAAAAAAAAAAAAAAACkEAABkcnMvZG93bnJldi54bWxQSwUGAAAAAAQABADzAAAAMwUAAAAA&#10;" strokecolor="windowText">
                <o:lock v:ext="edit" shapetype="f"/>
              </v:line>
            </w:pict>
          </mc:Fallback>
        </mc:AlternateContent>
      </w:r>
    </w:p>
    <w:p w14:paraId="0FE5C23D" w14:textId="77777777" w:rsidR="005A419F" w:rsidRPr="005A419F" w:rsidRDefault="005A419F" w:rsidP="009B00E8">
      <w:pPr>
        <w:spacing w:after="240"/>
        <w:rPr>
          <w:rFonts w:asciiTheme="minorHAnsi" w:hAnsiTheme="minorHAnsi"/>
          <w:b/>
          <w:sz w:val="28"/>
          <w:szCs w:val="28"/>
          <w:u w:val="single"/>
        </w:rPr>
      </w:pPr>
      <w:r w:rsidRPr="005A419F">
        <w:rPr>
          <w:rFonts w:asciiTheme="minorHAnsi" w:hAnsiTheme="minorHAnsi"/>
          <w:b/>
          <w:sz w:val="28"/>
          <w:szCs w:val="28"/>
          <w:u w:val="single"/>
        </w:rPr>
        <w:t>Submittal Requirements</w:t>
      </w:r>
    </w:p>
    <w:tbl>
      <w:tblPr>
        <w:tblStyle w:val="TableGrid"/>
        <w:tblW w:w="0" w:type="auto"/>
        <w:tblInd w:w="-5" w:type="dxa"/>
        <w:shd w:val="pct5" w:color="auto" w:fill="auto"/>
        <w:tblLook w:val="04A0" w:firstRow="1" w:lastRow="0" w:firstColumn="1" w:lastColumn="0" w:noHBand="0" w:noVBand="1"/>
      </w:tblPr>
      <w:tblGrid>
        <w:gridCol w:w="9576"/>
      </w:tblGrid>
      <w:tr w:rsidR="005A419F" w:rsidRPr="002278E4" w14:paraId="089817A9" w14:textId="77777777" w:rsidTr="009D15CE">
        <w:trPr>
          <w:cantSplit/>
          <w:trHeight w:val="764"/>
        </w:trPr>
        <w:tc>
          <w:tcPr>
            <w:tcW w:w="9576" w:type="dxa"/>
            <w:shd w:val="pct5" w:color="auto" w:fill="auto"/>
          </w:tcPr>
          <w:p w14:paraId="7C594AD0" w14:textId="44F5CAD0" w:rsidR="005A419F" w:rsidRPr="005C392A" w:rsidRDefault="003A0DFC" w:rsidP="009B00E8">
            <w:pPr>
              <w:spacing w:before="60" w:after="60"/>
              <w:rPr>
                <w:rFonts w:asciiTheme="minorHAnsi" w:hAnsiTheme="minorHAnsi"/>
                <w:b/>
                <w:sz w:val="20"/>
                <w:szCs w:val="20"/>
                <w:u w:val="single"/>
              </w:rPr>
            </w:pPr>
            <w:r w:rsidRPr="005C392A">
              <w:rPr>
                <w:rFonts w:asciiTheme="minorHAnsi" w:hAnsiTheme="minorHAnsi"/>
                <w:b/>
                <w:color w:val="000000" w:themeColor="text1"/>
                <w:sz w:val="20"/>
                <w:szCs w:val="20"/>
                <w:u w:val="single"/>
              </w:rPr>
              <w:t xml:space="preserve">If an applicant desires to do a merger/regionalization feasibility study on both the water system and the sewer system, two </w:t>
            </w:r>
            <w:r w:rsidR="00B22946">
              <w:rPr>
                <w:rFonts w:asciiTheme="minorHAnsi" w:hAnsiTheme="minorHAnsi"/>
                <w:b/>
                <w:color w:val="000000" w:themeColor="text1"/>
                <w:sz w:val="20"/>
                <w:szCs w:val="20"/>
                <w:u w:val="single"/>
              </w:rPr>
              <w:t xml:space="preserve">separate </w:t>
            </w:r>
            <w:r w:rsidRPr="005C392A">
              <w:rPr>
                <w:rFonts w:asciiTheme="minorHAnsi" w:hAnsiTheme="minorHAnsi"/>
                <w:b/>
                <w:color w:val="000000" w:themeColor="text1"/>
                <w:sz w:val="20"/>
                <w:szCs w:val="20"/>
                <w:u w:val="single"/>
              </w:rPr>
              <w:t>applications must</w:t>
            </w:r>
            <w:r w:rsidR="001F4796">
              <w:rPr>
                <w:rFonts w:asciiTheme="minorHAnsi" w:hAnsiTheme="minorHAnsi"/>
                <w:b/>
                <w:color w:val="000000" w:themeColor="text1"/>
                <w:sz w:val="20"/>
                <w:szCs w:val="20"/>
                <w:u w:val="single"/>
              </w:rPr>
              <w:t xml:space="preserve"> be submitted.</w:t>
            </w:r>
          </w:p>
        </w:tc>
      </w:tr>
    </w:tbl>
    <w:p w14:paraId="19B327E6" w14:textId="77777777" w:rsidR="00A736BA" w:rsidRPr="00A736BA" w:rsidRDefault="00A736BA" w:rsidP="009B00E8">
      <w:pPr>
        <w:spacing w:before="120" w:after="120"/>
        <w:rPr>
          <w:rFonts w:asciiTheme="minorHAnsi" w:hAnsiTheme="minorHAnsi"/>
          <w:szCs w:val="24"/>
        </w:rPr>
      </w:pPr>
    </w:p>
    <w:p w14:paraId="58784AF0" w14:textId="6CBA48DF" w:rsidR="003A0DFC" w:rsidRPr="005C392A" w:rsidRDefault="003A0DFC" w:rsidP="009B00E8">
      <w:pPr>
        <w:pStyle w:val="ListParagraph"/>
        <w:numPr>
          <w:ilvl w:val="0"/>
          <w:numId w:val="4"/>
        </w:numPr>
        <w:spacing w:before="120" w:after="120"/>
        <w:ind w:left="360"/>
        <w:contextualSpacing w:val="0"/>
        <w:rPr>
          <w:rFonts w:asciiTheme="minorHAnsi" w:hAnsiTheme="minorHAnsi"/>
          <w:szCs w:val="24"/>
        </w:rPr>
      </w:pPr>
      <w:r w:rsidRPr="005C392A">
        <w:rPr>
          <w:rFonts w:asciiTheme="minorHAnsi" w:hAnsiTheme="minorHAnsi"/>
          <w:szCs w:val="24"/>
        </w:rPr>
        <w:t>The completed application must include the appl</w:t>
      </w:r>
      <w:r w:rsidR="009B00E8">
        <w:rPr>
          <w:rFonts w:asciiTheme="minorHAnsi" w:hAnsiTheme="minorHAnsi"/>
          <w:szCs w:val="24"/>
        </w:rPr>
        <w:t xml:space="preserve">ication forms, </w:t>
      </w:r>
      <w:r w:rsidR="00B22946">
        <w:rPr>
          <w:rFonts w:asciiTheme="minorHAnsi" w:hAnsiTheme="minorHAnsi"/>
          <w:szCs w:val="24"/>
        </w:rPr>
        <w:t>Financial Information</w:t>
      </w:r>
      <w:r w:rsidR="00666857">
        <w:rPr>
          <w:rFonts w:asciiTheme="minorHAnsi" w:hAnsiTheme="minorHAnsi"/>
          <w:szCs w:val="24"/>
        </w:rPr>
        <w:t xml:space="preserve"> Form,</w:t>
      </w:r>
      <w:r w:rsidR="00B22946">
        <w:rPr>
          <w:rFonts w:asciiTheme="minorHAnsi" w:hAnsiTheme="minorHAnsi"/>
          <w:szCs w:val="24"/>
        </w:rPr>
        <w:t xml:space="preserve"> Fund Transfer Certification</w:t>
      </w:r>
      <w:r w:rsidR="00666857">
        <w:rPr>
          <w:rFonts w:asciiTheme="minorHAnsi" w:hAnsiTheme="minorHAnsi"/>
          <w:szCs w:val="24"/>
        </w:rPr>
        <w:t xml:space="preserve"> Form</w:t>
      </w:r>
      <w:r w:rsidRPr="005C392A">
        <w:rPr>
          <w:rFonts w:asciiTheme="minorHAnsi" w:hAnsiTheme="minorHAnsi"/>
          <w:szCs w:val="24"/>
        </w:rPr>
        <w:t xml:space="preserve">, </w:t>
      </w:r>
      <w:r w:rsidR="009B00E8">
        <w:rPr>
          <w:rFonts w:asciiTheme="minorHAnsi" w:hAnsiTheme="minorHAnsi"/>
          <w:szCs w:val="24"/>
        </w:rPr>
        <w:t xml:space="preserve">applicable water/sewer rate sheets, </w:t>
      </w:r>
      <w:r w:rsidRPr="005C392A">
        <w:rPr>
          <w:rFonts w:asciiTheme="minorHAnsi" w:hAnsiTheme="minorHAnsi"/>
          <w:szCs w:val="24"/>
        </w:rPr>
        <w:t>the narrative, resolution,</w:t>
      </w:r>
      <w:r w:rsidR="00D15BC4">
        <w:rPr>
          <w:rFonts w:asciiTheme="minorHAnsi" w:hAnsiTheme="minorHAnsi"/>
          <w:szCs w:val="24"/>
        </w:rPr>
        <w:t xml:space="preserve"> applicable partner letter(s)</w:t>
      </w:r>
      <w:r w:rsidRPr="005C392A">
        <w:rPr>
          <w:rFonts w:asciiTheme="minorHAnsi" w:hAnsiTheme="minorHAnsi"/>
          <w:szCs w:val="24"/>
        </w:rPr>
        <w:t xml:space="preserve"> and supporting documentation. </w:t>
      </w:r>
      <w:r w:rsidRPr="005C392A">
        <w:rPr>
          <w:rFonts w:asciiTheme="minorHAnsi" w:hAnsiTheme="minorHAnsi"/>
          <w:b/>
          <w:szCs w:val="24"/>
        </w:rPr>
        <w:t>Do not submit a completed rating system point sheet.</w:t>
      </w:r>
    </w:p>
    <w:p w14:paraId="4CEE8934" w14:textId="6E509082" w:rsidR="00226F12" w:rsidRPr="005C392A" w:rsidRDefault="00F03BE8" w:rsidP="009B00E8">
      <w:pPr>
        <w:pStyle w:val="ListParagraph"/>
        <w:numPr>
          <w:ilvl w:val="0"/>
          <w:numId w:val="4"/>
        </w:numPr>
        <w:spacing w:after="120"/>
        <w:ind w:left="360"/>
        <w:rPr>
          <w:rFonts w:asciiTheme="minorHAnsi" w:hAnsiTheme="minorHAnsi"/>
          <w:szCs w:val="24"/>
        </w:rPr>
      </w:pPr>
      <w:r w:rsidRPr="005C392A">
        <w:rPr>
          <w:rFonts w:asciiTheme="minorHAnsi" w:hAnsiTheme="minorHAnsi"/>
          <w:szCs w:val="24"/>
          <w:u w:val="single"/>
        </w:rPr>
        <w:t>A Rating System Narrative along with supporting documentation as required by this guidance must be submitted</w:t>
      </w:r>
      <w:r w:rsidR="00804A4D" w:rsidRPr="005C392A">
        <w:rPr>
          <w:rFonts w:asciiTheme="minorHAnsi" w:hAnsiTheme="minorHAnsi"/>
          <w:szCs w:val="24"/>
          <w:u w:val="single"/>
        </w:rPr>
        <w:t xml:space="preserve"> with the funding application</w:t>
      </w:r>
      <w:r w:rsidRPr="005C392A">
        <w:rPr>
          <w:rFonts w:asciiTheme="minorHAnsi" w:hAnsiTheme="minorHAnsi"/>
          <w:szCs w:val="24"/>
          <w:u w:val="single"/>
        </w:rPr>
        <w:t>.</w:t>
      </w:r>
      <w:r w:rsidRPr="005C392A">
        <w:rPr>
          <w:rFonts w:asciiTheme="minorHAnsi" w:hAnsiTheme="minorHAnsi"/>
          <w:szCs w:val="24"/>
        </w:rPr>
        <w:t xml:space="preserve"> </w:t>
      </w:r>
      <w:r w:rsidR="006669BE" w:rsidRPr="005C392A">
        <w:rPr>
          <w:rFonts w:asciiTheme="minorHAnsi" w:hAnsiTheme="minorHAnsi"/>
          <w:szCs w:val="24"/>
        </w:rPr>
        <w:t xml:space="preserve">The </w:t>
      </w:r>
      <w:r w:rsidR="007C5017" w:rsidRPr="005C392A">
        <w:rPr>
          <w:rFonts w:asciiTheme="minorHAnsi" w:hAnsiTheme="minorHAnsi"/>
          <w:szCs w:val="24"/>
        </w:rPr>
        <w:t xml:space="preserve">General discussion questions will be used as background information </w:t>
      </w:r>
      <w:proofErr w:type="gramStart"/>
      <w:r w:rsidR="007C5017" w:rsidRPr="005C392A">
        <w:rPr>
          <w:rFonts w:asciiTheme="minorHAnsi" w:hAnsiTheme="minorHAnsi"/>
          <w:szCs w:val="24"/>
        </w:rPr>
        <w:t>in order to</w:t>
      </w:r>
      <w:proofErr w:type="gramEnd"/>
      <w:r w:rsidR="007C5017" w:rsidRPr="005C392A">
        <w:rPr>
          <w:rFonts w:asciiTheme="minorHAnsi" w:hAnsiTheme="minorHAnsi"/>
          <w:szCs w:val="24"/>
        </w:rPr>
        <w:t xml:space="preserve"> determine the existing condition of the applicant. Questions in Categories 1, 2, and 3 will be used for scoring purposes.</w:t>
      </w:r>
    </w:p>
    <w:p w14:paraId="76CFFA79" w14:textId="71C0617F" w:rsidR="00226F12" w:rsidRPr="005C392A" w:rsidRDefault="003A0DFC" w:rsidP="009B00E8">
      <w:pPr>
        <w:keepNext/>
        <w:spacing w:after="60"/>
        <w:ind w:left="720"/>
        <w:rPr>
          <w:rFonts w:asciiTheme="minorHAnsi" w:hAnsiTheme="minorHAnsi"/>
          <w:b/>
          <w:i/>
          <w:szCs w:val="24"/>
        </w:rPr>
      </w:pPr>
      <w:r w:rsidRPr="005C392A">
        <w:rPr>
          <w:rFonts w:asciiTheme="minorHAnsi" w:hAnsiTheme="minorHAnsi"/>
          <w:b/>
          <w:i/>
          <w:szCs w:val="24"/>
        </w:rPr>
        <w:t>Priority Rating System Narrative</w:t>
      </w:r>
    </w:p>
    <w:tbl>
      <w:tblPr>
        <w:tblStyle w:val="TableGrid"/>
        <w:tblW w:w="8979"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2"/>
        <w:gridCol w:w="7107"/>
      </w:tblGrid>
      <w:tr w:rsidR="00226F12" w:rsidRPr="005C392A" w14:paraId="0168B6AC" w14:textId="77777777" w:rsidTr="00D273C6">
        <w:trPr>
          <w:trHeight w:val="221"/>
        </w:trPr>
        <w:tc>
          <w:tcPr>
            <w:tcW w:w="1872" w:type="dxa"/>
          </w:tcPr>
          <w:p w14:paraId="23C8F7AF" w14:textId="49A51DC9" w:rsidR="00226F12" w:rsidRPr="005C392A" w:rsidRDefault="00226F12" w:rsidP="009B00E8">
            <w:pPr>
              <w:keepNext/>
              <w:spacing w:before="20"/>
              <w:rPr>
                <w:rFonts w:asciiTheme="minorHAnsi" w:hAnsiTheme="minorHAnsi"/>
                <w:szCs w:val="24"/>
              </w:rPr>
            </w:pPr>
          </w:p>
        </w:tc>
        <w:tc>
          <w:tcPr>
            <w:tcW w:w="7107" w:type="dxa"/>
          </w:tcPr>
          <w:p w14:paraId="6FD2B4A3" w14:textId="77777777" w:rsidR="00803AFF" w:rsidRPr="005C392A" w:rsidRDefault="00804A4D" w:rsidP="009B00E8">
            <w:pPr>
              <w:keepNext/>
              <w:spacing w:before="20"/>
              <w:rPr>
                <w:rFonts w:asciiTheme="minorHAnsi" w:hAnsiTheme="minorHAnsi"/>
                <w:szCs w:val="24"/>
              </w:rPr>
            </w:pPr>
            <w:r w:rsidRPr="005C392A">
              <w:rPr>
                <w:rFonts w:asciiTheme="minorHAnsi" w:hAnsiTheme="minorHAnsi"/>
                <w:szCs w:val="24"/>
              </w:rPr>
              <w:t>General Discussion</w:t>
            </w:r>
          </w:p>
        </w:tc>
      </w:tr>
      <w:tr w:rsidR="00226F12" w:rsidRPr="005C392A" w14:paraId="2326F196" w14:textId="77777777" w:rsidTr="00D273C6">
        <w:trPr>
          <w:trHeight w:val="221"/>
        </w:trPr>
        <w:tc>
          <w:tcPr>
            <w:tcW w:w="1872" w:type="dxa"/>
          </w:tcPr>
          <w:p w14:paraId="293495DD" w14:textId="4CA20930" w:rsidR="00226F12" w:rsidRPr="005C392A" w:rsidRDefault="00A870AB" w:rsidP="009B00E8">
            <w:pPr>
              <w:keepNext/>
              <w:spacing w:before="20"/>
              <w:rPr>
                <w:rFonts w:asciiTheme="minorHAnsi" w:hAnsiTheme="minorHAnsi"/>
                <w:szCs w:val="24"/>
              </w:rPr>
            </w:pPr>
            <w:r w:rsidRPr="005C392A">
              <w:rPr>
                <w:rFonts w:asciiTheme="minorHAnsi" w:hAnsiTheme="minorHAnsi"/>
                <w:szCs w:val="24"/>
              </w:rPr>
              <w:t>Category 1</w:t>
            </w:r>
          </w:p>
        </w:tc>
        <w:tc>
          <w:tcPr>
            <w:tcW w:w="7107" w:type="dxa"/>
          </w:tcPr>
          <w:p w14:paraId="61660DA9" w14:textId="29B1198D" w:rsidR="00803AFF" w:rsidRPr="005C392A" w:rsidRDefault="00804A4D" w:rsidP="009B00E8">
            <w:pPr>
              <w:keepNext/>
              <w:spacing w:before="20"/>
              <w:rPr>
                <w:rFonts w:asciiTheme="minorHAnsi" w:hAnsiTheme="minorHAnsi"/>
                <w:szCs w:val="24"/>
              </w:rPr>
            </w:pPr>
            <w:r w:rsidRPr="005C392A">
              <w:rPr>
                <w:rFonts w:asciiTheme="minorHAnsi" w:hAnsiTheme="minorHAnsi"/>
                <w:szCs w:val="24"/>
              </w:rPr>
              <w:t>Technical Status</w:t>
            </w:r>
          </w:p>
        </w:tc>
      </w:tr>
      <w:tr w:rsidR="00226F12" w:rsidRPr="005C392A" w14:paraId="680F466F" w14:textId="77777777" w:rsidTr="00D273C6">
        <w:trPr>
          <w:cantSplit/>
          <w:trHeight w:val="261"/>
        </w:trPr>
        <w:tc>
          <w:tcPr>
            <w:tcW w:w="1872" w:type="dxa"/>
          </w:tcPr>
          <w:p w14:paraId="280ED9EA" w14:textId="1A02D581" w:rsidR="00226F12" w:rsidRPr="005C392A" w:rsidRDefault="00A870AB" w:rsidP="009B00E8">
            <w:pPr>
              <w:keepNext/>
              <w:spacing w:before="20"/>
              <w:rPr>
                <w:rFonts w:asciiTheme="minorHAnsi" w:hAnsiTheme="minorHAnsi"/>
                <w:szCs w:val="24"/>
              </w:rPr>
            </w:pPr>
            <w:r w:rsidRPr="005C392A">
              <w:rPr>
                <w:rFonts w:asciiTheme="minorHAnsi" w:hAnsiTheme="minorHAnsi"/>
                <w:szCs w:val="24"/>
              </w:rPr>
              <w:t>Category 2</w:t>
            </w:r>
          </w:p>
        </w:tc>
        <w:tc>
          <w:tcPr>
            <w:tcW w:w="7107" w:type="dxa"/>
          </w:tcPr>
          <w:p w14:paraId="5CCAB85A" w14:textId="2FD50852" w:rsidR="006832EF" w:rsidRPr="005C392A" w:rsidRDefault="00804A4D" w:rsidP="009B00E8">
            <w:pPr>
              <w:keepNext/>
              <w:spacing w:before="20"/>
              <w:rPr>
                <w:rFonts w:asciiTheme="minorHAnsi" w:hAnsiTheme="minorHAnsi"/>
                <w:szCs w:val="24"/>
              </w:rPr>
            </w:pPr>
            <w:r w:rsidRPr="005C392A">
              <w:rPr>
                <w:rFonts w:asciiTheme="minorHAnsi" w:hAnsiTheme="minorHAnsi"/>
                <w:szCs w:val="24"/>
              </w:rPr>
              <w:t xml:space="preserve">Organizational </w:t>
            </w:r>
            <w:r w:rsidR="00A870AB" w:rsidRPr="005C392A">
              <w:rPr>
                <w:rFonts w:asciiTheme="minorHAnsi" w:hAnsiTheme="minorHAnsi"/>
                <w:szCs w:val="24"/>
              </w:rPr>
              <w:t>Status</w:t>
            </w:r>
          </w:p>
        </w:tc>
      </w:tr>
      <w:tr w:rsidR="00226F12" w:rsidRPr="005C392A" w14:paraId="1DD71CF6" w14:textId="77777777" w:rsidTr="00D273C6">
        <w:trPr>
          <w:trHeight w:val="221"/>
        </w:trPr>
        <w:tc>
          <w:tcPr>
            <w:tcW w:w="1872" w:type="dxa"/>
          </w:tcPr>
          <w:p w14:paraId="2D0E0630" w14:textId="3C7F9B46" w:rsidR="00226F12" w:rsidRPr="005C392A" w:rsidRDefault="00844E7F" w:rsidP="009B00E8">
            <w:pPr>
              <w:spacing w:before="20"/>
              <w:rPr>
                <w:rFonts w:asciiTheme="minorHAnsi" w:hAnsiTheme="minorHAnsi"/>
                <w:szCs w:val="24"/>
              </w:rPr>
            </w:pPr>
            <w:r w:rsidRPr="005C392A">
              <w:rPr>
                <w:rFonts w:asciiTheme="minorHAnsi" w:hAnsiTheme="minorHAnsi"/>
                <w:szCs w:val="24"/>
              </w:rPr>
              <w:t>Category 3</w:t>
            </w:r>
          </w:p>
        </w:tc>
        <w:tc>
          <w:tcPr>
            <w:tcW w:w="7107" w:type="dxa"/>
          </w:tcPr>
          <w:p w14:paraId="0E102E91" w14:textId="53C77312" w:rsidR="006832EF" w:rsidRPr="005C392A" w:rsidRDefault="00844E7F" w:rsidP="009B00E8">
            <w:pPr>
              <w:keepNext/>
              <w:spacing w:before="20"/>
              <w:rPr>
                <w:rFonts w:asciiTheme="minorHAnsi" w:hAnsiTheme="minorHAnsi"/>
                <w:szCs w:val="24"/>
              </w:rPr>
            </w:pPr>
            <w:r w:rsidRPr="005C392A">
              <w:rPr>
                <w:rFonts w:asciiTheme="minorHAnsi" w:hAnsiTheme="minorHAnsi"/>
                <w:szCs w:val="24"/>
              </w:rPr>
              <w:t xml:space="preserve">Affordability </w:t>
            </w:r>
          </w:p>
        </w:tc>
      </w:tr>
    </w:tbl>
    <w:p w14:paraId="66C4E53C" w14:textId="77777777" w:rsidR="00A736BA" w:rsidRPr="005C392A" w:rsidRDefault="00A736BA" w:rsidP="009B00E8">
      <w:pPr>
        <w:spacing w:after="120"/>
        <w:rPr>
          <w:rFonts w:asciiTheme="minorHAnsi" w:hAnsiTheme="minorHAnsi"/>
          <w:szCs w:val="24"/>
        </w:rPr>
      </w:pPr>
    </w:p>
    <w:p w14:paraId="7B2204FD" w14:textId="4F695305" w:rsidR="00226F12" w:rsidRPr="005C392A" w:rsidRDefault="00226F12" w:rsidP="009B00E8">
      <w:pPr>
        <w:spacing w:after="120"/>
        <w:ind w:left="360"/>
        <w:rPr>
          <w:rFonts w:asciiTheme="minorHAnsi" w:hAnsiTheme="minorHAnsi"/>
          <w:szCs w:val="24"/>
        </w:rPr>
      </w:pPr>
      <w:r w:rsidRPr="005C392A">
        <w:rPr>
          <w:rFonts w:asciiTheme="minorHAnsi" w:hAnsiTheme="minorHAnsi"/>
          <w:szCs w:val="24"/>
        </w:rPr>
        <w:lastRenderedPageBreak/>
        <w:t xml:space="preserve">The narrative must be consistent with information in the </w:t>
      </w:r>
      <w:r w:rsidR="0049502F" w:rsidRPr="005C392A">
        <w:rPr>
          <w:rFonts w:asciiTheme="minorHAnsi" w:hAnsiTheme="minorHAnsi"/>
          <w:szCs w:val="24"/>
        </w:rPr>
        <w:t xml:space="preserve">Division </w:t>
      </w:r>
      <w:r w:rsidRPr="005C392A">
        <w:rPr>
          <w:rFonts w:asciiTheme="minorHAnsi" w:hAnsiTheme="minorHAnsi"/>
          <w:szCs w:val="24"/>
        </w:rPr>
        <w:t xml:space="preserve">Application, </w:t>
      </w:r>
      <w:r w:rsidR="0000007A" w:rsidRPr="005C392A">
        <w:rPr>
          <w:rFonts w:asciiTheme="minorHAnsi" w:hAnsiTheme="minorHAnsi"/>
          <w:szCs w:val="24"/>
        </w:rPr>
        <w:t>LGC forms</w:t>
      </w:r>
      <w:r w:rsidR="00F77BC1" w:rsidRPr="005C392A">
        <w:rPr>
          <w:rFonts w:asciiTheme="minorHAnsi" w:hAnsiTheme="minorHAnsi"/>
          <w:szCs w:val="24"/>
        </w:rPr>
        <w:t>,</w:t>
      </w:r>
      <w:r w:rsidR="0000007A" w:rsidRPr="005C392A">
        <w:rPr>
          <w:rFonts w:asciiTheme="minorHAnsi" w:hAnsiTheme="minorHAnsi"/>
          <w:szCs w:val="24"/>
        </w:rPr>
        <w:t xml:space="preserve"> </w:t>
      </w:r>
      <w:r w:rsidRPr="005C392A">
        <w:rPr>
          <w:rFonts w:asciiTheme="minorHAnsi" w:hAnsiTheme="minorHAnsi"/>
          <w:szCs w:val="24"/>
        </w:rPr>
        <w:t xml:space="preserve">and </w:t>
      </w:r>
      <w:r w:rsidR="0000007A" w:rsidRPr="005C392A">
        <w:rPr>
          <w:rFonts w:asciiTheme="minorHAnsi" w:hAnsiTheme="minorHAnsi"/>
          <w:szCs w:val="24"/>
        </w:rPr>
        <w:t xml:space="preserve">other </w:t>
      </w:r>
      <w:r w:rsidRPr="005C392A">
        <w:rPr>
          <w:rFonts w:asciiTheme="minorHAnsi" w:hAnsiTheme="minorHAnsi"/>
          <w:szCs w:val="24"/>
        </w:rPr>
        <w:t>supporting information.</w:t>
      </w:r>
    </w:p>
    <w:p w14:paraId="27B34A0E" w14:textId="56BE6C3C" w:rsidR="00623712" w:rsidRPr="005C392A" w:rsidRDefault="00623712" w:rsidP="009B00E8">
      <w:pPr>
        <w:pStyle w:val="ListParagraph"/>
        <w:numPr>
          <w:ilvl w:val="0"/>
          <w:numId w:val="5"/>
        </w:numPr>
        <w:spacing w:after="120"/>
        <w:ind w:left="360"/>
        <w:contextualSpacing w:val="0"/>
        <w:rPr>
          <w:rFonts w:asciiTheme="minorHAnsi" w:hAnsiTheme="minorHAnsi"/>
          <w:szCs w:val="24"/>
        </w:rPr>
      </w:pPr>
      <w:r w:rsidRPr="005C392A">
        <w:rPr>
          <w:rFonts w:asciiTheme="minorHAnsi" w:hAnsiTheme="minorHAnsi"/>
          <w:szCs w:val="24"/>
        </w:rPr>
        <w:t>All supporting documentation to determine priority points must be submitted with the funding application. Please ensure that submittals provide clear information needed to determine points. Additional information will not be requested. Points will be determined based solely on the information submitted.</w:t>
      </w:r>
    </w:p>
    <w:p w14:paraId="4F3DFA17" w14:textId="3AC7A903" w:rsidR="00804A4D" w:rsidRPr="005C392A" w:rsidRDefault="00804A4D" w:rsidP="009B00E8">
      <w:pPr>
        <w:pStyle w:val="ListParagraph"/>
        <w:numPr>
          <w:ilvl w:val="0"/>
          <w:numId w:val="5"/>
        </w:numPr>
        <w:spacing w:after="120"/>
        <w:ind w:left="360"/>
        <w:contextualSpacing w:val="0"/>
        <w:rPr>
          <w:rFonts w:asciiTheme="minorHAnsi" w:hAnsiTheme="minorHAnsi"/>
          <w:szCs w:val="24"/>
        </w:rPr>
      </w:pPr>
      <w:r w:rsidRPr="005C392A">
        <w:rPr>
          <w:rFonts w:asciiTheme="minorHAnsi" w:hAnsiTheme="minorHAnsi"/>
          <w:szCs w:val="24"/>
        </w:rPr>
        <w:t xml:space="preserve">An Acknowledgement Letter from each of the partnering </w:t>
      </w:r>
      <w:r w:rsidR="005B0F77" w:rsidRPr="005C392A">
        <w:rPr>
          <w:rFonts w:asciiTheme="minorHAnsi" w:hAnsiTheme="minorHAnsi"/>
          <w:szCs w:val="24"/>
        </w:rPr>
        <w:t>utilities</w:t>
      </w:r>
      <w:r w:rsidRPr="005C392A">
        <w:rPr>
          <w:rFonts w:asciiTheme="minorHAnsi" w:hAnsiTheme="minorHAnsi"/>
          <w:szCs w:val="24"/>
        </w:rPr>
        <w:t xml:space="preserve"> must also be submitte</w:t>
      </w:r>
      <w:r w:rsidR="00E56968" w:rsidRPr="005C392A">
        <w:rPr>
          <w:rFonts w:asciiTheme="minorHAnsi" w:hAnsiTheme="minorHAnsi"/>
          <w:szCs w:val="24"/>
        </w:rPr>
        <w:t xml:space="preserve">d with the funding application. </w:t>
      </w:r>
      <w:r w:rsidR="00C82493">
        <w:rPr>
          <w:rFonts w:asciiTheme="minorHAnsi" w:hAnsiTheme="minorHAnsi"/>
          <w:szCs w:val="24"/>
        </w:rPr>
        <w:t xml:space="preserve">A partnering utility is defined as a utility that will be included in the options considered in the study. </w:t>
      </w:r>
      <w:r w:rsidRPr="005C392A">
        <w:rPr>
          <w:rFonts w:asciiTheme="minorHAnsi" w:hAnsiTheme="minorHAnsi"/>
          <w:szCs w:val="24"/>
        </w:rPr>
        <w:t>The letters will define the level of cooperation required to complete a successful Merger/Regionalizati</w:t>
      </w:r>
      <w:r w:rsidR="00623712" w:rsidRPr="005C392A">
        <w:rPr>
          <w:rFonts w:asciiTheme="minorHAnsi" w:hAnsiTheme="minorHAnsi"/>
          <w:szCs w:val="24"/>
        </w:rPr>
        <w:t xml:space="preserve">on Feasibility Study. The letters must be signed by the elected official or authorized representative if authorized by resolution. The letters must acknowledge the applicant has applied for funding for a feasibility study and </w:t>
      </w:r>
      <w:r w:rsidR="009D15CE">
        <w:rPr>
          <w:rFonts w:asciiTheme="minorHAnsi" w:hAnsiTheme="minorHAnsi"/>
          <w:szCs w:val="24"/>
        </w:rPr>
        <w:t xml:space="preserve">the partnering utility </w:t>
      </w:r>
      <w:r w:rsidR="00623712" w:rsidRPr="005C392A">
        <w:rPr>
          <w:rFonts w:asciiTheme="minorHAnsi" w:hAnsiTheme="minorHAnsi"/>
          <w:szCs w:val="24"/>
        </w:rPr>
        <w:t>commit</w:t>
      </w:r>
      <w:r w:rsidR="009D15CE">
        <w:rPr>
          <w:rFonts w:asciiTheme="minorHAnsi" w:hAnsiTheme="minorHAnsi"/>
          <w:szCs w:val="24"/>
        </w:rPr>
        <w:t>s to cooperating</w:t>
      </w:r>
      <w:r w:rsidR="00623712" w:rsidRPr="005C392A">
        <w:rPr>
          <w:rFonts w:asciiTheme="minorHAnsi" w:hAnsiTheme="minorHAnsi"/>
          <w:szCs w:val="24"/>
        </w:rPr>
        <w:t xml:space="preserve"> in the study. The letters </w:t>
      </w:r>
      <w:r w:rsidR="00623712" w:rsidRPr="005C392A">
        <w:rPr>
          <w:rFonts w:asciiTheme="minorHAnsi" w:hAnsiTheme="minorHAnsi"/>
          <w:szCs w:val="24"/>
          <w:u w:val="single"/>
        </w:rPr>
        <w:t>do not</w:t>
      </w:r>
      <w:r w:rsidR="00623712" w:rsidRPr="005C392A">
        <w:rPr>
          <w:rFonts w:asciiTheme="minorHAnsi" w:hAnsiTheme="minorHAnsi"/>
          <w:szCs w:val="24"/>
        </w:rPr>
        <w:t xml:space="preserve"> commit the partnering utilities to act on the findings of the study.</w:t>
      </w:r>
    </w:p>
    <w:p w14:paraId="6755E7A6" w14:textId="0A7DA407" w:rsidR="00623712" w:rsidRPr="005C392A" w:rsidRDefault="00623712" w:rsidP="009B00E8">
      <w:pPr>
        <w:pStyle w:val="ListParagraph"/>
        <w:spacing w:after="120"/>
        <w:ind w:left="360"/>
        <w:contextualSpacing w:val="0"/>
        <w:rPr>
          <w:rFonts w:asciiTheme="minorHAnsi" w:hAnsiTheme="minorHAnsi"/>
          <w:szCs w:val="24"/>
        </w:rPr>
      </w:pPr>
      <w:r w:rsidRPr="005C392A">
        <w:rPr>
          <w:rFonts w:asciiTheme="minorHAnsi" w:hAnsiTheme="minorHAnsi"/>
          <w:szCs w:val="24"/>
        </w:rPr>
        <w:t>Example language:</w:t>
      </w:r>
    </w:p>
    <w:p w14:paraId="7C1A12B5" w14:textId="0BDF100A" w:rsidR="00623712" w:rsidRPr="005C392A" w:rsidRDefault="00623712" w:rsidP="009B00E8">
      <w:pPr>
        <w:pStyle w:val="ListParagraph"/>
        <w:spacing w:after="120"/>
        <w:ind w:left="360"/>
        <w:rPr>
          <w:rFonts w:asciiTheme="minorHAnsi" w:hAnsiTheme="minorHAnsi"/>
          <w:szCs w:val="24"/>
        </w:rPr>
      </w:pPr>
      <w:r w:rsidRPr="005C392A">
        <w:rPr>
          <w:rFonts w:asciiTheme="minorHAnsi" w:hAnsiTheme="minorHAnsi"/>
          <w:szCs w:val="24"/>
        </w:rPr>
        <w:t>The [Partnering system] acknowledges the [applying system’s] request to participate in a merger/regionalization feasibility study. By submittal of this letter, we commit our willingness to cooperate to the extent necessary to perform a merger/regionalization feasibility study for the purposes of ensuring the viability of all systems involved. Our collaboration in this study does not bind us to act on the recommendations of the study.</w:t>
      </w:r>
    </w:p>
    <w:p w14:paraId="5D5D54FC" w14:textId="77777777" w:rsidR="006005AC" w:rsidRPr="00804A4D" w:rsidRDefault="006005AC" w:rsidP="009B00E8">
      <w:pPr>
        <w:spacing w:after="120"/>
        <w:ind w:left="720" w:hanging="720"/>
        <w:rPr>
          <w:rFonts w:asciiTheme="minorHAnsi" w:hAnsiTheme="minorHAnsi"/>
          <w:sz w:val="22"/>
        </w:rPr>
      </w:pPr>
      <w:r>
        <w:rPr>
          <w:rFonts w:asciiTheme="minorHAnsi" w:hAnsiTheme="minorHAnsi"/>
          <w:noProof/>
          <w:sz w:val="22"/>
        </w:rPr>
        <mc:AlternateContent>
          <mc:Choice Requires="wps">
            <w:drawing>
              <wp:anchor distT="4294967295" distB="4294967295" distL="114300" distR="114300" simplePos="0" relativeHeight="251668480" behindDoc="0" locked="0" layoutInCell="1" allowOverlap="1" wp14:anchorId="741FE57B" wp14:editId="06B39074">
                <wp:simplePos x="0" y="0"/>
                <wp:positionH relativeFrom="column">
                  <wp:posOffset>0</wp:posOffset>
                </wp:positionH>
                <wp:positionV relativeFrom="paragraph">
                  <wp:posOffset>66040</wp:posOffset>
                </wp:positionV>
                <wp:extent cx="5797550" cy="0"/>
                <wp:effectExtent l="0" t="19050" r="1270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5715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4E2847" id="Straight Connector 3"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2pt" to="45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6j5QEAACoEAAAOAAAAZHJzL2Uyb0RvYy54bWysU9uO0zAQfUfiHyy/0zS7KgtR033oanlZ&#10;QUXhA1zHbiwcjzU2Tfr3jJ0Ly0VIIPpgdTxzzsw5nmzvh86yi8JgwNW8XK05U05CY9y55p8/Pb56&#10;w1mIwjXCglM1v6rA73cvX2x7X6kbaME2ChmRuFD1vuZtjL4qiiBb1YmwAq8cJTVgJyKFeC4aFD2x&#10;d7a4Wa9fFz1g4xGkCoFuH8Yk32V+rZWMH7QOKjJbc5ot5hPzeUpnsduK6ozCt0ZOY4h/mKITxlHT&#10;hepBRMG+ovmFqjMSIYCOKwldAVobqbIGUlOuf1JzbIVXWQuZE/xiU/h/tPL95YDMNDW/5cyJjp7o&#10;GFGYcxvZHpwjAwHZbfKp96Gi8r07YFIqB3f0TyC/BMoVPyRTEPxYNmjsUjlJZUP2/br4robIJF1u&#10;7t7ebTb0PHLOFaKagR5DfKegY+lPza1xyRJRictTiKm1qOaSdG0d6xNjSXwpDmBN82iszQGeT3uL&#10;7CLSOuRfUkYUz8oosm6SNKrIeuLVqrHBR6XJMZq7HDukXVULrZBSuVhOvNZRdYJpGmEBTqP9CTjV&#10;J6jKe/w34AWRO4OLC7gzDvB3Y8dhHlmP9bMDo+5kwQma6wHn16aFzM5NH0/a+Odxhn//xHffAAAA&#10;//8DAFBLAwQUAAYACAAAACEA6Gt1+9wAAAAGAQAADwAAAGRycy9kb3ducmV2LnhtbEyPwU7DMAyG&#10;70i8Q2QkLmhLxxCD0nSaJtilE4iyC7e0MW1F41RJtpa3x4gDHP391u/P2XqyvTihD50jBYt5AgKp&#10;dqajRsHh7Wl2ByJETUb3jlDBFwZY5+dnmU6NG+kVT2VsBJdQSLWCNsYhlTLULVod5m5A4uzDeasj&#10;j76RxuuRy20vr5PkVlrdEV9o9YDbFuvP8mgVdM+7cV8Wm+Lx5f1QXJGvdtvlSqnLi2nzACLiFP+W&#10;4Uef1SFnp8odyQTRK+BHItPkBgSn94slg+oXyDyT//XzbwAAAP//AwBQSwECLQAUAAYACAAAACEA&#10;toM4kv4AAADhAQAAEwAAAAAAAAAAAAAAAAAAAAAAW0NvbnRlbnRfVHlwZXNdLnhtbFBLAQItABQA&#10;BgAIAAAAIQA4/SH/1gAAAJQBAAALAAAAAAAAAAAAAAAAAC8BAABfcmVscy8ucmVsc1BLAQItABQA&#10;BgAIAAAAIQDmvr6j5QEAACoEAAAOAAAAAAAAAAAAAAAAAC4CAABkcnMvZTJvRG9jLnhtbFBLAQIt&#10;ABQABgAIAAAAIQDoa3X73AAAAAYBAAAPAAAAAAAAAAAAAAAAAD8EAABkcnMvZG93bnJldi54bWxQ&#10;SwUGAAAAAAQABADzAAAASAUAAAAA&#10;" strokeweight="4.5pt">
                <o:lock v:ext="edit" shapetype="f"/>
              </v:line>
            </w:pict>
          </mc:Fallback>
        </mc:AlternateContent>
      </w:r>
    </w:p>
    <w:p w14:paraId="60923C5C" w14:textId="1EFA6C15" w:rsidR="00302A62" w:rsidRPr="005C392A" w:rsidRDefault="00F77BC1" w:rsidP="009B00E8">
      <w:pPr>
        <w:spacing w:after="120"/>
        <w:rPr>
          <w:rFonts w:asciiTheme="minorHAnsi" w:hAnsiTheme="minorHAnsi"/>
          <w:b/>
          <w:szCs w:val="24"/>
          <w:u w:val="single"/>
        </w:rPr>
      </w:pPr>
      <w:r w:rsidRPr="005C392A">
        <w:rPr>
          <w:rFonts w:asciiTheme="minorHAnsi" w:hAnsiTheme="minorHAnsi"/>
          <w:b/>
          <w:szCs w:val="24"/>
          <w:u w:val="single"/>
        </w:rPr>
        <w:t>Merger/Regionalization</w:t>
      </w:r>
      <w:r w:rsidR="000078E0" w:rsidRPr="005C392A">
        <w:rPr>
          <w:rFonts w:asciiTheme="minorHAnsi" w:hAnsiTheme="minorHAnsi"/>
          <w:b/>
          <w:szCs w:val="24"/>
          <w:u w:val="single"/>
        </w:rPr>
        <w:t xml:space="preserve"> Feasibility</w:t>
      </w:r>
      <w:r w:rsidR="00302A62" w:rsidRPr="005C392A">
        <w:rPr>
          <w:rFonts w:asciiTheme="minorHAnsi" w:hAnsiTheme="minorHAnsi"/>
          <w:b/>
          <w:szCs w:val="24"/>
          <w:u w:val="single"/>
        </w:rPr>
        <w:t xml:space="preserve"> Narrative Guidance</w:t>
      </w:r>
    </w:p>
    <w:p w14:paraId="65227614" w14:textId="39A6CE20" w:rsidR="00302A62" w:rsidRPr="005C392A" w:rsidRDefault="00F77BC1" w:rsidP="009B00E8">
      <w:pPr>
        <w:spacing w:after="120"/>
        <w:rPr>
          <w:rFonts w:asciiTheme="minorHAnsi" w:hAnsiTheme="minorHAnsi"/>
          <w:b/>
          <w:szCs w:val="24"/>
          <w:u w:val="double"/>
        </w:rPr>
      </w:pPr>
      <w:r w:rsidRPr="005C392A">
        <w:rPr>
          <w:rFonts w:asciiTheme="minorHAnsi" w:hAnsiTheme="minorHAnsi"/>
          <w:b/>
          <w:szCs w:val="24"/>
          <w:u w:val="double"/>
        </w:rPr>
        <w:t>General Discussion</w:t>
      </w:r>
    </w:p>
    <w:p w14:paraId="7618C33D" w14:textId="47D42C85" w:rsidR="006005AC" w:rsidRPr="005C392A" w:rsidRDefault="006005AC" w:rsidP="009B00E8">
      <w:pPr>
        <w:spacing w:after="120"/>
        <w:rPr>
          <w:rFonts w:asciiTheme="minorHAnsi" w:hAnsiTheme="minorHAnsi"/>
          <w:szCs w:val="24"/>
        </w:rPr>
      </w:pPr>
      <w:r w:rsidRPr="00B476C7">
        <w:rPr>
          <w:rFonts w:asciiTheme="minorHAnsi" w:hAnsiTheme="minorHAnsi"/>
          <w:szCs w:val="24"/>
        </w:rPr>
        <w:t xml:space="preserve">This section </w:t>
      </w:r>
      <w:r w:rsidR="00502EF8" w:rsidRPr="00B476C7">
        <w:rPr>
          <w:rFonts w:asciiTheme="minorHAnsi" w:hAnsiTheme="minorHAnsi"/>
          <w:szCs w:val="24"/>
        </w:rPr>
        <w:t>is</w:t>
      </w:r>
      <w:r w:rsidR="00567F2A" w:rsidRPr="00B476C7">
        <w:rPr>
          <w:rFonts w:asciiTheme="minorHAnsi" w:hAnsiTheme="minorHAnsi"/>
          <w:szCs w:val="24"/>
        </w:rPr>
        <w:t xml:space="preserve"> </w:t>
      </w:r>
      <w:r w:rsidR="00710644" w:rsidRPr="00B476C7">
        <w:rPr>
          <w:rFonts w:asciiTheme="minorHAnsi" w:hAnsiTheme="minorHAnsi"/>
          <w:szCs w:val="24"/>
        </w:rPr>
        <w:t xml:space="preserve">for discussing </w:t>
      </w:r>
      <w:r w:rsidR="00623712" w:rsidRPr="00B476C7">
        <w:rPr>
          <w:rFonts w:asciiTheme="minorHAnsi" w:hAnsiTheme="minorHAnsi"/>
          <w:szCs w:val="24"/>
        </w:rPr>
        <w:t>the top three (3) challenges the applicant faces in the next five (5) years and how the proposed merger/regionalization feasibility study will help address these challenges. N</w:t>
      </w:r>
      <w:r w:rsidR="00E56968" w:rsidRPr="00B476C7">
        <w:rPr>
          <w:rFonts w:asciiTheme="minorHAnsi" w:hAnsiTheme="minorHAnsi"/>
          <w:szCs w:val="24"/>
        </w:rPr>
        <w:t xml:space="preserve">arrative responses </w:t>
      </w:r>
      <w:r w:rsidR="00E05949" w:rsidRPr="00B476C7">
        <w:rPr>
          <w:rFonts w:asciiTheme="minorHAnsi" w:hAnsiTheme="minorHAnsi"/>
          <w:szCs w:val="24"/>
        </w:rPr>
        <w:t xml:space="preserve">must be consistent with </w:t>
      </w:r>
      <w:r w:rsidR="00E56968" w:rsidRPr="00B476C7">
        <w:rPr>
          <w:rFonts w:asciiTheme="minorHAnsi" w:hAnsiTheme="minorHAnsi"/>
          <w:szCs w:val="24"/>
        </w:rPr>
        <w:t>the applicant’</w:t>
      </w:r>
      <w:r w:rsidR="00623712" w:rsidRPr="00B476C7">
        <w:rPr>
          <w:rFonts w:asciiTheme="minorHAnsi" w:hAnsiTheme="minorHAnsi"/>
          <w:szCs w:val="24"/>
        </w:rPr>
        <w:t xml:space="preserve">s Local Water Supply Plan, </w:t>
      </w:r>
      <w:r w:rsidR="00E56968" w:rsidRPr="00B476C7">
        <w:rPr>
          <w:rFonts w:asciiTheme="minorHAnsi" w:hAnsiTheme="minorHAnsi"/>
          <w:szCs w:val="24"/>
        </w:rPr>
        <w:t>Water System Management Plan</w:t>
      </w:r>
      <w:r w:rsidR="00502EF8" w:rsidRPr="00B476C7">
        <w:rPr>
          <w:rFonts w:asciiTheme="minorHAnsi" w:hAnsiTheme="minorHAnsi"/>
          <w:szCs w:val="24"/>
        </w:rPr>
        <w:t>,</w:t>
      </w:r>
      <w:r w:rsidR="00623712" w:rsidRPr="00B476C7">
        <w:rPr>
          <w:rFonts w:asciiTheme="minorHAnsi" w:hAnsiTheme="minorHAnsi"/>
          <w:szCs w:val="24"/>
        </w:rPr>
        <w:t xml:space="preserve"> I/I</w:t>
      </w:r>
      <w:r w:rsidR="000078E0" w:rsidRPr="00B476C7">
        <w:rPr>
          <w:rFonts w:asciiTheme="minorHAnsi" w:hAnsiTheme="minorHAnsi"/>
          <w:szCs w:val="24"/>
        </w:rPr>
        <w:t xml:space="preserve"> and other</w:t>
      </w:r>
      <w:r w:rsidR="00623712" w:rsidRPr="00B476C7">
        <w:rPr>
          <w:rFonts w:asciiTheme="minorHAnsi" w:hAnsiTheme="minorHAnsi"/>
          <w:szCs w:val="24"/>
        </w:rPr>
        <w:t xml:space="preserve"> study results,</w:t>
      </w:r>
      <w:r w:rsidR="00502EF8" w:rsidRPr="00B476C7">
        <w:rPr>
          <w:rFonts w:asciiTheme="minorHAnsi" w:hAnsiTheme="minorHAnsi"/>
          <w:szCs w:val="24"/>
        </w:rPr>
        <w:t xml:space="preserve"> </w:t>
      </w:r>
      <w:r w:rsidR="00E56968" w:rsidRPr="00B476C7">
        <w:rPr>
          <w:rFonts w:asciiTheme="minorHAnsi" w:hAnsiTheme="minorHAnsi"/>
          <w:szCs w:val="24"/>
        </w:rPr>
        <w:t>various withdrawal/discharge permits</w:t>
      </w:r>
      <w:r w:rsidR="00623712" w:rsidRPr="00B476C7">
        <w:rPr>
          <w:rFonts w:asciiTheme="minorHAnsi" w:hAnsiTheme="minorHAnsi"/>
          <w:szCs w:val="24"/>
        </w:rPr>
        <w:t>, and internal control policies</w:t>
      </w:r>
      <w:r w:rsidR="000078E0" w:rsidRPr="00B476C7">
        <w:rPr>
          <w:rFonts w:asciiTheme="minorHAnsi" w:hAnsiTheme="minorHAnsi"/>
          <w:szCs w:val="24"/>
        </w:rPr>
        <w:t>,</w:t>
      </w:r>
      <w:r w:rsidR="00E56968" w:rsidRPr="00B476C7">
        <w:rPr>
          <w:rFonts w:asciiTheme="minorHAnsi" w:hAnsiTheme="minorHAnsi"/>
          <w:szCs w:val="24"/>
        </w:rPr>
        <w:t xml:space="preserve"> as applicable.</w:t>
      </w:r>
      <w:r w:rsidR="00A736BA" w:rsidRPr="00B476C7">
        <w:rPr>
          <w:rFonts w:asciiTheme="minorHAnsi" w:hAnsiTheme="minorHAnsi"/>
          <w:szCs w:val="24"/>
        </w:rPr>
        <w:t xml:space="preserve"> Additionally, list the potential partnering system</w:t>
      </w:r>
      <w:r w:rsidR="00B476C7" w:rsidRPr="00B476C7">
        <w:rPr>
          <w:rFonts w:asciiTheme="minorHAnsi" w:hAnsiTheme="minorHAnsi"/>
          <w:szCs w:val="24"/>
        </w:rPr>
        <w:t>(s)</w:t>
      </w:r>
      <w:r w:rsidR="00A736BA" w:rsidRPr="00B476C7">
        <w:rPr>
          <w:rFonts w:asciiTheme="minorHAnsi" w:hAnsiTheme="minorHAnsi"/>
          <w:szCs w:val="24"/>
        </w:rPr>
        <w:t>.</w:t>
      </w:r>
    </w:p>
    <w:p w14:paraId="40383054" w14:textId="7FC42D71" w:rsidR="00302A62" w:rsidRPr="005C392A" w:rsidRDefault="00502EF8" w:rsidP="009B00E8">
      <w:pPr>
        <w:keepNext/>
        <w:spacing w:after="120"/>
        <w:rPr>
          <w:rFonts w:asciiTheme="minorHAnsi" w:hAnsiTheme="minorHAnsi"/>
          <w:b/>
          <w:i/>
          <w:szCs w:val="24"/>
          <w:u w:val="single"/>
        </w:rPr>
      </w:pPr>
      <w:r w:rsidRPr="005C392A">
        <w:rPr>
          <w:rFonts w:asciiTheme="minorHAnsi" w:hAnsiTheme="minorHAnsi"/>
          <w:b/>
          <w:i/>
          <w:szCs w:val="24"/>
          <w:u w:val="single"/>
        </w:rPr>
        <w:t>Previous Studies</w:t>
      </w:r>
    </w:p>
    <w:p w14:paraId="705BD1DD" w14:textId="4FDF0AF0" w:rsidR="00326B33" w:rsidRPr="005C392A" w:rsidRDefault="00326B33" w:rsidP="009B00E8">
      <w:pPr>
        <w:pStyle w:val="ListParagraph"/>
        <w:numPr>
          <w:ilvl w:val="0"/>
          <w:numId w:val="6"/>
        </w:numPr>
        <w:spacing w:after="240"/>
        <w:rPr>
          <w:rFonts w:asciiTheme="minorHAnsi" w:hAnsiTheme="minorHAnsi"/>
          <w:i/>
          <w:szCs w:val="24"/>
        </w:rPr>
      </w:pPr>
      <w:r w:rsidRPr="005C392A">
        <w:rPr>
          <w:rFonts w:asciiTheme="minorHAnsi" w:hAnsiTheme="minorHAnsi" w:cstheme="minorHAnsi"/>
          <w:i/>
          <w:szCs w:val="24"/>
        </w:rPr>
        <w:t>Has the feasibility of a merger or regionalization been studied before? What have been the barriers to either conducting a feasibility study or to implementing the recommendations from any previous studies? If a study was previously done, how will this study differ?</w:t>
      </w:r>
    </w:p>
    <w:p w14:paraId="271952D5" w14:textId="76FE4BC1" w:rsidR="00E05949" w:rsidRPr="005C392A" w:rsidRDefault="009110F2" w:rsidP="009B00E8">
      <w:pPr>
        <w:spacing w:after="240"/>
        <w:rPr>
          <w:rFonts w:asciiTheme="minorHAnsi" w:hAnsiTheme="minorHAnsi"/>
          <w:szCs w:val="24"/>
        </w:rPr>
      </w:pPr>
      <w:r w:rsidRPr="005C392A">
        <w:rPr>
          <w:rFonts w:asciiTheme="minorHAnsi" w:hAnsiTheme="minorHAnsi"/>
          <w:szCs w:val="24"/>
        </w:rPr>
        <w:t xml:space="preserve">If the </w:t>
      </w:r>
      <w:r w:rsidR="00BB1522" w:rsidRPr="005C392A">
        <w:rPr>
          <w:rFonts w:asciiTheme="minorHAnsi" w:hAnsiTheme="minorHAnsi"/>
          <w:szCs w:val="24"/>
        </w:rPr>
        <w:t>applicant</w:t>
      </w:r>
      <w:r w:rsidR="001145D9" w:rsidRPr="005C392A">
        <w:rPr>
          <w:rFonts w:asciiTheme="minorHAnsi" w:hAnsiTheme="minorHAnsi"/>
          <w:szCs w:val="24"/>
        </w:rPr>
        <w:t xml:space="preserve"> has</w:t>
      </w:r>
      <w:r w:rsidRPr="005C392A">
        <w:rPr>
          <w:rFonts w:asciiTheme="minorHAnsi" w:hAnsiTheme="minorHAnsi"/>
          <w:szCs w:val="24"/>
        </w:rPr>
        <w:t xml:space="preserve"> participated in a previous study, </w:t>
      </w:r>
      <w:r w:rsidR="000078E0" w:rsidRPr="005C392A">
        <w:rPr>
          <w:rFonts w:asciiTheme="minorHAnsi" w:hAnsiTheme="minorHAnsi"/>
          <w:szCs w:val="24"/>
        </w:rPr>
        <w:t xml:space="preserve">describe the study’s goals and intent, levels of commitment, </w:t>
      </w:r>
      <w:r w:rsidR="005B0F77" w:rsidRPr="005C392A">
        <w:rPr>
          <w:rFonts w:asciiTheme="minorHAnsi" w:hAnsiTheme="minorHAnsi"/>
          <w:szCs w:val="24"/>
        </w:rPr>
        <w:t>areas of</w:t>
      </w:r>
      <w:r w:rsidRPr="005C392A">
        <w:rPr>
          <w:rFonts w:asciiTheme="minorHAnsi" w:hAnsiTheme="minorHAnsi"/>
          <w:szCs w:val="24"/>
        </w:rPr>
        <w:t xml:space="preserve"> cooperation, and reason(s) for its success or failure. </w:t>
      </w:r>
      <w:r w:rsidR="005B0F77" w:rsidRPr="005C392A">
        <w:rPr>
          <w:rFonts w:asciiTheme="minorHAnsi" w:hAnsiTheme="minorHAnsi"/>
          <w:szCs w:val="24"/>
        </w:rPr>
        <w:t>The narrative must also include a discussion of the trade-offs and alternatives co</w:t>
      </w:r>
      <w:r w:rsidR="00F36618" w:rsidRPr="005C392A">
        <w:rPr>
          <w:rFonts w:asciiTheme="minorHAnsi" w:hAnsiTheme="minorHAnsi"/>
          <w:szCs w:val="24"/>
        </w:rPr>
        <w:t>nsidered by the previous study, specifically those relating to costs, operational changes, and organizational structure.</w:t>
      </w:r>
      <w:r w:rsidR="000078E0" w:rsidRPr="005C392A">
        <w:rPr>
          <w:rFonts w:asciiTheme="minorHAnsi" w:hAnsiTheme="minorHAnsi"/>
          <w:szCs w:val="24"/>
        </w:rPr>
        <w:t xml:space="preserve"> Additionally, describe how this study will differ from past studies.</w:t>
      </w:r>
    </w:p>
    <w:p w14:paraId="76AE1D01" w14:textId="3B02B160" w:rsidR="005A1700" w:rsidRPr="005C392A" w:rsidRDefault="001145D9" w:rsidP="009B00E8">
      <w:pPr>
        <w:spacing w:after="240"/>
        <w:rPr>
          <w:rFonts w:asciiTheme="minorHAnsi" w:hAnsiTheme="minorHAnsi"/>
          <w:szCs w:val="24"/>
        </w:rPr>
      </w:pPr>
      <w:r w:rsidRPr="005C392A">
        <w:rPr>
          <w:rFonts w:asciiTheme="minorHAnsi" w:hAnsiTheme="minorHAnsi"/>
          <w:szCs w:val="24"/>
        </w:rPr>
        <w:t>If the applicant has</w:t>
      </w:r>
      <w:r w:rsidR="009110F2" w:rsidRPr="005C392A">
        <w:rPr>
          <w:rFonts w:asciiTheme="minorHAnsi" w:hAnsiTheme="minorHAnsi"/>
          <w:szCs w:val="24"/>
        </w:rPr>
        <w:t xml:space="preserve"> not participated in a previous study, </w:t>
      </w:r>
      <w:r w:rsidR="005B0F77" w:rsidRPr="005C392A">
        <w:rPr>
          <w:rFonts w:asciiTheme="minorHAnsi" w:hAnsiTheme="minorHAnsi"/>
          <w:szCs w:val="24"/>
        </w:rPr>
        <w:t>discuss wh</w:t>
      </w:r>
      <w:r w:rsidRPr="005C392A">
        <w:rPr>
          <w:rFonts w:asciiTheme="minorHAnsi" w:hAnsiTheme="minorHAnsi"/>
          <w:szCs w:val="24"/>
        </w:rPr>
        <w:t>ether</w:t>
      </w:r>
      <w:r w:rsidR="005B0F77" w:rsidRPr="005C392A">
        <w:rPr>
          <w:rFonts w:asciiTheme="minorHAnsi" w:hAnsiTheme="minorHAnsi"/>
          <w:szCs w:val="24"/>
        </w:rPr>
        <w:t xml:space="preserve"> such a study has </w:t>
      </w:r>
      <w:r w:rsidRPr="005C392A">
        <w:rPr>
          <w:rFonts w:asciiTheme="minorHAnsi" w:hAnsiTheme="minorHAnsi"/>
          <w:szCs w:val="24"/>
        </w:rPr>
        <w:t xml:space="preserve">been previously considered, and the barriers which inhibited the study from proceeding. </w:t>
      </w:r>
      <w:r w:rsidR="005A1700" w:rsidRPr="005C392A">
        <w:rPr>
          <w:rFonts w:asciiTheme="minorHAnsi" w:hAnsiTheme="minorHAnsi"/>
          <w:szCs w:val="24"/>
        </w:rPr>
        <w:t xml:space="preserve">Reasons for the previous lack of consideration for a study may include, and are not limited to, unwillingness to </w:t>
      </w:r>
      <w:r w:rsidR="00AB5744" w:rsidRPr="005C392A">
        <w:rPr>
          <w:rFonts w:asciiTheme="minorHAnsi" w:hAnsiTheme="minorHAnsi"/>
          <w:szCs w:val="24"/>
        </w:rPr>
        <w:lastRenderedPageBreak/>
        <w:t xml:space="preserve">potentially </w:t>
      </w:r>
      <w:r w:rsidR="005A1700" w:rsidRPr="005C392A">
        <w:rPr>
          <w:rFonts w:asciiTheme="minorHAnsi" w:hAnsiTheme="minorHAnsi"/>
          <w:szCs w:val="24"/>
        </w:rPr>
        <w:t xml:space="preserve">eliminate existing positions, inability to agree internally on the study’s goals, </w:t>
      </w:r>
      <w:r w:rsidR="00AB5744" w:rsidRPr="005C392A">
        <w:rPr>
          <w:rFonts w:asciiTheme="minorHAnsi" w:hAnsiTheme="minorHAnsi"/>
          <w:szCs w:val="24"/>
        </w:rPr>
        <w:t>and financial barriers inhibiting the hiring of an experienced professional.</w:t>
      </w:r>
    </w:p>
    <w:p w14:paraId="6DC9D3C2" w14:textId="60BCED64" w:rsidR="001145D9" w:rsidRPr="005C392A" w:rsidRDefault="001145D9" w:rsidP="009B00E8">
      <w:pPr>
        <w:spacing w:after="120"/>
        <w:rPr>
          <w:rFonts w:asciiTheme="minorHAnsi" w:hAnsiTheme="minorHAnsi"/>
          <w:b/>
          <w:i/>
          <w:szCs w:val="24"/>
          <w:u w:val="single"/>
        </w:rPr>
      </w:pPr>
      <w:r w:rsidRPr="005C392A">
        <w:rPr>
          <w:rFonts w:asciiTheme="minorHAnsi" w:hAnsiTheme="minorHAnsi"/>
          <w:b/>
          <w:i/>
          <w:szCs w:val="24"/>
          <w:u w:val="single"/>
        </w:rPr>
        <w:t>Benefit to the Applicant</w:t>
      </w:r>
    </w:p>
    <w:p w14:paraId="685B1A12" w14:textId="3E05F9DA" w:rsidR="00A336FB" w:rsidRPr="005C392A" w:rsidRDefault="00A336FB" w:rsidP="009B00E8">
      <w:pPr>
        <w:pStyle w:val="ListParagraph"/>
        <w:numPr>
          <w:ilvl w:val="0"/>
          <w:numId w:val="6"/>
        </w:numPr>
        <w:spacing w:after="120"/>
        <w:rPr>
          <w:rFonts w:asciiTheme="minorHAnsi" w:hAnsiTheme="minorHAnsi" w:cstheme="minorHAnsi"/>
          <w:i/>
          <w:szCs w:val="24"/>
        </w:rPr>
      </w:pPr>
      <w:r w:rsidRPr="005C392A">
        <w:rPr>
          <w:rFonts w:asciiTheme="minorHAnsi" w:hAnsiTheme="minorHAnsi" w:cstheme="minorHAnsi"/>
          <w:i/>
          <w:szCs w:val="24"/>
        </w:rPr>
        <w:t xml:space="preserve">Describe the benefit to the local government of receiving a Merger/Regionalization Feasibility grant, including the current challenges facing the applicant and potential partners, and why merging or regionalizing might help resolve the challenges. Specifically address the </w:t>
      </w:r>
      <w:r w:rsidR="00A736BA">
        <w:rPr>
          <w:rFonts w:asciiTheme="minorHAnsi" w:hAnsiTheme="minorHAnsi" w:cstheme="minorHAnsi"/>
          <w:i/>
          <w:szCs w:val="24"/>
        </w:rPr>
        <w:t>systems’</w:t>
      </w:r>
      <w:r w:rsidRPr="005C392A">
        <w:rPr>
          <w:rFonts w:asciiTheme="minorHAnsi" w:hAnsiTheme="minorHAnsi" w:cstheme="minorHAnsi"/>
          <w:i/>
          <w:szCs w:val="24"/>
        </w:rPr>
        <w:t xml:space="preserve"> technical, organizational, and financial situations, including:</w:t>
      </w:r>
    </w:p>
    <w:p w14:paraId="0A0416F5" w14:textId="77777777" w:rsidR="00A336FB" w:rsidRPr="005C392A" w:rsidRDefault="00A336FB" w:rsidP="009B00E8">
      <w:pPr>
        <w:pStyle w:val="ListParagraph"/>
        <w:numPr>
          <w:ilvl w:val="1"/>
          <w:numId w:val="7"/>
        </w:numPr>
        <w:ind w:left="720"/>
        <w:contextualSpacing w:val="0"/>
        <w:rPr>
          <w:rFonts w:asciiTheme="minorHAnsi" w:hAnsiTheme="minorHAnsi" w:cstheme="minorHAnsi"/>
          <w:i/>
          <w:szCs w:val="24"/>
        </w:rPr>
      </w:pPr>
      <w:r w:rsidRPr="005C392A">
        <w:rPr>
          <w:rFonts w:asciiTheme="minorHAnsi" w:hAnsiTheme="minorHAnsi" w:cstheme="minorHAnsi"/>
          <w:i/>
          <w:szCs w:val="24"/>
        </w:rPr>
        <w:t>Physical assets such as treatment/supply components, distribution/collection systems, storage facilities, etc.</w:t>
      </w:r>
    </w:p>
    <w:p w14:paraId="59F1767D" w14:textId="77777777" w:rsidR="00A336FB" w:rsidRPr="005C392A" w:rsidRDefault="00A336FB" w:rsidP="009B00E8">
      <w:pPr>
        <w:pStyle w:val="ListParagraph"/>
        <w:numPr>
          <w:ilvl w:val="1"/>
          <w:numId w:val="7"/>
        </w:numPr>
        <w:ind w:left="720"/>
        <w:contextualSpacing w:val="0"/>
        <w:rPr>
          <w:rFonts w:asciiTheme="minorHAnsi" w:hAnsiTheme="minorHAnsi" w:cstheme="minorHAnsi"/>
          <w:i/>
          <w:szCs w:val="24"/>
        </w:rPr>
      </w:pPr>
      <w:r w:rsidRPr="005C392A">
        <w:rPr>
          <w:rFonts w:asciiTheme="minorHAnsi" w:hAnsiTheme="minorHAnsi" w:cstheme="minorHAnsi"/>
          <w:i/>
          <w:szCs w:val="24"/>
        </w:rPr>
        <w:t>Sources of drinking water or wastewater disposal/utilization.</w:t>
      </w:r>
    </w:p>
    <w:p w14:paraId="1F5B902C" w14:textId="77777777" w:rsidR="00A336FB" w:rsidRPr="005C392A" w:rsidRDefault="00A336FB" w:rsidP="009B00E8">
      <w:pPr>
        <w:pStyle w:val="ListParagraph"/>
        <w:numPr>
          <w:ilvl w:val="1"/>
          <w:numId w:val="7"/>
        </w:numPr>
        <w:ind w:left="720"/>
        <w:contextualSpacing w:val="0"/>
        <w:rPr>
          <w:rFonts w:asciiTheme="minorHAnsi" w:hAnsiTheme="minorHAnsi" w:cstheme="minorHAnsi"/>
          <w:i/>
          <w:szCs w:val="24"/>
        </w:rPr>
      </w:pPr>
      <w:r w:rsidRPr="005C392A">
        <w:rPr>
          <w:rFonts w:asciiTheme="minorHAnsi" w:hAnsiTheme="minorHAnsi" w:cstheme="minorHAnsi"/>
          <w:i/>
          <w:szCs w:val="24"/>
        </w:rPr>
        <w:t>Treatment, discharge, supply, and demand capacities.</w:t>
      </w:r>
    </w:p>
    <w:p w14:paraId="16B6BE01" w14:textId="77777777" w:rsidR="00A336FB" w:rsidRPr="005C392A" w:rsidRDefault="00A336FB" w:rsidP="009B00E8">
      <w:pPr>
        <w:pStyle w:val="ListParagraph"/>
        <w:numPr>
          <w:ilvl w:val="1"/>
          <w:numId w:val="7"/>
        </w:numPr>
        <w:spacing w:after="120"/>
        <w:ind w:left="720"/>
        <w:contextualSpacing w:val="0"/>
        <w:rPr>
          <w:rFonts w:asciiTheme="minorHAnsi" w:hAnsiTheme="minorHAnsi" w:cstheme="minorHAnsi"/>
          <w:i/>
          <w:szCs w:val="24"/>
        </w:rPr>
      </w:pPr>
      <w:r w:rsidRPr="005C392A">
        <w:rPr>
          <w:rFonts w:asciiTheme="minorHAnsi" w:hAnsiTheme="minorHAnsi" w:cstheme="minorHAnsi"/>
          <w:i/>
          <w:szCs w:val="24"/>
        </w:rPr>
        <w:t>The current level of asset management and capital improvement planning.</w:t>
      </w:r>
    </w:p>
    <w:p w14:paraId="010DE12D" w14:textId="77777777" w:rsidR="00A736BA" w:rsidRDefault="000078E0" w:rsidP="009B00E8">
      <w:pPr>
        <w:spacing w:after="200"/>
        <w:rPr>
          <w:rFonts w:asciiTheme="minorHAnsi" w:hAnsiTheme="minorHAnsi"/>
          <w:szCs w:val="24"/>
        </w:rPr>
      </w:pPr>
      <w:r w:rsidRPr="005C392A">
        <w:rPr>
          <w:rFonts w:asciiTheme="minorHAnsi" w:hAnsiTheme="minorHAnsi"/>
          <w:szCs w:val="24"/>
        </w:rPr>
        <w:t>Discuss the challenges facing the applicant on a daily, monthly, and annual basis, and how those challenges affect the utility’s physical assets, drinking water/wastewater sources, capacities, and long-term goals. Additionally, discuss how and merger or regionalization may resolve these challenges, specifically consider the perceived strength and weaknesses of the applicant and partnering systems</w:t>
      </w:r>
      <w:r w:rsidR="00997A8D" w:rsidRPr="005C392A">
        <w:rPr>
          <w:rFonts w:asciiTheme="minorHAnsi" w:hAnsiTheme="minorHAnsi"/>
          <w:szCs w:val="24"/>
        </w:rPr>
        <w:t>.</w:t>
      </w:r>
    </w:p>
    <w:p w14:paraId="4ECD9180" w14:textId="2152E5D3" w:rsidR="000078E0" w:rsidRPr="005C392A" w:rsidRDefault="00775A37" w:rsidP="009B00E8">
      <w:pPr>
        <w:spacing w:after="200"/>
        <w:rPr>
          <w:rFonts w:asciiTheme="minorHAnsi" w:hAnsiTheme="minorHAnsi"/>
          <w:szCs w:val="24"/>
        </w:rPr>
      </w:pPr>
      <w:r w:rsidRPr="00B476C7">
        <w:rPr>
          <w:rFonts w:asciiTheme="minorHAnsi" w:hAnsiTheme="minorHAnsi"/>
          <w:szCs w:val="24"/>
        </w:rPr>
        <w:t>Lastly, describe any additional information related to the benefits of a merger/regionalization feasibility study that have not been previously mentioned, such as</w:t>
      </w:r>
      <w:r w:rsidR="001920A1" w:rsidRPr="00B476C7">
        <w:rPr>
          <w:rFonts w:asciiTheme="minorHAnsi" w:hAnsiTheme="minorHAnsi"/>
          <w:szCs w:val="24"/>
        </w:rPr>
        <w:t xml:space="preserve"> issues in</w:t>
      </w:r>
      <w:r w:rsidRPr="00B476C7">
        <w:rPr>
          <w:rFonts w:asciiTheme="minorHAnsi" w:hAnsiTheme="minorHAnsi"/>
          <w:szCs w:val="24"/>
        </w:rPr>
        <w:t xml:space="preserve"> LGC Unit Letters from more than three (3) years ago, year-to-year trends in the operating ratio, etc.</w:t>
      </w:r>
      <w:r w:rsidR="001920A1">
        <w:rPr>
          <w:rFonts w:asciiTheme="minorHAnsi" w:hAnsiTheme="minorHAnsi"/>
          <w:szCs w:val="24"/>
        </w:rPr>
        <w:t xml:space="preserve"> </w:t>
      </w:r>
    </w:p>
    <w:p w14:paraId="09C5DD66" w14:textId="77777777" w:rsidR="00A736BA" w:rsidRDefault="00537EA0" w:rsidP="009B00E8">
      <w:pPr>
        <w:rPr>
          <w:rFonts w:asciiTheme="minorHAnsi" w:hAnsiTheme="minorHAnsi"/>
          <w:b/>
          <w:szCs w:val="24"/>
          <w:u w:val="double"/>
        </w:rPr>
      </w:pPr>
      <w:r>
        <w:rPr>
          <w:rFonts w:asciiTheme="minorHAnsi" w:hAnsiTheme="minorHAnsi"/>
          <w:noProof/>
          <w:sz w:val="22"/>
        </w:rPr>
        <mc:AlternateContent>
          <mc:Choice Requires="wps">
            <w:drawing>
              <wp:anchor distT="4294967295" distB="4294967295" distL="114300" distR="114300" simplePos="0" relativeHeight="251664384" behindDoc="0" locked="0" layoutInCell="1" allowOverlap="1" wp14:anchorId="31B973DB" wp14:editId="329E5780">
                <wp:simplePos x="0" y="0"/>
                <wp:positionH relativeFrom="column">
                  <wp:posOffset>-60325</wp:posOffset>
                </wp:positionH>
                <wp:positionV relativeFrom="paragraph">
                  <wp:posOffset>-15241</wp:posOffset>
                </wp:positionV>
                <wp:extent cx="5797550" cy="0"/>
                <wp:effectExtent l="0" t="19050" r="1270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5715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2BC0C5" id="Straight Connector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pt,-1.2pt" to="451.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JBb5QEAACoEAAAOAAAAZHJzL2Uyb0RvYy54bWysU9uO0zAQfUfiHyy/0zSrLQtR033oanlZ&#10;QUXhA1zHbiwcjzU2Tfr3jJ0Ly0VIIPpgdTxzzsw5nmzvh86yi8JgwNW8XK05U05CY9y55p8/Pb56&#10;w1mIwjXCglM1v6rA73cvX2x7X6kbaME2ChmRuFD1vuZtjL4qiiBb1YmwAq8cJTVgJyKFeC4aFD2x&#10;d7a4Wa9fFz1g4xGkCoFuH8Yk32V+rZWMH7QOKjJbc5ot5hPzeUpnsduK6ozCt0ZOY4h/mKITxlHT&#10;hepBRMG+ovmFqjMSIYCOKwldAVobqbIGUlOuf1JzbIVXWQuZE/xiU/h/tPL95YDMNDW/5cyJjp7o&#10;GFGYcxvZHpwjAwHZbfKp96Gi8r07YFIqB3f0TyC/BMoVPyRTEPxYNmjsUjlJZUP2/br4robIJF1u&#10;7t7ebTb0PHLOFaKagR5DfKegY+lPza1xyRJRictTiKm1qOaSdG0d6xNjSXwpDmBN82iszQGeT3uL&#10;7CLSOuRfUkYUz8oosm6SNKrIeuLVqrHBR6XJMZq7HDukXVULrZBSuVhOvNZRdYJpGmEBTqP9CTjV&#10;J6jKe/w34AWRO4OLC7gzDvB3Y8dhHlmP9bMDo+5kwQma6wHn16aFzM5NH0/a+Odxhn//xHffAAAA&#10;//8DAFBLAwQUAAYACAAAACEA9zm25N8AAAAIAQAADwAAAGRycy9kb3ducmV2LnhtbEyPzU7DMBCE&#10;70i8g7VIXFDr0PLXEKeqKuglCETohZsTL0lEvI5stwlvzyIOcFrtzGj222w92V4c0YfOkYLLeQIC&#10;qXamo0bB/u1xdgciRE1G945QwRcGWOenJ5lOjRvpFY9lbASXUEi1gjbGIZUy1C1aHeZuQGLvw3mr&#10;I6++kcbrkcttLxdJciOt7ogvtHrAbYv1Z3mwCrrn3fhUFpvi4eV9X1yQr3bb5a1S52fT5h5ExCn+&#10;heEHn9EhZ6bKHcgE0SuYra45yXNxBYL9VbJkofoVZJ7J/w/k3wAAAP//AwBQSwECLQAUAAYACAAA&#10;ACEAtoM4kv4AAADhAQAAEwAAAAAAAAAAAAAAAAAAAAAAW0NvbnRlbnRfVHlwZXNdLnhtbFBLAQIt&#10;ABQABgAIAAAAIQA4/SH/1gAAAJQBAAALAAAAAAAAAAAAAAAAAC8BAABfcmVscy8ucmVsc1BLAQIt&#10;ABQABgAIAAAAIQB9sJBb5QEAACoEAAAOAAAAAAAAAAAAAAAAAC4CAABkcnMvZTJvRG9jLnhtbFBL&#10;AQItABQABgAIAAAAIQD3Obbk3wAAAAgBAAAPAAAAAAAAAAAAAAAAAD8EAABkcnMvZG93bnJldi54&#10;bWxQSwUGAAAAAAQABADzAAAASwUAAAAA&#10;" strokeweight="4.5pt">
                <o:lock v:ext="edit" shapetype="f"/>
              </v:line>
            </w:pict>
          </mc:Fallback>
        </mc:AlternateContent>
      </w:r>
    </w:p>
    <w:p w14:paraId="740D2ED7" w14:textId="7C19EDD4" w:rsidR="00585CA7" w:rsidRPr="005C392A" w:rsidRDefault="000078E0" w:rsidP="009B00E8">
      <w:pPr>
        <w:spacing w:after="120"/>
        <w:rPr>
          <w:rFonts w:asciiTheme="minorHAnsi" w:hAnsiTheme="minorHAnsi"/>
          <w:b/>
          <w:szCs w:val="24"/>
          <w:u w:val="double"/>
        </w:rPr>
      </w:pPr>
      <w:r w:rsidRPr="005C392A">
        <w:rPr>
          <w:rFonts w:asciiTheme="minorHAnsi" w:hAnsiTheme="minorHAnsi"/>
          <w:b/>
          <w:szCs w:val="24"/>
          <w:u w:val="double"/>
        </w:rPr>
        <w:t>Category 1</w:t>
      </w:r>
      <w:r w:rsidR="00585CA7" w:rsidRPr="005C392A">
        <w:rPr>
          <w:rFonts w:asciiTheme="minorHAnsi" w:hAnsiTheme="minorHAnsi"/>
          <w:b/>
          <w:szCs w:val="24"/>
          <w:u w:val="double"/>
        </w:rPr>
        <w:t xml:space="preserve"> – </w:t>
      </w:r>
      <w:r w:rsidR="006005AC" w:rsidRPr="005C392A">
        <w:rPr>
          <w:rFonts w:asciiTheme="minorHAnsi" w:hAnsiTheme="minorHAnsi"/>
          <w:b/>
          <w:szCs w:val="24"/>
          <w:u w:val="double"/>
        </w:rPr>
        <w:t>Technical Status</w:t>
      </w:r>
    </w:p>
    <w:p w14:paraId="38CAEB03" w14:textId="632C0863" w:rsidR="007C36F7" w:rsidRPr="005C392A" w:rsidRDefault="0000007A" w:rsidP="009B00E8">
      <w:pPr>
        <w:keepNext/>
        <w:spacing w:after="120"/>
        <w:rPr>
          <w:rFonts w:asciiTheme="minorHAnsi" w:hAnsiTheme="minorHAnsi"/>
          <w:szCs w:val="24"/>
        </w:rPr>
      </w:pPr>
      <w:r w:rsidRPr="005C392A">
        <w:rPr>
          <w:rFonts w:asciiTheme="minorHAnsi" w:hAnsiTheme="minorHAnsi"/>
          <w:szCs w:val="24"/>
        </w:rPr>
        <w:t>Applications earn</w:t>
      </w:r>
      <w:r w:rsidR="00585CA7" w:rsidRPr="005C392A">
        <w:rPr>
          <w:rFonts w:asciiTheme="minorHAnsi" w:hAnsiTheme="minorHAnsi"/>
          <w:szCs w:val="24"/>
        </w:rPr>
        <w:t xml:space="preserve"> </w:t>
      </w:r>
      <w:r w:rsidR="006005AC" w:rsidRPr="005C392A">
        <w:rPr>
          <w:rFonts w:asciiTheme="minorHAnsi" w:hAnsiTheme="minorHAnsi"/>
          <w:szCs w:val="24"/>
        </w:rPr>
        <w:t>Technical Status</w:t>
      </w:r>
      <w:r w:rsidR="00585CA7" w:rsidRPr="005C392A">
        <w:rPr>
          <w:rFonts w:asciiTheme="minorHAnsi" w:hAnsiTheme="minorHAnsi"/>
          <w:szCs w:val="24"/>
        </w:rPr>
        <w:t xml:space="preserve"> points </w:t>
      </w:r>
      <w:r w:rsidR="00293A74" w:rsidRPr="005C392A">
        <w:rPr>
          <w:rFonts w:asciiTheme="minorHAnsi" w:hAnsiTheme="minorHAnsi"/>
          <w:szCs w:val="24"/>
        </w:rPr>
        <w:t xml:space="preserve">by documenting the existing </w:t>
      </w:r>
      <w:r w:rsidR="004F0A94" w:rsidRPr="005C392A">
        <w:rPr>
          <w:rFonts w:asciiTheme="minorHAnsi" w:hAnsiTheme="minorHAnsi"/>
          <w:szCs w:val="24"/>
        </w:rPr>
        <w:t xml:space="preserve">operational situation of the applicant. The narrative must discuss and document existing technical challenges which </w:t>
      </w:r>
      <w:r w:rsidR="000078E0" w:rsidRPr="005C392A">
        <w:rPr>
          <w:rFonts w:asciiTheme="minorHAnsi" w:hAnsiTheme="minorHAnsi"/>
          <w:szCs w:val="24"/>
        </w:rPr>
        <w:t>affect</w:t>
      </w:r>
      <w:r w:rsidR="004F0A94" w:rsidRPr="005C392A">
        <w:rPr>
          <w:rFonts w:asciiTheme="minorHAnsi" w:hAnsiTheme="minorHAnsi"/>
          <w:szCs w:val="24"/>
        </w:rPr>
        <w:t xml:space="preserve"> system viability. </w:t>
      </w:r>
    </w:p>
    <w:p w14:paraId="67349BA5" w14:textId="66761183" w:rsidR="004F0A94" w:rsidRPr="005C392A" w:rsidRDefault="004F0A94" w:rsidP="009B00E8">
      <w:pPr>
        <w:keepNext/>
        <w:spacing w:after="120"/>
        <w:rPr>
          <w:rFonts w:asciiTheme="minorHAnsi" w:hAnsiTheme="minorHAnsi"/>
          <w:b/>
          <w:i/>
          <w:szCs w:val="24"/>
          <w:u w:val="single"/>
        </w:rPr>
      </w:pPr>
      <w:r w:rsidRPr="005C392A">
        <w:rPr>
          <w:rFonts w:asciiTheme="minorHAnsi" w:hAnsiTheme="minorHAnsi"/>
          <w:b/>
          <w:i/>
          <w:szCs w:val="24"/>
          <w:u w:val="single"/>
        </w:rPr>
        <w:t>Compliance History</w:t>
      </w:r>
    </w:p>
    <w:p w14:paraId="347336CB" w14:textId="6550C816" w:rsidR="00F2246B" w:rsidRPr="005C392A" w:rsidRDefault="00F2246B" w:rsidP="009B00E8">
      <w:pPr>
        <w:pStyle w:val="ListParagraph"/>
        <w:numPr>
          <w:ilvl w:val="0"/>
          <w:numId w:val="8"/>
        </w:numPr>
        <w:spacing w:after="120"/>
        <w:rPr>
          <w:rFonts w:asciiTheme="minorHAnsi" w:hAnsiTheme="minorHAnsi"/>
          <w:i/>
          <w:szCs w:val="24"/>
        </w:rPr>
      </w:pPr>
      <w:r w:rsidRPr="005C392A">
        <w:rPr>
          <w:rFonts w:asciiTheme="minorHAnsi" w:hAnsiTheme="minorHAnsi" w:cstheme="minorHAnsi"/>
          <w:i/>
          <w:szCs w:val="24"/>
        </w:rPr>
        <w:t>Describe any ongoing environmental protection and public health issues, such as impaired watersheds, contaminated sources, failing infrastructure, etc.</w:t>
      </w:r>
      <w:r w:rsidR="00396AAF" w:rsidRPr="005C392A">
        <w:rPr>
          <w:rFonts w:asciiTheme="minorHAnsi" w:hAnsiTheme="minorHAnsi" w:cstheme="minorHAnsi"/>
          <w:i/>
          <w:szCs w:val="24"/>
        </w:rPr>
        <w:t xml:space="preserve"> </w:t>
      </w:r>
      <w:r w:rsidR="00396AAF" w:rsidRPr="005C392A">
        <w:rPr>
          <w:rFonts w:asciiTheme="minorHAnsi" w:hAnsiTheme="minorHAnsi" w:cstheme="minorHAnsi"/>
          <w:b/>
          <w:i/>
          <w:szCs w:val="24"/>
        </w:rPr>
        <w:t>(Line Item 1.A)</w:t>
      </w:r>
    </w:p>
    <w:p w14:paraId="06C4BD6A" w14:textId="6B522D8E" w:rsidR="008B2921" w:rsidRPr="005C392A" w:rsidRDefault="00396AAF" w:rsidP="009B00E8">
      <w:pPr>
        <w:spacing w:after="120"/>
        <w:rPr>
          <w:rFonts w:asciiTheme="minorHAnsi" w:hAnsiTheme="minorHAnsi"/>
          <w:szCs w:val="24"/>
        </w:rPr>
      </w:pPr>
      <w:r w:rsidRPr="005C392A">
        <w:rPr>
          <w:rFonts w:asciiTheme="minorHAnsi" w:hAnsiTheme="minorHAnsi"/>
          <w:szCs w:val="24"/>
        </w:rPr>
        <w:t xml:space="preserve">Discuss whether existing violations are acute or ongoing, the extent to which the violations impact the utility’s normal operations, the actions taken to address existing violations, and the potential for future violations. Provide documentation of the enforcement action (NOV, AO, etc.), </w:t>
      </w:r>
      <w:proofErr w:type="gramStart"/>
      <w:r w:rsidRPr="005C392A">
        <w:rPr>
          <w:rFonts w:asciiTheme="minorHAnsi" w:hAnsiTheme="minorHAnsi"/>
          <w:szCs w:val="24"/>
        </w:rPr>
        <w:t>a brief summary</w:t>
      </w:r>
      <w:proofErr w:type="gramEnd"/>
      <w:r w:rsidRPr="005C392A">
        <w:rPr>
          <w:rFonts w:asciiTheme="minorHAnsi" w:hAnsiTheme="minorHAnsi"/>
          <w:szCs w:val="24"/>
        </w:rPr>
        <w:t xml:space="preserve"> of the applicable regulation and its citation, and whether the underlying violation was addressed and if so, how and when.</w:t>
      </w:r>
    </w:p>
    <w:p w14:paraId="19EB1C54" w14:textId="77777777" w:rsidR="00D15BC4" w:rsidRDefault="00396AAF" w:rsidP="009B00E8">
      <w:pPr>
        <w:spacing w:after="120"/>
        <w:rPr>
          <w:rFonts w:asciiTheme="minorHAnsi" w:hAnsiTheme="minorHAnsi"/>
          <w:szCs w:val="24"/>
        </w:rPr>
      </w:pPr>
      <w:r w:rsidRPr="005C392A">
        <w:rPr>
          <w:rFonts w:asciiTheme="minorHAnsi" w:hAnsiTheme="minorHAnsi"/>
          <w:szCs w:val="24"/>
        </w:rPr>
        <w:t>Points earned for this line item will be based on a comparison of the other applications submitted during that funding round. Applications that document the most severe violations will receive three points for this line item, applications that document fewer and less sever violations will receive either one or two points, and applications with no violations will receive zero points.</w:t>
      </w:r>
    </w:p>
    <w:p w14:paraId="70CFE022" w14:textId="0E9F8CD9" w:rsidR="00AA69BB" w:rsidRPr="005C392A" w:rsidRDefault="0039339B" w:rsidP="009B00E8">
      <w:pPr>
        <w:spacing w:after="120"/>
        <w:rPr>
          <w:rFonts w:asciiTheme="minorHAnsi" w:hAnsiTheme="minorHAnsi"/>
          <w:szCs w:val="24"/>
        </w:rPr>
      </w:pPr>
      <w:r w:rsidRPr="005C392A">
        <w:rPr>
          <w:rFonts w:asciiTheme="minorHAnsi" w:hAnsiTheme="minorHAnsi"/>
          <w:b/>
          <w:i/>
          <w:szCs w:val="24"/>
          <w:u w:val="single"/>
        </w:rPr>
        <w:t>Proximity</w:t>
      </w:r>
      <w:r w:rsidR="00AA69BB" w:rsidRPr="005C392A">
        <w:rPr>
          <w:rFonts w:asciiTheme="minorHAnsi" w:hAnsiTheme="minorHAnsi"/>
          <w:b/>
          <w:i/>
          <w:szCs w:val="24"/>
          <w:u w:val="single"/>
        </w:rPr>
        <w:t xml:space="preserve"> and P</w:t>
      </w:r>
      <w:r w:rsidR="00372B16" w:rsidRPr="005C392A">
        <w:rPr>
          <w:rFonts w:asciiTheme="minorHAnsi" w:hAnsiTheme="minorHAnsi"/>
          <w:b/>
          <w:i/>
          <w:szCs w:val="24"/>
          <w:u w:val="single"/>
        </w:rPr>
        <w:t>ast Collaboration</w:t>
      </w:r>
    </w:p>
    <w:p w14:paraId="27869694" w14:textId="20E74AFB" w:rsidR="00F2246B" w:rsidRPr="005C392A" w:rsidRDefault="00F2246B" w:rsidP="009B00E8">
      <w:pPr>
        <w:pStyle w:val="ListParagraph"/>
        <w:numPr>
          <w:ilvl w:val="0"/>
          <w:numId w:val="8"/>
        </w:numPr>
        <w:spacing w:after="120"/>
        <w:rPr>
          <w:rFonts w:asciiTheme="minorHAnsi" w:hAnsiTheme="minorHAnsi" w:cstheme="minorHAnsi"/>
          <w:i/>
          <w:szCs w:val="24"/>
        </w:rPr>
      </w:pPr>
      <w:r w:rsidRPr="005C392A">
        <w:rPr>
          <w:rFonts w:asciiTheme="minorHAnsi" w:hAnsiTheme="minorHAnsi" w:cstheme="minorHAnsi"/>
          <w:i/>
          <w:szCs w:val="24"/>
        </w:rPr>
        <w:lastRenderedPageBreak/>
        <w:t>Discuss whether systems adjacent to the applicant appear to have adequate unallocated capacity to accommodate the applying</w:t>
      </w:r>
      <w:r w:rsidR="00396AAF" w:rsidRPr="005C392A">
        <w:rPr>
          <w:rFonts w:asciiTheme="minorHAnsi" w:hAnsiTheme="minorHAnsi" w:cstheme="minorHAnsi"/>
          <w:i/>
          <w:szCs w:val="24"/>
        </w:rPr>
        <w:t xml:space="preserve"> system’s needs. </w:t>
      </w:r>
      <w:r w:rsidR="00396AAF" w:rsidRPr="005C392A">
        <w:rPr>
          <w:rFonts w:asciiTheme="minorHAnsi" w:hAnsiTheme="minorHAnsi" w:cstheme="minorHAnsi"/>
          <w:b/>
          <w:i/>
          <w:szCs w:val="24"/>
        </w:rPr>
        <w:t>(Line Item 1.B)</w:t>
      </w:r>
    </w:p>
    <w:p w14:paraId="0812DAA0" w14:textId="74C024B0" w:rsidR="00396AAF" w:rsidRPr="005C392A" w:rsidRDefault="00396AAF" w:rsidP="009B00E8">
      <w:pPr>
        <w:spacing w:after="120"/>
        <w:rPr>
          <w:rFonts w:asciiTheme="minorHAnsi" w:hAnsiTheme="minorHAnsi" w:cstheme="minorHAnsi"/>
          <w:szCs w:val="24"/>
        </w:rPr>
      </w:pPr>
      <w:r w:rsidRPr="005C392A">
        <w:rPr>
          <w:rFonts w:asciiTheme="minorHAnsi" w:hAnsiTheme="minorHAnsi" w:cstheme="minorHAnsi"/>
          <w:szCs w:val="24"/>
        </w:rPr>
        <w:t>Discuss the applicant’s proximity to potential partners who appear to have adequate unallocated capacity to expand and interconnect. Using existing Local Water Supply Plans, Water System Management Plans, and discharge/withdrawal permits, discuss the supply and treatment capacity needs of the applicant. Provide a map which includes sufficient labels of geographical references and is at a readable scale.</w:t>
      </w:r>
    </w:p>
    <w:p w14:paraId="5C5B6821" w14:textId="01E7BD48" w:rsidR="00504ADE" w:rsidRPr="005C392A" w:rsidRDefault="00F2246B" w:rsidP="009B00E8">
      <w:pPr>
        <w:pStyle w:val="ListParagraph"/>
        <w:numPr>
          <w:ilvl w:val="0"/>
          <w:numId w:val="8"/>
        </w:numPr>
        <w:spacing w:after="240"/>
        <w:rPr>
          <w:rFonts w:asciiTheme="minorHAnsi" w:hAnsiTheme="minorHAnsi" w:cstheme="minorHAnsi"/>
          <w:szCs w:val="24"/>
        </w:rPr>
      </w:pPr>
      <w:r w:rsidRPr="005C392A">
        <w:rPr>
          <w:rFonts w:asciiTheme="minorHAnsi" w:hAnsiTheme="minorHAnsi" w:cstheme="minorHAnsi"/>
          <w:i/>
          <w:szCs w:val="24"/>
        </w:rPr>
        <w:t>Have the applicant and partner system(s) previously collaborated on utility or other issues, either on a project basis or for ongoing management? If so, describe the reasons, achievements, and benefits of the collaboration for both the applicant and partner system(s).</w:t>
      </w:r>
      <w:r w:rsidR="00396AAF" w:rsidRPr="005C392A">
        <w:rPr>
          <w:rFonts w:asciiTheme="minorHAnsi" w:hAnsiTheme="minorHAnsi" w:cstheme="minorHAnsi"/>
          <w:i/>
          <w:szCs w:val="24"/>
        </w:rPr>
        <w:t xml:space="preserve"> </w:t>
      </w:r>
      <w:r w:rsidR="00396AAF" w:rsidRPr="005C392A">
        <w:rPr>
          <w:rFonts w:asciiTheme="minorHAnsi" w:hAnsiTheme="minorHAnsi" w:cstheme="minorHAnsi"/>
          <w:b/>
          <w:i/>
          <w:szCs w:val="24"/>
        </w:rPr>
        <w:t>(Line Item 1.B)</w:t>
      </w:r>
    </w:p>
    <w:p w14:paraId="3AE8CA7D" w14:textId="345FCD06" w:rsidR="00396AAF" w:rsidRPr="005C392A" w:rsidRDefault="00396AAF" w:rsidP="009B00E8">
      <w:pPr>
        <w:spacing w:after="240"/>
        <w:rPr>
          <w:rFonts w:asciiTheme="minorHAnsi" w:hAnsiTheme="minorHAnsi"/>
          <w:szCs w:val="24"/>
        </w:rPr>
      </w:pPr>
      <w:r w:rsidRPr="005C392A">
        <w:rPr>
          <w:rFonts w:asciiTheme="minorHAnsi" w:hAnsiTheme="minorHAnsi"/>
          <w:szCs w:val="24"/>
        </w:rPr>
        <w:t>Past collaboration may be an indicator of future collaboration, so the Division structure the rating system to prioritize applications that document past collaboration above those that do not. Past collaboration is not limited to utility-utility collaboration, for example past land development, joint permitting and planning, and service-sharing activities should all be documented here. Additionally, discuss the goals and outcomes of the collaborative efforts.</w:t>
      </w:r>
    </w:p>
    <w:p w14:paraId="3652980F" w14:textId="1E948EC3" w:rsidR="00372B16" w:rsidRPr="005C392A" w:rsidRDefault="00504ADE" w:rsidP="009B00E8">
      <w:pPr>
        <w:spacing w:after="240"/>
        <w:rPr>
          <w:rFonts w:asciiTheme="minorHAnsi" w:hAnsiTheme="minorHAnsi"/>
          <w:szCs w:val="24"/>
        </w:rPr>
      </w:pPr>
      <w:r w:rsidRPr="005C392A">
        <w:rPr>
          <w:rFonts w:asciiTheme="minorHAnsi" w:hAnsiTheme="minorHAnsi"/>
          <w:szCs w:val="24"/>
        </w:rPr>
        <w:t xml:space="preserve">Points earned for this line item will be based on a comparison of the other applications </w:t>
      </w:r>
      <w:r w:rsidR="00A0734B" w:rsidRPr="005C392A">
        <w:rPr>
          <w:rFonts w:asciiTheme="minorHAnsi" w:hAnsiTheme="minorHAnsi"/>
          <w:szCs w:val="24"/>
        </w:rPr>
        <w:t xml:space="preserve">submitted </w:t>
      </w:r>
      <w:r w:rsidRPr="005C392A">
        <w:rPr>
          <w:rFonts w:asciiTheme="minorHAnsi" w:hAnsiTheme="minorHAnsi"/>
          <w:szCs w:val="24"/>
        </w:rPr>
        <w:t>during that funding round. The application narrative must document proximity to systems with adequate unallocated capacity to expand (per NCGS 130A-317(g)) as well as any previous collaborations with a partnering system.</w:t>
      </w:r>
      <w:r w:rsidR="00A736BA">
        <w:rPr>
          <w:rFonts w:asciiTheme="minorHAnsi" w:hAnsiTheme="minorHAnsi"/>
          <w:szCs w:val="24"/>
        </w:rPr>
        <w:t xml:space="preserve"> Three points will be award to a</w:t>
      </w:r>
      <w:r w:rsidRPr="005C392A">
        <w:rPr>
          <w:rFonts w:asciiTheme="minorHAnsi" w:hAnsiTheme="minorHAnsi"/>
          <w:szCs w:val="24"/>
        </w:rPr>
        <w:t>pplications that document the closest proximity to a partner utility with adequate capacity to expand and where the applicant and partner utilities have previous</w:t>
      </w:r>
      <w:r w:rsidR="00A736BA">
        <w:rPr>
          <w:rFonts w:asciiTheme="minorHAnsi" w:hAnsiTheme="minorHAnsi"/>
          <w:szCs w:val="24"/>
        </w:rPr>
        <w:t>ly collaborated in any activity, zero</w:t>
      </w:r>
      <w:r w:rsidRPr="005C392A">
        <w:rPr>
          <w:rFonts w:asciiTheme="minorHAnsi" w:hAnsiTheme="minorHAnsi"/>
          <w:szCs w:val="24"/>
        </w:rPr>
        <w:t xml:space="preserve"> points will be awarded for applications that show neither of these, and applications with a combination of </w:t>
      </w:r>
      <w:r w:rsidR="00372B16" w:rsidRPr="005C392A">
        <w:rPr>
          <w:rFonts w:asciiTheme="minorHAnsi" w:hAnsiTheme="minorHAnsi"/>
          <w:szCs w:val="24"/>
        </w:rPr>
        <w:t xml:space="preserve">no </w:t>
      </w:r>
      <w:r w:rsidRPr="005C392A">
        <w:rPr>
          <w:rFonts w:asciiTheme="minorHAnsi" w:hAnsiTheme="minorHAnsi"/>
          <w:szCs w:val="24"/>
        </w:rPr>
        <w:t>proximity but previous collaboration, and vice versa, will be a</w:t>
      </w:r>
      <w:r w:rsidR="001D2009" w:rsidRPr="005C392A">
        <w:rPr>
          <w:rFonts w:asciiTheme="minorHAnsi" w:hAnsiTheme="minorHAnsi"/>
          <w:szCs w:val="24"/>
        </w:rPr>
        <w:t xml:space="preserve">warded either one or two points. </w:t>
      </w:r>
    </w:p>
    <w:tbl>
      <w:tblPr>
        <w:tblStyle w:val="TableGrid"/>
        <w:tblW w:w="0" w:type="auto"/>
        <w:shd w:val="pct5" w:color="auto" w:fill="auto"/>
        <w:tblLook w:val="04A0" w:firstRow="1" w:lastRow="0" w:firstColumn="1" w:lastColumn="0" w:noHBand="0" w:noVBand="1"/>
      </w:tblPr>
      <w:tblGrid>
        <w:gridCol w:w="9800"/>
      </w:tblGrid>
      <w:tr w:rsidR="00372B16" w:rsidRPr="005C392A" w14:paraId="47569E59" w14:textId="77777777" w:rsidTr="001D2009">
        <w:trPr>
          <w:trHeight w:val="2429"/>
        </w:trPr>
        <w:tc>
          <w:tcPr>
            <w:tcW w:w="9800" w:type="dxa"/>
            <w:shd w:val="pct5" w:color="auto" w:fill="auto"/>
          </w:tcPr>
          <w:p w14:paraId="62E7E1AB" w14:textId="17047DCE" w:rsidR="00372B16" w:rsidRPr="005C392A" w:rsidRDefault="00372B16" w:rsidP="009B00E8">
            <w:pPr>
              <w:keepNext/>
              <w:keepLines/>
              <w:spacing w:before="120" w:after="120"/>
              <w:rPr>
                <w:rFonts w:asciiTheme="minorHAnsi" w:hAnsiTheme="minorHAnsi"/>
                <w:b/>
                <w:szCs w:val="24"/>
              </w:rPr>
            </w:pPr>
            <w:r w:rsidRPr="005C392A">
              <w:rPr>
                <w:rFonts w:asciiTheme="minorHAnsi" w:hAnsiTheme="minorHAnsi"/>
                <w:b/>
                <w:szCs w:val="24"/>
              </w:rPr>
              <w:t>Example Narrative</w:t>
            </w:r>
            <w:r w:rsidR="001D2009" w:rsidRPr="005C392A">
              <w:rPr>
                <w:rFonts w:asciiTheme="minorHAnsi" w:hAnsiTheme="minorHAnsi"/>
                <w:b/>
                <w:szCs w:val="24"/>
              </w:rPr>
              <w:t xml:space="preserve"> </w:t>
            </w:r>
            <w:r w:rsidRPr="005C392A">
              <w:rPr>
                <w:rFonts w:asciiTheme="minorHAnsi" w:hAnsiTheme="minorHAnsi"/>
                <w:b/>
                <w:szCs w:val="24"/>
              </w:rPr>
              <w:t xml:space="preserve">for </w:t>
            </w:r>
            <w:r w:rsidRPr="005C392A">
              <w:rPr>
                <w:rFonts w:asciiTheme="minorHAnsi" w:hAnsiTheme="minorHAnsi"/>
                <w:b/>
                <w:i/>
                <w:szCs w:val="24"/>
              </w:rPr>
              <w:t>Line Item 1.B. –</w:t>
            </w:r>
            <w:r w:rsidR="001D2009" w:rsidRPr="005C392A">
              <w:rPr>
                <w:rFonts w:asciiTheme="minorHAnsi" w:hAnsiTheme="minorHAnsi"/>
                <w:b/>
                <w:i/>
                <w:szCs w:val="24"/>
              </w:rPr>
              <w:t xml:space="preserve"> Proximity</w:t>
            </w:r>
          </w:p>
          <w:p w14:paraId="3A575000" w14:textId="6BD65A89" w:rsidR="00EE5761" w:rsidRPr="005C392A" w:rsidRDefault="001D2009" w:rsidP="009B00E8">
            <w:pPr>
              <w:keepNext/>
              <w:keepLines/>
              <w:spacing w:before="120" w:after="120"/>
              <w:rPr>
                <w:rFonts w:asciiTheme="minorHAnsi" w:hAnsiTheme="minorHAnsi"/>
                <w:szCs w:val="24"/>
              </w:rPr>
            </w:pPr>
            <w:r w:rsidRPr="005C392A">
              <w:rPr>
                <w:rFonts w:asciiTheme="minorHAnsi" w:hAnsiTheme="minorHAnsi"/>
                <w:szCs w:val="24"/>
              </w:rPr>
              <w:t xml:space="preserve">Anywhere Water and Sewer Authority regularly exceeds 90% of their permitted WWTP capacity during peak flow. The attached map shows the proximity of </w:t>
            </w:r>
            <w:proofErr w:type="spellStart"/>
            <w:r w:rsidRPr="005C392A">
              <w:rPr>
                <w:rFonts w:asciiTheme="minorHAnsi" w:hAnsiTheme="minorHAnsi"/>
                <w:szCs w:val="24"/>
              </w:rPr>
              <w:t>Anywhere’s</w:t>
            </w:r>
            <w:proofErr w:type="spellEnd"/>
            <w:r w:rsidRPr="005C392A">
              <w:rPr>
                <w:rFonts w:asciiTheme="minorHAnsi" w:hAnsiTheme="minorHAnsi"/>
                <w:szCs w:val="24"/>
              </w:rPr>
              <w:t xml:space="preserve"> service area to Here County’s WWTP. The attached map also shows the extent of the City of </w:t>
            </w:r>
            <w:proofErr w:type="spellStart"/>
            <w:r w:rsidRPr="005C392A">
              <w:rPr>
                <w:rFonts w:asciiTheme="minorHAnsi" w:hAnsiTheme="minorHAnsi"/>
                <w:szCs w:val="24"/>
              </w:rPr>
              <w:t>Somewhere’s</w:t>
            </w:r>
            <w:proofErr w:type="spellEnd"/>
            <w:r w:rsidRPr="005C392A">
              <w:rPr>
                <w:rFonts w:asciiTheme="minorHAnsi" w:hAnsiTheme="minorHAnsi"/>
                <w:szCs w:val="24"/>
              </w:rPr>
              <w:t xml:space="preserve"> collection system and its </w:t>
            </w:r>
            <w:proofErr w:type="gramStart"/>
            <w:r w:rsidRPr="005C392A">
              <w:rPr>
                <w:rFonts w:asciiTheme="minorHAnsi" w:hAnsiTheme="minorHAnsi"/>
                <w:szCs w:val="24"/>
              </w:rPr>
              <w:t>close proximity</w:t>
            </w:r>
            <w:proofErr w:type="gramEnd"/>
            <w:r w:rsidRPr="005C392A">
              <w:rPr>
                <w:rFonts w:asciiTheme="minorHAnsi" w:hAnsiTheme="minorHAnsi"/>
                <w:szCs w:val="24"/>
              </w:rPr>
              <w:t xml:space="preserve"> to </w:t>
            </w:r>
            <w:proofErr w:type="spellStart"/>
            <w:r w:rsidRPr="005C392A">
              <w:rPr>
                <w:rFonts w:asciiTheme="minorHAnsi" w:hAnsiTheme="minorHAnsi"/>
                <w:szCs w:val="24"/>
              </w:rPr>
              <w:t>Anywhere’s</w:t>
            </w:r>
            <w:proofErr w:type="spellEnd"/>
            <w:r w:rsidRPr="005C392A">
              <w:rPr>
                <w:rFonts w:asciiTheme="minorHAnsi" w:hAnsiTheme="minorHAnsi"/>
                <w:szCs w:val="24"/>
              </w:rPr>
              <w:t>. Copies of the following are included:</w:t>
            </w:r>
          </w:p>
          <w:p w14:paraId="52775722" w14:textId="0D77CF9F" w:rsidR="00EE5761" w:rsidRPr="005C392A" w:rsidRDefault="001D2009" w:rsidP="009B00E8">
            <w:pPr>
              <w:pStyle w:val="ListParagraph"/>
              <w:keepNext/>
              <w:keepLines/>
              <w:numPr>
                <w:ilvl w:val="0"/>
                <w:numId w:val="2"/>
              </w:numPr>
              <w:spacing w:before="120" w:after="120"/>
              <w:rPr>
                <w:rFonts w:asciiTheme="minorHAnsi" w:hAnsiTheme="minorHAnsi"/>
                <w:szCs w:val="24"/>
              </w:rPr>
            </w:pPr>
            <w:r w:rsidRPr="005C392A">
              <w:rPr>
                <w:rFonts w:asciiTheme="minorHAnsi" w:hAnsiTheme="minorHAnsi"/>
                <w:szCs w:val="24"/>
              </w:rPr>
              <w:t>Map showing Anywhere, Somewhere, and Here County’s WWTP; collection lines for Anywhere and Somewhere are shown in green.</w:t>
            </w:r>
          </w:p>
        </w:tc>
      </w:tr>
    </w:tbl>
    <w:p w14:paraId="0DA82966" w14:textId="373991F0" w:rsidR="00597B0A" w:rsidRDefault="00597B0A" w:rsidP="009B00E8">
      <w:pPr>
        <w:rPr>
          <w:sz w:val="22"/>
        </w:rPr>
      </w:pPr>
    </w:p>
    <w:p w14:paraId="36A07004" w14:textId="77777777" w:rsidR="001D2009" w:rsidRPr="00597B0A" w:rsidRDefault="001D2009" w:rsidP="009B00E8">
      <w:pPr>
        <w:rPr>
          <w:sz w:val="22"/>
        </w:rPr>
      </w:pPr>
    </w:p>
    <w:tbl>
      <w:tblPr>
        <w:tblStyle w:val="TableGrid"/>
        <w:tblW w:w="0" w:type="auto"/>
        <w:shd w:val="pct5" w:color="auto" w:fill="auto"/>
        <w:tblLook w:val="04A0" w:firstRow="1" w:lastRow="0" w:firstColumn="1" w:lastColumn="0" w:noHBand="0" w:noVBand="1"/>
      </w:tblPr>
      <w:tblGrid>
        <w:gridCol w:w="9800"/>
      </w:tblGrid>
      <w:tr w:rsidR="00B145E8" w:rsidRPr="005C392A" w14:paraId="60303539" w14:textId="77777777" w:rsidTr="001D2009">
        <w:trPr>
          <w:trHeight w:val="2879"/>
        </w:trPr>
        <w:tc>
          <w:tcPr>
            <w:tcW w:w="9800" w:type="dxa"/>
            <w:shd w:val="pct5" w:color="auto" w:fill="auto"/>
            <w:vAlign w:val="center"/>
          </w:tcPr>
          <w:p w14:paraId="2A122B2E" w14:textId="03CBBDA2" w:rsidR="00B145E8" w:rsidRPr="005C392A" w:rsidRDefault="00B145E8" w:rsidP="009B00E8">
            <w:pPr>
              <w:keepNext/>
              <w:keepLines/>
              <w:spacing w:before="120" w:after="120"/>
              <w:rPr>
                <w:rFonts w:asciiTheme="minorHAnsi" w:hAnsiTheme="minorHAnsi"/>
                <w:b/>
                <w:szCs w:val="24"/>
              </w:rPr>
            </w:pPr>
            <w:r w:rsidRPr="005C392A">
              <w:rPr>
                <w:rFonts w:asciiTheme="minorHAnsi" w:hAnsiTheme="minorHAnsi"/>
                <w:b/>
                <w:szCs w:val="24"/>
              </w:rPr>
              <w:lastRenderedPageBreak/>
              <w:t>Example Narrative</w:t>
            </w:r>
            <w:r w:rsidR="001D2009" w:rsidRPr="005C392A">
              <w:rPr>
                <w:rFonts w:asciiTheme="minorHAnsi" w:hAnsiTheme="minorHAnsi"/>
                <w:b/>
                <w:szCs w:val="24"/>
              </w:rPr>
              <w:t xml:space="preserve"> </w:t>
            </w:r>
            <w:r w:rsidRPr="005C392A">
              <w:rPr>
                <w:rFonts w:asciiTheme="minorHAnsi" w:hAnsiTheme="minorHAnsi"/>
                <w:b/>
                <w:szCs w:val="24"/>
              </w:rPr>
              <w:t xml:space="preserve">for </w:t>
            </w:r>
            <w:r w:rsidRPr="005C392A">
              <w:rPr>
                <w:rFonts w:asciiTheme="minorHAnsi" w:hAnsiTheme="minorHAnsi"/>
                <w:b/>
                <w:i/>
                <w:szCs w:val="24"/>
              </w:rPr>
              <w:t>Line Item 1.B –Past Collaboration</w:t>
            </w:r>
          </w:p>
          <w:p w14:paraId="5B04BF6A" w14:textId="3586CFF4" w:rsidR="00B145E8" w:rsidRPr="005C392A" w:rsidRDefault="00B145E8" w:rsidP="009B00E8">
            <w:pPr>
              <w:keepNext/>
              <w:keepLines/>
              <w:spacing w:before="120" w:after="120"/>
              <w:rPr>
                <w:rFonts w:asciiTheme="minorHAnsi" w:hAnsiTheme="minorHAnsi"/>
                <w:b/>
                <w:szCs w:val="24"/>
              </w:rPr>
            </w:pPr>
            <w:r w:rsidRPr="005C392A">
              <w:rPr>
                <w:rFonts w:asciiTheme="minorHAnsi" w:hAnsiTheme="minorHAnsi"/>
                <w:szCs w:val="24"/>
              </w:rPr>
              <w:t xml:space="preserve">In 2009, The Town of Anywhere Water System (PWSID No. NC9902999) partnered with Here County Water and Sewer District (PWSID No. NC9902888) to study the feasibility of merging both utilities’ maintenance operations. The Town of Anywhere has experienced population decline due to the closing of the local meat packing plant in 2007, the largest employer in the Town. The study looked at several methods to reduce the Town’s expenses which were steadily increasing due to aging infrastructure while the number of connections had decreased over a short period of time. An agreement for Here County to provide all maintenance of the Town’s distribution lines was drafted and passed by both the Town and County’s boards. </w:t>
            </w:r>
            <w:r w:rsidR="001D2009" w:rsidRPr="005C392A">
              <w:rPr>
                <w:rFonts w:asciiTheme="minorHAnsi" w:hAnsiTheme="minorHAnsi"/>
                <w:szCs w:val="24"/>
              </w:rPr>
              <w:t>The agreement included…</w:t>
            </w:r>
          </w:p>
        </w:tc>
      </w:tr>
    </w:tbl>
    <w:p w14:paraId="74D42B8E" w14:textId="77777777" w:rsidR="00B145E8" w:rsidRPr="00597B0A" w:rsidRDefault="00B145E8" w:rsidP="009B00E8">
      <w:pPr>
        <w:rPr>
          <w:sz w:val="22"/>
        </w:rPr>
      </w:pPr>
    </w:p>
    <w:p w14:paraId="7E2ABCB3" w14:textId="77777777" w:rsidR="006D670A" w:rsidRDefault="00FA73F7" w:rsidP="009B00E8">
      <w:pPr>
        <w:rPr>
          <w:sz w:val="22"/>
        </w:rPr>
      </w:pPr>
      <w:r>
        <w:rPr>
          <w:sz w:val="22"/>
        </w:rPr>
        <w:pict w14:anchorId="0EB2AEF4">
          <v:rect id="_x0000_i1025" style="width:468pt;height:4pt" o:hrstd="t" o:hrnoshade="t" o:hr="t" fillcolor="black [3213]" stroked="f"/>
        </w:pict>
      </w:r>
    </w:p>
    <w:p w14:paraId="3F9E0A2F" w14:textId="77777777" w:rsidR="006D670A" w:rsidRDefault="006D670A" w:rsidP="009B00E8">
      <w:pPr>
        <w:rPr>
          <w:sz w:val="22"/>
        </w:rPr>
      </w:pPr>
    </w:p>
    <w:p w14:paraId="156DA8A3" w14:textId="50659FDB" w:rsidR="00300595" w:rsidRPr="005C392A" w:rsidRDefault="001D2009" w:rsidP="009B00E8">
      <w:pPr>
        <w:spacing w:after="120"/>
        <w:rPr>
          <w:rFonts w:asciiTheme="minorHAnsi" w:hAnsiTheme="minorHAnsi"/>
          <w:b/>
          <w:szCs w:val="24"/>
          <w:u w:val="double"/>
        </w:rPr>
      </w:pPr>
      <w:r w:rsidRPr="005C392A">
        <w:rPr>
          <w:rFonts w:asciiTheme="minorHAnsi" w:hAnsiTheme="minorHAnsi"/>
          <w:b/>
          <w:szCs w:val="24"/>
          <w:u w:val="double"/>
        </w:rPr>
        <w:t>Category 2</w:t>
      </w:r>
      <w:r w:rsidR="006D670A" w:rsidRPr="005C392A">
        <w:rPr>
          <w:rFonts w:asciiTheme="minorHAnsi" w:hAnsiTheme="minorHAnsi"/>
          <w:b/>
          <w:szCs w:val="24"/>
          <w:u w:val="double"/>
        </w:rPr>
        <w:t xml:space="preserve"> – Organizational Status</w:t>
      </w:r>
    </w:p>
    <w:p w14:paraId="2743FC64" w14:textId="62CE8670" w:rsidR="006D670A" w:rsidRPr="005C392A" w:rsidRDefault="006D670A" w:rsidP="009B00E8">
      <w:pPr>
        <w:spacing w:after="120"/>
        <w:rPr>
          <w:rFonts w:asciiTheme="minorHAnsi" w:hAnsiTheme="minorHAnsi"/>
          <w:szCs w:val="24"/>
        </w:rPr>
      </w:pPr>
      <w:r w:rsidRPr="00B476C7">
        <w:rPr>
          <w:rFonts w:asciiTheme="minorHAnsi" w:hAnsiTheme="minorHAnsi"/>
          <w:szCs w:val="24"/>
        </w:rPr>
        <w:t>Applications earn Organizational Status points by documenting the applicant’s existing organiza</w:t>
      </w:r>
      <w:r w:rsidR="001D2009" w:rsidRPr="00B476C7">
        <w:rPr>
          <w:rFonts w:asciiTheme="minorHAnsi" w:hAnsiTheme="minorHAnsi"/>
          <w:szCs w:val="24"/>
        </w:rPr>
        <w:t xml:space="preserve">tional structure and challenges facing the </w:t>
      </w:r>
      <w:r w:rsidR="007A3BEA" w:rsidRPr="00B476C7">
        <w:rPr>
          <w:rFonts w:asciiTheme="minorHAnsi" w:hAnsiTheme="minorHAnsi"/>
          <w:szCs w:val="24"/>
        </w:rPr>
        <w:t>organizational operation of the utility</w:t>
      </w:r>
      <w:r w:rsidR="001D2009" w:rsidRPr="00B476C7">
        <w:rPr>
          <w:rFonts w:asciiTheme="minorHAnsi" w:hAnsiTheme="minorHAnsi"/>
          <w:szCs w:val="24"/>
        </w:rPr>
        <w:t>.</w:t>
      </w:r>
    </w:p>
    <w:p w14:paraId="3B582C8F" w14:textId="5EBF7044" w:rsidR="006D670A" w:rsidRPr="005C392A" w:rsidRDefault="006D670A" w:rsidP="009B00E8">
      <w:pPr>
        <w:spacing w:after="120"/>
        <w:rPr>
          <w:rFonts w:asciiTheme="minorHAnsi" w:hAnsiTheme="minorHAnsi"/>
          <w:szCs w:val="24"/>
        </w:rPr>
      </w:pPr>
      <w:r w:rsidRPr="005C392A">
        <w:rPr>
          <w:rFonts w:asciiTheme="minorHAnsi" w:hAnsiTheme="minorHAnsi"/>
          <w:b/>
          <w:i/>
          <w:szCs w:val="24"/>
          <w:u w:val="single"/>
        </w:rPr>
        <w:t>Size and Capabilities</w:t>
      </w:r>
    </w:p>
    <w:p w14:paraId="30AF9B57" w14:textId="7DCD6AD0" w:rsidR="006D670A" w:rsidRPr="005C392A" w:rsidRDefault="006D670A" w:rsidP="009B00E8">
      <w:pPr>
        <w:pStyle w:val="ListParagraph"/>
        <w:numPr>
          <w:ilvl w:val="0"/>
          <w:numId w:val="3"/>
        </w:numPr>
        <w:spacing w:after="120"/>
        <w:contextualSpacing w:val="0"/>
        <w:rPr>
          <w:rFonts w:asciiTheme="minorHAnsi" w:hAnsiTheme="minorHAnsi" w:cstheme="minorHAnsi"/>
          <w:i/>
          <w:szCs w:val="24"/>
        </w:rPr>
      </w:pPr>
      <w:r w:rsidRPr="005C392A">
        <w:rPr>
          <w:rFonts w:asciiTheme="minorHAnsi" w:hAnsiTheme="minorHAnsi" w:cstheme="minorHAnsi"/>
          <w:i/>
          <w:szCs w:val="24"/>
        </w:rPr>
        <w:t>Describe the organizational structure of the applicant, including the number, roles, and responsibilities of the utility and finance staff as well as elected officials, and existing management contracts if applicable.</w:t>
      </w:r>
      <w:r w:rsidR="003D235F" w:rsidRPr="005C392A">
        <w:rPr>
          <w:rFonts w:asciiTheme="minorHAnsi" w:hAnsiTheme="minorHAnsi" w:cstheme="minorHAnsi"/>
          <w:i/>
          <w:szCs w:val="24"/>
        </w:rPr>
        <w:t xml:space="preserve"> </w:t>
      </w:r>
      <w:r w:rsidR="003D235F" w:rsidRPr="005C392A">
        <w:rPr>
          <w:rFonts w:asciiTheme="minorHAnsi" w:hAnsiTheme="minorHAnsi" w:cstheme="minorHAnsi"/>
          <w:b/>
          <w:i/>
          <w:szCs w:val="24"/>
        </w:rPr>
        <w:t>(Line Item 2.A)</w:t>
      </w:r>
    </w:p>
    <w:p w14:paraId="74460008" w14:textId="05ECC57F" w:rsidR="001D2009" w:rsidRPr="005C392A" w:rsidRDefault="003D235F" w:rsidP="009B00E8">
      <w:pPr>
        <w:spacing w:after="120"/>
        <w:rPr>
          <w:rFonts w:asciiTheme="minorHAnsi" w:hAnsiTheme="minorHAnsi" w:cstheme="minorHAnsi"/>
          <w:szCs w:val="24"/>
        </w:rPr>
      </w:pPr>
      <w:r w:rsidRPr="005C392A">
        <w:rPr>
          <w:rFonts w:asciiTheme="minorHAnsi" w:hAnsiTheme="minorHAnsi" w:cstheme="minorHAnsi"/>
          <w:szCs w:val="24"/>
        </w:rPr>
        <w:t>Discuss the applicant’s organization size, structure, and responsibilities of each group within the utility and how those responsibilities are carried out. Describe the organization</w:t>
      </w:r>
      <w:r w:rsidR="001920A1">
        <w:rPr>
          <w:rFonts w:asciiTheme="minorHAnsi" w:hAnsiTheme="minorHAnsi" w:cstheme="minorHAnsi"/>
          <w:szCs w:val="24"/>
        </w:rPr>
        <w:t>al</w:t>
      </w:r>
      <w:r w:rsidRPr="005C392A">
        <w:rPr>
          <w:rFonts w:asciiTheme="minorHAnsi" w:hAnsiTheme="minorHAnsi" w:cstheme="minorHAnsi"/>
          <w:szCs w:val="24"/>
        </w:rPr>
        <w:t xml:space="preserve"> characteristics with respect to hiring and personnel policies, management contracts, formal job descriptions, and other plans and policies that delineate the responsibilities within the utility.</w:t>
      </w:r>
    </w:p>
    <w:p w14:paraId="442EB463" w14:textId="41A6EC3C" w:rsidR="006D670A" w:rsidRPr="005C392A" w:rsidRDefault="006D670A" w:rsidP="009B00E8">
      <w:pPr>
        <w:pStyle w:val="ListParagraph"/>
        <w:numPr>
          <w:ilvl w:val="0"/>
          <w:numId w:val="3"/>
        </w:numPr>
        <w:spacing w:after="120"/>
        <w:contextualSpacing w:val="0"/>
        <w:rPr>
          <w:rFonts w:asciiTheme="minorHAnsi" w:hAnsiTheme="minorHAnsi" w:cstheme="minorHAnsi"/>
          <w:i/>
          <w:szCs w:val="24"/>
        </w:rPr>
      </w:pPr>
      <w:r w:rsidRPr="005C392A">
        <w:rPr>
          <w:rFonts w:asciiTheme="minorHAnsi" w:hAnsiTheme="minorHAnsi" w:cstheme="minorHAnsi"/>
          <w:i/>
          <w:szCs w:val="24"/>
        </w:rPr>
        <w:t>Describe any known challenges the utility is experiencing related to operations of the utility such as treatment complexities, water loss, inflow/infiltration, billing, excessive debt, excessive expenses compared to revenue, loss of large water or sewer accounts, etc.</w:t>
      </w:r>
      <w:r w:rsidR="003D235F" w:rsidRPr="005C392A">
        <w:rPr>
          <w:rFonts w:asciiTheme="minorHAnsi" w:hAnsiTheme="minorHAnsi" w:cstheme="minorHAnsi"/>
          <w:b/>
          <w:i/>
          <w:szCs w:val="24"/>
        </w:rPr>
        <w:t xml:space="preserve"> (Line Item 2.A)</w:t>
      </w:r>
    </w:p>
    <w:p w14:paraId="76365C18" w14:textId="0C1E850D" w:rsidR="006D670A" w:rsidRPr="005C392A" w:rsidRDefault="003D235F" w:rsidP="009B00E8">
      <w:pPr>
        <w:spacing w:after="120"/>
        <w:rPr>
          <w:rFonts w:asciiTheme="minorHAnsi" w:hAnsiTheme="minorHAnsi"/>
          <w:szCs w:val="24"/>
        </w:rPr>
      </w:pPr>
      <w:r w:rsidRPr="005C392A">
        <w:rPr>
          <w:rFonts w:asciiTheme="minorHAnsi" w:hAnsiTheme="minorHAnsi"/>
          <w:szCs w:val="24"/>
        </w:rPr>
        <w:t>Considering the human and financial resources available to the utility, discuss the regular and acute operational challenges with respect to enforcing existing policies from a financial and le</w:t>
      </w:r>
      <w:r w:rsidR="007A3BEA">
        <w:rPr>
          <w:rFonts w:asciiTheme="minorHAnsi" w:hAnsiTheme="minorHAnsi"/>
          <w:szCs w:val="24"/>
        </w:rPr>
        <w:t xml:space="preserve">gal (not technical) perspective. </w:t>
      </w:r>
      <w:r w:rsidR="007A3BEA" w:rsidRPr="008900AE">
        <w:rPr>
          <w:rFonts w:asciiTheme="minorHAnsi" w:hAnsiTheme="minorHAnsi"/>
          <w:szCs w:val="24"/>
        </w:rPr>
        <w:t>Describe the decision-making process when faced with multiple priorities, such as rate setting practices and capital improvement planning, asset management and maintenance</w:t>
      </w:r>
      <w:r w:rsidR="001920A1" w:rsidRPr="008900AE">
        <w:rPr>
          <w:rFonts w:asciiTheme="minorHAnsi" w:hAnsiTheme="minorHAnsi"/>
          <w:szCs w:val="24"/>
        </w:rPr>
        <w:t xml:space="preserve"> policies</w:t>
      </w:r>
      <w:r w:rsidR="007A3BEA" w:rsidRPr="008900AE">
        <w:rPr>
          <w:rFonts w:asciiTheme="minorHAnsi" w:hAnsiTheme="minorHAnsi"/>
          <w:szCs w:val="24"/>
        </w:rPr>
        <w:t>, etc.</w:t>
      </w:r>
    </w:p>
    <w:p w14:paraId="7C40AA99" w14:textId="66687AF5" w:rsidR="006D670A" w:rsidRPr="005C392A" w:rsidRDefault="006824DC" w:rsidP="009B00E8">
      <w:pPr>
        <w:spacing w:after="120"/>
        <w:rPr>
          <w:rFonts w:asciiTheme="minorHAnsi" w:hAnsiTheme="minorHAnsi"/>
          <w:b/>
          <w:i/>
          <w:szCs w:val="24"/>
          <w:u w:val="single"/>
        </w:rPr>
      </w:pPr>
      <w:r w:rsidRPr="005C392A">
        <w:rPr>
          <w:rFonts w:asciiTheme="minorHAnsi" w:hAnsiTheme="minorHAnsi"/>
          <w:b/>
          <w:i/>
          <w:szCs w:val="24"/>
          <w:u w:val="single"/>
        </w:rPr>
        <w:t>LGC Unit Letter</w:t>
      </w:r>
    </w:p>
    <w:p w14:paraId="4C761F90" w14:textId="251ABE04" w:rsidR="006824DC" w:rsidRPr="005C392A" w:rsidRDefault="006824DC" w:rsidP="009B00E8">
      <w:pPr>
        <w:pStyle w:val="ListParagraph"/>
        <w:numPr>
          <w:ilvl w:val="0"/>
          <w:numId w:val="3"/>
        </w:numPr>
        <w:spacing w:after="120"/>
        <w:rPr>
          <w:rFonts w:asciiTheme="minorHAnsi" w:hAnsiTheme="minorHAnsi"/>
          <w:i/>
          <w:szCs w:val="24"/>
          <w:u w:val="double"/>
        </w:rPr>
      </w:pPr>
      <w:r w:rsidRPr="005C392A">
        <w:rPr>
          <w:rFonts w:asciiTheme="minorHAnsi" w:hAnsiTheme="minorHAnsi" w:cstheme="minorHAnsi"/>
          <w:i/>
          <w:szCs w:val="24"/>
        </w:rPr>
        <w:t>Has the applicant received a Local Government Commission unit letter within the last three (3) years? If so, discuss the issues presented in the letter, and how the applicant addressed the issues.</w:t>
      </w:r>
      <w:r w:rsidR="003D235F" w:rsidRPr="005C392A">
        <w:rPr>
          <w:rFonts w:asciiTheme="minorHAnsi" w:hAnsiTheme="minorHAnsi" w:cstheme="minorHAnsi"/>
          <w:i/>
          <w:szCs w:val="24"/>
        </w:rPr>
        <w:t xml:space="preserve"> </w:t>
      </w:r>
      <w:r w:rsidR="003D235F" w:rsidRPr="005C392A">
        <w:rPr>
          <w:rFonts w:asciiTheme="minorHAnsi" w:hAnsiTheme="minorHAnsi" w:cstheme="minorHAnsi"/>
          <w:b/>
          <w:i/>
          <w:szCs w:val="24"/>
        </w:rPr>
        <w:t>(Line Item 2.B)</w:t>
      </w:r>
    </w:p>
    <w:p w14:paraId="65A89C18" w14:textId="248CE171" w:rsidR="00AF36EB" w:rsidRPr="005C392A" w:rsidRDefault="006824DC" w:rsidP="009B00E8">
      <w:pPr>
        <w:spacing w:after="120"/>
        <w:rPr>
          <w:rFonts w:asciiTheme="minorHAnsi" w:hAnsiTheme="minorHAnsi"/>
          <w:szCs w:val="24"/>
        </w:rPr>
      </w:pPr>
      <w:r w:rsidRPr="005C392A">
        <w:rPr>
          <w:rFonts w:asciiTheme="minorHAnsi" w:hAnsiTheme="minorHAnsi"/>
          <w:szCs w:val="24"/>
        </w:rPr>
        <w:t xml:space="preserve">Unit Letters may be issued for various reasons including internal control issues, failing to submit financial audits, and a variety of other factors that affect the utility’s enterprise funds. Provide a copy of the Unit </w:t>
      </w:r>
      <w:proofErr w:type="gramStart"/>
      <w:r w:rsidRPr="005C392A">
        <w:rPr>
          <w:rFonts w:asciiTheme="minorHAnsi" w:hAnsiTheme="minorHAnsi"/>
          <w:szCs w:val="24"/>
        </w:rPr>
        <w:t>Letter, and</w:t>
      </w:r>
      <w:proofErr w:type="gramEnd"/>
      <w:r w:rsidRPr="005C392A">
        <w:rPr>
          <w:rFonts w:asciiTheme="minorHAnsi" w:hAnsiTheme="minorHAnsi"/>
          <w:szCs w:val="24"/>
        </w:rPr>
        <w:t xml:space="preserve"> discuss whether or not action has been taken to ad</w:t>
      </w:r>
      <w:r w:rsidR="003D235F" w:rsidRPr="005C392A">
        <w:rPr>
          <w:rFonts w:asciiTheme="minorHAnsi" w:hAnsiTheme="minorHAnsi"/>
          <w:szCs w:val="24"/>
        </w:rPr>
        <w:t>dress the issues in the letter.</w:t>
      </w:r>
    </w:p>
    <w:p w14:paraId="7F86E59B" w14:textId="0D981105" w:rsidR="003D235F" w:rsidRPr="005C392A" w:rsidRDefault="003D235F" w:rsidP="009B00E8">
      <w:pPr>
        <w:spacing w:after="120"/>
        <w:rPr>
          <w:rFonts w:asciiTheme="minorHAnsi" w:hAnsiTheme="minorHAnsi"/>
          <w:szCs w:val="24"/>
        </w:rPr>
      </w:pPr>
      <w:r w:rsidRPr="005C392A">
        <w:rPr>
          <w:rFonts w:asciiTheme="minorHAnsi" w:hAnsiTheme="minorHAnsi"/>
          <w:szCs w:val="24"/>
        </w:rPr>
        <w:lastRenderedPageBreak/>
        <w:t>Points for this line item will be awarded to applications that document having received an LGC Unit Letter within the last three years. Three points will be awarded for proper documentation and discussion of the issues contained in the letter.</w:t>
      </w:r>
    </w:p>
    <w:p w14:paraId="445DFC86" w14:textId="77777777" w:rsidR="008900AE" w:rsidRDefault="008900AE" w:rsidP="009B00E8">
      <w:pPr>
        <w:spacing w:after="120"/>
        <w:rPr>
          <w:rFonts w:asciiTheme="minorHAnsi" w:hAnsiTheme="minorHAnsi"/>
          <w:b/>
          <w:i/>
          <w:szCs w:val="24"/>
          <w:u w:val="single"/>
        </w:rPr>
      </w:pPr>
    </w:p>
    <w:p w14:paraId="1DD1AA56" w14:textId="28579E3B" w:rsidR="003D235F" w:rsidRPr="005C392A" w:rsidRDefault="00844E7F" w:rsidP="009B00E8">
      <w:pPr>
        <w:spacing w:after="120"/>
        <w:rPr>
          <w:rFonts w:asciiTheme="minorHAnsi" w:hAnsiTheme="minorHAnsi"/>
          <w:i/>
          <w:szCs w:val="24"/>
          <w:u w:val="single"/>
        </w:rPr>
      </w:pPr>
      <w:r w:rsidRPr="005C392A">
        <w:rPr>
          <w:rFonts w:asciiTheme="minorHAnsi" w:hAnsiTheme="minorHAnsi"/>
          <w:b/>
          <w:i/>
          <w:szCs w:val="24"/>
          <w:u w:val="single"/>
        </w:rPr>
        <w:t>Operating Ratio – Line Item 2.C</w:t>
      </w:r>
    </w:p>
    <w:p w14:paraId="6AE46E72" w14:textId="2DF3965B" w:rsidR="003D235F" w:rsidRPr="005C392A" w:rsidRDefault="008900AE" w:rsidP="009B00E8">
      <w:pPr>
        <w:spacing w:after="120"/>
        <w:rPr>
          <w:rFonts w:asciiTheme="minorHAnsi" w:hAnsiTheme="minorHAnsi"/>
          <w:szCs w:val="24"/>
        </w:rPr>
      </w:pPr>
      <w:r>
        <w:rPr>
          <w:rFonts w:asciiTheme="minorHAnsi" w:hAnsiTheme="minorHAnsi"/>
          <w:szCs w:val="24"/>
        </w:rPr>
        <w:t xml:space="preserve">Calculate the </w:t>
      </w:r>
      <w:r w:rsidR="007A3BEA">
        <w:rPr>
          <w:rFonts w:asciiTheme="minorHAnsi" w:hAnsiTheme="minorHAnsi"/>
          <w:szCs w:val="24"/>
        </w:rPr>
        <w:t xml:space="preserve">Operating Ratio </w:t>
      </w:r>
      <w:r w:rsidRPr="005C392A">
        <w:rPr>
          <w:rFonts w:asciiTheme="minorHAnsi" w:hAnsiTheme="minorHAnsi"/>
          <w:szCs w:val="24"/>
        </w:rPr>
        <w:t>using the formula below</w:t>
      </w:r>
      <w:r>
        <w:rPr>
          <w:rFonts w:asciiTheme="minorHAnsi" w:hAnsiTheme="minorHAnsi"/>
          <w:szCs w:val="24"/>
        </w:rPr>
        <w:t xml:space="preserve"> </w:t>
      </w:r>
      <w:r w:rsidR="007A3BEA">
        <w:rPr>
          <w:rFonts w:asciiTheme="minorHAnsi" w:hAnsiTheme="minorHAnsi"/>
          <w:szCs w:val="24"/>
        </w:rPr>
        <w:t xml:space="preserve">and </w:t>
      </w:r>
      <w:r w:rsidRPr="008900AE">
        <w:rPr>
          <w:rFonts w:asciiTheme="minorHAnsi" w:hAnsiTheme="minorHAnsi"/>
          <w:szCs w:val="24"/>
          <w:u w:val="single"/>
        </w:rPr>
        <w:t>include the calculation in the narrative</w:t>
      </w:r>
      <w:r>
        <w:rPr>
          <w:rFonts w:asciiTheme="minorHAnsi" w:hAnsiTheme="minorHAnsi"/>
          <w:szCs w:val="24"/>
        </w:rPr>
        <w:t>.</w:t>
      </w:r>
    </w:p>
    <w:tbl>
      <w:tblPr>
        <w:tblStyle w:val="TableGrid"/>
        <w:tblW w:w="0" w:type="auto"/>
        <w:tblInd w:w="5" w:type="dxa"/>
        <w:tblCellMar>
          <w:left w:w="115" w:type="dxa"/>
          <w:right w:w="115" w:type="dxa"/>
        </w:tblCellMar>
        <w:tblLook w:val="04A0" w:firstRow="1" w:lastRow="0" w:firstColumn="1" w:lastColumn="0" w:noHBand="0" w:noVBand="1"/>
      </w:tblPr>
      <w:tblGrid>
        <w:gridCol w:w="1975"/>
        <w:gridCol w:w="6390"/>
      </w:tblGrid>
      <w:tr w:rsidR="003D235F" w:rsidRPr="005C392A" w14:paraId="2E66FCF2" w14:textId="77777777" w:rsidTr="007A3BEA">
        <w:tc>
          <w:tcPr>
            <w:tcW w:w="1975" w:type="dxa"/>
            <w:vMerge w:val="restart"/>
            <w:tcBorders>
              <w:top w:val="nil"/>
              <w:left w:val="nil"/>
              <w:right w:val="nil"/>
            </w:tcBorders>
            <w:vAlign w:val="center"/>
          </w:tcPr>
          <w:p w14:paraId="5F86C1C2" w14:textId="31BDD55D" w:rsidR="003D235F" w:rsidRPr="005C392A" w:rsidRDefault="008900AE" w:rsidP="009B00E8">
            <w:pPr>
              <w:spacing w:after="120"/>
              <w:ind w:left="-210"/>
              <w:rPr>
                <w:rFonts w:asciiTheme="minorHAnsi" w:hAnsiTheme="minorHAnsi"/>
                <w:i/>
                <w:szCs w:val="24"/>
              </w:rPr>
            </w:pPr>
            <w:r>
              <w:rPr>
                <w:rFonts w:asciiTheme="minorHAnsi" w:hAnsiTheme="minorHAnsi"/>
                <w:i/>
                <w:szCs w:val="24"/>
              </w:rPr>
              <w:t>Operating Ratio</w:t>
            </w:r>
            <w:r w:rsidR="007A3BEA">
              <w:rPr>
                <w:rFonts w:asciiTheme="minorHAnsi" w:hAnsiTheme="minorHAnsi"/>
                <w:i/>
                <w:szCs w:val="24"/>
              </w:rPr>
              <w:t xml:space="preserve"> </w:t>
            </w:r>
            <w:r w:rsidR="003D235F" w:rsidRPr="005C392A">
              <w:rPr>
                <w:rFonts w:asciiTheme="minorHAnsi" w:hAnsiTheme="minorHAnsi"/>
                <w:i/>
                <w:szCs w:val="24"/>
              </w:rPr>
              <w:t>=</w:t>
            </w:r>
          </w:p>
        </w:tc>
        <w:tc>
          <w:tcPr>
            <w:tcW w:w="6390" w:type="dxa"/>
            <w:tcBorders>
              <w:top w:val="nil"/>
              <w:left w:val="nil"/>
              <w:right w:val="nil"/>
            </w:tcBorders>
            <w:vAlign w:val="bottom"/>
          </w:tcPr>
          <w:p w14:paraId="4FC407AB" w14:textId="307476A8" w:rsidR="003D235F" w:rsidRPr="005C392A" w:rsidRDefault="003D235F" w:rsidP="009B00E8">
            <w:pPr>
              <w:spacing w:after="120"/>
              <w:rPr>
                <w:rFonts w:asciiTheme="minorHAnsi" w:hAnsiTheme="minorHAnsi"/>
                <w:i/>
                <w:szCs w:val="24"/>
              </w:rPr>
            </w:pPr>
            <w:r w:rsidRPr="005C392A">
              <w:rPr>
                <w:rFonts w:asciiTheme="minorHAnsi" w:hAnsiTheme="minorHAnsi"/>
                <w:i/>
                <w:szCs w:val="24"/>
              </w:rPr>
              <w:t>Operating Revenue</w:t>
            </w:r>
          </w:p>
        </w:tc>
      </w:tr>
      <w:tr w:rsidR="003D235F" w:rsidRPr="005C392A" w14:paraId="77ECFEB5" w14:textId="77777777" w:rsidTr="007A3BEA">
        <w:tc>
          <w:tcPr>
            <w:tcW w:w="1975" w:type="dxa"/>
            <w:vMerge/>
            <w:tcBorders>
              <w:left w:val="nil"/>
              <w:bottom w:val="nil"/>
              <w:right w:val="nil"/>
            </w:tcBorders>
          </w:tcPr>
          <w:p w14:paraId="400290E1" w14:textId="77777777" w:rsidR="003D235F" w:rsidRPr="005C392A" w:rsidRDefault="003D235F" w:rsidP="009B00E8">
            <w:pPr>
              <w:spacing w:after="120"/>
              <w:rPr>
                <w:rFonts w:asciiTheme="minorHAnsi" w:hAnsiTheme="minorHAnsi"/>
                <w:szCs w:val="24"/>
              </w:rPr>
            </w:pPr>
          </w:p>
        </w:tc>
        <w:tc>
          <w:tcPr>
            <w:tcW w:w="6390" w:type="dxa"/>
            <w:tcBorders>
              <w:left w:val="nil"/>
              <w:bottom w:val="nil"/>
              <w:right w:val="nil"/>
            </w:tcBorders>
            <w:vAlign w:val="bottom"/>
          </w:tcPr>
          <w:p w14:paraId="3D7CCDB9" w14:textId="2112742B" w:rsidR="003D235F" w:rsidRPr="005C392A" w:rsidRDefault="003D235F" w:rsidP="009B00E8">
            <w:pPr>
              <w:spacing w:after="120"/>
              <w:rPr>
                <w:rFonts w:asciiTheme="minorHAnsi" w:hAnsiTheme="minorHAnsi"/>
                <w:i/>
                <w:szCs w:val="24"/>
              </w:rPr>
            </w:pPr>
            <w:r w:rsidRPr="005C392A">
              <w:rPr>
                <w:rFonts w:asciiTheme="minorHAnsi" w:hAnsiTheme="minorHAnsi"/>
                <w:i/>
                <w:szCs w:val="24"/>
              </w:rPr>
              <w:t>(Total Expenditures + Debt Principal + Interest + Capital Outlay)</w:t>
            </w:r>
          </w:p>
        </w:tc>
      </w:tr>
    </w:tbl>
    <w:p w14:paraId="1578B8E1" w14:textId="1992A1F7" w:rsidR="00AF36EB" w:rsidRPr="005C392A" w:rsidRDefault="00AF36EB" w:rsidP="009B00E8">
      <w:pPr>
        <w:spacing w:after="120"/>
        <w:rPr>
          <w:rFonts w:asciiTheme="minorHAnsi" w:hAnsiTheme="minorHAnsi"/>
          <w:szCs w:val="24"/>
        </w:rPr>
      </w:pPr>
    </w:p>
    <w:tbl>
      <w:tblPr>
        <w:tblStyle w:val="TableGrid"/>
        <w:tblW w:w="0" w:type="auto"/>
        <w:shd w:val="pct5" w:color="auto" w:fill="auto"/>
        <w:tblLook w:val="04A0" w:firstRow="1" w:lastRow="0" w:firstColumn="1" w:lastColumn="0" w:noHBand="0" w:noVBand="1"/>
      </w:tblPr>
      <w:tblGrid>
        <w:gridCol w:w="9445"/>
      </w:tblGrid>
      <w:tr w:rsidR="00844E7F" w:rsidRPr="005C392A" w14:paraId="19FA509A" w14:textId="77777777" w:rsidTr="00844E7F">
        <w:trPr>
          <w:trHeight w:val="2348"/>
        </w:trPr>
        <w:tc>
          <w:tcPr>
            <w:tcW w:w="9445" w:type="dxa"/>
            <w:shd w:val="pct5" w:color="auto" w:fill="auto"/>
            <w:vAlign w:val="center"/>
          </w:tcPr>
          <w:p w14:paraId="45AD3881" w14:textId="1A87467B" w:rsidR="00844E7F" w:rsidRPr="005C392A" w:rsidRDefault="00844E7F" w:rsidP="009B00E8">
            <w:pPr>
              <w:keepNext/>
              <w:keepLines/>
              <w:spacing w:before="120" w:after="120"/>
              <w:rPr>
                <w:rFonts w:asciiTheme="minorHAnsi" w:hAnsiTheme="minorHAnsi"/>
                <w:b/>
                <w:szCs w:val="24"/>
              </w:rPr>
            </w:pPr>
            <w:r w:rsidRPr="005C392A">
              <w:rPr>
                <w:rFonts w:asciiTheme="minorHAnsi" w:hAnsiTheme="minorHAnsi"/>
                <w:b/>
                <w:szCs w:val="24"/>
              </w:rPr>
              <w:t>Calculation Notes</w:t>
            </w:r>
          </w:p>
          <w:p w14:paraId="659622E7" w14:textId="62F56DBC" w:rsidR="00844E7F" w:rsidRPr="005C392A" w:rsidRDefault="00844E7F" w:rsidP="009B00E8">
            <w:pPr>
              <w:pStyle w:val="ListParagraph"/>
              <w:keepNext/>
              <w:keepLines/>
              <w:numPr>
                <w:ilvl w:val="0"/>
                <w:numId w:val="2"/>
              </w:numPr>
              <w:spacing w:before="120" w:after="120"/>
              <w:rPr>
                <w:rFonts w:asciiTheme="minorHAnsi" w:hAnsiTheme="minorHAnsi"/>
                <w:szCs w:val="24"/>
              </w:rPr>
            </w:pPr>
            <w:r w:rsidRPr="005C392A">
              <w:rPr>
                <w:rFonts w:asciiTheme="minorHAnsi" w:hAnsiTheme="minorHAnsi"/>
                <w:szCs w:val="24"/>
              </w:rPr>
              <w:t>In the narrative and calculations, use the same</w:t>
            </w:r>
            <w:r w:rsidR="00B22946">
              <w:rPr>
                <w:rFonts w:asciiTheme="minorHAnsi" w:hAnsiTheme="minorHAnsi"/>
                <w:szCs w:val="24"/>
              </w:rPr>
              <w:t xml:space="preserve"> values entered in Financial Information Form</w:t>
            </w:r>
            <w:r w:rsidRPr="005C392A">
              <w:rPr>
                <w:rFonts w:asciiTheme="minorHAnsi" w:hAnsiTheme="minorHAnsi"/>
                <w:szCs w:val="24"/>
              </w:rPr>
              <w:t>.</w:t>
            </w:r>
          </w:p>
          <w:p w14:paraId="53A9E84A" w14:textId="568BEA85" w:rsidR="00844E7F" w:rsidRPr="005C392A" w:rsidRDefault="00844E7F" w:rsidP="009B00E8">
            <w:pPr>
              <w:pStyle w:val="ListParagraph"/>
              <w:keepNext/>
              <w:keepLines/>
              <w:numPr>
                <w:ilvl w:val="0"/>
                <w:numId w:val="2"/>
              </w:numPr>
              <w:spacing w:before="120" w:after="120"/>
              <w:rPr>
                <w:rFonts w:asciiTheme="minorHAnsi" w:hAnsiTheme="minorHAnsi"/>
                <w:b/>
                <w:szCs w:val="24"/>
              </w:rPr>
            </w:pPr>
            <w:r w:rsidRPr="005C392A">
              <w:rPr>
                <w:rFonts w:asciiTheme="minorHAnsi" w:hAnsiTheme="minorHAnsi"/>
                <w:szCs w:val="24"/>
                <w:u w:val="single"/>
              </w:rPr>
              <w:t>Do not</w:t>
            </w:r>
            <w:r w:rsidRPr="005C392A">
              <w:rPr>
                <w:rFonts w:asciiTheme="minorHAnsi" w:hAnsiTheme="minorHAnsi"/>
                <w:szCs w:val="24"/>
              </w:rPr>
              <w:t xml:space="preserve"> include “Non-operating Revenues” in the numerator.</w:t>
            </w:r>
          </w:p>
          <w:p w14:paraId="09847F6A" w14:textId="77777777" w:rsidR="00844E7F" w:rsidRPr="005C392A" w:rsidRDefault="00844E7F" w:rsidP="009B00E8">
            <w:pPr>
              <w:pStyle w:val="ListParagraph"/>
              <w:keepNext/>
              <w:keepLines/>
              <w:numPr>
                <w:ilvl w:val="0"/>
                <w:numId w:val="2"/>
              </w:numPr>
              <w:spacing w:before="120" w:after="120"/>
              <w:rPr>
                <w:rFonts w:asciiTheme="minorHAnsi" w:hAnsiTheme="minorHAnsi"/>
                <w:b/>
                <w:szCs w:val="24"/>
              </w:rPr>
            </w:pPr>
            <w:r w:rsidRPr="005C392A">
              <w:rPr>
                <w:rFonts w:asciiTheme="minorHAnsi" w:hAnsiTheme="minorHAnsi"/>
                <w:szCs w:val="24"/>
              </w:rPr>
              <w:t>Do not include any future revenues.</w:t>
            </w:r>
          </w:p>
          <w:p w14:paraId="5E717C1E" w14:textId="20286AE4" w:rsidR="00844E7F" w:rsidRPr="005C392A" w:rsidRDefault="00844E7F" w:rsidP="009B00E8">
            <w:pPr>
              <w:pStyle w:val="ListParagraph"/>
              <w:keepNext/>
              <w:keepLines/>
              <w:numPr>
                <w:ilvl w:val="0"/>
                <w:numId w:val="2"/>
              </w:numPr>
              <w:spacing w:before="120" w:after="120"/>
              <w:rPr>
                <w:rFonts w:asciiTheme="minorHAnsi" w:hAnsiTheme="minorHAnsi"/>
                <w:b/>
                <w:szCs w:val="24"/>
              </w:rPr>
            </w:pPr>
            <w:r w:rsidRPr="005C392A">
              <w:rPr>
                <w:rFonts w:asciiTheme="minorHAnsi" w:hAnsiTheme="minorHAnsi"/>
                <w:szCs w:val="24"/>
              </w:rPr>
              <w:t>Present “Total Ex</w:t>
            </w:r>
            <w:r w:rsidR="00B22946">
              <w:rPr>
                <w:rFonts w:asciiTheme="minorHAnsi" w:hAnsiTheme="minorHAnsi"/>
                <w:szCs w:val="24"/>
              </w:rPr>
              <w:t>penditures” from Financial Information Form</w:t>
            </w:r>
            <w:r w:rsidRPr="005C392A">
              <w:rPr>
                <w:rFonts w:asciiTheme="minorHAnsi" w:hAnsiTheme="minorHAnsi"/>
                <w:szCs w:val="24"/>
              </w:rPr>
              <w:t>.</w:t>
            </w:r>
          </w:p>
          <w:p w14:paraId="53BFF010" w14:textId="77113065" w:rsidR="00844E7F" w:rsidRPr="005C392A" w:rsidRDefault="00844E7F" w:rsidP="009B00E8">
            <w:pPr>
              <w:pStyle w:val="ListParagraph"/>
              <w:keepNext/>
              <w:keepLines/>
              <w:numPr>
                <w:ilvl w:val="0"/>
                <w:numId w:val="2"/>
              </w:numPr>
              <w:spacing w:before="120" w:after="120"/>
              <w:rPr>
                <w:rFonts w:asciiTheme="minorHAnsi" w:hAnsiTheme="minorHAnsi"/>
                <w:b/>
                <w:szCs w:val="24"/>
              </w:rPr>
            </w:pPr>
            <w:r w:rsidRPr="005C392A">
              <w:rPr>
                <w:rFonts w:asciiTheme="minorHAnsi" w:hAnsiTheme="minorHAnsi"/>
                <w:szCs w:val="24"/>
              </w:rPr>
              <w:t>Present “Debt Principal”, “Interest”, and “Capital Outl</w:t>
            </w:r>
            <w:r w:rsidR="00B22946">
              <w:rPr>
                <w:rFonts w:asciiTheme="minorHAnsi" w:hAnsiTheme="minorHAnsi"/>
                <w:szCs w:val="24"/>
              </w:rPr>
              <w:t>ay” from Financial Information Form</w:t>
            </w:r>
            <w:r w:rsidRPr="005C392A">
              <w:rPr>
                <w:rFonts w:asciiTheme="minorHAnsi" w:hAnsiTheme="minorHAnsi"/>
                <w:szCs w:val="24"/>
              </w:rPr>
              <w:t xml:space="preserve">; </w:t>
            </w:r>
            <w:r w:rsidRPr="005C392A">
              <w:rPr>
                <w:rFonts w:asciiTheme="minorHAnsi" w:hAnsiTheme="minorHAnsi"/>
                <w:szCs w:val="24"/>
                <w:u w:val="single"/>
              </w:rPr>
              <w:t>“Capital Outlay is defined as funded from the enterprise fund.</w:t>
            </w:r>
          </w:p>
          <w:p w14:paraId="215D7911" w14:textId="6F964E3E" w:rsidR="00844E7F" w:rsidRPr="005C392A" w:rsidRDefault="00844E7F" w:rsidP="009B00E8">
            <w:pPr>
              <w:pStyle w:val="ListParagraph"/>
              <w:keepNext/>
              <w:keepLines/>
              <w:numPr>
                <w:ilvl w:val="0"/>
                <w:numId w:val="2"/>
              </w:numPr>
              <w:spacing w:before="120" w:after="120"/>
              <w:rPr>
                <w:rFonts w:asciiTheme="minorHAnsi" w:hAnsiTheme="minorHAnsi"/>
                <w:b/>
                <w:szCs w:val="24"/>
              </w:rPr>
            </w:pPr>
            <w:r w:rsidRPr="005C392A">
              <w:rPr>
                <w:rFonts w:asciiTheme="minorHAnsi" w:hAnsiTheme="minorHAnsi"/>
                <w:szCs w:val="24"/>
              </w:rPr>
              <w:t>Report the Operating Ratio to two decimal points.</w:t>
            </w:r>
          </w:p>
        </w:tc>
      </w:tr>
    </w:tbl>
    <w:p w14:paraId="295C2F1D" w14:textId="77777777" w:rsidR="003D235F" w:rsidRDefault="003D235F" w:rsidP="009B00E8">
      <w:pPr>
        <w:spacing w:after="120"/>
        <w:rPr>
          <w:rFonts w:asciiTheme="minorHAnsi" w:hAnsiTheme="minorHAnsi"/>
          <w:sz w:val="22"/>
        </w:rPr>
      </w:pPr>
    </w:p>
    <w:p w14:paraId="003707E2" w14:textId="1079387C" w:rsidR="006824DC" w:rsidRPr="00AF36EB" w:rsidRDefault="00FA73F7" w:rsidP="009B00E8">
      <w:pPr>
        <w:spacing w:after="120"/>
        <w:rPr>
          <w:rFonts w:asciiTheme="minorHAnsi" w:hAnsiTheme="minorHAnsi"/>
          <w:sz w:val="22"/>
        </w:rPr>
      </w:pPr>
      <w:r>
        <w:rPr>
          <w:sz w:val="22"/>
        </w:rPr>
        <w:pict w14:anchorId="4D5BB609">
          <v:rect id="_x0000_i1026" style="width:468pt;height:4pt" o:hrstd="t" o:hrnoshade="t" o:hr="t" fillcolor="black [3213]" stroked="f"/>
        </w:pict>
      </w:r>
    </w:p>
    <w:p w14:paraId="7BDC7FF6" w14:textId="0ECCECB6" w:rsidR="00844E7F" w:rsidRPr="005C392A" w:rsidRDefault="00844E7F" w:rsidP="009B00E8">
      <w:pPr>
        <w:spacing w:after="120"/>
        <w:rPr>
          <w:rFonts w:asciiTheme="minorHAnsi" w:hAnsiTheme="minorHAnsi"/>
          <w:b/>
          <w:szCs w:val="24"/>
          <w:u w:val="double"/>
        </w:rPr>
      </w:pPr>
      <w:r w:rsidRPr="005C392A">
        <w:rPr>
          <w:rFonts w:asciiTheme="minorHAnsi" w:hAnsiTheme="minorHAnsi"/>
          <w:b/>
          <w:szCs w:val="24"/>
          <w:u w:val="double"/>
        </w:rPr>
        <w:t>Category 3</w:t>
      </w:r>
      <w:r w:rsidR="00AF36EB" w:rsidRPr="005C392A">
        <w:rPr>
          <w:rFonts w:asciiTheme="minorHAnsi" w:hAnsiTheme="minorHAnsi"/>
          <w:b/>
          <w:szCs w:val="24"/>
          <w:u w:val="double"/>
        </w:rPr>
        <w:t xml:space="preserve"> – Affordability</w:t>
      </w:r>
    </w:p>
    <w:p w14:paraId="6D218348" w14:textId="5AD56EA9" w:rsidR="00844E7F" w:rsidRPr="005C392A" w:rsidRDefault="00844E7F" w:rsidP="009B00E8">
      <w:pPr>
        <w:spacing w:after="120"/>
        <w:rPr>
          <w:rFonts w:asciiTheme="minorHAnsi" w:hAnsiTheme="minorHAnsi"/>
          <w:szCs w:val="24"/>
        </w:rPr>
      </w:pPr>
      <w:r w:rsidRPr="005C392A">
        <w:rPr>
          <w:rFonts w:asciiTheme="minorHAnsi" w:hAnsiTheme="minorHAnsi"/>
          <w:b/>
          <w:i/>
          <w:szCs w:val="24"/>
          <w:u w:val="single"/>
        </w:rPr>
        <w:t>Current Rate</w:t>
      </w:r>
      <w:r w:rsidRPr="005C392A">
        <w:rPr>
          <w:rFonts w:asciiTheme="minorHAnsi" w:hAnsiTheme="minorHAnsi"/>
          <w:i/>
          <w:szCs w:val="24"/>
          <w:u w:val="single"/>
        </w:rPr>
        <w:t xml:space="preserve"> </w:t>
      </w:r>
      <w:r w:rsidRPr="005C392A">
        <w:rPr>
          <w:rFonts w:asciiTheme="minorHAnsi" w:hAnsiTheme="minorHAnsi"/>
          <w:b/>
          <w:i/>
          <w:szCs w:val="24"/>
          <w:u w:val="single"/>
        </w:rPr>
        <w:t>– Line Item 3.A</w:t>
      </w:r>
      <w:r w:rsidRPr="005C392A">
        <w:rPr>
          <w:rFonts w:asciiTheme="minorHAnsi" w:hAnsiTheme="minorHAnsi"/>
          <w:b/>
          <w:szCs w:val="24"/>
        </w:rPr>
        <w:t xml:space="preserve"> – </w:t>
      </w:r>
      <w:r w:rsidRPr="005C392A">
        <w:rPr>
          <w:rFonts w:asciiTheme="minorHAnsi" w:hAnsiTheme="minorHAnsi"/>
          <w:szCs w:val="24"/>
        </w:rPr>
        <w:t xml:space="preserve">points will be </w:t>
      </w:r>
      <w:r w:rsidR="007A3BEA">
        <w:rPr>
          <w:rFonts w:asciiTheme="minorHAnsi" w:hAnsiTheme="minorHAnsi"/>
          <w:szCs w:val="24"/>
        </w:rPr>
        <w:t>awarded</w:t>
      </w:r>
      <w:r w:rsidRPr="005C392A">
        <w:rPr>
          <w:rFonts w:asciiTheme="minorHAnsi" w:hAnsiTheme="minorHAnsi"/>
          <w:szCs w:val="24"/>
        </w:rPr>
        <w:t xml:space="preserve"> based on the current monthly utility </w:t>
      </w:r>
      <w:r w:rsidR="00A42E64">
        <w:rPr>
          <w:rFonts w:asciiTheme="minorHAnsi" w:hAnsiTheme="minorHAnsi"/>
          <w:szCs w:val="24"/>
        </w:rPr>
        <w:t>bill for</w:t>
      </w:r>
      <w:r w:rsidRPr="005C392A">
        <w:rPr>
          <w:rFonts w:asciiTheme="minorHAnsi" w:hAnsiTheme="minorHAnsi"/>
          <w:szCs w:val="24"/>
        </w:rPr>
        <w:t xml:space="preserve"> 5,000 gallons </w:t>
      </w:r>
      <w:r w:rsidR="00A42E64">
        <w:rPr>
          <w:rFonts w:asciiTheme="minorHAnsi" w:hAnsiTheme="minorHAnsi"/>
          <w:szCs w:val="24"/>
        </w:rPr>
        <w:t xml:space="preserve">calculated using in-town rates from the rate sheet </w:t>
      </w:r>
      <w:r w:rsidRPr="005C392A">
        <w:rPr>
          <w:rFonts w:asciiTheme="minorHAnsi" w:hAnsiTheme="minorHAnsi"/>
          <w:szCs w:val="24"/>
        </w:rPr>
        <w:t xml:space="preserve">provided </w:t>
      </w:r>
      <w:r w:rsidR="00A42E64">
        <w:rPr>
          <w:rFonts w:asciiTheme="minorHAnsi" w:hAnsiTheme="minorHAnsi"/>
          <w:szCs w:val="24"/>
        </w:rPr>
        <w:t>with</w:t>
      </w:r>
      <w:r w:rsidRPr="005C392A">
        <w:rPr>
          <w:rFonts w:asciiTheme="minorHAnsi" w:hAnsiTheme="minorHAnsi"/>
          <w:szCs w:val="24"/>
        </w:rPr>
        <w:t xml:space="preserve"> the application. The Division has determined that the median rate in NC for 5,000 gallons of water or sewer is $33/month for in-town rates.</w:t>
      </w:r>
    </w:p>
    <w:p w14:paraId="00C74C9E" w14:textId="019BD0BC" w:rsidR="00844E7F" w:rsidRPr="005C392A" w:rsidRDefault="00844E7F" w:rsidP="009B00E8">
      <w:pPr>
        <w:pStyle w:val="ListParagraph"/>
        <w:numPr>
          <w:ilvl w:val="0"/>
          <w:numId w:val="9"/>
        </w:numPr>
        <w:rPr>
          <w:rFonts w:asciiTheme="minorHAnsi" w:hAnsiTheme="minorHAnsi"/>
          <w:szCs w:val="24"/>
        </w:rPr>
      </w:pPr>
      <w:r w:rsidRPr="005C392A">
        <w:rPr>
          <w:rFonts w:asciiTheme="minorHAnsi" w:hAnsiTheme="minorHAnsi"/>
          <w:szCs w:val="24"/>
        </w:rPr>
        <w:t>Less than or equal to $33/month = 0 points</w:t>
      </w:r>
    </w:p>
    <w:p w14:paraId="51A36163" w14:textId="7919DCC0" w:rsidR="00844E7F" w:rsidRPr="005C392A" w:rsidRDefault="00844E7F" w:rsidP="009B00E8">
      <w:pPr>
        <w:pStyle w:val="ListParagraph"/>
        <w:numPr>
          <w:ilvl w:val="0"/>
          <w:numId w:val="9"/>
        </w:numPr>
        <w:rPr>
          <w:rFonts w:asciiTheme="minorHAnsi" w:hAnsiTheme="minorHAnsi"/>
          <w:szCs w:val="24"/>
        </w:rPr>
      </w:pPr>
      <w:r w:rsidRPr="005C392A">
        <w:rPr>
          <w:rFonts w:asciiTheme="minorHAnsi" w:hAnsiTheme="minorHAnsi"/>
          <w:szCs w:val="24"/>
        </w:rPr>
        <w:t>More than $33/month and less than or equal to $47/month = 2 points</w:t>
      </w:r>
    </w:p>
    <w:p w14:paraId="7036A2AA" w14:textId="02DA2041" w:rsidR="00844E7F" w:rsidRPr="005C392A" w:rsidRDefault="00844E7F" w:rsidP="009B00E8">
      <w:pPr>
        <w:pStyle w:val="ListParagraph"/>
        <w:numPr>
          <w:ilvl w:val="0"/>
          <w:numId w:val="9"/>
        </w:numPr>
        <w:spacing w:after="120"/>
        <w:contextualSpacing w:val="0"/>
        <w:rPr>
          <w:rFonts w:asciiTheme="minorHAnsi" w:hAnsiTheme="minorHAnsi"/>
          <w:szCs w:val="24"/>
        </w:rPr>
      </w:pPr>
      <w:r w:rsidRPr="005C392A">
        <w:rPr>
          <w:rFonts w:asciiTheme="minorHAnsi" w:hAnsiTheme="minorHAnsi"/>
          <w:szCs w:val="24"/>
        </w:rPr>
        <w:t>Greater than $47/month = 4 points</w:t>
      </w:r>
    </w:p>
    <w:p w14:paraId="11BA3B15" w14:textId="1CF036AC" w:rsidR="003D235F" w:rsidRPr="005C392A" w:rsidRDefault="00775A37" w:rsidP="009B00E8">
      <w:pPr>
        <w:spacing w:after="120"/>
        <w:rPr>
          <w:rFonts w:asciiTheme="minorHAnsi" w:hAnsiTheme="minorHAnsi"/>
          <w:szCs w:val="24"/>
        </w:rPr>
      </w:pPr>
      <w:r w:rsidRPr="005C392A">
        <w:rPr>
          <w:rFonts w:asciiTheme="minorHAnsi" w:hAnsiTheme="minorHAnsi"/>
          <w:b/>
          <w:i/>
          <w:szCs w:val="24"/>
          <w:u w:val="single"/>
        </w:rPr>
        <w:t>Local Government Unit Indicators – Line Item 3.B</w:t>
      </w:r>
      <w:r w:rsidRPr="005C392A">
        <w:rPr>
          <w:rFonts w:asciiTheme="minorHAnsi" w:hAnsiTheme="minorHAnsi"/>
          <w:szCs w:val="24"/>
        </w:rPr>
        <w:t xml:space="preserve"> – points will be </w:t>
      </w:r>
      <w:r w:rsidR="007A3BEA">
        <w:rPr>
          <w:rFonts w:asciiTheme="minorHAnsi" w:hAnsiTheme="minorHAnsi"/>
          <w:szCs w:val="24"/>
        </w:rPr>
        <w:t>awarded</w:t>
      </w:r>
      <w:r w:rsidRPr="005C392A">
        <w:rPr>
          <w:rFonts w:asciiTheme="minorHAnsi" w:hAnsiTheme="minorHAnsi"/>
          <w:szCs w:val="24"/>
        </w:rPr>
        <w:t xml:space="preserve"> based on the Local Government Unit (LGU) indicators provided on the application form and how these indicators compare with the state benchmarks. For systems that serve multiple local government units, a weighted average of indicators will be used.</w:t>
      </w:r>
    </w:p>
    <w:p w14:paraId="53986D3A" w14:textId="51C942D4" w:rsidR="003D235F" w:rsidRPr="005C392A" w:rsidRDefault="00775A37" w:rsidP="009B00E8">
      <w:pPr>
        <w:pStyle w:val="ListParagraph"/>
        <w:numPr>
          <w:ilvl w:val="0"/>
          <w:numId w:val="10"/>
        </w:numPr>
        <w:spacing w:after="200"/>
        <w:rPr>
          <w:rFonts w:ascii="Calibri" w:eastAsia="Calibri" w:hAnsi="Calibri"/>
          <w:szCs w:val="24"/>
        </w:rPr>
      </w:pPr>
      <w:r w:rsidRPr="005C392A">
        <w:rPr>
          <w:rFonts w:ascii="Calibri" w:eastAsia="Calibri" w:hAnsi="Calibri"/>
          <w:szCs w:val="24"/>
        </w:rPr>
        <w:t>Percent population change</w:t>
      </w:r>
    </w:p>
    <w:p w14:paraId="3115B34E" w14:textId="6932C980" w:rsidR="00775A37" w:rsidRPr="005C392A" w:rsidRDefault="00775A37" w:rsidP="009B00E8">
      <w:pPr>
        <w:pStyle w:val="ListParagraph"/>
        <w:numPr>
          <w:ilvl w:val="0"/>
          <w:numId w:val="10"/>
        </w:numPr>
        <w:spacing w:after="200"/>
        <w:rPr>
          <w:rFonts w:ascii="Calibri" w:eastAsia="Calibri" w:hAnsi="Calibri"/>
          <w:szCs w:val="24"/>
        </w:rPr>
      </w:pPr>
      <w:r w:rsidRPr="005C392A">
        <w:rPr>
          <w:rFonts w:ascii="Calibri" w:eastAsia="Calibri" w:hAnsi="Calibri"/>
          <w:szCs w:val="24"/>
        </w:rPr>
        <w:t>Poverty rate</w:t>
      </w:r>
    </w:p>
    <w:p w14:paraId="5C693427" w14:textId="70506EC4" w:rsidR="00775A37" w:rsidRPr="005C392A" w:rsidRDefault="00775A37" w:rsidP="009B00E8">
      <w:pPr>
        <w:pStyle w:val="ListParagraph"/>
        <w:numPr>
          <w:ilvl w:val="0"/>
          <w:numId w:val="10"/>
        </w:numPr>
        <w:spacing w:after="200"/>
        <w:rPr>
          <w:rFonts w:ascii="Calibri" w:eastAsia="Calibri" w:hAnsi="Calibri"/>
          <w:szCs w:val="24"/>
        </w:rPr>
      </w:pPr>
      <w:r w:rsidRPr="005C392A">
        <w:rPr>
          <w:rFonts w:ascii="Calibri" w:eastAsia="Calibri" w:hAnsi="Calibri"/>
          <w:szCs w:val="24"/>
        </w:rPr>
        <w:t>Median household income</w:t>
      </w:r>
    </w:p>
    <w:p w14:paraId="58B6473F" w14:textId="135050DD" w:rsidR="00775A37" w:rsidRPr="005C392A" w:rsidRDefault="00775A37" w:rsidP="009B00E8">
      <w:pPr>
        <w:pStyle w:val="ListParagraph"/>
        <w:numPr>
          <w:ilvl w:val="0"/>
          <w:numId w:val="10"/>
        </w:numPr>
        <w:spacing w:after="200"/>
        <w:rPr>
          <w:rFonts w:ascii="Calibri" w:eastAsia="Calibri" w:hAnsi="Calibri"/>
          <w:szCs w:val="24"/>
        </w:rPr>
      </w:pPr>
      <w:r w:rsidRPr="005C392A">
        <w:rPr>
          <w:rFonts w:ascii="Calibri" w:eastAsia="Calibri" w:hAnsi="Calibri"/>
          <w:szCs w:val="24"/>
        </w:rPr>
        <w:t>Unemployment</w:t>
      </w:r>
    </w:p>
    <w:p w14:paraId="0B3AF6E5" w14:textId="50C59F87" w:rsidR="00775A37" w:rsidRPr="005C392A" w:rsidRDefault="00775A37" w:rsidP="009B00E8">
      <w:pPr>
        <w:pStyle w:val="ListParagraph"/>
        <w:numPr>
          <w:ilvl w:val="0"/>
          <w:numId w:val="10"/>
        </w:numPr>
        <w:spacing w:after="200"/>
        <w:rPr>
          <w:rFonts w:ascii="Calibri" w:eastAsia="Calibri" w:hAnsi="Calibri"/>
          <w:szCs w:val="24"/>
        </w:rPr>
      </w:pPr>
      <w:r w:rsidRPr="005C392A">
        <w:rPr>
          <w:rFonts w:ascii="Calibri" w:eastAsia="Calibri" w:hAnsi="Calibri"/>
          <w:szCs w:val="24"/>
        </w:rPr>
        <w:t>Property valuation per capita</w:t>
      </w:r>
    </w:p>
    <w:p w14:paraId="6C0BCA79" w14:textId="4D7805E2" w:rsidR="00217156" w:rsidRPr="003D235F" w:rsidRDefault="00217156" w:rsidP="009B00E8">
      <w:pPr>
        <w:spacing w:after="200" w:line="276" w:lineRule="auto"/>
        <w:rPr>
          <w:rFonts w:ascii="Calibri" w:eastAsia="Calibri" w:hAnsi="Calibri"/>
          <w:sz w:val="22"/>
        </w:rPr>
      </w:pPr>
    </w:p>
    <w:tbl>
      <w:tblPr>
        <w:tblpPr w:leftFromText="180" w:rightFromText="180" w:vertAnchor="text" w:horzAnchor="margin" w:tblpY="60"/>
        <w:tblW w:w="9625" w:type="dxa"/>
        <w:tblLook w:val="04A0" w:firstRow="1" w:lastRow="0" w:firstColumn="1" w:lastColumn="0" w:noHBand="0" w:noVBand="1"/>
      </w:tblPr>
      <w:tblGrid>
        <w:gridCol w:w="927"/>
        <w:gridCol w:w="7348"/>
        <w:gridCol w:w="1350"/>
      </w:tblGrid>
      <w:tr w:rsidR="006005AC" w:rsidRPr="003127BD" w14:paraId="1BCF711A" w14:textId="77777777" w:rsidTr="00065418">
        <w:trPr>
          <w:trHeight w:val="576"/>
        </w:trPr>
        <w:tc>
          <w:tcPr>
            <w:tcW w:w="9625"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2AEB314F" w14:textId="77777777" w:rsidR="006005AC" w:rsidRPr="00E56C7C" w:rsidRDefault="006005AC" w:rsidP="00065418">
            <w:pPr>
              <w:spacing w:line="276" w:lineRule="auto"/>
              <w:jc w:val="center"/>
              <w:rPr>
                <w:rFonts w:ascii="Calibri" w:hAnsi="Calibri" w:cs="Calibri"/>
                <w:b/>
                <w:bCs/>
                <w:color w:val="000000"/>
                <w:szCs w:val="24"/>
              </w:rPr>
            </w:pPr>
            <w:r w:rsidRPr="00E56C7C">
              <w:rPr>
                <w:rFonts w:ascii="Calibri" w:hAnsi="Calibri" w:cs="Calibri"/>
                <w:b/>
                <w:bCs/>
                <w:color w:val="000000"/>
                <w:szCs w:val="24"/>
              </w:rPr>
              <w:lastRenderedPageBreak/>
              <w:t>Merger/Regionalization Feasibility</w:t>
            </w:r>
            <w:r>
              <w:rPr>
                <w:rFonts w:ascii="Calibri" w:hAnsi="Calibri" w:cs="Calibri"/>
                <w:b/>
                <w:bCs/>
                <w:color w:val="000000"/>
                <w:szCs w:val="24"/>
              </w:rPr>
              <w:t xml:space="preserve"> Grant</w:t>
            </w:r>
            <w:r w:rsidRPr="00E56C7C">
              <w:rPr>
                <w:rFonts w:ascii="Calibri" w:hAnsi="Calibri" w:cs="Calibri"/>
                <w:b/>
                <w:bCs/>
                <w:color w:val="000000"/>
                <w:szCs w:val="24"/>
              </w:rPr>
              <w:t xml:space="preserve"> Priority Rating System</w:t>
            </w:r>
          </w:p>
        </w:tc>
      </w:tr>
      <w:tr w:rsidR="006005AC" w:rsidRPr="003127BD" w14:paraId="6A30B97E" w14:textId="77777777" w:rsidTr="00065418">
        <w:trPr>
          <w:trHeight w:val="576"/>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2BE47" w14:textId="77777777" w:rsidR="006005AC" w:rsidRPr="00E56C7C" w:rsidRDefault="006005AC" w:rsidP="00065418">
            <w:pPr>
              <w:spacing w:line="276" w:lineRule="auto"/>
              <w:jc w:val="center"/>
              <w:rPr>
                <w:rFonts w:ascii="Calibri" w:hAnsi="Calibri" w:cs="Calibri"/>
                <w:b/>
                <w:bCs/>
                <w:color w:val="000000"/>
                <w:szCs w:val="24"/>
              </w:rPr>
            </w:pPr>
            <w:r w:rsidRPr="00E56C7C">
              <w:rPr>
                <w:rFonts w:ascii="Calibri" w:hAnsi="Calibri" w:cs="Calibri"/>
                <w:b/>
                <w:bCs/>
                <w:color w:val="000000"/>
                <w:szCs w:val="24"/>
              </w:rPr>
              <w:t>Line Item #</w:t>
            </w:r>
          </w:p>
        </w:tc>
        <w:tc>
          <w:tcPr>
            <w:tcW w:w="7348" w:type="dxa"/>
            <w:tcBorders>
              <w:top w:val="single" w:sz="4" w:space="0" w:color="auto"/>
              <w:left w:val="nil"/>
              <w:bottom w:val="single" w:sz="4" w:space="0" w:color="auto"/>
              <w:right w:val="single" w:sz="4" w:space="0" w:color="auto"/>
            </w:tcBorders>
            <w:shd w:val="clear" w:color="auto" w:fill="auto"/>
            <w:noWrap/>
            <w:vAlign w:val="center"/>
            <w:hideMark/>
          </w:tcPr>
          <w:p w14:paraId="35BA5660" w14:textId="77777777" w:rsidR="006005AC" w:rsidRPr="00E56C7C" w:rsidRDefault="006005AC" w:rsidP="00065418">
            <w:pPr>
              <w:spacing w:line="276" w:lineRule="auto"/>
              <w:rPr>
                <w:rFonts w:ascii="Calibri" w:hAnsi="Calibri" w:cs="Calibri"/>
                <w:b/>
                <w:bCs/>
                <w:color w:val="000000"/>
                <w:szCs w:val="24"/>
              </w:rPr>
            </w:pPr>
            <w:r w:rsidRPr="00E56C7C">
              <w:rPr>
                <w:rFonts w:ascii="Calibri" w:hAnsi="Calibri" w:cs="Calibri"/>
                <w:b/>
                <w:bCs/>
                <w:color w:val="000000"/>
                <w:szCs w:val="24"/>
              </w:rPr>
              <w:t> </w:t>
            </w:r>
            <w:r>
              <w:rPr>
                <w:rFonts w:ascii="Calibri" w:hAnsi="Calibri" w:cs="Calibri"/>
                <w:b/>
                <w:bCs/>
                <w:color w:val="000000"/>
                <w:szCs w:val="24"/>
              </w:rPr>
              <w:t>Category</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8907DA3" w14:textId="77777777" w:rsidR="006005AC" w:rsidRPr="00E56C7C" w:rsidRDefault="006005AC" w:rsidP="00065418">
            <w:pPr>
              <w:spacing w:line="276" w:lineRule="auto"/>
              <w:jc w:val="center"/>
              <w:rPr>
                <w:rFonts w:ascii="Calibri" w:hAnsi="Calibri" w:cs="Calibri"/>
                <w:b/>
                <w:bCs/>
                <w:color w:val="000000"/>
                <w:szCs w:val="24"/>
              </w:rPr>
            </w:pPr>
            <w:r w:rsidRPr="00E56C7C">
              <w:rPr>
                <w:rFonts w:ascii="Calibri" w:hAnsi="Calibri" w:cs="Calibri"/>
                <w:b/>
                <w:bCs/>
                <w:color w:val="000000"/>
                <w:szCs w:val="24"/>
              </w:rPr>
              <w:t>Points</w:t>
            </w:r>
          </w:p>
        </w:tc>
      </w:tr>
      <w:tr w:rsidR="006005AC" w:rsidRPr="003127BD" w14:paraId="04D3ACA0" w14:textId="77777777" w:rsidTr="00065418">
        <w:trPr>
          <w:trHeight w:val="432"/>
        </w:trPr>
        <w:tc>
          <w:tcPr>
            <w:tcW w:w="927"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6A490A76" w14:textId="77777777" w:rsidR="006005AC" w:rsidRPr="003127BD" w:rsidRDefault="006005AC" w:rsidP="00065418">
            <w:pPr>
              <w:spacing w:line="276" w:lineRule="auto"/>
              <w:jc w:val="center"/>
              <w:rPr>
                <w:rFonts w:ascii="Calibri" w:hAnsi="Calibri" w:cs="Calibri"/>
                <w:b/>
                <w:color w:val="000000"/>
                <w:sz w:val="22"/>
              </w:rPr>
            </w:pPr>
            <w:r w:rsidRPr="003127BD">
              <w:rPr>
                <w:rFonts w:ascii="Calibri" w:hAnsi="Calibri" w:cs="Calibri"/>
                <w:b/>
                <w:color w:val="000000"/>
                <w:sz w:val="22"/>
              </w:rPr>
              <w:t>1</w:t>
            </w:r>
            <w:r>
              <w:rPr>
                <w:rFonts w:ascii="Calibri" w:hAnsi="Calibri" w:cs="Calibri"/>
                <w:b/>
                <w:color w:val="000000"/>
                <w:sz w:val="22"/>
              </w:rPr>
              <w:t>.</w:t>
            </w:r>
          </w:p>
        </w:tc>
        <w:tc>
          <w:tcPr>
            <w:tcW w:w="7348" w:type="dxa"/>
            <w:tcBorders>
              <w:top w:val="nil"/>
              <w:left w:val="nil"/>
              <w:bottom w:val="single" w:sz="4" w:space="0" w:color="auto"/>
              <w:right w:val="single" w:sz="4" w:space="0" w:color="auto"/>
            </w:tcBorders>
            <w:shd w:val="clear" w:color="auto" w:fill="DBE5F1" w:themeFill="accent1" w:themeFillTint="33"/>
            <w:vAlign w:val="center"/>
            <w:hideMark/>
          </w:tcPr>
          <w:p w14:paraId="0F233C18" w14:textId="77777777" w:rsidR="006005AC" w:rsidRPr="00861103" w:rsidRDefault="006005AC" w:rsidP="00065418">
            <w:pPr>
              <w:spacing w:line="276" w:lineRule="auto"/>
              <w:rPr>
                <w:rFonts w:ascii="Calibri" w:hAnsi="Calibri" w:cs="Calibri"/>
                <w:sz w:val="22"/>
              </w:rPr>
            </w:pPr>
            <w:r>
              <w:rPr>
                <w:rFonts w:ascii="Calibri" w:hAnsi="Calibri" w:cs="Calibri"/>
                <w:sz w:val="22"/>
              </w:rPr>
              <w:t>Technical Status</w:t>
            </w:r>
          </w:p>
        </w:tc>
        <w:tc>
          <w:tcPr>
            <w:tcW w:w="1350" w:type="dxa"/>
            <w:tcBorders>
              <w:top w:val="nil"/>
              <w:left w:val="nil"/>
              <w:bottom w:val="single" w:sz="4" w:space="0" w:color="auto"/>
              <w:right w:val="single" w:sz="4" w:space="0" w:color="auto"/>
            </w:tcBorders>
            <w:shd w:val="clear" w:color="auto" w:fill="DBE5F1" w:themeFill="accent1" w:themeFillTint="33"/>
            <w:noWrap/>
            <w:vAlign w:val="center"/>
            <w:hideMark/>
          </w:tcPr>
          <w:p w14:paraId="55C5156C" w14:textId="77777777" w:rsidR="006005AC" w:rsidRPr="003127BD" w:rsidRDefault="006005AC" w:rsidP="00065418">
            <w:pPr>
              <w:spacing w:line="276" w:lineRule="auto"/>
              <w:jc w:val="center"/>
              <w:rPr>
                <w:rFonts w:ascii="Calibri" w:hAnsi="Calibri" w:cs="Calibri"/>
                <w:color w:val="000000"/>
                <w:sz w:val="22"/>
              </w:rPr>
            </w:pPr>
          </w:p>
        </w:tc>
      </w:tr>
      <w:tr w:rsidR="006005AC" w:rsidRPr="003127BD" w14:paraId="4FB53F6A" w14:textId="77777777" w:rsidTr="00065418">
        <w:trPr>
          <w:trHeight w:val="432"/>
        </w:trPr>
        <w:tc>
          <w:tcPr>
            <w:tcW w:w="927" w:type="dxa"/>
            <w:tcBorders>
              <w:top w:val="nil"/>
              <w:left w:val="single" w:sz="4" w:space="0" w:color="auto"/>
              <w:bottom w:val="single" w:sz="4" w:space="0" w:color="auto"/>
              <w:right w:val="single" w:sz="4" w:space="0" w:color="auto"/>
            </w:tcBorders>
            <w:shd w:val="clear" w:color="auto" w:fill="auto"/>
            <w:vAlign w:val="center"/>
          </w:tcPr>
          <w:p w14:paraId="4792282D" w14:textId="77777777" w:rsidR="006005AC" w:rsidRPr="006948B8" w:rsidRDefault="006005AC" w:rsidP="00065418">
            <w:pPr>
              <w:spacing w:line="276" w:lineRule="auto"/>
              <w:ind w:left="247"/>
              <w:jc w:val="right"/>
              <w:rPr>
                <w:rFonts w:ascii="Calibri" w:hAnsi="Calibri" w:cs="Calibri"/>
                <w:color w:val="000000"/>
                <w:sz w:val="22"/>
              </w:rPr>
            </w:pPr>
            <w:r w:rsidRPr="006948B8">
              <w:rPr>
                <w:rFonts w:ascii="Calibri" w:hAnsi="Calibri" w:cs="Calibri"/>
                <w:color w:val="000000"/>
                <w:sz w:val="22"/>
              </w:rPr>
              <w:t>1.A</w:t>
            </w:r>
          </w:p>
        </w:tc>
        <w:tc>
          <w:tcPr>
            <w:tcW w:w="7348" w:type="dxa"/>
            <w:tcBorders>
              <w:top w:val="nil"/>
              <w:left w:val="nil"/>
              <w:bottom w:val="single" w:sz="4" w:space="0" w:color="auto"/>
              <w:right w:val="single" w:sz="4" w:space="0" w:color="auto"/>
            </w:tcBorders>
            <w:shd w:val="clear" w:color="auto" w:fill="auto"/>
            <w:vAlign w:val="center"/>
          </w:tcPr>
          <w:p w14:paraId="4CFA0CDD" w14:textId="2C915BB0" w:rsidR="006005AC" w:rsidRPr="009B00E8" w:rsidRDefault="006005AC" w:rsidP="009B00E8">
            <w:pPr>
              <w:ind w:left="252"/>
              <w:rPr>
                <w:rFonts w:ascii="Calibri" w:hAnsi="Calibri" w:cs="Calibri"/>
                <w:sz w:val="22"/>
              </w:rPr>
            </w:pPr>
            <w:r>
              <w:rPr>
                <w:rFonts w:ascii="Calibri" w:hAnsi="Calibri" w:cs="Calibri"/>
                <w:sz w:val="22"/>
              </w:rPr>
              <w:t>Compliance History</w:t>
            </w:r>
          </w:p>
        </w:tc>
        <w:tc>
          <w:tcPr>
            <w:tcW w:w="1350" w:type="dxa"/>
            <w:tcBorders>
              <w:top w:val="nil"/>
              <w:left w:val="nil"/>
              <w:bottom w:val="single" w:sz="4" w:space="0" w:color="auto"/>
              <w:right w:val="single" w:sz="4" w:space="0" w:color="auto"/>
            </w:tcBorders>
            <w:shd w:val="clear" w:color="auto" w:fill="auto"/>
            <w:noWrap/>
            <w:vAlign w:val="center"/>
          </w:tcPr>
          <w:p w14:paraId="2FCC67C2" w14:textId="77777777" w:rsidR="006005AC" w:rsidRDefault="006005AC" w:rsidP="00065418">
            <w:pPr>
              <w:spacing w:line="276" w:lineRule="auto"/>
              <w:jc w:val="center"/>
              <w:rPr>
                <w:rFonts w:ascii="Calibri" w:hAnsi="Calibri" w:cs="Calibri"/>
                <w:color w:val="000000"/>
                <w:sz w:val="22"/>
              </w:rPr>
            </w:pPr>
            <w:r>
              <w:rPr>
                <w:rFonts w:ascii="Calibri" w:hAnsi="Calibri" w:cs="Calibri"/>
                <w:color w:val="000000"/>
                <w:sz w:val="22"/>
              </w:rPr>
              <w:t>0, 1, 2, or 3</w:t>
            </w:r>
          </w:p>
        </w:tc>
      </w:tr>
      <w:tr w:rsidR="006005AC" w:rsidRPr="003127BD" w14:paraId="638ABB9E" w14:textId="77777777" w:rsidTr="00065418">
        <w:trPr>
          <w:trHeight w:val="432"/>
        </w:trPr>
        <w:tc>
          <w:tcPr>
            <w:tcW w:w="927" w:type="dxa"/>
            <w:tcBorders>
              <w:top w:val="nil"/>
              <w:left w:val="single" w:sz="4" w:space="0" w:color="auto"/>
              <w:bottom w:val="single" w:sz="4" w:space="0" w:color="auto"/>
              <w:right w:val="single" w:sz="4" w:space="0" w:color="auto"/>
            </w:tcBorders>
            <w:shd w:val="clear" w:color="auto" w:fill="auto"/>
            <w:vAlign w:val="center"/>
          </w:tcPr>
          <w:p w14:paraId="774E9959" w14:textId="77777777" w:rsidR="006005AC" w:rsidRPr="006948B8" w:rsidRDefault="006005AC" w:rsidP="00065418">
            <w:pPr>
              <w:spacing w:line="276" w:lineRule="auto"/>
              <w:ind w:left="247"/>
              <w:jc w:val="right"/>
              <w:rPr>
                <w:rFonts w:ascii="Calibri" w:hAnsi="Calibri" w:cs="Calibri"/>
                <w:color w:val="000000"/>
                <w:sz w:val="22"/>
              </w:rPr>
            </w:pPr>
            <w:r>
              <w:rPr>
                <w:rFonts w:ascii="Calibri" w:hAnsi="Calibri" w:cs="Calibri"/>
                <w:color w:val="000000"/>
                <w:sz w:val="22"/>
              </w:rPr>
              <w:t>1.B</w:t>
            </w:r>
          </w:p>
        </w:tc>
        <w:tc>
          <w:tcPr>
            <w:tcW w:w="7348" w:type="dxa"/>
            <w:tcBorders>
              <w:top w:val="nil"/>
              <w:left w:val="nil"/>
              <w:bottom w:val="single" w:sz="4" w:space="0" w:color="auto"/>
              <w:right w:val="single" w:sz="4" w:space="0" w:color="auto"/>
            </w:tcBorders>
            <w:shd w:val="clear" w:color="auto" w:fill="auto"/>
            <w:vAlign w:val="center"/>
          </w:tcPr>
          <w:p w14:paraId="389A47A6" w14:textId="1541DD0D" w:rsidR="006005AC" w:rsidRPr="009B00E8" w:rsidRDefault="00372B16" w:rsidP="009B00E8">
            <w:pPr>
              <w:ind w:left="252"/>
              <w:rPr>
                <w:rFonts w:ascii="Calibri" w:hAnsi="Calibri" w:cs="Calibri"/>
                <w:sz w:val="22"/>
              </w:rPr>
            </w:pPr>
            <w:r>
              <w:rPr>
                <w:rFonts w:ascii="Calibri" w:hAnsi="Calibri" w:cs="Calibri"/>
                <w:sz w:val="22"/>
              </w:rPr>
              <w:t>Past Collaboration</w:t>
            </w:r>
            <w:r w:rsidR="009B00E8">
              <w:rPr>
                <w:rFonts w:ascii="Calibri" w:hAnsi="Calibri" w:cs="Calibri"/>
                <w:sz w:val="22"/>
              </w:rPr>
              <w:t xml:space="preserve"> and/or Proximity</w:t>
            </w:r>
          </w:p>
        </w:tc>
        <w:tc>
          <w:tcPr>
            <w:tcW w:w="1350" w:type="dxa"/>
            <w:tcBorders>
              <w:top w:val="nil"/>
              <w:left w:val="nil"/>
              <w:bottom w:val="single" w:sz="4" w:space="0" w:color="auto"/>
              <w:right w:val="single" w:sz="4" w:space="0" w:color="auto"/>
            </w:tcBorders>
            <w:shd w:val="clear" w:color="auto" w:fill="auto"/>
            <w:noWrap/>
            <w:vAlign w:val="center"/>
          </w:tcPr>
          <w:p w14:paraId="11BB8FDD" w14:textId="77777777" w:rsidR="006005AC" w:rsidRDefault="006005AC" w:rsidP="00065418">
            <w:pPr>
              <w:spacing w:line="276" w:lineRule="auto"/>
              <w:jc w:val="center"/>
              <w:rPr>
                <w:rFonts w:ascii="Calibri" w:hAnsi="Calibri" w:cs="Calibri"/>
                <w:color w:val="000000"/>
                <w:sz w:val="22"/>
              </w:rPr>
            </w:pPr>
            <w:r>
              <w:rPr>
                <w:rFonts w:ascii="Calibri" w:hAnsi="Calibri" w:cs="Calibri"/>
                <w:color w:val="000000"/>
                <w:sz w:val="22"/>
              </w:rPr>
              <w:t>0, 1, 2, or 3</w:t>
            </w:r>
          </w:p>
        </w:tc>
      </w:tr>
      <w:tr w:rsidR="006005AC" w:rsidRPr="003127BD" w14:paraId="5302C407" w14:textId="77777777" w:rsidTr="00065418">
        <w:trPr>
          <w:trHeight w:val="432"/>
        </w:trPr>
        <w:tc>
          <w:tcPr>
            <w:tcW w:w="927"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5C4C8E4A" w14:textId="77777777" w:rsidR="006005AC" w:rsidRPr="00216BC3" w:rsidRDefault="006005AC" w:rsidP="00065418">
            <w:pPr>
              <w:spacing w:line="276" w:lineRule="auto"/>
              <w:jc w:val="center"/>
              <w:rPr>
                <w:rFonts w:ascii="Calibri" w:hAnsi="Calibri" w:cs="Calibri"/>
                <w:b/>
                <w:color w:val="000000"/>
                <w:sz w:val="22"/>
              </w:rPr>
            </w:pPr>
            <w:r>
              <w:rPr>
                <w:rFonts w:ascii="Calibri" w:hAnsi="Calibri" w:cs="Calibri"/>
                <w:b/>
                <w:color w:val="000000"/>
                <w:sz w:val="22"/>
              </w:rPr>
              <w:t>2</w:t>
            </w:r>
            <w:r w:rsidRPr="00216BC3">
              <w:rPr>
                <w:rFonts w:ascii="Calibri" w:hAnsi="Calibri" w:cs="Calibri"/>
                <w:b/>
                <w:color w:val="000000"/>
                <w:sz w:val="22"/>
              </w:rPr>
              <w:t>.</w:t>
            </w:r>
          </w:p>
        </w:tc>
        <w:tc>
          <w:tcPr>
            <w:tcW w:w="7348" w:type="dxa"/>
            <w:tcBorders>
              <w:top w:val="nil"/>
              <w:left w:val="nil"/>
              <w:bottom w:val="single" w:sz="4" w:space="0" w:color="auto"/>
              <w:right w:val="single" w:sz="4" w:space="0" w:color="auto"/>
            </w:tcBorders>
            <w:shd w:val="clear" w:color="auto" w:fill="DBE5F1" w:themeFill="accent1" w:themeFillTint="33"/>
            <w:vAlign w:val="center"/>
            <w:hideMark/>
          </w:tcPr>
          <w:p w14:paraId="7FFB8A51" w14:textId="77777777" w:rsidR="006005AC" w:rsidRPr="00861103" w:rsidRDefault="006005AC" w:rsidP="00065418">
            <w:pPr>
              <w:rPr>
                <w:rFonts w:ascii="Calibri" w:hAnsi="Calibri" w:cs="Calibri"/>
                <w:sz w:val="22"/>
              </w:rPr>
            </w:pPr>
            <w:r>
              <w:rPr>
                <w:rFonts w:ascii="Calibri" w:hAnsi="Calibri" w:cs="Calibri"/>
                <w:sz w:val="22"/>
              </w:rPr>
              <w:t>Organizational Status</w:t>
            </w:r>
          </w:p>
        </w:tc>
        <w:tc>
          <w:tcPr>
            <w:tcW w:w="1350" w:type="dxa"/>
            <w:tcBorders>
              <w:top w:val="nil"/>
              <w:left w:val="nil"/>
              <w:bottom w:val="single" w:sz="4" w:space="0" w:color="auto"/>
              <w:right w:val="single" w:sz="4" w:space="0" w:color="auto"/>
            </w:tcBorders>
            <w:shd w:val="clear" w:color="auto" w:fill="DBE5F1" w:themeFill="accent1" w:themeFillTint="33"/>
            <w:noWrap/>
            <w:vAlign w:val="center"/>
            <w:hideMark/>
          </w:tcPr>
          <w:p w14:paraId="6FF632AB" w14:textId="77777777" w:rsidR="006005AC" w:rsidRPr="003127BD" w:rsidRDefault="006005AC" w:rsidP="00065418">
            <w:pPr>
              <w:spacing w:line="276" w:lineRule="auto"/>
              <w:jc w:val="center"/>
              <w:rPr>
                <w:rFonts w:ascii="Calibri" w:hAnsi="Calibri" w:cs="Calibri"/>
                <w:color w:val="000000"/>
                <w:sz w:val="22"/>
              </w:rPr>
            </w:pPr>
          </w:p>
        </w:tc>
      </w:tr>
      <w:tr w:rsidR="006005AC" w:rsidRPr="003127BD" w14:paraId="2005FAF2" w14:textId="77777777" w:rsidTr="00065418">
        <w:trPr>
          <w:trHeight w:val="432"/>
        </w:trPr>
        <w:tc>
          <w:tcPr>
            <w:tcW w:w="927" w:type="dxa"/>
            <w:tcBorders>
              <w:top w:val="nil"/>
              <w:left w:val="single" w:sz="4" w:space="0" w:color="auto"/>
              <w:bottom w:val="single" w:sz="4" w:space="0" w:color="auto"/>
              <w:right w:val="single" w:sz="4" w:space="0" w:color="auto"/>
            </w:tcBorders>
            <w:shd w:val="clear" w:color="auto" w:fill="auto"/>
            <w:noWrap/>
            <w:vAlign w:val="center"/>
          </w:tcPr>
          <w:p w14:paraId="2C272EC4" w14:textId="77777777" w:rsidR="006005AC" w:rsidRPr="006948B8" w:rsidRDefault="006005AC" w:rsidP="00065418">
            <w:pPr>
              <w:spacing w:line="276" w:lineRule="auto"/>
              <w:ind w:left="247"/>
              <w:jc w:val="right"/>
              <w:rPr>
                <w:rFonts w:ascii="Calibri" w:hAnsi="Calibri" w:cs="Calibri"/>
                <w:color w:val="000000"/>
                <w:sz w:val="22"/>
              </w:rPr>
            </w:pPr>
            <w:r>
              <w:rPr>
                <w:rFonts w:ascii="Calibri" w:hAnsi="Calibri" w:cs="Calibri"/>
                <w:color w:val="000000"/>
                <w:sz w:val="22"/>
              </w:rPr>
              <w:t>2.A</w:t>
            </w:r>
          </w:p>
        </w:tc>
        <w:tc>
          <w:tcPr>
            <w:tcW w:w="7348" w:type="dxa"/>
            <w:tcBorders>
              <w:top w:val="nil"/>
              <w:left w:val="nil"/>
              <w:bottom w:val="single" w:sz="4" w:space="0" w:color="auto"/>
              <w:right w:val="single" w:sz="4" w:space="0" w:color="auto"/>
            </w:tcBorders>
            <w:shd w:val="clear" w:color="auto" w:fill="auto"/>
            <w:vAlign w:val="center"/>
          </w:tcPr>
          <w:p w14:paraId="22F12015" w14:textId="42AAF6A3" w:rsidR="006005AC" w:rsidRPr="009B00E8" w:rsidRDefault="006005AC" w:rsidP="009B00E8">
            <w:pPr>
              <w:ind w:left="252"/>
              <w:rPr>
                <w:rFonts w:ascii="Calibri" w:hAnsi="Calibri" w:cs="Calibri"/>
                <w:sz w:val="22"/>
              </w:rPr>
            </w:pPr>
            <w:r>
              <w:rPr>
                <w:rFonts w:ascii="Calibri" w:hAnsi="Calibri" w:cs="Calibri"/>
                <w:sz w:val="22"/>
              </w:rPr>
              <w:t>Size and Capabilities</w:t>
            </w:r>
          </w:p>
        </w:tc>
        <w:tc>
          <w:tcPr>
            <w:tcW w:w="1350" w:type="dxa"/>
            <w:tcBorders>
              <w:top w:val="nil"/>
              <w:left w:val="nil"/>
              <w:bottom w:val="single" w:sz="4" w:space="0" w:color="auto"/>
              <w:right w:val="single" w:sz="4" w:space="0" w:color="auto"/>
            </w:tcBorders>
            <w:shd w:val="clear" w:color="auto" w:fill="auto"/>
            <w:noWrap/>
            <w:vAlign w:val="center"/>
          </w:tcPr>
          <w:p w14:paraId="176886BF" w14:textId="77777777" w:rsidR="006005AC" w:rsidRDefault="006005AC" w:rsidP="00065418">
            <w:pPr>
              <w:spacing w:line="276" w:lineRule="auto"/>
              <w:jc w:val="center"/>
              <w:rPr>
                <w:rFonts w:ascii="Calibri" w:hAnsi="Calibri" w:cs="Calibri"/>
                <w:color w:val="000000"/>
                <w:sz w:val="22"/>
              </w:rPr>
            </w:pPr>
            <w:r>
              <w:rPr>
                <w:rFonts w:ascii="Calibri" w:hAnsi="Calibri" w:cs="Calibri"/>
                <w:color w:val="000000"/>
                <w:sz w:val="22"/>
              </w:rPr>
              <w:t>0, 1, or 2</w:t>
            </w:r>
          </w:p>
        </w:tc>
      </w:tr>
      <w:tr w:rsidR="006005AC" w:rsidRPr="003127BD" w14:paraId="473467FE" w14:textId="77777777" w:rsidTr="00065418">
        <w:trPr>
          <w:trHeight w:val="432"/>
        </w:trPr>
        <w:tc>
          <w:tcPr>
            <w:tcW w:w="927" w:type="dxa"/>
            <w:tcBorders>
              <w:top w:val="nil"/>
              <w:left w:val="single" w:sz="4" w:space="0" w:color="auto"/>
              <w:bottom w:val="single" w:sz="4" w:space="0" w:color="auto"/>
              <w:right w:val="single" w:sz="4" w:space="0" w:color="auto"/>
            </w:tcBorders>
            <w:shd w:val="clear" w:color="auto" w:fill="auto"/>
            <w:noWrap/>
            <w:vAlign w:val="center"/>
          </w:tcPr>
          <w:p w14:paraId="2078DA2D" w14:textId="77777777" w:rsidR="006005AC" w:rsidRPr="006948B8" w:rsidRDefault="006005AC" w:rsidP="00065418">
            <w:pPr>
              <w:spacing w:line="276" w:lineRule="auto"/>
              <w:ind w:left="247"/>
              <w:jc w:val="right"/>
              <w:rPr>
                <w:rFonts w:ascii="Calibri" w:hAnsi="Calibri" w:cs="Calibri"/>
                <w:color w:val="000000"/>
                <w:sz w:val="22"/>
              </w:rPr>
            </w:pPr>
            <w:r>
              <w:rPr>
                <w:rFonts w:ascii="Calibri" w:hAnsi="Calibri" w:cs="Calibri"/>
                <w:color w:val="000000"/>
                <w:sz w:val="22"/>
              </w:rPr>
              <w:t>2.B</w:t>
            </w:r>
          </w:p>
        </w:tc>
        <w:tc>
          <w:tcPr>
            <w:tcW w:w="7348" w:type="dxa"/>
            <w:tcBorders>
              <w:top w:val="nil"/>
              <w:left w:val="nil"/>
              <w:bottom w:val="single" w:sz="4" w:space="0" w:color="auto"/>
              <w:right w:val="single" w:sz="4" w:space="0" w:color="auto"/>
            </w:tcBorders>
            <w:shd w:val="clear" w:color="auto" w:fill="auto"/>
            <w:vAlign w:val="center"/>
          </w:tcPr>
          <w:p w14:paraId="349227E6" w14:textId="19DC4B6B" w:rsidR="006005AC" w:rsidRPr="009B00E8" w:rsidRDefault="006005AC" w:rsidP="009B00E8">
            <w:pPr>
              <w:ind w:left="252"/>
              <w:rPr>
                <w:rFonts w:ascii="Calibri" w:hAnsi="Calibri" w:cs="Calibri"/>
                <w:sz w:val="22"/>
              </w:rPr>
            </w:pPr>
            <w:r w:rsidRPr="00F12A7D">
              <w:rPr>
                <w:rFonts w:ascii="Calibri" w:hAnsi="Calibri" w:cs="Calibri"/>
                <w:sz w:val="22"/>
              </w:rPr>
              <w:t>LGC Unit Letter</w:t>
            </w:r>
          </w:p>
        </w:tc>
        <w:tc>
          <w:tcPr>
            <w:tcW w:w="1350" w:type="dxa"/>
            <w:tcBorders>
              <w:top w:val="nil"/>
              <w:left w:val="nil"/>
              <w:bottom w:val="single" w:sz="4" w:space="0" w:color="auto"/>
              <w:right w:val="single" w:sz="4" w:space="0" w:color="auto"/>
            </w:tcBorders>
            <w:shd w:val="clear" w:color="auto" w:fill="auto"/>
            <w:noWrap/>
            <w:vAlign w:val="center"/>
          </w:tcPr>
          <w:p w14:paraId="661177F9" w14:textId="77777777" w:rsidR="006005AC" w:rsidRDefault="006005AC" w:rsidP="00065418">
            <w:pPr>
              <w:spacing w:line="276" w:lineRule="auto"/>
              <w:jc w:val="center"/>
              <w:rPr>
                <w:rFonts w:ascii="Calibri" w:hAnsi="Calibri" w:cs="Calibri"/>
                <w:color w:val="000000"/>
                <w:sz w:val="22"/>
              </w:rPr>
            </w:pPr>
            <w:r>
              <w:rPr>
                <w:rFonts w:ascii="Calibri" w:hAnsi="Calibri" w:cs="Calibri"/>
                <w:color w:val="000000"/>
                <w:sz w:val="22"/>
              </w:rPr>
              <w:t>3</w:t>
            </w:r>
          </w:p>
        </w:tc>
      </w:tr>
      <w:tr w:rsidR="006005AC" w:rsidRPr="003127BD" w14:paraId="34FADF08" w14:textId="77777777" w:rsidTr="00065418">
        <w:trPr>
          <w:trHeight w:val="432"/>
        </w:trPr>
        <w:tc>
          <w:tcPr>
            <w:tcW w:w="927" w:type="dxa"/>
            <w:tcBorders>
              <w:top w:val="nil"/>
              <w:left w:val="single" w:sz="4" w:space="0" w:color="auto"/>
              <w:bottom w:val="single" w:sz="4" w:space="0" w:color="auto"/>
              <w:right w:val="single" w:sz="4" w:space="0" w:color="auto"/>
            </w:tcBorders>
            <w:shd w:val="clear" w:color="auto" w:fill="auto"/>
            <w:noWrap/>
            <w:vAlign w:val="center"/>
          </w:tcPr>
          <w:p w14:paraId="408661A0" w14:textId="77777777" w:rsidR="006005AC" w:rsidRPr="006948B8" w:rsidRDefault="006005AC" w:rsidP="00065418">
            <w:pPr>
              <w:spacing w:line="276" w:lineRule="auto"/>
              <w:ind w:left="247"/>
              <w:jc w:val="right"/>
              <w:rPr>
                <w:rFonts w:ascii="Calibri" w:hAnsi="Calibri" w:cs="Calibri"/>
                <w:color w:val="000000"/>
                <w:sz w:val="22"/>
              </w:rPr>
            </w:pPr>
            <w:r>
              <w:rPr>
                <w:rFonts w:ascii="Calibri" w:hAnsi="Calibri" w:cs="Calibri"/>
                <w:color w:val="000000"/>
                <w:sz w:val="22"/>
              </w:rPr>
              <w:t>2.C</w:t>
            </w:r>
          </w:p>
        </w:tc>
        <w:tc>
          <w:tcPr>
            <w:tcW w:w="7348" w:type="dxa"/>
            <w:tcBorders>
              <w:top w:val="nil"/>
              <w:left w:val="nil"/>
              <w:bottom w:val="single" w:sz="4" w:space="0" w:color="auto"/>
              <w:right w:val="single" w:sz="4" w:space="0" w:color="auto"/>
            </w:tcBorders>
            <w:shd w:val="clear" w:color="auto" w:fill="auto"/>
            <w:vAlign w:val="center"/>
          </w:tcPr>
          <w:p w14:paraId="7E5C159B" w14:textId="77777777" w:rsidR="006005AC" w:rsidRDefault="006005AC" w:rsidP="00065418">
            <w:pPr>
              <w:ind w:left="252"/>
              <w:rPr>
                <w:rFonts w:ascii="Calibri" w:hAnsi="Calibri" w:cs="Calibri"/>
                <w:sz w:val="22"/>
              </w:rPr>
            </w:pPr>
            <w:r>
              <w:rPr>
                <w:rFonts w:ascii="Calibri" w:hAnsi="Calibri" w:cs="Calibri"/>
                <w:sz w:val="22"/>
              </w:rPr>
              <w:t>Operating Ratio &lt; 1.00</w:t>
            </w:r>
          </w:p>
        </w:tc>
        <w:tc>
          <w:tcPr>
            <w:tcW w:w="1350" w:type="dxa"/>
            <w:tcBorders>
              <w:top w:val="nil"/>
              <w:left w:val="nil"/>
              <w:bottom w:val="single" w:sz="4" w:space="0" w:color="auto"/>
              <w:right w:val="single" w:sz="4" w:space="0" w:color="auto"/>
            </w:tcBorders>
            <w:shd w:val="clear" w:color="auto" w:fill="auto"/>
            <w:noWrap/>
            <w:vAlign w:val="center"/>
          </w:tcPr>
          <w:p w14:paraId="2DB5DD63" w14:textId="77777777" w:rsidR="006005AC" w:rsidRDefault="006005AC" w:rsidP="00065418">
            <w:pPr>
              <w:spacing w:line="276" w:lineRule="auto"/>
              <w:jc w:val="center"/>
              <w:rPr>
                <w:rFonts w:ascii="Calibri" w:hAnsi="Calibri" w:cs="Calibri"/>
                <w:color w:val="000000"/>
                <w:sz w:val="22"/>
              </w:rPr>
            </w:pPr>
            <w:r>
              <w:rPr>
                <w:rFonts w:ascii="Calibri" w:hAnsi="Calibri" w:cs="Calibri"/>
                <w:color w:val="000000"/>
                <w:sz w:val="22"/>
              </w:rPr>
              <w:t>1</w:t>
            </w:r>
          </w:p>
        </w:tc>
      </w:tr>
      <w:tr w:rsidR="006005AC" w:rsidRPr="003127BD" w14:paraId="43F2E9F1" w14:textId="77777777" w:rsidTr="00065418">
        <w:trPr>
          <w:trHeight w:val="432"/>
        </w:trPr>
        <w:tc>
          <w:tcPr>
            <w:tcW w:w="927"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174AF500" w14:textId="77777777" w:rsidR="006005AC" w:rsidRPr="00216BC3" w:rsidRDefault="006005AC" w:rsidP="00065418">
            <w:pPr>
              <w:spacing w:line="276" w:lineRule="auto"/>
              <w:jc w:val="center"/>
              <w:rPr>
                <w:rFonts w:ascii="Calibri" w:hAnsi="Calibri" w:cs="Calibri"/>
                <w:b/>
                <w:color w:val="000000"/>
                <w:sz w:val="22"/>
              </w:rPr>
            </w:pPr>
            <w:r>
              <w:rPr>
                <w:rFonts w:ascii="Calibri" w:hAnsi="Calibri" w:cs="Calibri"/>
                <w:b/>
                <w:color w:val="000000"/>
                <w:sz w:val="22"/>
              </w:rPr>
              <w:t>3</w:t>
            </w:r>
            <w:r w:rsidRPr="00216BC3">
              <w:rPr>
                <w:rFonts w:ascii="Calibri" w:hAnsi="Calibri" w:cs="Calibri"/>
                <w:b/>
                <w:color w:val="000000"/>
                <w:sz w:val="22"/>
              </w:rPr>
              <w:t>.</w:t>
            </w:r>
          </w:p>
        </w:tc>
        <w:tc>
          <w:tcPr>
            <w:tcW w:w="7348" w:type="dxa"/>
            <w:tcBorders>
              <w:top w:val="nil"/>
              <w:left w:val="nil"/>
              <w:bottom w:val="single" w:sz="4" w:space="0" w:color="auto"/>
              <w:right w:val="single" w:sz="4" w:space="0" w:color="auto"/>
            </w:tcBorders>
            <w:shd w:val="clear" w:color="auto" w:fill="DBE5F1" w:themeFill="accent1" w:themeFillTint="33"/>
            <w:vAlign w:val="center"/>
            <w:hideMark/>
          </w:tcPr>
          <w:p w14:paraId="31A5B23B" w14:textId="77777777" w:rsidR="006005AC" w:rsidRPr="00861103" w:rsidRDefault="006005AC" w:rsidP="00065418">
            <w:pPr>
              <w:spacing w:line="276" w:lineRule="auto"/>
              <w:rPr>
                <w:rFonts w:ascii="Calibri" w:hAnsi="Calibri" w:cs="Calibri"/>
                <w:sz w:val="22"/>
              </w:rPr>
            </w:pPr>
            <w:r>
              <w:rPr>
                <w:rFonts w:ascii="Calibri" w:hAnsi="Calibri" w:cs="Calibri"/>
                <w:sz w:val="22"/>
              </w:rPr>
              <w:t>Affordability</w:t>
            </w:r>
          </w:p>
        </w:tc>
        <w:tc>
          <w:tcPr>
            <w:tcW w:w="1350" w:type="dxa"/>
            <w:tcBorders>
              <w:top w:val="nil"/>
              <w:left w:val="nil"/>
              <w:bottom w:val="single" w:sz="4" w:space="0" w:color="auto"/>
              <w:right w:val="single" w:sz="4" w:space="0" w:color="auto"/>
            </w:tcBorders>
            <w:shd w:val="clear" w:color="auto" w:fill="DBE5F1" w:themeFill="accent1" w:themeFillTint="33"/>
            <w:noWrap/>
            <w:vAlign w:val="center"/>
            <w:hideMark/>
          </w:tcPr>
          <w:p w14:paraId="3CB341DF" w14:textId="77777777" w:rsidR="006005AC" w:rsidRPr="003127BD" w:rsidRDefault="006005AC" w:rsidP="00065418">
            <w:pPr>
              <w:spacing w:line="276" w:lineRule="auto"/>
              <w:jc w:val="center"/>
              <w:rPr>
                <w:rFonts w:ascii="Calibri" w:hAnsi="Calibri" w:cs="Calibri"/>
                <w:color w:val="000000"/>
                <w:sz w:val="22"/>
              </w:rPr>
            </w:pPr>
          </w:p>
        </w:tc>
      </w:tr>
      <w:tr w:rsidR="006005AC" w:rsidRPr="003127BD" w14:paraId="0A635DB9" w14:textId="77777777" w:rsidTr="00065418">
        <w:trPr>
          <w:trHeight w:val="432"/>
        </w:trPr>
        <w:tc>
          <w:tcPr>
            <w:tcW w:w="927" w:type="dxa"/>
            <w:tcBorders>
              <w:top w:val="nil"/>
              <w:left w:val="single" w:sz="4" w:space="0" w:color="auto"/>
              <w:bottom w:val="single" w:sz="4" w:space="0" w:color="auto"/>
              <w:right w:val="single" w:sz="4" w:space="0" w:color="auto"/>
            </w:tcBorders>
            <w:shd w:val="clear" w:color="auto" w:fill="auto"/>
            <w:noWrap/>
            <w:vAlign w:val="center"/>
          </w:tcPr>
          <w:p w14:paraId="5905ABE6" w14:textId="77777777" w:rsidR="006005AC" w:rsidRPr="006948B8" w:rsidRDefault="006005AC" w:rsidP="00065418">
            <w:pPr>
              <w:spacing w:line="276" w:lineRule="auto"/>
              <w:ind w:left="247"/>
              <w:jc w:val="right"/>
              <w:rPr>
                <w:rFonts w:ascii="Calibri" w:hAnsi="Calibri" w:cs="Calibri"/>
                <w:color w:val="000000"/>
                <w:sz w:val="22"/>
              </w:rPr>
            </w:pPr>
            <w:r>
              <w:rPr>
                <w:rFonts w:ascii="Calibri" w:hAnsi="Calibri" w:cs="Calibri"/>
                <w:color w:val="000000"/>
                <w:sz w:val="22"/>
              </w:rPr>
              <w:t>3.A</w:t>
            </w:r>
          </w:p>
        </w:tc>
        <w:tc>
          <w:tcPr>
            <w:tcW w:w="7348" w:type="dxa"/>
            <w:tcBorders>
              <w:top w:val="nil"/>
              <w:left w:val="nil"/>
              <w:bottom w:val="single" w:sz="4" w:space="0" w:color="auto"/>
              <w:right w:val="single" w:sz="4" w:space="0" w:color="auto"/>
            </w:tcBorders>
            <w:shd w:val="clear" w:color="auto" w:fill="auto"/>
            <w:vAlign w:val="center"/>
          </w:tcPr>
          <w:p w14:paraId="2D3DCAC2" w14:textId="615034FE" w:rsidR="006005AC" w:rsidRDefault="00E2298A" w:rsidP="00E2298A">
            <w:pPr>
              <w:ind w:left="259"/>
              <w:rPr>
                <w:rFonts w:ascii="Calibri" w:hAnsi="Calibri" w:cs="Calibri"/>
                <w:sz w:val="22"/>
              </w:rPr>
            </w:pPr>
            <w:r>
              <w:rPr>
                <w:rFonts w:ascii="Calibri" w:hAnsi="Calibri" w:cs="Calibri"/>
                <w:sz w:val="22"/>
              </w:rPr>
              <w:t>Current Monthly Utility Rate at 5,000 gallons usage</w:t>
            </w:r>
          </w:p>
        </w:tc>
        <w:tc>
          <w:tcPr>
            <w:tcW w:w="1350" w:type="dxa"/>
            <w:tcBorders>
              <w:top w:val="nil"/>
              <w:left w:val="nil"/>
              <w:bottom w:val="single" w:sz="4" w:space="0" w:color="auto"/>
              <w:right w:val="single" w:sz="4" w:space="0" w:color="auto"/>
            </w:tcBorders>
            <w:shd w:val="clear" w:color="auto" w:fill="auto"/>
            <w:noWrap/>
            <w:vAlign w:val="center"/>
          </w:tcPr>
          <w:p w14:paraId="36984387" w14:textId="77777777" w:rsidR="006005AC" w:rsidRDefault="006005AC" w:rsidP="00065418">
            <w:pPr>
              <w:spacing w:line="276" w:lineRule="auto"/>
              <w:jc w:val="center"/>
              <w:rPr>
                <w:rFonts w:ascii="Calibri" w:hAnsi="Calibri" w:cs="Calibri"/>
                <w:color w:val="000000"/>
                <w:sz w:val="22"/>
              </w:rPr>
            </w:pPr>
            <w:r>
              <w:rPr>
                <w:rFonts w:ascii="Calibri" w:hAnsi="Calibri" w:cs="Calibri"/>
                <w:color w:val="000000"/>
                <w:sz w:val="22"/>
              </w:rPr>
              <w:t>0, 2, or 4</w:t>
            </w:r>
          </w:p>
        </w:tc>
      </w:tr>
      <w:tr w:rsidR="006005AC" w:rsidRPr="003127BD" w14:paraId="54684F77" w14:textId="77777777" w:rsidTr="00065418">
        <w:trPr>
          <w:trHeight w:val="432"/>
        </w:trPr>
        <w:tc>
          <w:tcPr>
            <w:tcW w:w="927" w:type="dxa"/>
            <w:tcBorders>
              <w:top w:val="nil"/>
              <w:left w:val="single" w:sz="4" w:space="0" w:color="auto"/>
              <w:bottom w:val="single" w:sz="4" w:space="0" w:color="auto"/>
              <w:right w:val="single" w:sz="4" w:space="0" w:color="auto"/>
            </w:tcBorders>
            <w:shd w:val="clear" w:color="auto" w:fill="auto"/>
            <w:noWrap/>
            <w:vAlign w:val="center"/>
          </w:tcPr>
          <w:p w14:paraId="210F4738" w14:textId="77777777" w:rsidR="006005AC" w:rsidRPr="006948B8" w:rsidRDefault="006005AC" w:rsidP="00065418">
            <w:pPr>
              <w:spacing w:line="276" w:lineRule="auto"/>
              <w:ind w:left="247"/>
              <w:jc w:val="right"/>
              <w:rPr>
                <w:rFonts w:ascii="Calibri" w:hAnsi="Calibri" w:cs="Calibri"/>
                <w:color w:val="000000"/>
                <w:sz w:val="22"/>
              </w:rPr>
            </w:pPr>
            <w:r>
              <w:rPr>
                <w:rFonts w:ascii="Calibri" w:hAnsi="Calibri" w:cs="Calibri"/>
                <w:color w:val="000000"/>
                <w:sz w:val="22"/>
              </w:rPr>
              <w:t>3.B</w:t>
            </w:r>
          </w:p>
        </w:tc>
        <w:tc>
          <w:tcPr>
            <w:tcW w:w="7348" w:type="dxa"/>
            <w:tcBorders>
              <w:top w:val="nil"/>
              <w:left w:val="nil"/>
              <w:bottom w:val="single" w:sz="4" w:space="0" w:color="auto"/>
              <w:right w:val="single" w:sz="4" w:space="0" w:color="auto"/>
            </w:tcBorders>
            <w:shd w:val="clear" w:color="auto" w:fill="auto"/>
            <w:vAlign w:val="center"/>
          </w:tcPr>
          <w:p w14:paraId="622BEDFB" w14:textId="548416EA" w:rsidR="006005AC" w:rsidRDefault="006005AC" w:rsidP="00065418">
            <w:pPr>
              <w:ind w:left="252"/>
              <w:rPr>
                <w:rFonts w:ascii="Calibri" w:hAnsi="Calibri" w:cs="Calibri"/>
                <w:sz w:val="22"/>
              </w:rPr>
            </w:pPr>
            <w:r>
              <w:rPr>
                <w:rFonts w:ascii="Calibri" w:hAnsi="Calibri" w:cs="Calibri"/>
                <w:sz w:val="22"/>
              </w:rPr>
              <w:t>Local Government U</w:t>
            </w:r>
            <w:r w:rsidR="00E2298A">
              <w:rPr>
                <w:rFonts w:ascii="Calibri" w:hAnsi="Calibri" w:cs="Calibri"/>
                <w:sz w:val="22"/>
              </w:rPr>
              <w:t>nit (LGU) Indicators</w:t>
            </w:r>
          </w:p>
        </w:tc>
        <w:tc>
          <w:tcPr>
            <w:tcW w:w="1350" w:type="dxa"/>
            <w:tcBorders>
              <w:top w:val="nil"/>
              <w:left w:val="nil"/>
              <w:bottom w:val="single" w:sz="4" w:space="0" w:color="auto"/>
              <w:right w:val="single" w:sz="4" w:space="0" w:color="auto"/>
            </w:tcBorders>
            <w:shd w:val="clear" w:color="auto" w:fill="DBE5F1" w:themeFill="accent1" w:themeFillTint="33"/>
            <w:noWrap/>
            <w:vAlign w:val="center"/>
          </w:tcPr>
          <w:p w14:paraId="4A55B0B1" w14:textId="77777777" w:rsidR="006005AC" w:rsidRDefault="006005AC" w:rsidP="00065418">
            <w:pPr>
              <w:spacing w:line="276" w:lineRule="auto"/>
              <w:jc w:val="center"/>
              <w:rPr>
                <w:rFonts w:ascii="Calibri" w:hAnsi="Calibri" w:cs="Calibri"/>
                <w:color w:val="000000"/>
                <w:sz w:val="22"/>
              </w:rPr>
            </w:pPr>
          </w:p>
        </w:tc>
      </w:tr>
      <w:tr w:rsidR="006005AC" w:rsidRPr="003127BD" w14:paraId="3C94A5C5" w14:textId="77777777" w:rsidTr="00065418">
        <w:trPr>
          <w:trHeight w:val="432"/>
        </w:trPr>
        <w:tc>
          <w:tcPr>
            <w:tcW w:w="927" w:type="dxa"/>
            <w:tcBorders>
              <w:top w:val="nil"/>
              <w:left w:val="single" w:sz="4" w:space="0" w:color="auto"/>
              <w:bottom w:val="single" w:sz="4" w:space="0" w:color="auto"/>
              <w:right w:val="single" w:sz="4" w:space="0" w:color="auto"/>
            </w:tcBorders>
            <w:shd w:val="clear" w:color="auto" w:fill="auto"/>
            <w:noWrap/>
            <w:vAlign w:val="center"/>
          </w:tcPr>
          <w:p w14:paraId="40BD67EA" w14:textId="77777777" w:rsidR="006005AC" w:rsidRPr="006948B8" w:rsidRDefault="006005AC" w:rsidP="00065418">
            <w:pPr>
              <w:spacing w:line="276" w:lineRule="auto"/>
              <w:ind w:left="247"/>
              <w:jc w:val="right"/>
              <w:rPr>
                <w:rFonts w:ascii="Calibri" w:hAnsi="Calibri" w:cs="Calibri"/>
                <w:color w:val="000000"/>
                <w:sz w:val="22"/>
              </w:rPr>
            </w:pPr>
            <w:r w:rsidRPr="006948B8">
              <w:rPr>
                <w:rFonts w:ascii="Calibri" w:hAnsi="Calibri" w:cs="Calibri"/>
                <w:color w:val="000000"/>
                <w:sz w:val="22"/>
              </w:rPr>
              <w:t>3.B.1</w:t>
            </w:r>
          </w:p>
        </w:tc>
        <w:tc>
          <w:tcPr>
            <w:tcW w:w="7348" w:type="dxa"/>
            <w:tcBorders>
              <w:top w:val="nil"/>
              <w:left w:val="nil"/>
              <w:bottom w:val="single" w:sz="4" w:space="0" w:color="auto"/>
              <w:right w:val="single" w:sz="4" w:space="0" w:color="auto"/>
            </w:tcBorders>
            <w:shd w:val="clear" w:color="auto" w:fill="auto"/>
            <w:vAlign w:val="center"/>
          </w:tcPr>
          <w:p w14:paraId="3D485420" w14:textId="77777777" w:rsidR="006005AC" w:rsidRPr="00F12A7D" w:rsidRDefault="006005AC" w:rsidP="00065418">
            <w:pPr>
              <w:ind w:left="490"/>
              <w:rPr>
                <w:rFonts w:ascii="Calibri" w:hAnsi="Calibri" w:cs="Calibri"/>
                <w:color w:val="000000"/>
                <w:sz w:val="22"/>
              </w:rPr>
            </w:pPr>
            <w:r>
              <w:rPr>
                <w:rFonts w:ascii="Calibri" w:hAnsi="Calibri"/>
                <w:color w:val="000000"/>
                <w:sz w:val="22"/>
              </w:rPr>
              <w:t>3 out of 5 LGU indicators</w:t>
            </w:r>
            <w:r w:rsidRPr="00F12A7D">
              <w:rPr>
                <w:rFonts w:ascii="Calibri" w:hAnsi="Calibri"/>
                <w:color w:val="000000"/>
                <w:sz w:val="22"/>
              </w:rPr>
              <w:t xml:space="preserve"> </w:t>
            </w:r>
            <w:r>
              <w:rPr>
                <w:rFonts w:ascii="Calibri" w:hAnsi="Calibri"/>
                <w:color w:val="000000"/>
                <w:sz w:val="22"/>
              </w:rPr>
              <w:t xml:space="preserve">are worse than the state benchmark </w:t>
            </w:r>
            <w:r w:rsidRPr="005A337E">
              <w:rPr>
                <w:rFonts w:ascii="Calibri" w:hAnsi="Calibri"/>
                <w:b/>
                <w:color w:val="000000"/>
                <w:sz w:val="22"/>
              </w:rPr>
              <w:t>OR</w:t>
            </w:r>
          </w:p>
        </w:tc>
        <w:tc>
          <w:tcPr>
            <w:tcW w:w="1350" w:type="dxa"/>
            <w:tcBorders>
              <w:top w:val="nil"/>
              <w:left w:val="nil"/>
              <w:bottom w:val="single" w:sz="4" w:space="0" w:color="auto"/>
              <w:right w:val="single" w:sz="4" w:space="0" w:color="auto"/>
            </w:tcBorders>
            <w:shd w:val="clear" w:color="auto" w:fill="auto"/>
            <w:noWrap/>
            <w:vAlign w:val="center"/>
          </w:tcPr>
          <w:p w14:paraId="1AD01A7B" w14:textId="77777777" w:rsidR="006005AC" w:rsidRDefault="006005AC" w:rsidP="00065418">
            <w:pPr>
              <w:spacing w:line="276" w:lineRule="auto"/>
              <w:jc w:val="center"/>
              <w:rPr>
                <w:rFonts w:ascii="Calibri" w:hAnsi="Calibri" w:cs="Calibri"/>
                <w:color w:val="000000"/>
                <w:sz w:val="22"/>
              </w:rPr>
            </w:pPr>
            <w:r>
              <w:rPr>
                <w:rFonts w:ascii="Calibri" w:hAnsi="Calibri" w:cs="Calibri"/>
                <w:color w:val="000000"/>
                <w:sz w:val="22"/>
              </w:rPr>
              <w:t>0</w:t>
            </w:r>
          </w:p>
        </w:tc>
      </w:tr>
      <w:tr w:rsidR="006005AC" w:rsidRPr="003127BD" w14:paraId="648376E2" w14:textId="77777777" w:rsidTr="00065418">
        <w:trPr>
          <w:trHeight w:val="432"/>
        </w:trPr>
        <w:tc>
          <w:tcPr>
            <w:tcW w:w="927" w:type="dxa"/>
            <w:tcBorders>
              <w:top w:val="nil"/>
              <w:left w:val="single" w:sz="4" w:space="0" w:color="auto"/>
              <w:bottom w:val="single" w:sz="4" w:space="0" w:color="auto"/>
              <w:right w:val="single" w:sz="4" w:space="0" w:color="auto"/>
            </w:tcBorders>
            <w:shd w:val="clear" w:color="auto" w:fill="auto"/>
            <w:noWrap/>
            <w:vAlign w:val="center"/>
          </w:tcPr>
          <w:p w14:paraId="2DA83C2D" w14:textId="77777777" w:rsidR="006005AC" w:rsidRPr="006948B8" w:rsidRDefault="006005AC" w:rsidP="00065418">
            <w:pPr>
              <w:spacing w:line="276" w:lineRule="auto"/>
              <w:ind w:left="247"/>
              <w:jc w:val="right"/>
              <w:rPr>
                <w:rFonts w:ascii="Calibri" w:hAnsi="Calibri" w:cs="Calibri"/>
                <w:color w:val="000000"/>
                <w:sz w:val="22"/>
              </w:rPr>
            </w:pPr>
            <w:r w:rsidRPr="006948B8">
              <w:rPr>
                <w:rFonts w:ascii="Calibri" w:hAnsi="Calibri" w:cs="Calibri"/>
                <w:color w:val="000000"/>
                <w:sz w:val="22"/>
              </w:rPr>
              <w:t>3.B.2</w:t>
            </w:r>
          </w:p>
        </w:tc>
        <w:tc>
          <w:tcPr>
            <w:tcW w:w="7348" w:type="dxa"/>
            <w:tcBorders>
              <w:top w:val="nil"/>
              <w:left w:val="nil"/>
              <w:bottom w:val="single" w:sz="4" w:space="0" w:color="auto"/>
              <w:right w:val="single" w:sz="4" w:space="0" w:color="auto"/>
            </w:tcBorders>
            <w:shd w:val="clear" w:color="auto" w:fill="auto"/>
            <w:vAlign w:val="center"/>
          </w:tcPr>
          <w:p w14:paraId="2A195A5F" w14:textId="77777777" w:rsidR="006005AC" w:rsidRPr="00F12A7D" w:rsidRDefault="006005AC" w:rsidP="00065418">
            <w:pPr>
              <w:ind w:left="490"/>
              <w:rPr>
                <w:rFonts w:ascii="Calibri" w:hAnsi="Calibri" w:cs="Calibri"/>
                <w:color w:val="000000"/>
                <w:sz w:val="22"/>
              </w:rPr>
            </w:pPr>
            <w:r>
              <w:rPr>
                <w:rFonts w:ascii="Calibri" w:hAnsi="Calibri"/>
                <w:color w:val="000000"/>
                <w:sz w:val="22"/>
              </w:rPr>
              <w:t xml:space="preserve">4 out of 5 LGU indicators are worse than the state benchmark </w:t>
            </w:r>
            <w:r w:rsidRPr="005A337E">
              <w:rPr>
                <w:rFonts w:ascii="Calibri" w:hAnsi="Calibri"/>
                <w:b/>
                <w:color w:val="000000"/>
                <w:sz w:val="22"/>
              </w:rPr>
              <w:t>OR</w:t>
            </w:r>
          </w:p>
        </w:tc>
        <w:tc>
          <w:tcPr>
            <w:tcW w:w="1350" w:type="dxa"/>
            <w:tcBorders>
              <w:top w:val="nil"/>
              <w:left w:val="nil"/>
              <w:bottom w:val="single" w:sz="4" w:space="0" w:color="auto"/>
              <w:right w:val="single" w:sz="4" w:space="0" w:color="auto"/>
            </w:tcBorders>
            <w:shd w:val="clear" w:color="auto" w:fill="auto"/>
            <w:noWrap/>
            <w:vAlign w:val="center"/>
          </w:tcPr>
          <w:p w14:paraId="29ACC80D" w14:textId="77777777" w:rsidR="006005AC" w:rsidRDefault="006005AC" w:rsidP="00065418">
            <w:pPr>
              <w:spacing w:line="276" w:lineRule="auto"/>
              <w:jc w:val="center"/>
              <w:rPr>
                <w:rFonts w:ascii="Calibri" w:hAnsi="Calibri" w:cs="Calibri"/>
                <w:color w:val="000000"/>
                <w:sz w:val="22"/>
              </w:rPr>
            </w:pPr>
            <w:r>
              <w:rPr>
                <w:rFonts w:ascii="Calibri" w:hAnsi="Calibri" w:cs="Calibri"/>
                <w:color w:val="000000"/>
                <w:sz w:val="22"/>
              </w:rPr>
              <w:t>2</w:t>
            </w:r>
          </w:p>
        </w:tc>
      </w:tr>
      <w:tr w:rsidR="006005AC" w:rsidRPr="003127BD" w14:paraId="3B067CC6" w14:textId="77777777" w:rsidTr="00065418">
        <w:trPr>
          <w:trHeight w:val="432"/>
        </w:trPr>
        <w:tc>
          <w:tcPr>
            <w:tcW w:w="927" w:type="dxa"/>
            <w:tcBorders>
              <w:top w:val="nil"/>
              <w:left w:val="single" w:sz="4" w:space="0" w:color="auto"/>
              <w:bottom w:val="single" w:sz="4" w:space="0" w:color="auto"/>
              <w:right w:val="single" w:sz="4" w:space="0" w:color="auto"/>
            </w:tcBorders>
            <w:shd w:val="clear" w:color="auto" w:fill="auto"/>
            <w:noWrap/>
            <w:vAlign w:val="center"/>
          </w:tcPr>
          <w:p w14:paraId="2274A5FA" w14:textId="77777777" w:rsidR="006005AC" w:rsidRPr="006948B8" w:rsidRDefault="006005AC" w:rsidP="00065418">
            <w:pPr>
              <w:spacing w:line="276" w:lineRule="auto"/>
              <w:ind w:left="247"/>
              <w:jc w:val="right"/>
              <w:rPr>
                <w:rFonts w:ascii="Calibri" w:hAnsi="Calibri" w:cs="Calibri"/>
                <w:color w:val="000000"/>
                <w:sz w:val="22"/>
              </w:rPr>
            </w:pPr>
            <w:r w:rsidRPr="006948B8">
              <w:rPr>
                <w:rFonts w:ascii="Calibri" w:hAnsi="Calibri" w:cs="Calibri"/>
                <w:color w:val="000000"/>
                <w:sz w:val="22"/>
              </w:rPr>
              <w:t>3.B.3</w:t>
            </w:r>
          </w:p>
        </w:tc>
        <w:tc>
          <w:tcPr>
            <w:tcW w:w="7348" w:type="dxa"/>
            <w:tcBorders>
              <w:top w:val="nil"/>
              <w:left w:val="nil"/>
              <w:bottom w:val="single" w:sz="4" w:space="0" w:color="auto"/>
              <w:right w:val="single" w:sz="4" w:space="0" w:color="auto"/>
            </w:tcBorders>
            <w:shd w:val="clear" w:color="auto" w:fill="auto"/>
            <w:vAlign w:val="center"/>
          </w:tcPr>
          <w:p w14:paraId="7010348B" w14:textId="77777777" w:rsidR="006005AC" w:rsidRPr="00F12A7D" w:rsidRDefault="006005AC" w:rsidP="00065418">
            <w:pPr>
              <w:ind w:left="490"/>
              <w:rPr>
                <w:rFonts w:ascii="Calibri" w:hAnsi="Calibri" w:cs="Calibri"/>
                <w:color w:val="000000"/>
                <w:sz w:val="22"/>
              </w:rPr>
            </w:pPr>
            <w:r>
              <w:rPr>
                <w:rFonts w:ascii="Calibri" w:hAnsi="Calibri"/>
                <w:color w:val="000000"/>
                <w:sz w:val="22"/>
              </w:rPr>
              <w:t>5 out of 5 LGU indicators</w:t>
            </w:r>
            <w:r w:rsidRPr="00F12A7D">
              <w:rPr>
                <w:rFonts w:ascii="Calibri" w:hAnsi="Calibri"/>
                <w:color w:val="000000"/>
                <w:sz w:val="22"/>
              </w:rPr>
              <w:t xml:space="preserve"> </w:t>
            </w:r>
            <w:r>
              <w:rPr>
                <w:rFonts w:ascii="Calibri" w:hAnsi="Calibri"/>
                <w:color w:val="000000"/>
                <w:sz w:val="22"/>
              </w:rPr>
              <w:t>are worse than the state benchmark</w:t>
            </w:r>
          </w:p>
        </w:tc>
        <w:tc>
          <w:tcPr>
            <w:tcW w:w="1350" w:type="dxa"/>
            <w:tcBorders>
              <w:top w:val="nil"/>
              <w:left w:val="nil"/>
              <w:bottom w:val="single" w:sz="4" w:space="0" w:color="auto"/>
              <w:right w:val="single" w:sz="4" w:space="0" w:color="auto"/>
            </w:tcBorders>
            <w:shd w:val="clear" w:color="auto" w:fill="auto"/>
            <w:noWrap/>
            <w:vAlign w:val="center"/>
          </w:tcPr>
          <w:p w14:paraId="38BCB8B3" w14:textId="77777777" w:rsidR="006005AC" w:rsidRDefault="006005AC" w:rsidP="00065418">
            <w:pPr>
              <w:spacing w:line="276" w:lineRule="auto"/>
              <w:jc w:val="center"/>
              <w:rPr>
                <w:rFonts w:ascii="Calibri" w:hAnsi="Calibri" w:cs="Calibri"/>
                <w:color w:val="000000"/>
                <w:sz w:val="22"/>
              </w:rPr>
            </w:pPr>
            <w:r>
              <w:rPr>
                <w:rFonts w:ascii="Calibri" w:hAnsi="Calibri" w:cs="Calibri"/>
                <w:color w:val="000000"/>
                <w:sz w:val="22"/>
              </w:rPr>
              <w:t>4</w:t>
            </w:r>
          </w:p>
        </w:tc>
      </w:tr>
      <w:tr w:rsidR="006005AC" w:rsidRPr="003127BD" w14:paraId="7F01552A" w14:textId="77777777" w:rsidTr="00065418">
        <w:trPr>
          <w:trHeight w:val="551"/>
        </w:trPr>
        <w:tc>
          <w:tcPr>
            <w:tcW w:w="927"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02ED984B" w14:textId="77777777" w:rsidR="006005AC" w:rsidRPr="003127BD" w:rsidRDefault="006005AC" w:rsidP="00065418">
            <w:pPr>
              <w:spacing w:line="276" w:lineRule="auto"/>
              <w:jc w:val="center"/>
              <w:rPr>
                <w:rFonts w:ascii="Calibri" w:hAnsi="Calibri" w:cs="Calibri"/>
                <w:color w:val="000000"/>
                <w:sz w:val="22"/>
              </w:rPr>
            </w:pPr>
            <w:r w:rsidRPr="003127BD">
              <w:rPr>
                <w:rFonts w:ascii="Calibri" w:hAnsi="Calibri" w:cs="Calibri"/>
                <w:color w:val="000000"/>
                <w:sz w:val="22"/>
              </w:rPr>
              <w:t> </w:t>
            </w:r>
          </w:p>
        </w:tc>
        <w:tc>
          <w:tcPr>
            <w:tcW w:w="7348" w:type="dxa"/>
            <w:tcBorders>
              <w:top w:val="nil"/>
              <w:left w:val="nil"/>
              <w:bottom w:val="single" w:sz="4" w:space="0" w:color="auto"/>
              <w:right w:val="single" w:sz="4" w:space="0" w:color="auto"/>
            </w:tcBorders>
            <w:shd w:val="clear" w:color="auto" w:fill="DBE5F1" w:themeFill="accent1" w:themeFillTint="33"/>
            <w:vAlign w:val="center"/>
            <w:hideMark/>
          </w:tcPr>
          <w:p w14:paraId="6FF818FC" w14:textId="77777777" w:rsidR="006005AC" w:rsidRPr="003127BD" w:rsidRDefault="006005AC" w:rsidP="00065418">
            <w:pPr>
              <w:spacing w:line="276" w:lineRule="auto"/>
              <w:jc w:val="right"/>
              <w:rPr>
                <w:rFonts w:ascii="Calibri" w:hAnsi="Calibri" w:cs="Calibri"/>
                <w:b/>
                <w:color w:val="000000"/>
                <w:sz w:val="22"/>
              </w:rPr>
            </w:pPr>
            <w:r w:rsidRPr="003127BD">
              <w:rPr>
                <w:rFonts w:ascii="Calibri" w:hAnsi="Calibri" w:cs="Calibri"/>
                <w:b/>
                <w:color w:val="000000"/>
                <w:sz w:val="22"/>
              </w:rPr>
              <w:t>Total Points</w:t>
            </w:r>
          </w:p>
        </w:tc>
        <w:tc>
          <w:tcPr>
            <w:tcW w:w="1350" w:type="dxa"/>
            <w:tcBorders>
              <w:top w:val="nil"/>
              <w:left w:val="nil"/>
              <w:bottom w:val="single" w:sz="4" w:space="0" w:color="auto"/>
              <w:right w:val="single" w:sz="4" w:space="0" w:color="auto"/>
            </w:tcBorders>
            <w:shd w:val="clear" w:color="auto" w:fill="DBE5F1" w:themeFill="accent1" w:themeFillTint="33"/>
            <w:noWrap/>
            <w:vAlign w:val="center"/>
            <w:hideMark/>
          </w:tcPr>
          <w:p w14:paraId="1BE36E0B" w14:textId="77777777" w:rsidR="006005AC" w:rsidRPr="003127BD" w:rsidRDefault="006005AC" w:rsidP="00065418">
            <w:pPr>
              <w:spacing w:line="276" w:lineRule="auto"/>
              <w:jc w:val="center"/>
              <w:rPr>
                <w:rFonts w:ascii="Calibri" w:hAnsi="Calibri" w:cs="Calibri"/>
                <w:b/>
                <w:color w:val="000000"/>
                <w:sz w:val="22"/>
              </w:rPr>
            </w:pPr>
            <w:r>
              <w:rPr>
                <w:rFonts w:ascii="Calibri" w:hAnsi="Calibri" w:cs="Calibri"/>
                <w:b/>
                <w:color w:val="000000"/>
                <w:sz w:val="22"/>
              </w:rPr>
              <w:t>20 Max</w:t>
            </w:r>
          </w:p>
        </w:tc>
      </w:tr>
    </w:tbl>
    <w:p w14:paraId="712D1CCC" w14:textId="77777777" w:rsidR="001B4A6A" w:rsidRPr="006005AC" w:rsidRDefault="001B4A6A" w:rsidP="006005AC"/>
    <w:sectPr w:rsidR="001B4A6A" w:rsidRPr="006005AC" w:rsidSect="00B145E8">
      <w:footerReference w:type="default" r:id="rId8"/>
      <w:pgSz w:w="12240" w:h="15840" w:code="1"/>
      <w:pgMar w:top="1296" w:right="990" w:bottom="1080" w:left="1440" w:header="576" w:footer="4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7D139" w14:textId="77777777" w:rsidR="005B432E" w:rsidRDefault="005B432E" w:rsidP="0051721F">
      <w:r>
        <w:separator/>
      </w:r>
    </w:p>
  </w:endnote>
  <w:endnote w:type="continuationSeparator" w:id="0">
    <w:p w14:paraId="17EECBCF" w14:textId="77777777" w:rsidR="005B432E" w:rsidRDefault="005B432E" w:rsidP="0051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263EF" w14:textId="3A01C33A" w:rsidR="00804A4D" w:rsidRPr="00807E77" w:rsidRDefault="006005AC" w:rsidP="00381778">
    <w:pPr>
      <w:pStyle w:val="Footer"/>
      <w:pBdr>
        <w:bottom w:val="single" w:sz="4" w:space="1" w:color="000000"/>
      </w:pBdr>
      <w:tabs>
        <w:tab w:val="clear" w:pos="4680"/>
      </w:tabs>
      <w:jc w:val="both"/>
      <w:rPr>
        <w:rFonts w:asciiTheme="minorHAnsi" w:hAnsiTheme="minorHAnsi"/>
        <w:sz w:val="22"/>
      </w:rPr>
    </w:pPr>
    <w:r>
      <w:rPr>
        <w:rFonts w:asciiTheme="minorHAnsi" w:hAnsiTheme="minorHAnsi"/>
        <w:sz w:val="18"/>
        <w:szCs w:val="18"/>
      </w:rPr>
      <w:t>Merger/Regionalization Feasibility Grant</w:t>
    </w:r>
    <w:r w:rsidR="00804A4D">
      <w:rPr>
        <w:rFonts w:asciiTheme="minorHAnsi" w:hAnsiTheme="minorHAnsi"/>
        <w:sz w:val="18"/>
        <w:szCs w:val="18"/>
      </w:rPr>
      <w:t xml:space="preserve"> </w:t>
    </w:r>
    <w:r w:rsidR="00804A4D" w:rsidRPr="00807E77">
      <w:rPr>
        <w:rFonts w:asciiTheme="minorHAnsi" w:hAnsiTheme="minorHAnsi"/>
        <w:sz w:val="18"/>
        <w:szCs w:val="18"/>
      </w:rPr>
      <w:t>Priority Rating System Guidance and Form (</w:t>
    </w:r>
    <w:r w:rsidR="00B61490">
      <w:rPr>
        <w:rFonts w:asciiTheme="minorHAnsi" w:hAnsiTheme="minorHAnsi"/>
        <w:sz w:val="18"/>
        <w:szCs w:val="18"/>
      </w:rPr>
      <w:t>July 20</w:t>
    </w:r>
    <w:r w:rsidR="00A42E64">
      <w:rPr>
        <w:rFonts w:asciiTheme="minorHAnsi" w:hAnsiTheme="minorHAnsi"/>
        <w:sz w:val="18"/>
        <w:szCs w:val="18"/>
      </w:rPr>
      <w:t>20</w:t>
    </w:r>
    <w:r w:rsidR="00804A4D" w:rsidRPr="00807E77">
      <w:rPr>
        <w:rFonts w:asciiTheme="minorHAnsi" w:hAnsiTheme="minorHAnsi"/>
        <w:sz w:val="18"/>
        <w:szCs w:val="18"/>
      </w:rPr>
      <w:t>)</w:t>
    </w:r>
    <w:r w:rsidR="00804A4D">
      <w:rPr>
        <w:sz w:val="16"/>
        <w:szCs w:val="16"/>
      </w:rPr>
      <w:tab/>
    </w:r>
    <w:r w:rsidR="00804A4D" w:rsidRPr="00807E77">
      <w:rPr>
        <w:rFonts w:asciiTheme="minorHAnsi" w:hAnsiTheme="minorHAnsi"/>
        <w:sz w:val="22"/>
      </w:rPr>
      <w:t xml:space="preserve"> Page </w:t>
    </w:r>
    <w:r w:rsidR="00804A4D" w:rsidRPr="00807E77">
      <w:rPr>
        <w:rFonts w:asciiTheme="minorHAnsi" w:hAnsiTheme="minorHAnsi"/>
        <w:sz w:val="22"/>
      </w:rPr>
      <w:fldChar w:fldCharType="begin"/>
    </w:r>
    <w:r w:rsidR="00804A4D" w:rsidRPr="00807E77">
      <w:rPr>
        <w:rFonts w:asciiTheme="minorHAnsi" w:hAnsiTheme="minorHAnsi"/>
        <w:sz w:val="22"/>
      </w:rPr>
      <w:instrText xml:space="preserve"> PAGE  \* Arabic  \* MERGEFORMAT </w:instrText>
    </w:r>
    <w:r w:rsidR="00804A4D" w:rsidRPr="00807E77">
      <w:rPr>
        <w:rFonts w:asciiTheme="minorHAnsi" w:hAnsiTheme="minorHAnsi"/>
        <w:sz w:val="22"/>
      </w:rPr>
      <w:fldChar w:fldCharType="separate"/>
    </w:r>
    <w:r w:rsidR="00B61490">
      <w:rPr>
        <w:rFonts w:asciiTheme="minorHAnsi" w:hAnsiTheme="minorHAnsi"/>
        <w:noProof/>
        <w:sz w:val="22"/>
      </w:rPr>
      <w:t>1</w:t>
    </w:r>
    <w:r w:rsidR="00804A4D" w:rsidRPr="00807E77">
      <w:rPr>
        <w:rFonts w:asciiTheme="minorHAnsi" w:hAnsiTheme="minorHAnsi"/>
        <w:sz w:val="22"/>
      </w:rPr>
      <w:fldChar w:fldCharType="end"/>
    </w:r>
    <w:r w:rsidR="00804A4D" w:rsidRPr="00807E77">
      <w:rPr>
        <w:rFonts w:asciiTheme="minorHAnsi" w:hAnsiTheme="minorHAnsi"/>
        <w:sz w:val="22"/>
      </w:rPr>
      <w:t xml:space="preserve"> of </w:t>
    </w:r>
    <w:r w:rsidR="00FA73F7">
      <w:fldChar w:fldCharType="begin"/>
    </w:r>
    <w:r w:rsidR="00FA73F7">
      <w:instrText xml:space="preserve"> NUMPAGES  \* Arabic  \* MERGEFORMAT </w:instrText>
    </w:r>
    <w:r w:rsidR="00FA73F7">
      <w:fldChar w:fldCharType="separate"/>
    </w:r>
    <w:r w:rsidR="00B61490" w:rsidRPr="00B61490">
      <w:rPr>
        <w:rFonts w:asciiTheme="minorHAnsi" w:hAnsiTheme="minorHAnsi"/>
        <w:noProof/>
        <w:sz w:val="22"/>
      </w:rPr>
      <w:t>7</w:t>
    </w:r>
    <w:r w:rsidR="00FA73F7">
      <w:rPr>
        <w:rFonts w:asciiTheme="minorHAnsi" w:hAnsiTheme="minorHAnsi"/>
        <w:noProof/>
        <w:sz w:val="22"/>
      </w:rPr>
      <w:fldChar w:fldCharType="end"/>
    </w:r>
  </w:p>
  <w:p w14:paraId="5A1092FA" w14:textId="77777777" w:rsidR="00804A4D" w:rsidRPr="0071072B" w:rsidRDefault="00804A4D" w:rsidP="00E63A4D">
    <w:pPr>
      <w:pStyle w:val="Footer"/>
      <w:tabs>
        <w:tab w:val="clear" w:pos="4680"/>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4976B" w14:textId="77777777" w:rsidR="005B432E" w:rsidRDefault="005B432E" w:rsidP="0051721F">
      <w:r>
        <w:separator/>
      </w:r>
    </w:p>
  </w:footnote>
  <w:footnote w:type="continuationSeparator" w:id="0">
    <w:p w14:paraId="13451B3C" w14:textId="77777777" w:rsidR="005B432E" w:rsidRDefault="005B432E" w:rsidP="00517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A7A2B"/>
    <w:multiLevelType w:val="hybridMultilevel"/>
    <w:tmpl w:val="287A2EEE"/>
    <w:lvl w:ilvl="0" w:tplc="D2663252">
      <w:start w:val="1"/>
      <w:numFmt w:val="decimal"/>
      <w:lvlText w:val="%1."/>
      <w:lvlJc w:val="left"/>
      <w:pPr>
        <w:ind w:left="720" w:hanging="360"/>
      </w:pPr>
      <w:rPr>
        <w:rFonts w:cstheme="minorHAns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E36DC"/>
    <w:multiLevelType w:val="hybridMultilevel"/>
    <w:tmpl w:val="9AF2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D2663"/>
    <w:multiLevelType w:val="hybridMultilevel"/>
    <w:tmpl w:val="CD4E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94DDE"/>
    <w:multiLevelType w:val="hybridMultilevel"/>
    <w:tmpl w:val="1DA6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3149D"/>
    <w:multiLevelType w:val="hybridMultilevel"/>
    <w:tmpl w:val="D1704032"/>
    <w:lvl w:ilvl="0" w:tplc="D2663252">
      <w:start w:val="1"/>
      <w:numFmt w:val="decimal"/>
      <w:lvlText w:val="%1."/>
      <w:lvlJc w:val="left"/>
      <w:pPr>
        <w:ind w:left="720" w:hanging="360"/>
      </w:pPr>
      <w:rPr>
        <w:rFonts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44B94"/>
    <w:multiLevelType w:val="hybridMultilevel"/>
    <w:tmpl w:val="90C4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047FC0"/>
    <w:multiLevelType w:val="hybridMultilevel"/>
    <w:tmpl w:val="64FEED50"/>
    <w:lvl w:ilvl="0" w:tplc="9F7AB074">
      <w:start w:val="1"/>
      <w:numFmt w:val="decimal"/>
      <w:lvlText w:val="%1."/>
      <w:lvlJc w:val="left"/>
      <w:pPr>
        <w:ind w:left="720" w:hanging="360"/>
      </w:pPr>
      <w:rPr>
        <w:rFonts w:asciiTheme="minorHAnsi" w:eastAsia="Times New Roman" w:hAnsiTheme="minorHAnsi" w:cstheme="minorHAnsi"/>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1840E9"/>
    <w:multiLevelType w:val="hybridMultilevel"/>
    <w:tmpl w:val="DB0E55F2"/>
    <w:lvl w:ilvl="0" w:tplc="B1F0C710">
      <w:start w:val="1"/>
      <w:numFmt w:val="decimal"/>
      <w:lvlText w:val="%1."/>
      <w:lvlJc w:val="left"/>
      <w:pPr>
        <w:ind w:left="720" w:hanging="360"/>
      </w:pPr>
      <w:rPr>
        <w:rFonts w:cstheme="minorHAnsi"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086D5F"/>
    <w:multiLevelType w:val="multilevel"/>
    <w:tmpl w:val="042C8778"/>
    <w:lvl w:ilvl="0">
      <w:start w:val="1"/>
      <w:numFmt w:val="decimal"/>
      <w:pStyle w:val="FEU1"/>
      <w:lvlText w:val="%1.0"/>
      <w:lvlJc w:val="left"/>
      <w:pPr>
        <w:ind w:left="720" w:hanging="720"/>
      </w:pPr>
      <w:rPr>
        <w:rFonts w:hint="default"/>
      </w:rPr>
    </w:lvl>
    <w:lvl w:ilvl="1">
      <w:start w:val="1"/>
      <w:numFmt w:val="decimal"/>
      <w:pStyle w:val="FEU2"/>
      <w:lvlText w:val="%1.%2"/>
      <w:lvlJc w:val="left"/>
      <w:pPr>
        <w:ind w:left="720" w:hanging="720"/>
      </w:pPr>
      <w:rPr>
        <w:rFonts w:hint="default"/>
      </w:rPr>
    </w:lvl>
    <w:lvl w:ilvl="2">
      <w:start w:val="1"/>
      <w:numFmt w:val="decimal"/>
      <w:pStyle w:val="FEU3"/>
      <w:lvlText w:val="%1.%2.%3"/>
      <w:lvlJc w:val="left"/>
      <w:pPr>
        <w:ind w:left="1440" w:hanging="1440"/>
      </w:pPr>
      <w:rPr>
        <w:rFonts w:hint="default"/>
      </w:rPr>
    </w:lvl>
    <w:lvl w:ilvl="3">
      <w:start w:val="1"/>
      <w:numFmt w:val="decimal"/>
      <w:pStyle w:val="FEU4"/>
      <w:lvlText w:val="%1.%2.%3.%4"/>
      <w:lvlJc w:val="left"/>
      <w:pPr>
        <w:ind w:left="1440" w:hanging="14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DDB7DC3"/>
    <w:multiLevelType w:val="hybridMultilevel"/>
    <w:tmpl w:val="CD6A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2"/>
  </w:num>
  <w:num w:numId="5">
    <w:abstractNumId w:val="9"/>
  </w:num>
  <w:num w:numId="6">
    <w:abstractNumId w:val="4"/>
  </w:num>
  <w:num w:numId="7">
    <w:abstractNumId w:val="0"/>
  </w:num>
  <w:num w:numId="8">
    <w:abstractNumId w:val="7"/>
  </w:num>
  <w:num w:numId="9">
    <w:abstractNumId w:val="1"/>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19F"/>
    <w:rsid w:val="0000007A"/>
    <w:rsid w:val="0000411F"/>
    <w:rsid w:val="0000788B"/>
    <w:rsid w:val="000078E0"/>
    <w:rsid w:val="00011476"/>
    <w:rsid w:val="0002138C"/>
    <w:rsid w:val="0002616E"/>
    <w:rsid w:val="00030D84"/>
    <w:rsid w:val="00031BD9"/>
    <w:rsid w:val="00037FC0"/>
    <w:rsid w:val="00040624"/>
    <w:rsid w:val="00045470"/>
    <w:rsid w:val="00046CC3"/>
    <w:rsid w:val="0004709B"/>
    <w:rsid w:val="000566D5"/>
    <w:rsid w:val="000578EA"/>
    <w:rsid w:val="00065101"/>
    <w:rsid w:val="00065527"/>
    <w:rsid w:val="00067959"/>
    <w:rsid w:val="00071B87"/>
    <w:rsid w:val="0007457B"/>
    <w:rsid w:val="000953B2"/>
    <w:rsid w:val="00096DA7"/>
    <w:rsid w:val="000A20FB"/>
    <w:rsid w:val="000A28B9"/>
    <w:rsid w:val="000A4669"/>
    <w:rsid w:val="000A7004"/>
    <w:rsid w:val="000B38CC"/>
    <w:rsid w:val="000B398D"/>
    <w:rsid w:val="000B775A"/>
    <w:rsid w:val="000C2BC8"/>
    <w:rsid w:val="000D1095"/>
    <w:rsid w:val="000D1C3A"/>
    <w:rsid w:val="000D209E"/>
    <w:rsid w:val="000D3CEB"/>
    <w:rsid w:val="000D4ADF"/>
    <w:rsid w:val="000D4E24"/>
    <w:rsid w:val="000D5D34"/>
    <w:rsid w:val="000E065F"/>
    <w:rsid w:val="000E21C1"/>
    <w:rsid w:val="000E2B0B"/>
    <w:rsid w:val="000E3832"/>
    <w:rsid w:val="000E383C"/>
    <w:rsid w:val="000E5CE1"/>
    <w:rsid w:val="000E61CF"/>
    <w:rsid w:val="000E7250"/>
    <w:rsid w:val="001006B9"/>
    <w:rsid w:val="001027DB"/>
    <w:rsid w:val="00103613"/>
    <w:rsid w:val="00104D83"/>
    <w:rsid w:val="001145D9"/>
    <w:rsid w:val="00120342"/>
    <w:rsid w:val="00120BB3"/>
    <w:rsid w:val="001224D9"/>
    <w:rsid w:val="00124353"/>
    <w:rsid w:val="001262DB"/>
    <w:rsid w:val="00127DB3"/>
    <w:rsid w:val="00132F1C"/>
    <w:rsid w:val="00133B4D"/>
    <w:rsid w:val="00134CA4"/>
    <w:rsid w:val="00140922"/>
    <w:rsid w:val="00141976"/>
    <w:rsid w:val="00143F03"/>
    <w:rsid w:val="0015122F"/>
    <w:rsid w:val="00151E32"/>
    <w:rsid w:val="001528CD"/>
    <w:rsid w:val="00154A01"/>
    <w:rsid w:val="00155912"/>
    <w:rsid w:val="001560E3"/>
    <w:rsid w:val="00164E77"/>
    <w:rsid w:val="00172CB1"/>
    <w:rsid w:val="0017435D"/>
    <w:rsid w:val="0017634C"/>
    <w:rsid w:val="00182C5D"/>
    <w:rsid w:val="001920A1"/>
    <w:rsid w:val="0019219D"/>
    <w:rsid w:val="00192FAD"/>
    <w:rsid w:val="00194734"/>
    <w:rsid w:val="001A03EB"/>
    <w:rsid w:val="001A279B"/>
    <w:rsid w:val="001A28E8"/>
    <w:rsid w:val="001A6212"/>
    <w:rsid w:val="001B0F15"/>
    <w:rsid w:val="001B457F"/>
    <w:rsid w:val="001B4A6A"/>
    <w:rsid w:val="001B71B7"/>
    <w:rsid w:val="001B78AD"/>
    <w:rsid w:val="001C11BD"/>
    <w:rsid w:val="001C19E1"/>
    <w:rsid w:val="001C1A2A"/>
    <w:rsid w:val="001C2307"/>
    <w:rsid w:val="001C3E0E"/>
    <w:rsid w:val="001D0D87"/>
    <w:rsid w:val="001D19B9"/>
    <w:rsid w:val="001D2009"/>
    <w:rsid w:val="001D5223"/>
    <w:rsid w:val="001E0045"/>
    <w:rsid w:val="001E0999"/>
    <w:rsid w:val="001E3BB1"/>
    <w:rsid w:val="001E4067"/>
    <w:rsid w:val="001F05C4"/>
    <w:rsid w:val="001F076B"/>
    <w:rsid w:val="001F3DC2"/>
    <w:rsid w:val="001F4796"/>
    <w:rsid w:val="001F67F2"/>
    <w:rsid w:val="001F7793"/>
    <w:rsid w:val="00200D26"/>
    <w:rsid w:val="002076A4"/>
    <w:rsid w:val="0021006D"/>
    <w:rsid w:val="0021028E"/>
    <w:rsid w:val="002156D1"/>
    <w:rsid w:val="00216929"/>
    <w:rsid w:val="00217156"/>
    <w:rsid w:val="00222ADF"/>
    <w:rsid w:val="002240ED"/>
    <w:rsid w:val="00224D78"/>
    <w:rsid w:val="00226F12"/>
    <w:rsid w:val="002278E4"/>
    <w:rsid w:val="00227FD0"/>
    <w:rsid w:val="00231162"/>
    <w:rsid w:val="002355FD"/>
    <w:rsid w:val="00235EB9"/>
    <w:rsid w:val="00245CC0"/>
    <w:rsid w:val="002467ED"/>
    <w:rsid w:val="00252D85"/>
    <w:rsid w:val="00253FC7"/>
    <w:rsid w:val="002618CA"/>
    <w:rsid w:val="002672FA"/>
    <w:rsid w:val="00282BC6"/>
    <w:rsid w:val="00283CF1"/>
    <w:rsid w:val="00283D54"/>
    <w:rsid w:val="00284634"/>
    <w:rsid w:val="00284C15"/>
    <w:rsid w:val="00286373"/>
    <w:rsid w:val="00287A13"/>
    <w:rsid w:val="00293A74"/>
    <w:rsid w:val="00295913"/>
    <w:rsid w:val="002961E2"/>
    <w:rsid w:val="00297B4D"/>
    <w:rsid w:val="002A2AB0"/>
    <w:rsid w:val="002A4357"/>
    <w:rsid w:val="002A5CEA"/>
    <w:rsid w:val="002A7FDF"/>
    <w:rsid w:val="002B06C4"/>
    <w:rsid w:val="002B0998"/>
    <w:rsid w:val="002B14EC"/>
    <w:rsid w:val="002B2B82"/>
    <w:rsid w:val="002B3389"/>
    <w:rsid w:val="002B6F94"/>
    <w:rsid w:val="002C084F"/>
    <w:rsid w:val="002C3AB6"/>
    <w:rsid w:val="002C5938"/>
    <w:rsid w:val="002D099B"/>
    <w:rsid w:val="002D1FB5"/>
    <w:rsid w:val="002D4507"/>
    <w:rsid w:val="002E2393"/>
    <w:rsid w:val="002E5389"/>
    <w:rsid w:val="002E700B"/>
    <w:rsid w:val="002F1986"/>
    <w:rsid w:val="002F1B98"/>
    <w:rsid w:val="00300595"/>
    <w:rsid w:val="00302A62"/>
    <w:rsid w:val="0030310C"/>
    <w:rsid w:val="0030395D"/>
    <w:rsid w:val="00304B23"/>
    <w:rsid w:val="00305B8C"/>
    <w:rsid w:val="00311349"/>
    <w:rsid w:val="00316FAF"/>
    <w:rsid w:val="003227E4"/>
    <w:rsid w:val="00322C86"/>
    <w:rsid w:val="003231FC"/>
    <w:rsid w:val="00326B33"/>
    <w:rsid w:val="00330F98"/>
    <w:rsid w:val="00331544"/>
    <w:rsid w:val="003345C0"/>
    <w:rsid w:val="00341B5B"/>
    <w:rsid w:val="00341D61"/>
    <w:rsid w:val="00342E78"/>
    <w:rsid w:val="00343E4F"/>
    <w:rsid w:val="00354785"/>
    <w:rsid w:val="00354F3D"/>
    <w:rsid w:val="00355D01"/>
    <w:rsid w:val="00363D47"/>
    <w:rsid w:val="00372B16"/>
    <w:rsid w:val="00380ADE"/>
    <w:rsid w:val="00381778"/>
    <w:rsid w:val="00381827"/>
    <w:rsid w:val="00384433"/>
    <w:rsid w:val="00386CB8"/>
    <w:rsid w:val="003922B6"/>
    <w:rsid w:val="0039339B"/>
    <w:rsid w:val="00396AAF"/>
    <w:rsid w:val="003A0467"/>
    <w:rsid w:val="003A0DFC"/>
    <w:rsid w:val="003A21CE"/>
    <w:rsid w:val="003A3AD1"/>
    <w:rsid w:val="003A42A5"/>
    <w:rsid w:val="003A5429"/>
    <w:rsid w:val="003A57BB"/>
    <w:rsid w:val="003A6701"/>
    <w:rsid w:val="003A69E5"/>
    <w:rsid w:val="003B07C4"/>
    <w:rsid w:val="003B0F38"/>
    <w:rsid w:val="003B13BE"/>
    <w:rsid w:val="003B1C18"/>
    <w:rsid w:val="003B3BA4"/>
    <w:rsid w:val="003B684B"/>
    <w:rsid w:val="003C18BB"/>
    <w:rsid w:val="003C3AC4"/>
    <w:rsid w:val="003C6DF3"/>
    <w:rsid w:val="003D235F"/>
    <w:rsid w:val="003D329D"/>
    <w:rsid w:val="003D4206"/>
    <w:rsid w:val="003D6DDC"/>
    <w:rsid w:val="003D77BE"/>
    <w:rsid w:val="003E12AE"/>
    <w:rsid w:val="003E4071"/>
    <w:rsid w:val="003E4BAA"/>
    <w:rsid w:val="003F0D6D"/>
    <w:rsid w:val="003F40F4"/>
    <w:rsid w:val="0040169C"/>
    <w:rsid w:val="00402E81"/>
    <w:rsid w:val="00407AD4"/>
    <w:rsid w:val="004100F3"/>
    <w:rsid w:val="00410524"/>
    <w:rsid w:val="00410DB3"/>
    <w:rsid w:val="00413FC9"/>
    <w:rsid w:val="0041496D"/>
    <w:rsid w:val="00416134"/>
    <w:rsid w:val="0042260C"/>
    <w:rsid w:val="0042553C"/>
    <w:rsid w:val="00432195"/>
    <w:rsid w:val="00435DAA"/>
    <w:rsid w:val="0044285B"/>
    <w:rsid w:val="004429EE"/>
    <w:rsid w:val="00445DD9"/>
    <w:rsid w:val="00447D2D"/>
    <w:rsid w:val="00450802"/>
    <w:rsid w:val="00453A53"/>
    <w:rsid w:val="004604D5"/>
    <w:rsid w:val="00466168"/>
    <w:rsid w:val="004661F7"/>
    <w:rsid w:val="00466C17"/>
    <w:rsid w:val="00467A72"/>
    <w:rsid w:val="00472D84"/>
    <w:rsid w:val="004737F8"/>
    <w:rsid w:val="004811FD"/>
    <w:rsid w:val="00493433"/>
    <w:rsid w:val="0049369A"/>
    <w:rsid w:val="0049502F"/>
    <w:rsid w:val="0049683C"/>
    <w:rsid w:val="004A0B8F"/>
    <w:rsid w:val="004A77BD"/>
    <w:rsid w:val="004B1833"/>
    <w:rsid w:val="004B20DE"/>
    <w:rsid w:val="004B7688"/>
    <w:rsid w:val="004C1018"/>
    <w:rsid w:val="004C4692"/>
    <w:rsid w:val="004C50EE"/>
    <w:rsid w:val="004C582D"/>
    <w:rsid w:val="004D29D1"/>
    <w:rsid w:val="004E16B7"/>
    <w:rsid w:val="004E2127"/>
    <w:rsid w:val="004F0A94"/>
    <w:rsid w:val="004F58FD"/>
    <w:rsid w:val="004F726F"/>
    <w:rsid w:val="004F7FF3"/>
    <w:rsid w:val="00502EF8"/>
    <w:rsid w:val="00504ADE"/>
    <w:rsid w:val="00504BDF"/>
    <w:rsid w:val="00507D83"/>
    <w:rsid w:val="0051020D"/>
    <w:rsid w:val="0051116A"/>
    <w:rsid w:val="00511851"/>
    <w:rsid w:val="00511BCF"/>
    <w:rsid w:val="0051721F"/>
    <w:rsid w:val="005255B4"/>
    <w:rsid w:val="00530378"/>
    <w:rsid w:val="005343B9"/>
    <w:rsid w:val="00534946"/>
    <w:rsid w:val="00535B07"/>
    <w:rsid w:val="00537EA0"/>
    <w:rsid w:val="00545A4A"/>
    <w:rsid w:val="005466C9"/>
    <w:rsid w:val="00546F8F"/>
    <w:rsid w:val="00552492"/>
    <w:rsid w:val="005544FE"/>
    <w:rsid w:val="0055582C"/>
    <w:rsid w:val="0055601D"/>
    <w:rsid w:val="0056015F"/>
    <w:rsid w:val="00567F2A"/>
    <w:rsid w:val="00570A47"/>
    <w:rsid w:val="00577E1D"/>
    <w:rsid w:val="00581537"/>
    <w:rsid w:val="0058172D"/>
    <w:rsid w:val="00585A04"/>
    <w:rsid w:val="00585CA7"/>
    <w:rsid w:val="00587B16"/>
    <w:rsid w:val="00595B3F"/>
    <w:rsid w:val="00597B0A"/>
    <w:rsid w:val="005A150F"/>
    <w:rsid w:val="005A1672"/>
    <w:rsid w:val="005A1700"/>
    <w:rsid w:val="005A209D"/>
    <w:rsid w:val="005A419F"/>
    <w:rsid w:val="005A4515"/>
    <w:rsid w:val="005A4C9C"/>
    <w:rsid w:val="005A67A7"/>
    <w:rsid w:val="005B0276"/>
    <w:rsid w:val="005B0B5B"/>
    <w:rsid w:val="005B0F77"/>
    <w:rsid w:val="005B1BAE"/>
    <w:rsid w:val="005B3C2D"/>
    <w:rsid w:val="005B432E"/>
    <w:rsid w:val="005B5713"/>
    <w:rsid w:val="005B5FEC"/>
    <w:rsid w:val="005C392A"/>
    <w:rsid w:val="005C4AC5"/>
    <w:rsid w:val="005C7DF2"/>
    <w:rsid w:val="005D0786"/>
    <w:rsid w:val="005D0F4F"/>
    <w:rsid w:val="005D19A5"/>
    <w:rsid w:val="005D34B8"/>
    <w:rsid w:val="005D4F91"/>
    <w:rsid w:val="005E0ECF"/>
    <w:rsid w:val="005E2D22"/>
    <w:rsid w:val="005E3099"/>
    <w:rsid w:val="005E3390"/>
    <w:rsid w:val="005E57F2"/>
    <w:rsid w:val="005E5B36"/>
    <w:rsid w:val="005E5E06"/>
    <w:rsid w:val="005E61DF"/>
    <w:rsid w:val="005E72A4"/>
    <w:rsid w:val="005F47CC"/>
    <w:rsid w:val="005F5052"/>
    <w:rsid w:val="005F5F7B"/>
    <w:rsid w:val="006005AC"/>
    <w:rsid w:val="00603EEC"/>
    <w:rsid w:val="00604CDC"/>
    <w:rsid w:val="0060571C"/>
    <w:rsid w:val="00606271"/>
    <w:rsid w:val="006102CC"/>
    <w:rsid w:val="006112B7"/>
    <w:rsid w:val="00616AE4"/>
    <w:rsid w:val="0062004A"/>
    <w:rsid w:val="0062037A"/>
    <w:rsid w:val="00623712"/>
    <w:rsid w:val="0062402E"/>
    <w:rsid w:val="0062574C"/>
    <w:rsid w:val="006404F4"/>
    <w:rsid w:val="00642930"/>
    <w:rsid w:val="006512F7"/>
    <w:rsid w:val="00654F5D"/>
    <w:rsid w:val="00664764"/>
    <w:rsid w:val="006657DB"/>
    <w:rsid w:val="00666857"/>
    <w:rsid w:val="006669BE"/>
    <w:rsid w:val="006701FE"/>
    <w:rsid w:val="00670CC6"/>
    <w:rsid w:val="0067130F"/>
    <w:rsid w:val="006715AC"/>
    <w:rsid w:val="006720AB"/>
    <w:rsid w:val="00673234"/>
    <w:rsid w:val="006748BA"/>
    <w:rsid w:val="006752D8"/>
    <w:rsid w:val="0067585C"/>
    <w:rsid w:val="00676373"/>
    <w:rsid w:val="006771E6"/>
    <w:rsid w:val="0068226F"/>
    <w:rsid w:val="006824DC"/>
    <w:rsid w:val="006832EF"/>
    <w:rsid w:val="006833AF"/>
    <w:rsid w:val="006923C3"/>
    <w:rsid w:val="00694373"/>
    <w:rsid w:val="00695247"/>
    <w:rsid w:val="006A0792"/>
    <w:rsid w:val="006A1433"/>
    <w:rsid w:val="006A4E88"/>
    <w:rsid w:val="006A4FDA"/>
    <w:rsid w:val="006A6C1F"/>
    <w:rsid w:val="006B19B9"/>
    <w:rsid w:val="006B1BCF"/>
    <w:rsid w:val="006B7FAA"/>
    <w:rsid w:val="006C1B99"/>
    <w:rsid w:val="006C2736"/>
    <w:rsid w:val="006C62B3"/>
    <w:rsid w:val="006C6398"/>
    <w:rsid w:val="006D09C4"/>
    <w:rsid w:val="006D194A"/>
    <w:rsid w:val="006D670A"/>
    <w:rsid w:val="006E0CD4"/>
    <w:rsid w:val="006E13BE"/>
    <w:rsid w:val="006F0957"/>
    <w:rsid w:val="006F0991"/>
    <w:rsid w:val="006F2158"/>
    <w:rsid w:val="006F78BC"/>
    <w:rsid w:val="00701301"/>
    <w:rsid w:val="00701EC3"/>
    <w:rsid w:val="00703BD0"/>
    <w:rsid w:val="00704160"/>
    <w:rsid w:val="0071018B"/>
    <w:rsid w:val="00710644"/>
    <w:rsid w:val="0071072B"/>
    <w:rsid w:val="00710CC8"/>
    <w:rsid w:val="00713AA5"/>
    <w:rsid w:val="00714A7D"/>
    <w:rsid w:val="007225C7"/>
    <w:rsid w:val="00722DDF"/>
    <w:rsid w:val="00725232"/>
    <w:rsid w:val="00734CA7"/>
    <w:rsid w:val="00736CCB"/>
    <w:rsid w:val="00737F49"/>
    <w:rsid w:val="007411B5"/>
    <w:rsid w:val="007505C7"/>
    <w:rsid w:val="00757C5E"/>
    <w:rsid w:val="007635A6"/>
    <w:rsid w:val="00763744"/>
    <w:rsid w:val="00773A91"/>
    <w:rsid w:val="00775A37"/>
    <w:rsid w:val="00775DFE"/>
    <w:rsid w:val="007810EA"/>
    <w:rsid w:val="00781C0D"/>
    <w:rsid w:val="00782045"/>
    <w:rsid w:val="00790BD4"/>
    <w:rsid w:val="00794A17"/>
    <w:rsid w:val="00796990"/>
    <w:rsid w:val="007A1145"/>
    <w:rsid w:val="007A3BEA"/>
    <w:rsid w:val="007A4E8A"/>
    <w:rsid w:val="007A6579"/>
    <w:rsid w:val="007B0921"/>
    <w:rsid w:val="007C36F7"/>
    <w:rsid w:val="007C5017"/>
    <w:rsid w:val="007C6D1D"/>
    <w:rsid w:val="007D07D9"/>
    <w:rsid w:val="007D1F86"/>
    <w:rsid w:val="007D2AB5"/>
    <w:rsid w:val="007D3680"/>
    <w:rsid w:val="007D7010"/>
    <w:rsid w:val="007E00F3"/>
    <w:rsid w:val="007E1C6D"/>
    <w:rsid w:val="007E494C"/>
    <w:rsid w:val="007F007A"/>
    <w:rsid w:val="007F00FD"/>
    <w:rsid w:val="007F176C"/>
    <w:rsid w:val="007F46F6"/>
    <w:rsid w:val="007F4720"/>
    <w:rsid w:val="007F59A2"/>
    <w:rsid w:val="00802C1A"/>
    <w:rsid w:val="00803AFF"/>
    <w:rsid w:val="00804A4D"/>
    <w:rsid w:val="00807E77"/>
    <w:rsid w:val="008127D8"/>
    <w:rsid w:val="00815EDF"/>
    <w:rsid w:val="00816362"/>
    <w:rsid w:val="00823330"/>
    <w:rsid w:val="00823B49"/>
    <w:rsid w:val="00824979"/>
    <w:rsid w:val="00826DFF"/>
    <w:rsid w:val="008374FE"/>
    <w:rsid w:val="00844E7F"/>
    <w:rsid w:val="00846FD9"/>
    <w:rsid w:val="0084715C"/>
    <w:rsid w:val="00847DAF"/>
    <w:rsid w:val="00856B20"/>
    <w:rsid w:val="00856CEE"/>
    <w:rsid w:val="0085746B"/>
    <w:rsid w:val="0085782E"/>
    <w:rsid w:val="008606D4"/>
    <w:rsid w:val="00862995"/>
    <w:rsid w:val="00862BDB"/>
    <w:rsid w:val="0086506D"/>
    <w:rsid w:val="0086674C"/>
    <w:rsid w:val="00875781"/>
    <w:rsid w:val="00882952"/>
    <w:rsid w:val="0088472E"/>
    <w:rsid w:val="00884C76"/>
    <w:rsid w:val="0088535C"/>
    <w:rsid w:val="008874F8"/>
    <w:rsid w:val="00887824"/>
    <w:rsid w:val="00887961"/>
    <w:rsid w:val="008900AE"/>
    <w:rsid w:val="00890F64"/>
    <w:rsid w:val="00891425"/>
    <w:rsid w:val="00893F34"/>
    <w:rsid w:val="008A261F"/>
    <w:rsid w:val="008A6AD8"/>
    <w:rsid w:val="008B2921"/>
    <w:rsid w:val="008B44DB"/>
    <w:rsid w:val="008B7F39"/>
    <w:rsid w:val="008C12B1"/>
    <w:rsid w:val="008C1691"/>
    <w:rsid w:val="008C1818"/>
    <w:rsid w:val="008C25E5"/>
    <w:rsid w:val="008C303C"/>
    <w:rsid w:val="008C3D6D"/>
    <w:rsid w:val="008C42BE"/>
    <w:rsid w:val="008D3709"/>
    <w:rsid w:val="008D4AD0"/>
    <w:rsid w:val="008D6AB6"/>
    <w:rsid w:val="008E49DF"/>
    <w:rsid w:val="008E4C53"/>
    <w:rsid w:val="008F02B5"/>
    <w:rsid w:val="008F0561"/>
    <w:rsid w:val="008F7C5E"/>
    <w:rsid w:val="00903F1E"/>
    <w:rsid w:val="0090458A"/>
    <w:rsid w:val="00906B47"/>
    <w:rsid w:val="009110F2"/>
    <w:rsid w:val="00925033"/>
    <w:rsid w:val="00936BAB"/>
    <w:rsid w:val="00942944"/>
    <w:rsid w:val="00951D8C"/>
    <w:rsid w:val="0095446E"/>
    <w:rsid w:val="0095519F"/>
    <w:rsid w:val="00955825"/>
    <w:rsid w:val="00961E55"/>
    <w:rsid w:val="0096476A"/>
    <w:rsid w:val="0097097C"/>
    <w:rsid w:val="00972C5B"/>
    <w:rsid w:val="00972D9D"/>
    <w:rsid w:val="0097397C"/>
    <w:rsid w:val="0097773F"/>
    <w:rsid w:val="00980ABB"/>
    <w:rsid w:val="00981254"/>
    <w:rsid w:val="009838FA"/>
    <w:rsid w:val="00984955"/>
    <w:rsid w:val="00987EB4"/>
    <w:rsid w:val="00997A8D"/>
    <w:rsid w:val="009A0F01"/>
    <w:rsid w:val="009A1917"/>
    <w:rsid w:val="009A3071"/>
    <w:rsid w:val="009B00E8"/>
    <w:rsid w:val="009B0211"/>
    <w:rsid w:val="009B32AE"/>
    <w:rsid w:val="009B33BD"/>
    <w:rsid w:val="009B3FE5"/>
    <w:rsid w:val="009B6B13"/>
    <w:rsid w:val="009C103B"/>
    <w:rsid w:val="009C1892"/>
    <w:rsid w:val="009C3C57"/>
    <w:rsid w:val="009C79C2"/>
    <w:rsid w:val="009D15CE"/>
    <w:rsid w:val="009D3329"/>
    <w:rsid w:val="009E0384"/>
    <w:rsid w:val="009E1909"/>
    <w:rsid w:val="009F5C5B"/>
    <w:rsid w:val="00A00D87"/>
    <w:rsid w:val="00A02A9A"/>
    <w:rsid w:val="00A0734B"/>
    <w:rsid w:val="00A11AFE"/>
    <w:rsid w:val="00A11BE9"/>
    <w:rsid w:val="00A125D7"/>
    <w:rsid w:val="00A1524C"/>
    <w:rsid w:val="00A17B0E"/>
    <w:rsid w:val="00A20F75"/>
    <w:rsid w:val="00A32B7A"/>
    <w:rsid w:val="00A336FB"/>
    <w:rsid w:val="00A3645C"/>
    <w:rsid w:val="00A36982"/>
    <w:rsid w:val="00A42E64"/>
    <w:rsid w:val="00A4421F"/>
    <w:rsid w:val="00A53A5D"/>
    <w:rsid w:val="00A5469F"/>
    <w:rsid w:val="00A54757"/>
    <w:rsid w:val="00A54C5A"/>
    <w:rsid w:val="00A55372"/>
    <w:rsid w:val="00A5581F"/>
    <w:rsid w:val="00A67840"/>
    <w:rsid w:val="00A71C2F"/>
    <w:rsid w:val="00A736BA"/>
    <w:rsid w:val="00A870AB"/>
    <w:rsid w:val="00A9590F"/>
    <w:rsid w:val="00AA2637"/>
    <w:rsid w:val="00AA4948"/>
    <w:rsid w:val="00AA5D9D"/>
    <w:rsid w:val="00AA69BB"/>
    <w:rsid w:val="00AA6E05"/>
    <w:rsid w:val="00AB5278"/>
    <w:rsid w:val="00AB5744"/>
    <w:rsid w:val="00AC3995"/>
    <w:rsid w:val="00AC6527"/>
    <w:rsid w:val="00AD01E2"/>
    <w:rsid w:val="00AD77E0"/>
    <w:rsid w:val="00AE18E6"/>
    <w:rsid w:val="00AE27E7"/>
    <w:rsid w:val="00AF2112"/>
    <w:rsid w:val="00AF36EB"/>
    <w:rsid w:val="00AF3B94"/>
    <w:rsid w:val="00AF3C1D"/>
    <w:rsid w:val="00AF79D9"/>
    <w:rsid w:val="00B02722"/>
    <w:rsid w:val="00B02DA6"/>
    <w:rsid w:val="00B0433A"/>
    <w:rsid w:val="00B045D1"/>
    <w:rsid w:val="00B054AE"/>
    <w:rsid w:val="00B05523"/>
    <w:rsid w:val="00B10E2A"/>
    <w:rsid w:val="00B13D9A"/>
    <w:rsid w:val="00B145E8"/>
    <w:rsid w:val="00B17C24"/>
    <w:rsid w:val="00B227BE"/>
    <w:rsid w:val="00B22946"/>
    <w:rsid w:val="00B321AD"/>
    <w:rsid w:val="00B3295E"/>
    <w:rsid w:val="00B34233"/>
    <w:rsid w:val="00B343E3"/>
    <w:rsid w:val="00B34772"/>
    <w:rsid w:val="00B34E31"/>
    <w:rsid w:val="00B36801"/>
    <w:rsid w:val="00B40B41"/>
    <w:rsid w:val="00B42B6B"/>
    <w:rsid w:val="00B42DAD"/>
    <w:rsid w:val="00B459B9"/>
    <w:rsid w:val="00B476C7"/>
    <w:rsid w:val="00B47B85"/>
    <w:rsid w:val="00B50014"/>
    <w:rsid w:val="00B50DBE"/>
    <w:rsid w:val="00B53345"/>
    <w:rsid w:val="00B5455D"/>
    <w:rsid w:val="00B558D9"/>
    <w:rsid w:val="00B57777"/>
    <w:rsid w:val="00B61490"/>
    <w:rsid w:val="00B61BCA"/>
    <w:rsid w:val="00B675A4"/>
    <w:rsid w:val="00B71AE0"/>
    <w:rsid w:val="00B72B67"/>
    <w:rsid w:val="00B733F7"/>
    <w:rsid w:val="00B75523"/>
    <w:rsid w:val="00B82CE8"/>
    <w:rsid w:val="00B91A41"/>
    <w:rsid w:val="00B93088"/>
    <w:rsid w:val="00B94EEF"/>
    <w:rsid w:val="00BA0917"/>
    <w:rsid w:val="00BA4314"/>
    <w:rsid w:val="00BB0958"/>
    <w:rsid w:val="00BB1522"/>
    <w:rsid w:val="00BB2A16"/>
    <w:rsid w:val="00BB6921"/>
    <w:rsid w:val="00BB6A30"/>
    <w:rsid w:val="00BB76DB"/>
    <w:rsid w:val="00BB78C5"/>
    <w:rsid w:val="00BB7A74"/>
    <w:rsid w:val="00BC01BA"/>
    <w:rsid w:val="00BC2237"/>
    <w:rsid w:val="00BC3298"/>
    <w:rsid w:val="00BC3EE1"/>
    <w:rsid w:val="00BC41FC"/>
    <w:rsid w:val="00BC6D0C"/>
    <w:rsid w:val="00BD6144"/>
    <w:rsid w:val="00BD7D40"/>
    <w:rsid w:val="00BE24CB"/>
    <w:rsid w:val="00BE2D48"/>
    <w:rsid w:val="00BF0FEB"/>
    <w:rsid w:val="00BF20B1"/>
    <w:rsid w:val="00BF24EA"/>
    <w:rsid w:val="00BF3475"/>
    <w:rsid w:val="00C00111"/>
    <w:rsid w:val="00C067D7"/>
    <w:rsid w:val="00C155E8"/>
    <w:rsid w:val="00C167C1"/>
    <w:rsid w:val="00C20AEB"/>
    <w:rsid w:val="00C22DCF"/>
    <w:rsid w:val="00C25D73"/>
    <w:rsid w:val="00C3002A"/>
    <w:rsid w:val="00C30861"/>
    <w:rsid w:val="00C32C91"/>
    <w:rsid w:val="00C3663A"/>
    <w:rsid w:val="00C375F3"/>
    <w:rsid w:val="00C37748"/>
    <w:rsid w:val="00C46CEB"/>
    <w:rsid w:val="00C472A0"/>
    <w:rsid w:val="00C50E53"/>
    <w:rsid w:val="00C51022"/>
    <w:rsid w:val="00C52141"/>
    <w:rsid w:val="00C56744"/>
    <w:rsid w:val="00C655C9"/>
    <w:rsid w:val="00C675A1"/>
    <w:rsid w:val="00C71631"/>
    <w:rsid w:val="00C74012"/>
    <w:rsid w:val="00C744CB"/>
    <w:rsid w:val="00C749E8"/>
    <w:rsid w:val="00C82493"/>
    <w:rsid w:val="00C82A09"/>
    <w:rsid w:val="00C83347"/>
    <w:rsid w:val="00C8408F"/>
    <w:rsid w:val="00C85774"/>
    <w:rsid w:val="00C87235"/>
    <w:rsid w:val="00C917FC"/>
    <w:rsid w:val="00C91915"/>
    <w:rsid w:val="00CA0C7C"/>
    <w:rsid w:val="00CA394A"/>
    <w:rsid w:val="00CB2566"/>
    <w:rsid w:val="00CB2ED4"/>
    <w:rsid w:val="00CB42DF"/>
    <w:rsid w:val="00CB60ED"/>
    <w:rsid w:val="00CB6893"/>
    <w:rsid w:val="00CB7DF0"/>
    <w:rsid w:val="00CB7E8C"/>
    <w:rsid w:val="00CC4345"/>
    <w:rsid w:val="00CD3AE7"/>
    <w:rsid w:val="00CD3F22"/>
    <w:rsid w:val="00CD4738"/>
    <w:rsid w:val="00CD6002"/>
    <w:rsid w:val="00CD7CA3"/>
    <w:rsid w:val="00CE6785"/>
    <w:rsid w:val="00CF38A6"/>
    <w:rsid w:val="00D02023"/>
    <w:rsid w:val="00D02771"/>
    <w:rsid w:val="00D0340F"/>
    <w:rsid w:val="00D03818"/>
    <w:rsid w:val="00D03F86"/>
    <w:rsid w:val="00D04FA0"/>
    <w:rsid w:val="00D0730F"/>
    <w:rsid w:val="00D11586"/>
    <w:rsid w:val="00D13370"/>
    <w:rsid w:val="00D152E2"/>
    <w:rsid w:val="00D15BC4"/>
    <w:rsid w:val="00D23E8F"/>
    <w:rsid w:val="00D24D0D"/>
    <w:rsid w:val="00D252A8"/>
    <w:rsid w:val="00D25E52"/>
    <w:rsid w:val="00D26018"/>
    <w:rsid w:val="00D273C6"/>
    <w:rsid w:val="00D27B9F"/>
    <w:rsid w:val="00D35FFD"/>
    <w:rsid w:val="00D374C3"/>
    <w:rsid w:val="00D37747"/>
    <w:rsid w:val="00D4327B"/>
    <w:rsid w:val="00D52098"/>
    <w:rsid w:val="00D53D9E"/>
    <w:rsid w:val="00D5611A"/>
    <w:rsid w:val="00D61608"/>
    <w:rsid w:val="00D61F2F"/>
    <w:rsid w:val="00D64131"/>
    <w:rsid w:val="00D64C0C"/>
    <w:rsid w:val="00D65B81"/>
    <w:rsid w:val="00D65F46"/>
    <w:rsid w:val="00D75B70"/>
    <w:rsid w:val="00D80E97"/>
    <w:rsid w:val="00D85102"/>
    <w:rsid w:val="00D86458"/>
    <w:rsid w:val="00D86A77"/>
    <w:rsid w:val="00D87796"/>
    <w:rsid w:val="00D90D12"/>
    <w:rsid w:val="00D9602C"/>
    <w:rsid w:val="00D967B0"/>
    <w:rsid w:val="00DA1EB8"/>
    <w:rsid w:val="00DB5A13"/>
    <w:rsid w:val="00DC0920"/>
    <w:rsid w:val="00DC0A85"/>
    <w:rsid w:val="00DC26B7"/>
    <w:rsid w:val="00DC410E"/>
    <w:rsid w:val="00DC6578"/>
    <w:rsid w:val="00DC7D4B"/>
    <w:rsid w:val="00DD1707"/>
    <w:rsid w:val="00DD2058"/>
    <w:rsid w:val="00DD7384"/>
    <w:rsid w:val="00DE6647"/>
    <w:rsid w:val="00DF2F40"/>
    <w:rsid w:val="00DF37A6"/>
    <w:rsid w:val="00DF37EB"/>
    <w:rsid w:val="00E047F5"/>
    <w:rsid w:val="00E05949"/>
    <w:rsid w:val="00E05EA8"/>
    <w:rsid w:val="00E12399"/>
    <w:rsid w:val="00E13D7C"/>
    <w:rsid w:val="00E13EC0"/>
    <w:rsid w:val="00E14F92"/>
    <w:rsid w:val="00E2298A"/>
    <w:rsid w:val="00E2557C"/>
    <w:rsid w:val="00E26F36"/>
    <w:rsid w:val="00E27874"/>
    <w:rsid w:val="00E34769"/>
    <w:rsid w:val="00E34B4D"/>
    <w:rsid w:val="00E36BC5"/>
    <w:rsid w:val="00E40F46"/>
    <w:rsid w:val="00E426D6"/>
    <w:rsid w:val="00E43A70"/>
    <w:rsid w:val="00E4461F"/>
    <w:rsid w:val="00E47DF4"/>
    <w:rsid w:val="00E566D5"/>
    <w:rsid w:val="00E56968"/>
    <w:rsid w:val="00E63A4D"/>
    <w:rsid w:val="00E64AE9"/>
    <w:rsid w:val="00E66473"/>
    <w:rsid w:val="00E667F3"/>
    <w:rsid w:val="00E7254A"/>
    <w:rsid w:val="00E729EF"/>
    <w:rsid w:val="00E75AF2"/>
    <w:rsid w:val="00E8632C"/>
    <w:rsid w:val="00E863BC"/>
    <w:rsid w:val="00E8667E"/>
    <w:rsid w:val="00E91777"/>
    <w:rsid w:val="00E91F59"/>
    <w:rsid w:val="00E9200F"/>
    <w:rsid w:val="00E97CF5"/>
    <w:rsid w:val="00EA23F0"/>
    <w:rsid w:val="00EA26C7"/>
    <w:rsid w:val="00EA45C9"/>
    <w:rsid w:val="00EA5AED"/>
    <w:rsid w:val="00EB028F"/>
    <w:rsid w:val="00EB0C14"/>
    <w:rsid w:val="00EB6CA6"/>
    <w:rsid w:val="00EC3822"/>
    <w:rsid w:val="00EC5C63"/>
    <w:rsid w:val="00ED2FD5"/>
    <w:rsid w:val="00ED5F51"/>
    <w:rsid w:val="00ED6525"/>
    <w:rsid w:val="00EE0EC4"/>
    <w:rsid w:val="00EE0F85"/>
    <w:rsid w:val="00EE5729"/>
    <w:rsid w:val="00EE5761"/>
    <w:rsid w:val="00EE767E"/>
    <w:rsid w:val="00EE76F0"/>
    <w:rsid w:val="00EF4DD1"/>
    <w:rsid w:val="00F01F86"/>
    <w:rsid w:val="00F03BE8"/>
    <w:rsid w:val="00F13221"/>
    <w:rsid w:val="00F1383F"/>
    <w:rsid w:val="00F20AA1"/>
    <w:rsid w:val="00F22333"/>
    <w:rsid w:val="00F2246B"/>
    <w:rsid w:val="00F2332B"/>
    <w:rsid w:val="00F23DEE"/>
    <w:rsid w:val="00F25B2E"/>
    <w:rsid w:val="00F2762D"/>
    <w:rsid w:val="00F32C04"/>
    <w:rsid w:val="00F36618"/>
    <w:rsid w:val="00F369EF"/>
    <w:rsid w:val="00F40B1A"/>
    <w:rsid w:val="00F41C92"/>
    <w:rsid w:val="00F43005"/>
    <w:rsid w:val="00F4742D"/>
    <w:rsid w:val="00F5125D"/>
    <w:rsid w:val="00F54573"/>
    <w:rsid w:val="00F71A52"/>
    <w:rsid w:val="00F77BC1"/>
    <w:rsid w:val="00F8000D"/>
    <w:rsid w:val="00F832BE"/>
    <w:rsid w:val="00F83758"/>
    <w:rsid w:val="00F83FD2"/>
    <w:rsid w:val="00F9554B"/>
    <w:rsid w:val="00F95F96"/>
    <w:rsid w:val="00FA0C72"/>
    <w:rsid w:val="00FA0CC0"/>
    <w:rsid w:val="00FA338E"/>
    <w:rsid w:val="00FA604D"/>
    <w:rsid w:val="00FA73F7"/>
    <w:rsid w:val="00FB04AB"/>
    <w:rsid w:val="00FB4309"/>
    <w:rsid w:val="00FB472B"/>
    <w:rsid w:val="00FB5C2E"/>
    <w:rsid w:val="00FB721A"/>
    <w:rsid w:val="00FB77C0"/>
    <w:rsid w:val="00FC2C20"/>
    <w:rsid w:val="00FC4D8D"/>
    <w:rsid w:val="00FC7AD7"/>
    <w:rsid w:val="00FD1FC9"/>
    <w:rsid w:val="00FD5155"/>
    <w:rsid w:val="00FD5341"/>
    <w:rsid w:val="00FD655F"/>
    <w:rsid w:val="00FD714A"/>
    <w:rsid w:val="00FE76CA"/>
    <w:rsid w:val="00FF10E8"/>
    <w:rsid w:val="00FF3431"/>
    <w:rsid w:val="00FF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0ECC2A"/>
  <w15:docId w15:val="{E3949D8A-B840-414A-AF5A-CB6397AF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6D4"/>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U1">
    <w:name w:val="FEU1"/>
    <w:basedOn w:val="Normal"/>
    <w:qFormat/>
    <w:rsid w:val="00F43005"/>
    <w:pPr>
      <w:numPr>
        <w:numId w:val="1"/>
      </w:numPr>
      <w:spacing w:after="240"/>
    </w:pPr>
    <w:rPr>
      <w:rFonts w:ascii="Arial" w:hAnsi="Arial"/>
      <w:b/>
    </w:rPr>
  </w:style>
  <w:style w:type="paragraph" w:customStyle="1" w:styleId="FEU3">
    <w:name w:val="FEU3"/>
    <w:basedOn w:val="FEU2"/>
    <w:qFormat/>
    <w:rsid w:val="00F43005"/>
    <w:pPr>
      <w:numPr>
        <w:ilvl w:val="2"/>
      </w:numPr>
    </w:pPr>
    <w:rPr>
      <w:i/>
    </w:rPr>
  </w:style>
  <w:style w:type="paragraph" w:customStyle="1" w:styleId="FEU4">
    <w:name w:val="FEU4"/>
    <w:basedOn w:val="FEU3"/>
    <w:qFormat/>
    <w:rsid w:val="00F43005"/>
    <w:pPr>
      <w:numPr>
        <w:ilvl w:val="3"/>
      </w:numPr>
    </w:pPr>
    <w:rPr>
      <w:rFonts w:ascii="Arial" w:hAnsi="Arial"/>
      <w:b w:val="0"/>
      <w:i w:val="0"/>
    </w:rPr>
  </w:style>
  <w:style w:type="paragraph" w:customStyle="1" w:styleId="FEU2">
    <w:name w:val="FEU2"/>
    <w:basedOn w:val="FEU1"/>
    <w:qFormat/>
    <w:rsid w:val="00F43005"/>
    <w:pPr>
      <w:numPr>
        <w:ilvl w:val="1"/>
      </w:numPr>
    </w:pPr>
    <w:rPr>
      <w:rFonts w:ascii="Times New Roman" w:hAnsi="Times New Roman"/>
    </w:rPr>
  </w:style>
  <w:style w:type="table" w:styleId="TableGrid">
    <w:name w:val="Table Grid"/>
    <w:basedOn w:val="TableNormal"/>
    <w:uiPriority w:val="59"/>
    <w:rsid w:val="005A4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26F12"/>
    <w:pPr>
      <w:ind w:left="720"/>
      <w:contextualSpacing/>
    </w:pPr>
  </w:style>
  <w:style w:type="paragraph" w:styleId="Header">
    <w:name w:val="header"/>
    <w:basedOn w:val="Normal"/>
    <w:link w:val="HeaderChar"/>
    <w:uiPriority w:val="99"/>
    <w:unhideWhenUsed/>
    <w:rsid w:val="0051721F"/>
    <w:pPr>
      <w:tabs>
        <w:tab w:val="center" w:pos="4680"/>
        <w:tab w:val="right" w:pos="9360"/>
      </w:tabs>
    </w:pPr>
  </w:style>
  <w:style w:type="character" w:customStyle="1" w:styleId="HeaderChar">
    <w:name w:val="Header Char"/>
    <w:basedOn w:val="DefaultParagraphFont"/>
    <w:link w:val="Header"/>
    <w:uiPriority w:val="99"/>
    <w:rsid w:val="0051721F"/>
    <w:rPr>
      <w:rFonts w:ascii="Times New Roman" w:hAnsi="Times New Roman" w:cs="Times New Roman"/>
      <w:sz w:val="24"/>
    </w:rPr>
  </w:style>
  <w:style w:type="paragraph" w:styleId="Footer">
    <w:name w:val="footer"/>
    <w:basedOn w:val="Normal"/>
    <w:link w:val="FooterChar"/>
    <w:uiPriority w:val="99"/>
    <w:unhideWhenUsed/>
    <w:rsid w:val="0051721F"/>
    <w:pPr>
      <w:tabs>
        <w:tab w:val="center" w:pos="4680"/>
        <w:tab w:val="right" w:pos="9360"/>
      </w:tabs>
    </w:pPr>
  </w:style>
  <w:style w:type="character" w:customStyle="1" w:styleId="FooterChar">
    <w:name w:val="Footer Char"/>
    <w:basedOn w:val="DefaultParagraphFont"/>
    <w:link w:val="Footer"/>
    <w:uiPriority w:val="99"/>
    <w:rsid w:val="0051721F"/>
    <w:rPr>
      <w:rFonts w:ascii="Times New Roman" w:hAnsi="Times New Roman" w:cs="Times New Roman"/>
      <w:sz w:val="24"/>
    </w:rPr>
  </w:style>
  <w:style w:type="character" w:styleId="Hyperlink">
    <w:name w:val="Hyperlink"/>
    <w:basedOn w:val="DefaultParagraphFont"/>
    <w:uiPriority w:val="99"/>
    <w:unhideWhenUsed/>
    <w:rsid w:val="000953B2"/>
    <w:rPr>
      <w:color w:val="0000FF"/>
      <w:u w:val="single"/>
    </w:rPr>
  </w:style>
  <w:style w:type="character" w:styleId="CommentReference">
    <w:name w:val="annotation reference"/>
    <w:basedOn w:val="DefaultParagraphFont"/>
    <w:uiPriority w:val="99"/>
    <w:semiHidden/>
    <w:unhideWhenUsed/>
    <w:rsid w:val="000953B2"/>
    <w:rPr>
      <w:sz w:val="16"/>
      <w:szCs w:val="16"/>
    </w:rPr>
  </w:style>
  <w:style w:type="paragraph" w:styleId="CommentText">
    <w:name w:val="annotation text"/>
    <w:basedOn w:val="Normal"/>
    <w:link w:val="CommentTextChar"/>
    <w:uiPriority w:val="99"/>
    <w:unhideWhenUsed/>
    <w:rsid w:val="000953B2"/>
    <w:rPr>
      <w:rFonts w:eastAsia="Calibri"/>
      <w:sz w:val="20"/>
      <w:szCs w:val="20"/>
    </w:rPr>
  </w:style>
  <w:style w:type="character" w:customStyle="1" w:styleId="CommentTextChar">
    <w:name w:val="Comment Text Char"/>
    <w:basedOn w:val="DefaultParagraphFont"/>
    <w:link w:val="CommentText"/>
    <w:uiPriority w:val="99"/>
    <w:rsid w:val="000953B2"/>
    <w:rPr>
      <w:rFonts w:ascii="Times New Roman" w:eastAsia="Calibri" w:hAnsi="Times New Roman" w:cs="Times New Roman"/>
      <w:sz w:val="20"/>
      <w:szCs w:val="20"/>
    </w:rPr>
  </w:style>
  <w:style w:type="character" w:customStyle="1" w:styleId="ListParagraphChar">
    <w:name w:val="List Paragraph Char"/>
    <w:basedOn w:val="DefaultParagraphFont"/>
    <w:link w:val="ListParagraph"/>
    <w:uiPriority w:val="34"/>
    <w:rsid w:val="000953B2"/>
    <w:rPr>
      <w:rFonts w:ascii="Times New Roman" w:hAnsi="Times New Roman" w:cs="Times New Roman"/>
      <w:sz w:val="24"/>
    </w:rPr>
  </w:style>
  <w:style w:type="paragraph" w:styleId="BalloonText">
    <w:name w:val="Balloon Text"/>
    <w:basedOn w:val="Normal"/>
    <w:link w:val="BalloonTextChar"/>
    <w:uiPriority w:val="99"/>
    <w:semiHidden/>
    <w:unhideWhenUsed/>
    <w:rsid w:val="000953B2"/>
    <w:rPr>
      <w:rFonts w:ascii="Tahoma" w:hAnsi="Tahoma" w:cs="Tahoma"/>
      <w:sz w:val="16"/>
      <w:szCs w:val="16"/>
    </w:rPr>
  </w:style>
  <w:style w:type="character" w:customStyle="1" w:styleId="BalloonTextChar">
    <w:name w:val="Balloon Text Char"/>
    <w:basedOn w:val="DefaultParagraphFont"/>
    <w:link w:val="BalloonText"/>
    <w:uiPriority w:val="99"/>
    <w:semiHidden/>
    <w:rsid w:val="000953B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A6579"/>
    <w:rPr>
      <w:rFonts w:eastAsia="Times New Roman"/>
      <w:b/>
      <w:bCs/>
    </w:rPr>
  </w:style>
  <w:style w:type="character" w:customStyle="1" w:styleId="CommentSubjectChar">
    <w:name w:val="Comment Subject Char"/>
    <w:basedOn w:val="CommentTextChar"/>
    <w:link w:val="CommentSubject"/>
    <w:uiPriority w:val="99"/>
    <w:semiHidden/>
    <w:rsid w:val="007A6579"/>
    <w:rPr>
      <w:rFonts w:ascii="Times New Roman" w:eastAsia="Calibri" w:hAnsi="Times New Roman" w:cs="Times New Roman"/>
      <w:b/>
      <w:bCs/>
      <w:sz w:val="20"/>
      <w:szCs w:val="20"/>
    </w:rPr>
  </w:style>
  <w:style w:type="character" w:styleId="FollowedHyperlink">
    <w:name w:val="FollowedHyperlink"/>
    <w:basedOn w:val="DefaultParagraphFont"/>
    <w:uiPriority w:val="99"/>
    <w:semiHidden/>
    <w:unhideWhenUsed/>
    <w:rsid w:val="009838FA"/>
    <w:rPr>
      <w:color w:val="800080" w:themeColor="followedHyperlink"/>
      <w:u w:val="single"/>
    </w:rPr>
  </w:style>
  <w:style w:type="paragraph" w:styleId="Revision">
    <w:name w:val="Revision"/>
    <w:hidden/>
    <w:uiPriority w:val="99"/>
    <w:semiHidden/>
    <w:rsid w:val="00386CB8"/>
    <w:pPr>
      <w:spacing w:after="0" w:line="240" w:lineRule="auto"/>
    </w:pPr>
    <w:rPr>
      <w:rFonts w:ascii="Times New Roman" w:hAnsi="Times New Roman" w:cs="Times New Roman"/>
      <w:sz w:val="24"/>
    </w:rPr>
  </w:style>
  <w:style w:type="paragraph" w:customStyle="1" w:styleId="Default">
    <w:name w:val="Default"/>
    <w:rsid w:val="009A0F0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5033">
      <w:bodyDiv w:val="1"/>
      <w:marLeft w:val="0"/>
      <w:marRight w:val="0"/>
      <w:marTop w:val="0"/>
      <w:marBottom w:val="0"/>
      <w:divBdr>
        <w:top w:val="none" w:sz="0" w:space="0" w:color="auto"/>
        <w:left w:val="none" w:sz="0" w:space="0" w:color="auto"/>
        <w:bottom w:val="none" w:sz="0" w:space="0" w:color="auto"/>
        <w:right w:val="none" w:sz="0" w:space="0" w:color="auto"/>
      </w:divBdr>
    </w:div>
    <w:div w:id="437411101">
      <w:bodyDiv w:val="1"/>
      <w:marLeft w:val="0"/>
      <w:marRight w:val="0"/>
      <w:marTop w:val="0"/>
      <w:marBottom w:val="0"/>
      <w:divBdr>
        <w:top w:val="none" w:sz="0" w:space="0" w:color="auto"/>
        <w:left w:val="none" w:sz="0" w:space="0" w:color="auto"/>
        <w:bottom w:val="none" w:sz="0" w:space="0" w:color="auto"/>
        <w:right w:val="none" w:sz="0" w:space="0" w:color="auto"/>
      </w:divBdr>
      <w:divsChild>
        <w:div w:id="1507474662">
          <w:marLeft w:val="1440"/>
          <w:marRight w:val="0"/>
          <w:marTop w:val="101"/>
          <w:marBottom w:val="0"/>
          <w:divBdr>
            <w:top w:val="none" w:sz="0" w:space="0" w:color="auto"/>
            <w:left w:val="none" w:sz="0" w:space="0" w:color="auto"/>
            <w:bottom w:val="none" w:sz="0" w:space="0" w:color="auto"/>
            <w:right w:val="none" w:sz="0" w:space="0" w:color="auto"/>
          </w:divBdr>
        </w:div>
        <w:div w:id="1905294107">
          <w:marLeft w:val="1440"/>
          <w:marRight w:val="0"/>
          <w:marTop w:val="101"/>
          <w:marBottom w:val="0"/>
          <w:divBdr>
            <w:top w:val="none" w:sz="0" w:space="0" w:color="auto"/>
            <w:left w:val="none" w:sz="0" w:space="0" w:color="auto"/>
            <w:bottom w:val="none" w:sz="0" w:space="0" w:color="auto"/>
            <w:right w:val="none" w:sz="0" w:space="0" w:color="auto"/>
          </w:divBdr>
        </w:div>
        <w:div w:id="985663670">
          <w:marLeft w:val="1440"/>
          <w:marRight w:val="0"/>
          <w:marTop w:val="101"/>
          <w:marBottom w:val="0"/>
          <w:divBdr>
            <w:top w:val="none" w:sz="0" w:space="0" w:color="auto"/>
            <w:left w:val="none" w:sz="0" w:space="0" w:color="auto"/>
            <w:bottom w:val="none" w:sz="0" w:space="0" w:color="auto"/>
            <w:right w:val="none" w:sz="0" w:space="0" w:color="auto"/>
          </w:divBdr>
        </w:div>
        <w:div w:id="1986933541">
          <w:marLeft w:val="1440"/>
          <w:marRight w:val="0"/>
          <w:marTop w:val="101"/>
          <w:marBottom w:val="0"/>
          <w:divBdr>
            <w:top w:val="none" w:sz="0" w:space="0" w:color="auto"/>
            <w:left w:val="none" w:sz="0" w:space="0" w:color="auto"/>
            <w:bottom w:val="none" w:sz="0" w:space="0" w:color="auto"/>
            <w:right w:val="none" w:sz="0" w:space="0" w:color="auto"/>
          </w:divBdr>
        </w:div>
      </w:divsChild>
    </w:div>
    <w:div w:id="915820401">
      <w:bodyDiv w:val="1"/>
      <w:marLeft w:val="0"/>
      <w:marRight w:val="0"/>
      <w:marTop w:val="0"/>
      <w:marBottom w:val="0"/>
      <w:divBdr>
        <w:top w:val="none" w:sz="0" w:space="0" w:color="auto"/>
        <w:left w:val="none" w:sz="0" w:space="0" w:color="auto"/>
        <w:bottom w:val="none" w:sz="0" w:space="0" w:color="auto"/>
        <w:right w:val="none" w:sz="0" w:space="0" w:color="auto"/>
      </w:divBdr>
    </w:div>
    <w:div w:id="1918859603">
      <w:bodyDiv w:val="1"/>
      <w:marLeft w:val="0"/>
      <w:marRight w:val="0"/>
      <w:marTop w:val="0"/>
      <w:marBottom w:val="0"/>
      <w:divBdr>
        <w:top w:val="none" w:sz="0" w:space="0" w:color="auto"/>
        <w:left w:val="none" w:sz="0" w:space="0" w:color="auto"/>
        <w:bottom w:val="none" w:sz="0" w:space="0" w:color="auto"/>
        <w:right w:val="none" w:sz="0" w:space="0" w:color="auto"/>
      </w:divBdr>
    </w:div>
    <w:div w:id="195994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D7AE4-6156-4C35-B3F6-867631E6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2501</Words>
  <Characters>14257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NCDENR ITS</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Haynie</dc:creator>
  <cp:lastModifiedBy>Simes, Amy</cp:lastModifiedBy>
  <cp:revision>5</cp:revision>
  <cp:lastPrinted>2016-07-28T18:15:00Z</cp:lastPrinted>
  <dcterms:created xsi:type="dcterms:W3CDTF">2020-07-24T21:30:00Z</dcterms:created>
  <dcterms:modified xsi:type="dcterms:W3CDTF">2020-07-24T21:31:00Z</dcterms:modified>
</cp:coreProperties>
</file>