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34" w:rsidRPr="00CA6204" w:rsidRDefault="00395586" w:rsidP="003B0797">
      <w:pPr>
        <w:tabs>
          <w:tab w:val="left" w:pos="360"/>
          <w:tab w:val="left" w:pos="720"/>
          <w:tab w:val="left" w:pos="1080"/>
          <w:tab w:val="left" w:pos="1440"/>
        </w:tabs>
        <w:jc w:val="center"/>
        <w:rPr>
          <w:b/>
        </w:rPr>
      </w:pPr>
      <w:r w:rsidRPr="00CA6204">
        <w:rPr>
          <w:b/>
        </w:rPr>
        <w:t xml:space="preserve">AGREEMENT TO ESTABLISH </w:t>
      </w:r>
      <w:r w:rsidR="00DB7EA2">
        <w:rPr>
          <w:b/>
        </w:rPr>
        <w:t>AN</w:t>
      </w:r>
      <w:r w:rsidRPr="00CA6204">
        <w:rPr>
          <w:b/>
        </w:rPr>
        <w:t xml:space="preserve"> </w:t>
      </w:r>
      <w:r w:rsidR="00DB7EA2" w:rsidRPr="00CA6204">
        <w:rPr>
          <w:b/>
        </w:rPr>
        <w:t xml:space="preserve">UMBRELLA </w:t>
      </w:r>
      <w:r w:rsidR="008F23CC">
        <w:rPr>
          <w:b/>
        </w:rPr>
        <w:t xml:space="preserve">MITIGATION </w:t>
      </w:r>
      <w:r w:rsidR="00DB7EA2" w:rsidRPr="00CA6204">
        <w:rPr>
          <w:b/>
        </w:rPr>
        <w:t>BANKING INSTRUMENT</w:t>
      </w:r>
      <w:r w:rsidR="008F23CC">
        <w:rPr>
          <w:b/>
        </w:rPr>
        <w:t xml:space="preserve"> </w:t>
      </w:r>
      <w:r w:rsidR="00B15C1C">
        <w:rPr>
          <w:b/>
        </w:rPr>
        <w:t xml:space="preserve">IN THE </w:t>
      </w:r>
      <w:r w:rsidR="005F3479" w:rsidRPr="005F3479">
        <w:rPr>
          <w:b/>
          <w:highlight w:val="cyan"/>
        </w:rPr>
        <w:t>WHICH</w:t>
      </w:r>
      <w:r w:rsidR="006703AD">
        <w:rPr>
          <w:b/>
        </w:rPr>
        <w:t xml:space="preserve"> RIVER BASIN</w:t>
      </w:r>
      <w:r w:rsidR="00B15C1C">
        <w:rPr>
          <w:b/>
        </w:rPr>
        <w:t xml:space="preserve"> </w:t>
      </w:r>
      <w:r w:rsidR="00DB7EA2">
        <w:rPr>
          <w:b/>
        </w:rPr>
        <w:t xml:space="preserve">FOR </w:t>
      </w:r>
      <w:r w:rsidR="00762A55" w:rsidRPr="00CA6204">
        <w:rPr>
          <w:b/>
        </w:rPr>
        <w:t>RIPARIAN BUFFER AND NUTRIENT</w:t>
      </w:r>
      <w:r w:rsidR="00DB7EA2">
        <w:rPr>
          <w:b/>
        </w:rPr>
        <w:t xml:space="preserve"> OFFSET </w:t>
      </w:r>
      <w:r w:rsidR="00762A55" w:rsidRPr="00CA6204">
        <w:rPr>
          <w:b/>
        </w:rPr>
        <w:t>MITIGATION</w:t>
      </w:r>
      <w:r w:rsidR="00DB7EA2">
        <w:rPr>
          <w:b/>
        </w:rPr>
        <w:t xml:space="preserve"> CREDITS</w:t>
      </w:r>
      <w:r w:rsidR="00D72C20" w:rsidRPr="00D72C20">
        <w:rPr>
          <w:b/>
        </w:rPr>
        <w:t xml:space="preserve"> </w:t>
      </w:r>
      <w:r w:rsidR="00D72C20">
        <w:rPr>
          <w:b/>
        </w:rPr>
        <w:t xml:space="preserve">PURSUANT TO THE </w:t>
      </w:r>
      <w:r w:rsidR="005F3479" w:rsidRPr="005F3479">
        <w:rPr>
          <w:b/>
          <w:highlight w:val="cyan"/>
        </w:rPr>
        <w:t>WHICH</w:t>
      </w:r>
      <w:r w:rsidR="00D72C20">
        <w:rPr>
          <w:b/>
        </w:rPr>
        <w:t xml:space="preserve"> NUTRIENT STRATEGY</w:t>
      </w:r>
    </w:p>
    <w:p w:rsidR="00762A55" w:rsidRDefault="00762A55" w:rsidP="003B0797">
      <w:pPr>
        <w:tabs>
          <w:tab w:val="left" w:pos="360"/>
          <w:tab w:val="left" w:pos="720"/>
          <w:tab w:val="left" w:pos="1080"/>
          <w:tab w:val="left" w:pos="1440"/>
        </w:tabs>
        <w:jc w:val="both"/>
        <w:rPr>
          <w:b/>
        </w:rPr>
      </w:pPr>
    </w:p>
    <w:p w:rsidR="003B0797" w:rsidRDefault="0020443B" w:rsidP="003B0797">
      <w:pPr>
        <w:tabs>
          <w:tab w:val="left" w:pos="360"/>
          <w:tab w:val="left" w:pos="720"/>
          <w:tab w:val="left" w:pos="1080"/>
          <w:tab w:val="left" w:pos="1440"/>
        </w:tabs>
        <w:jc w:val="both"/>
        <w:rPr>
          <w:b/>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116.65pt;margin-top:-6.75pt;width:349.3pt;height:37.8pt;z-index:251658240;mso-height-percent:200;mso-height-percent:200;mso-width-relative:margin;mso-height-relative:margin" fillcolor="#f79646 [3209]" strokecolor="#f2f2f2 [3041]" strokeweight="3pt">
            <v:shadow on="t" type="perspective" color="#974706 [1609]" opacity=".5" offset="1pt" offset2="-1pt"/>
            <v:textbox style="mso-fit-shape-to-text:t">
              <w:txbxContent>
                <w:p w:rsidR="00773CF2" w:rsidRDefault="00773CF2" w:rsidP="00773CF2">
                  <w:r w:rsidRPr="00775498">
                    <w:rPr>
                      <w:b/>
                    </w:rPr>
                    <w:t>NOTICE</w:t>
                  </w:r>
                  <w:r>
                    <w:t xml:space="preserve">: If using this template, only the highlighted text areas shall be edited.  Do not change any un-highlighted text.  </w:t>
                  </w:r>
                </w:p>
              </w:txbxContent>
            </v:textbox>
          </v:shape>
        </w:pict>
      </w:r>
    </w:p>
    <w:p w:rsidR="00762A55" w:rsidRDefault="00762A55" w:rsidP="003B0797">
      <w:pPr>
        <w:pStyle w:val="Heading1"/>
        <w:spacing w:before="0" w:after="0"/>
      </w:pPr>
      <w:r w:rsidRPr="00CA6204">
        <w:t>PREAMBLE</w:t>
      </w:r>
    </w:p>
    <w:p w:rsidR="003B0797" w:rsidRPr="00CA6204" w:rsidRDefault="003B0797" w:rsidP="003B0797">
      <w:pPr>
        <w:pStyle w:val="Heading1"/>
        <w:numPr>
          <w:ilvl w:val="0"/>
          <w:numId w:val="0"/>
        </w:numPr>
        <w:spacing w:before="0" w:after="0"/>
        <w:ind w:left="360"/>
      </w:pPr>
    </w:p>
    <w:p w:rsidR="00762A55" w:rsidRPr="00CA6204" w:rsidRDefault="00762A55" w:rsidP="003B0797">
      <w:pPr>
        <w:pStyle w:val="NormalIndent"/>
        <w:ind w:left="360"/>
      </w:pPr>
      <w:r w:rsidRPr="00CA6204">
        <w:t xml:space="preserve">This Umbrella </w:t>
      </w:r>
      <w:r w:rsidR="000654BF">
        <w:t xml:space="preserve">Mitigation </w:t>
      </w:r>
      <w:r w:rsidRPr="00CA6204">
        <w:t>Banking Instrument</w:t>
      </w:r>
      <w:r w:rsidR="00DB7EA2">
        <w:t xml:space="preserve"> (“Instrument”) </w:t>
      </w:r>
      <w:r w:rsidRPr="00CA6204">
        <w:t xml:space="preserve">regarding the establishment, use, operation, and maintenance of </w:t>
      </w:r>
      <w:r w:rsidR="00DB7EA2">
        <w:t xml:space="preserve">mitigation </w:t>
      </w:r>
      <w:r w:rsidR="0017615E">
        <w:t xml:space="preserve">bank </w:t>
      </w:r>
      <w:r w:rsidR="001907E1">
        <w:t>parcels (“</w:t>
      </w:r>
      <w:r w:rsidR="00EC142D">
        <w:t>B</w:t>
      </w:r>
      <w:r w:rsidR="00DB7EA2">
        <w:t>ank</w:t>
      </w:r>
      <w:r w:rsidR="007A0EAD">
        <w:t xml:space="preserve"> </w:t>
      </w:r>
      <w:r w:rsidR="00EC142D">
        <w:t>P</w:t>
      </w:r>
      <w:r w:rsidR="007A0EAD">
        <w:t>arcel</w:t>
      </w:r>
      <w:r w:rsidR="0017615E">
        <w:t>s</w:t>
      </w:r>
      <w:r w:rsidR="001907E1">
        <w:t>”)</w:t>
      </w:r>
      <w:r w:rsidR="00DB7EA2">
        <w:t xml:space="preserve"> under an</w:t>
      </w:r>
      <w:r w:rsidRPr="00CA6204">
        <w:t xml:space="preserve"> </w:t>
      </w:r>
      <w:r w:rsidR="00DB7EA2" w:rsidRPr="00CA6204">
        <w:t>Umbrella Bank (</w:t>
      </w:r>
      <w:r w:rsidR="00DB7EA2">
        <w:t>“</w:t>
      </w:r>
      <w:r w:rsidR="00DB7EA2" w:rsidRPr="00CA6204">
        <w:t>Bank</w:t>
      </w:r>
      <w:r w:rsidR="00DB7EA2">
        <w:t>”</w:t>
      </w:r>
      <w:r w:rsidR="00DB7EA2" w:rsidRPr="00CA6204">
        <w:t xml:space="preserve">) </w:t>
      </w:r>
      <w:r w:rsidR="00DB7EA2">
        <w:t xml:space="preserve">to provide </w:t>
      </w:r>
      <w:r w:rsidR="00ED7A91">
        <w:rPr>
          <w:highlight w:val="cyan"/>
        </w:rPr>
        <w:t>WHICH BUFFER</w:t>
      </w:r>
      <w:r w:rsidR="00280B1F">
        <w:t xml:space="preserve"> Riparian Buffer</w:t>
      </w:r>
      <w:r w:rsidRPr="00CA6204">
        <w:t xml:space="preserve"> </w:t>
      </w:r>
      <w:r w:rsidR="00D564F0">
        <w:t>m</w:t>
      </w:r>
      <w:r w:rsidR="00DB7EA2">
        <w:t xml:space="preserve">itigation </w:t>
      </w:r>
      <w:r w:rsidR="00D564F0">
        <w:t>c</w:t>
      </w:r>
      <w:r w:rsidR="00ED00DA">
        <w:t>redit (</w:t>
      </w:r>
      <w:r w:rsidR="009C76B9">
        <w:t>“</w:t>
      </w:r>
      <w:r w:rsidR="00ED00DA" w:rsidRPr="00ED00DA">
        <w:t>Riparian Buffer Credits</w:t>
      </w:r>
      <w:r w:rsidR="009C76B9">
        <w:t>”</w:t>
      </w:r>
      <w:r w:rsidR="00ED00DA">
        <w:t xml:space="preserve">) </w:t>
      </w:r>
      <w:r w:rsidRPr="00CA6204">
        <w:t xml:space="preserve">and </w:t>
      </w:r>
      <w:r w:rsidR="00D649C6" w:rsidRPr="00E951FE">
        <w:rPr>
          <w:highlight w:val="cyan"/>
        </w:rPr>
        <w:t>WHICH</w:t>
      </w:r>
      <w:r w:rsidR="00DB7EA2">
        <w:t xml:space="preserve"> </w:t>
      </w:r>
      <w:r w:rsidRPr="00CA6204">
        <w:t xml:space="preserve">Nutrient </w:t>
      </w:r>
      <w:r w:rsidR="00DB7EA2">
        <w:t xml:space="preserve">Strategy </w:t>
      </w:r>
      <w:r w:rsidR="00D564F0">
        <w:t>m</w:t>
      </w:r>
      <w:r w:rsidRPr="00CA6204">
        <w:t xml:space="preserve">itigation </w:t>
      </w:r>
      <w:r w:rsidR="00D564F0">
        <w:t>c</w:t>
      </w:r>
      <w:r w:rsidR="00ED00DA">
        <w:t xml:space="preserve">redit </w:t>
      </w:r>
      <w:r w:rsidR="007D2378">
        <w:t>(</w:t>
      </w:r>
      <w:r w:rsidR="009C76B9">
        <w:t>“</w:t>
      </w:r>
      <w:r w:rsidR="00ED00DA" w:rsidRPr="00ED00DA">
        <w:t>Nutrient Offset Credits</w:t>
      </w:r>
      <w:r w:rsidR="009C76B9">
        <w:t>”</w:t>
      </w:r>
      <w:r w:rsidR="007D2378">
        <w:t>)</w:t>
      </w:r>
      <w:r w:rsidR="00ED00DA" w:rsidRPr="00ED00DA">
        <w:t xml:space="preserve"> </w:t>
      </w:r>
      <w:r w:rsidRPr="00CA6204">
        <w:t xml:space="preserve">is made and entered into </w:t>
      </w:r>
      <w:r w:rsidRPr="00DB7EA2">
        <w:t xml:space="preserve">by and among </w:t>
      </w:r>
      <w:r w:rsidR="00C10314" w:rsidRPr="00E951FE">
        <w:rPr>
          <w:highlight w:val="cyan"/>
        </w:rPr>
        <w:t xml:space="preserve">BANKER </w:t>
      </w:r>
      <w:r w:rsidR="00C10314" w:rsidRPr="00ED7A91">
        <w:rPr>
          <w:highlight w:val="cyan"/>
        </w:rPr>
        <w:t>NAME</w:t>
      </w:r>
      <w:r w:rsidR="00ED7A91" w:rsidRPr="00ED7A91">
        <w:rPr>
          <w:highlight w:val="cyan"/>
        </w:rPr>
        <w:t xml:space="preserve"> HERE</w:t>
      </w:r>
      <w:r w:rsidR="0028799D" w:rsidRPr="00DB7EA2">
        <w:t xml:space="preserve">, </w:t>
      </w:r>
      <w:r w:rsidR="00A71C05" w:rsidRPr="00DB7EA2">
        <w:t>acting as the</w:t>
      </w:r>
      <w:r w:rsidR="00A71C05" w:rsidRPr="00CA6204">
        <w:t xml:space="preserve"> Bank Sponsor</w:t>
      </w:r>
      <w:r w:rsidR="00B85631">
        <w:t xml:space="preserve"> (“Sponsor”)</w:t>
      </w:r>
      <w:r w:rsidR="00A71C05" w:rsidRPr="00CA6204">
        <w:t>,</w:t>
      </w:r>
      <w:r w:rsidR="0028799D" w:rsidRPr="00CA6204">
        <w:t xml:space="preserve"> </w:t>
      </w:r>
      <w:r w:rsidRPr="00CA6204">
        <w:t xml:space="preserve">and the North Carolina Department of Environment and Natural Resources – Division of Water </w:t>
      </w:r>
      <w:r w:rsidR="0020131A">
        <w:t xml:space="preserve">Resources </w:t>
      </w:r>
      <w:r w:rsidRPr="00CA6204">
        <w:t>(</w:t>
      </w:r>
      <w:r w:rsidR="00EC142D">
        <w:t>“</w:t>
      </w:r>
      <w:r w:rsidR="0020131A">
        <w:t>DWR</w:t>
      </w:r>
      <w:r w:rsidR="00EC142D">
        <w:t>”</w:t>
      </w:r>
      <w:r w:rsidRPr="00CA6204">
        <w:t>).</w:t>
      </w:r>
      <w:r w:rsidR="00B0104F">
        <w:t xml:space="preserve">  </w:t>
      </w:r>
      <w:r w:rsidR="00B0104F" w:rsidRPr="008C5770">
        <w:t xml:space="preserve">This Instrument </w:t>
      </w:r>
      <w:r w:rsidR="00FE08B5" w:rsidRPr="008C5770">
        <w:t>is in accordance with 15A NCAC 02B .02</w:t>
      </w:r>
      <w:r w:rsidR="00FE08B5" w:rsidRPr="008A2AF2">
        <w:rPr>
          <w:highlight w:val="cyan"/>
        </w:rPr>
        <w:t>XX</w:t>
      </w:r>
      <w:r w:rsidR="00FE08B5" w:rsidRPr="008C5770">
        <w:t xml:space="preserve"> </w:t>
      </w:r>
      <w:r w:rsidR="00436495" w:rsidRPr="00436495">
        <w:rPr>
          <w:highlight w:val="green"/>
        </w:rPr>
        <w:t>(applicable buffer mitigation rule</w:t>
      </w:r>
      <w:r w:rsidR="00436495" w:rsidRPr="00436495">
        <w:rPr>
          <w:highlight w:val="yellow"/>
        </w:rPr>
        <w:t>)</w:t>
      </w:r>
      <w:r w:rsidR="00436495">
        <w:t xml:space="preserve"> </w:t>
      </w:r>
      <w:r w:rsidR="00FE08B5" w:rsidRPr="008C5770">
        <w:t>and 15A NCAC 02B .0240</w:t>
      </w:r>
      <w:r w:rsidR="00B0104F" w:rsidRPr="008C5770">
        <w:t>.</w:t>
      </w:r>
      <w:r w:rsidR="00B0104F" w:rsidRPr="00FE08B5">
        <w:t xml:space="preserve"> </w:t>
      </w:r>
    </w:p>
    <w:p w:rsidR="00762A55" w:rsidRPr="00CA6204" w:rsidRDefault="00762A55" w:rsidP="003B0797">
      <w:pPr>
        <w:tabs>
          <w:tab w:val="left" w:pos="360"/>
          <w:tab w:val="left" w:pos="720"/>
          <w:tab w:val="left" w:pos="1080"/>
          <w:tab w:val="left" w:pos="1440"/>
        </w:tabs>
        <w:ind w:left="360" w:hanging="360"/>
        <w:jc w:val="both"/>
      </w:pPr>
    </w:p>
    <w:p w:rsidR="00CB66BC" w:rsidRPr="00980FD3" w:rsidRDefault="00762A55" w:rsidP="003B0797">
      <w:pPr>
        <w:pStyle w:val="NormalIndent"/>
        <w:ind w:left="360"/>
      </w:pPr>
      <w:r w:rsidRPr="00980FD3">
        <w:t>The purpose of the Bank is</w:t>
      </w:r>
      <w:r w:rsidR="00CB66BC" w:rsidRPr="00980FD3">
        <w:t>:</w:t>
      </w:r>
    </w:p>
    <w:p w:rsidR="00CB66BC" w:rsidRPr="00980FD3" w:rsidRDefault="00CB66BC" w:rsidP="003B0797">
      <w:pPr>
        <w:tabs>
          <w:tab w:val="left" w:pos="360"/>
          <w:tab w:val="left" w:pos="720"/>
          <w:tab w:val="left" w:pos="1080"/>
          <w:tab w:val="left" w:pos="1440"/>
        </w:tabs>
        <w:ind w:left="360" w:hanging="360"/>
        <w:jc w:val="both"/>
      </w:pPr>
    </w:p>
    <w:p w:rsidR="00D564F0" w:rsidRPr="00980FD3" w:rsidRDefault="009C76B9" w:rsidP="003B0797">
      <w:pPr>
        <w:numPr>
          <w:ilvl w:val="0"/>
          <w:numId w:val="28"/>
        </w:numPr>
        <w:tabs>
          <w:tab w:val="clear" w:pos="1140"/>
        </w:tabs>
        <w:ind w:left="720"/>
        <w:jc w:val="both"/>
      </w:pPr>
      <w:r>
        <w:t>To i</w:t>
      </w:r>
      <w:r w:rsidR="00D564F0" w:rsidRPr="00CA6204">
        <w:t xml:space="preserve">mprove water quality through the restoration of riparian buffer habitat, </w:t>
      </w:r>
      <w:r w:rsidR="002E4326">
        <w:t xml:space="preserve">and/or </w:t>
      </w:r>
      <w:r w:rsidR="00D564F0" w:rsidRPr="00CA6204">
        <w:t>the installation of new stormwater best management practices (</w:t>
      </w:r>
      <w:r w:rsidR="00D564F0">
        <w:t>“</w:t>
      </w:r>
      <w:r w:rsidR="00D564F0" w:rsidRPr="00CA6204">
        <w:t>BMP</w:t>
      </w:r>
      <w:r w:rsidR="00D564F0">
        <w:t>”</w:t>
      </w:r>
      <w:r w:rsidR="00D564F0" w:rsidRPr="00CA6204">
        <w:t>), and</w:t>
      </w:r>
      <w:r w:rsidR="002E4326">
        <w:t>/or</w:t>
      </w:r>
      <w:r w:rsidR="00D564F0" w:rsidRPr="00CA6204">
        <w:t xml:space="preserve"> the renovation of existing stormwater BMPs</w:t>
      </w:r>
      <w:r w:rsidR="00A431B9">
        <w:t>.</w:t>
      </w:r>
    </w:p>
    <w:p w:rsidR="00D564F0" w:rsidRDefault="00D564F0" w:rsidP="003B0797">
      <w:pPr>
        <w:ind w:left="720" w:hanging="360"/>
        <w:jc w:val="both"/>
      </w:pPr>
    </w:p>
    <w:p w:rsidR="00D564F0" w:rsidRDefault="00ED00DA" w:rsidP="003B0797">
      <w:pPr>
        <w:numPr>
          <w:ilvl w:val="0"/>
          <w:numId w:val="28"/>
        </w:numPr>
        <w:tabs>
          <w:tab w:val="clear" w:pos="1140"/>
        </w:tabs>
        <w:ind w:left="720"/>
        <w:jc w:val="both"/>
      </w:pPr>
      <w:r w:rsidRPr="00ED00DA">
        <w:t>To provide mitigation and sell any resulting Riparian Buffer Credits and/or Nutrient Offset Credits to third parties for development (both existing and proposed) requiring such mitigation</w:t>
      </w:r>
      <w:r w:rsidR="003060A5">
        <w:t>.</w:t>
      </w:r>
    </w:p>
    <w:p w:rsidR="003B0797" w:rsidRDefault="003B0797" w:rsidP="003B0797">
      <w:pPr>
        <w:jc w:val="both"/>
      </w:pPr>
    </w:p>
    <w:p w:rsidR="00FF0CEA" w:rsidRDefault="00D62C55" w:rsidP="003B0797">
      <w:pPr>
        <w:pStyle w:val="Heading1"/>
        <w:spacing w:before="0" w:after="0"/>
      </w:pPr>
      <w:r>
        <w:t xml:space="preserve">GEOGRAPHIC </w:t>
      </w:r>
      <w:r w:rsidR="000742D8">
        <w:t xml:space="preserve">service </w:t>
      </w:r>
      <w:r w:rsidR="00FF0CEA" w:rsidRPr="00FF0CEA">
        <w:t>AREA</w:t>
      </w:r>
    </w:p>
    <w:p w:rsidR="003B0797" w:rsidRPr="00FF0CEA" w:rsidRDefault="003B0797" w:rsidP="003B0797">
      <w:pPr>
        <w:pStyle w:val="Heading1"/>
        <w:numPr>
          <w:ilvl w:val="0"/>
          <w:numId w:val="0"/>
        </w:numPr>
        <w:spacing w:before="0" w:after="0"/>
        <w:ind w:left="360"/>
      </w:pPr>
    </w:p>
    <w:p w:rsidR="000742D8" w:rsidRDefault="000742D8" w:rsidP="003B0797">
      <w:pPr>
        <w:pStyle w:val="Clause"/>
        <w:numPr>
          <w:ilvl w:val="0"/>
          <w:numId w:val="9"/>
        </w:numPr>
      </w:pPr>
      <w:r w:rsidRPr="00CA6204">
        <w:t xml:space="preserve">The </w:t>
      </w:r>
      <w:r>
        <w:t xml:space="preserve">Geographic Service Area (“GSA”) </w:t>
      </w:r>
      <w:r w:rsidRPr="00CA6204">
        <w:t xml:space="preserve">is the designated area wherein a </w:t>
      </w:r>
      <w:r>
        <w:t>B</w:t>
      </w:r>
      <w:r w:rsidRPr="00CA6204">
        <w:t xml:space="preserve">ank can reasonably be expected to </w:t>
      </w:r>
      <w:r>
        <w:t xml:space="preserve">sell </w:t>
      </w:r>
      <w:r w:rsidR="006E697B" w:rsidRPr="006E697B">
        <w:t xml:space="preserve">Riparian Buffer Credits and/or Nutrient Offset Credits </w:t>
      </w:r>
      <w:r w:rsidRPr="00CA6204">
        <w:t xml:space="preserve">for impacts due to development activities.  </w:t>
      </w:r>
    </w:p>
    <w:p w:rsidR="000742D8" w:rsidRDefault="000742D8" w:rsidP="003B0797">
      <w:pPr>
        <w:pStyle w:val="Clause"/>
        <w:numPr>
          <w:ilvl w:val="0"/>
          <w:numId w:val="0"/>
        </w:numPr>
        <w:tabs>
          <w:tab w:val="clear" w:pos="360"/>
        </w:tabs>
        <w:ind w:left="720"/>
      </w:pPr>
    </w:p>
    <w:p w:rsidR="00D62C55" w:rsidRDefault="000742D8" w:rsidP="003B0797">
      <w:pPr>
        <w:pStyle w:val="Clause"/>
        <w:numPr>
          <w:ilvl w:val="0"/>
          <w:numId w:val="9"/>
        </w:numPr>
      </w:pPr>
      <w:r>
        <w:t xml:space="preserve">The GSA for </w:t>
      </w:r>
      <w:r w:rsidR="0074168C">
        <w:t>t</w:t>
      </w:r>
      <w:r w:rsidR="00D62C55">
        <w:t xml:space="preserve">his Instrument is limited to </w:t>
      </w:r>
      <w:r w:rsidR="00A67603">
        <w:t>Bank Parcel</w:t>
      </w:r>
      <w:r w:rsidR="00751F96">
        <w:t xml:space="preserve">s </w:t>
      </w:r>
      <w:r w:rsidR="00D62C55">
        <w:t xml:space="preserve">located within the </w:t>
      </w:r>
      <w:r w:rsidR="00F272E5" w:rsidRPr="00F272E5">
        <w:rPr>
          <w:highlight w:val="cyan"/>
        </w:rPr>
        <w:t>WHICH BASIN</w:t>
      </w:r>
      <w:r w:rsidR="00D62C55" w:rsidRPr="00CA6204">
        <w:t xml:space="preserve"> River Basin in the State of North Carolina, United States Geological Survey (</w:t>
      </w:r>
      <w:r w:rsidR="000654BF">
        <w:t>“</w:t>
      </w:r>
      <w:r w:rsidR="00D62C55" w:rsidRPr="00CA6204">
        <w:t>USGS</w:t>
      </w:r>
      <w:r w:rsidR="000654BF">
        <w:t>”</w:t>
      </w:r>
      <w:r w:rsidR="00D62C55" w:rsidRPr="00CA6204">
        <w:t xml:space="preserve">) </w:t>
      </w:r>
      <w:r w:rsidR="00DF3490">
        <w:t xml:space="preserve">8-digit </w:t>
      </w:r>
      <w:r w:rsidR="00D62C55" w:rsidRPr="00CA6204">
        <w:t>Hydrologic Unit Code (</w:t>
      </w:r>
      <w:r w:rsidR="000654BF">
        <w:t>“</w:t>
      </w:r>
      <w:r w:rsidR="00D62C55" w:rsidRPr="00CA6204">
        <w:t>HUC</w:t>
      </w:r>
      <w:r w:rsidR="000654BF">
        <w:t>”</w:t>
      </w:r>
      <w:r w:rsidR="00D62C55" w:rsidRPr="00CA6204">
        <w:t xml:space="preserve">) </w:t>
      </w:r>
      <w:r w:rsidR="00F272E5" w:rsidRPr="00F272E5">
        <w:rPr>
          <w:highlight w:val="cyan"/>
        </w:rPr>
        <w:t>ENTER 8-digit HUC HERE</w:t>
      </w:r>
      <w:r w:rsidR="00D62C55" w:rsidRPr="00E951FE">
        <w:rPr>
          <w:highlight w:val="cyan"/>
        </w:rPr>
        <w:t>.</w:t>
      </w:r>
      <w:r w:rsidR="00D62C55">
        <w:t xml:space="preserve"> </w:t>
      </w:r>
      <w:r w:rsidR="004A6191">
        <w:t>(</w:t>
      </w:r>
      <w:r w:rsidR="004A6191" w:rsidRPr="004A6191">
        <w:rPr>
          <w:highlight w:val="green"/>
        </w:rPr>
        <w:t>A specific HUC is not required in the UMB</w:t>
      </w:r>
      <w:r w:rsidR="004A6191" w:rsidRPr="00336439">
        <w:rPr>
          <w:highlight w:val="green"/>
        </w:rPr>
        <w:t>I</w:t>
      </w:r>
      <w:r w:rsidR="00336439">
        <w:rPr>
          <w:highlight w:val="green"/>
        </w:rPr>
        <w:t xml:space="preserve"> for all Basins. H</w:t>
      </w:r>
      <w:r w:rsidR="003A2D9B" w:rsidRPr="00336439">
        <w:rPr>
          <w:highlight w:val="green"/>
        </w:rPr>
        <w:t xml:space="preserve">owever, if this is a Jordan UMBI the 8-digit HUC </w:t>
      </w:r>
      <w:r w:rsidR="00336439" w:rsidRPr="00336439">
        <w:rPr>
          <w:b/>
          <w:highlight w:val="green"/>
        </w:rPr>
        <w:t>03030002</w:t>
      </w:r>
      <w:r w:rsidR="00336439" w:rsidRPr="00336439">
        <w:rPr>
          <w:highlight w:val="green"/>
        </w:rPr>
        <w:t xml:space="preserve"> is required in this </w:t>
      </w:r>
      <w:r w:rsidR="00336439" w:rsidRPr="00813CD6">
        <w:rPr>
          <w:highlight w:val="green"/>
        </w:rPr>
        <w:t xml:space="preserve">document – and- if this is a Falls UMBI </w:t>
      </w:r>
      <w:r w:rsidR="00DF3490">
        <w:rPr>
          <w:highlight w:val="green"/>
        </w:rPr>
        <w:t>the following language is required: “</w:t>
      </w:r>
      <w:r w:rsidR="00DF3490" w:rsidRPr="00DF3490">
        <w:rPr>
          <w:b/>
          <w:highlight w:val="green"/>
        </w:rPr>
        <w:t>03020201</w:t>
      </w:r>
      <w:r w:rsidR="00DF3490">
        <w:rPr>
          <w:highlight w:val="green"/>
        </w:rPr>
        <w:t xml:space="preserve"> in the Neuse River Basin which includes </w:t>
      </w:r>
      <w:r w:rsidR="00021509">
        <w:rPr>
          <w:highlight w:val="green"/>
        </w:rPr>
        <w:t xml:space="preserve">only </w:t>
      </w:r>
      <w:r w:rsidR="00DF3490">
        <w:rPr>
          <w:highlight w:val="green"/>
        </w:rPr>
        <w:t>the Upper and Lower Falls Watersheds</w:t>
      </w:r>
      <w:r w:rsidR="00021509">
        <w:rPr>
          <w:highlight w:val="green"/>
        </w:rPr>
        <w:t xml:space="preserve"> as defined in </w:t>
      </w:r>
      <w:r w:rsidR="00021509" w:rsidRPr="00021509">
        <w:rPr>
          <w:highlight w:val="green"/>
        </w:rPr>
        <w:t>15A NCAC 02B .02</w:t>
      </w:r>
      <w:r w:rsidR="00021509">
        <w:rPr>
          <w:highlight w:val="green"/>
        </w:rPr>
        <w:t>76.</w:t>
      </w:r>
      <w:r w:rsidR="00DF3490">
        <w:rPr>
          <w:highlight w:val="green"/>
        </w:rPr>
        <w:t>”</w:t>
      </w:r>
    </w:p>
    <w:p w:rsidR="000742D8" w:rsidRDefault="000742D8" w:rsidP="003B0797">
      <w:pPr>
        <w:pStyle w:val="ListParagraph"/>
      </w:pPr>
    </w:p>
    <w:p w:rsidR="00EE1C68" w:rsidRDefault="00B96CC3" w:rsidP="003B0797">
      <w:pPr>
        <w:pStyle w:val="Clause"/>
        <w:numPr>
          <w:ilvl w:val="0"/>
          <w:numId w:val="9"/>
        </w:numPr>
      </w:pPr>
      <w:r>
        <w:t xml:space="preserve">Sale </w:t>
      </w:r>
      <w:r w:rsidR="000742D8">
        <w:t xml:space="preserve">or transfer </w:t>
      </w:r>
      <w:r>
        <w:t xml:space="preserve">of credit shall be limited to the 8-digit HUC in which the </w:t>
      </w:r>
      <w:r w:rsidR="00EE1C68" w:rsidRPr="00D62C55">
        <w:t>Bank Parcel is located</w:t>
      </w:r>
      <w:r w:rsidR="00FD6E8A">
        <w:t xml:space="preserve">.  </w:t>
      </w:r>
      <w:r w:rsidR="00F27045" w:rsidRPr="00A35BB1">
        <w:t xml:space="preserve">- </w:t>
      </w:r>
      <w:proofErr w:type="gramStart"/>
      <w:r w:rsidR="00436495" w:rsidRPr="00A35BB1">
        <w:rPr>
          <w:b/>
        </w:rPr>
        <w:t>or</w:t>
      </w:r>
      <w:proofErr w:type="gramEnd"/>
      <w:r w:rsidR="00F27045" w:rsidRPr="00A35BB1">
        <w:t xml:space="preserve"> </w:t>
      </w:r>
      <w:r w:rsidR="009B7B8C" w:rsidRPr="00A35BB1">
        <w:t>–</w:t>
      </w:r>
      <w:r w:rsidR="00F27045" w:rsidRPr="00A35BB1">
        <w:t xml:space="preserve"> </w:t>
      </w:r>
      <w:r w:rsidR="009B7B8C">
        <w:rPr>
          <w:highlight w:val="cyan"/>
        </w:rPr>
        <w:t>Sale or transfer of credits</w:t>
      </w:r>
      <w:r w:rsidR="00F27045" w:rsidRPr="00401669">
        <w:rPr>
          <w:highlight w:val="cyan"/>
        </w:rPr>
        <w:t xml:space="preserve"> shall </w:t>
      </w:r>
      <w:r w:rsidR="009B7B8C">
        <w:rPr>
          <w:highlight w:val="cyan"/>
        </w:rPr>
        <w:t xml:space="preserve">be limited to the sub-watershed of the Jordan </w:t>
      </w:r>
      <w:r w:rsidR="00436495">
        <w:rPr>
          <w:highlight w:val="cyan"/>
        </w:rPr>
        <w:t xml:space="preserve">Lake </w:t>
      </w:r>
      <w:r w:rsidR="009B7B8C">
        <w:rPr>
          <w:highlight w:val="cyan"/>
        </w:rPr>
        <w:t>watershed, as defined in Rule 15A NCAC 02B .0262</w:t>
      </w:r>
      <w:r w:rsidR="00436495">
        <w:rPr>
          <w:highlight w:val="cyan"/>
        </w:rPr>
        <w:t xml:space="preserve">, </w:t>
      </w:r>
      <w:r w:rsidR="00436495" w:rsidRPr="00A35BB1">
        <w:t xml:space="preserve">in which the Bank Parcel is located </w:t>
      </w:r>
      <w:r w:rsidR="003A2D9B" w:rsidRPr="00813CD6">
        <w:rPr>
          <w:highlight w:val="cyan"/>
        </w:rPr>
        <w:t>(Use for Jordan UMBI only)</w:t>
      </w:r>
      <w:r w:rsidR="00FD6E8A" w:rsidRPr="00813CD6">
        <w:rPr>
          <w:highlight w:val="cyan"/>
        </w:rPr>
        <w:t>.</w:t>
      </w:r>
      <w:r w:rsidR="009B7B8C">
        <w:t xml:space="preserve"> </w:t>
      </w:r>
    </w:p>
    <w:p w:rsidR="00224A82" w:rsidRDefault="00224A82" w:rsidP="003B0797">
      <w:pPr>
        <w:pStyle w:val="Clause"/>
        <w:numPr>
          <w:ilvl w:val="0"/>
          <w:numId w:val="0"/>
        </w:numPr>
        <w:ind w:left="720" w:hanging="360"/>
      </w:pPr>
    </w:p>
    <w:p w:rsidR="00762A55" w:rsidRPr="00AE712D" w:rsidRDefault="00C86AFD" w:rsidP="003B0797">
      <w:pPr>
        <w:pStyle w:val="Heading1"/>
        <w:spacing w:before="0" w:after="0"/>
      </w:pPr>
      <w:r w:rsidRPr="00AE712D">
        <w:t>AUTHORITIES</w:t>
      </w:r>
    </w:p>
    <w:p w:rsidR="003B0797" w:rsidRPr="00AE712D" w:rsidRDefault="003B0797" w:rsidP="003B0797">
      <w:pPr>
        <w:pStyle w:val="Heading1"/>
        <w:numPr>
          <w:ilvl w:val="0"/>
          <w:numId w:val="0"/>
        </w:numPr>
        <w:spacing w:before="0" w:after="0"/>
        <w:ind w:left="360"/>
      </w:pPr>
    </w:p>
    <w:p w:rsidR="0012692A" w:rsidRPr="00AE712D" w:rsidRDefault="00C86AFD" w:rsidP="003B0797">
      <w:pPr>
        <w:pStyle w:val="Clause"/>
        <w:numPr>
          <w:ilvl w:val="0"/>
          <w:numId w:val="12"/>
        </w:numPr>
      </w:pPr>
      <w:r w:rsidRPr="00AE712D">
        <w:t xml:space="preserve">The Bank will be used to provide </w:t>
      </w:r>
      <w:r w:rsidR="006E697B" w:rsidRPr="00AE712D">
        <w:t xml:space="preserve">Riparian </w:t>
      </w:r>
      <w:r w:rsidR="000742D8" w:rsidRPr="00AE712D">
        <w:t>B</w:t>
      </w:r>
      <w:r w:rsidR="00C60FB6" w:rsidRPr="00AE712D">
        <w:t xml:space="preserve">uffer </w:t>
      </w:r>
      <w:r w:rsidR="000742D8" w:rsidRPr="00AE712D">
        <w:t xml:space="preserve">Credit </w:t>
      </w:r>
      <w:r w:rsidR="00C60FB6" w:rsidRPr="00AE712D">
        <w:t xml:space="preserve">and </w:t>
      </w:r>
      <w:r w:rsidR="000742D8" w:rsidRPr="00AE712D">
        <w:t>N</w:t>
      </w:r>
      <w:r w:rsidR="00D65424" w:rsidRPr="00AE712D">
        <w:t xml:space="preserve">utrient </w:t>
      </w:r>
      <w:r w:rsidR="000742D8" w:rsidRPr="00AE712D">
        <w:t>O</w:t>
      </w:r>
      <w:r w:rsidRPr="00AE712D">
        <w:t xml:space="preserve">ffset </w:t>
      </w:r>
      <w:r w:rsidR="000742D8" w:rsidRPr="00AE712D">
        <w:t xml:space="preserve">Credit </w:t>
      </w:r>
      <w:r w:rsidRPr="00AE712D">
        <w:t xml:space="preserve">in accordance with the </w:t>
      </w:r>
      <w:r w:rsidR="00205388" w:rsidRPr="00AE712D">
        <w:t xml:space="preserve">requirements </w:t>
      </w:r>
      <w:r w:rsidR="00FD6E8A" w:rsidRPr="00AE712D">
        <w:t xml:space="preserve">in the </w:t>
      </w:r>
      <w:r w:rsidR="0020131A">
        <w:t>DWR</w:t>
      </w:r>
      <w:r w:rsidR="00FD6E8A" w:rsidRPr="00AE712D">
        <w:t xml:space="preserve"> Authority document referenced herein as “Attachment A</w:t>
      </w:r>
      <w:r w:rsidR="00A431B9" w:rsidRPr="00AE712D">
        <w:t>”</w:t>
      </w:r>
      <w:r w:rsidR="00FD6E8A" w:rsidRPr="00AE712D">
        <w:t xml:space="preserve"> and attached to this Instrument.</w:t>
      </w:r>
      <w:r w:rsidR="0073345C" w:rsidRPr="00AE712D">
        <w:t xml:space="preserve">  </w:t>
      </w:r>
    </w:p>
    <w:p w:rsidR="00205388" w:rsidRPr="00AE712D" w:rsidRDefault="00205388" w:rsidP="003B0797">
      <w:pPr>
        <w:pStyle w:val="Clause"/>
        <w:numPr>
          <w:ilvl w:val="0"/>
          <w:numId w:val="0"/>
        </w:numPr>
        <w:ind w:left="720"/>
      </w:pPr>
    </w:p>
    <w:p w:rsidR="00FD6E8A" w:rsidRPr="00AE712D" w:rsidRDefault="00205388" w:rsidP="003B0797">
      <w:pPr>
        <w:pStyle w:val="Clause"/>
        <w:numPr>
          <w:ilvl w:val="0"/>
          <w:numId w:val="12"/>
        </w:numPr>
      </w:pPr>
      <w:r w:rsidRPr="00AE712D">
        <w:t xml:space="preserve">Projects eligible for utilization of the credits are those requiring authorization under the requirements of </w:t>
      </w:r>
      <w:r w:rsidR="00FD6E8A" w:rsidRPr="00AE712D">
        <w:t>Attachment A.</w:t>
      </w:r>
    </w:p>
    <w:p w:rsidR="00907111" w:rsidRPr="00AE712D" w:rsidRDefault="00907111" w:rsidP="003B0797">
      <w:pPr>
        <w:pStyle w:val="Clause"/>
        <w:numPr>
          <w:ilvl w:val="0"/>
          <w:numId w:val="0"/>
        </w:numPr>
        <w:ind w:left="720"/>
      </w:pPr>
    </w:p>
    <w:p w:rsidR="00FD6E8A" w:rsidRPr="00AE712D" w:rsidRDefault="00FD6E8A" w:rsidP="003B0797">
      <w:pPr>
        <w:pStyle w:val="Clause"/>
        <w:numPr>
          <w:ilvl w:val="0"/>
          <w:numId w:val="12"/>
        </w:numPr>
      </w:pPr>
      <w:r w:rsidRPr="00AE712D">
        <w:t xml:space="preserve">All activities shall be consistent with </w:t>
      </w:r>
      <w:r w:rsidR="0069101F" w:rsidRPr="00AE712D">
        <w:t>approved North Carolina (“State”)</w:t>
      </w:r>
      <w:r w:rsidR="002E4326" w:rsidRPr="00AE712D">
        <w:t xml:space="preserve"> </w:t>
      </w:r>
      <w:r w:rsidR="0069101F" w:rsidRPr="00AE712D">
        <w:t xml:space="preserve">statutes and </w:t>
      </w:r>
      <w:r w:rsidRPr="00AE712D">
        <w:t xml:space="preserve">rules for the </w:t>
      </w:r>
      <w:r w:rsidR="00E951FE" w:rsidRPr="0020131A">
        <w:rPr>
          <w:highlight w:val="green"/>
        </w:rPr>
        <w:t>WHICH</w:t>
      </w:r>
      <w:r w:rsidRPr="00AE712D">
        <w:t xml:space="preserve"> </w:t>
      </w:r>
      <w:r w:rsidR="00A431B9" w:rsidRPr="00AE712D">
        <w:t>Nutrient Sensitive Waters Management Strategy</w:t>
      </w:r>
      <w:r w:rsidR="00AE712D" w:rsidRPr="00AE712D">
        <w:t xml:space="preserve"> </w:t>
      </w:r>
      <w:r w:rsidR="00AE712D" w:rsidRPr="00AE712D">
        <w:rPr>
          <w:highlight w:val="cyan"/>
        </w:rPr>
        <w:t>–and- for the Falls Water Supply Nutrient St</w:t>
      </w:r>
      <w:r w:rsidR="00AE712D">
        <w:rPr>
          <w:highlight w:val="cyan"/>
        </w:rPr>
        <w:t>r</w:t>
      </w:r>
      <w:r w:rsidR="00AE712D" w:rsidRPr="00AE712D">
        <w:rPr>
          <w:highlight w:val="cyan"/>
        </w:rPr>
        <w:t>ategy (use for Falls UMBI only).</w:t>
      </w:r>
    </w:p>
    <w:p w:rsidR="00907111" w:rsidRDefault="00907111" w:rsidP="003B0797">
      <w:pPr>
        <w:pStyle w:val="Clause"/>
        <w:numPr>
          <w:ilvl w:val="0"/>
          <w:numId w:val="0"/>
        </w:numPr>
        <w:ind w:left="720"/>
      </w:pPr>
    </w:p>
    <w:p w:rsidR="00B96CC3" w:rsidRDefault="00B96CC3" w:rsidP="003B0797">
      <w:pPr>
        <w:pStyle w:val="Heading1"/>
        <w:spacing w:before="0" w:after="0"/>
      </w:pPr>
      <w:r>
        <w:t>establish</w:t>
      </w:r>
      <w:r w:rsidR="00C60FB6">
        <w:t>ment of</w:t>
      </w:r>
      <w:r>
        <w:t xml:space="preserve"> bank parcel(s)</w:t>
      </w:r>
    </w:p>
    <w:p w:rsidR="003B0797" w:rsidRDefault="003B0797" w:rsidP="003B0797">
      <w:pPr>
        <w:pStyle w:val="Heading1"/>
        <w:numPr>
          <w:ilvl w:val="0"/>
          <w:numId w:val="0"/>
        </w:numPr>
        <w:spacing w:before="0" w:after="0"/>
        <w:ind w:left="360"/>
      </w:pPr>
    </w:p>
    <w:p w:rsidR="00B96CC3" w:rsidRDefault="00B96CC3" w:rsidP="003B0797">
      <w:pPr>
        <w:pStyle w:val="Clause"/>
        <w:numPr>
          <w:ilvl w:val="0"/>
          <w:numId w:val="14"/>
        </w:numPr>
      </w:pPr>
      <w:r w:rsidRPr="00CA6204">
        <w:t xml:space="preserve">Each </w:t>
      </w:r>
      <w:r w:rsidR="000654BF">
        <w:t>p</w:t>
      </w:r>
      <w:r>
        <w:t xml:space="preserve">arcel </w:t>
      </w:r>
      <w:r w:rsidR="000654BF">
        <w:t xml:space="preserve">proposed for </w:t>
      </w:r>
      <w:r w:rsidRPr="00CA6204">
        <w:t>inclu</w:t>
      </w:r>
      <w:r w:rsidR="000654BF">
        <w:t xml:space="preserve">sion within </w:t>
      </w:r>
      <w:r w:rsidRPr="00CA6204">
        <w:t xml:space="preserve">the Bank </w:t>
      </w:r>
      <w:r>
        <w:t xml:space="preserve">under this Instrument </w:t>
      </w:r>
      <w:r w:rsidRPr="00CA6204">
        <w:t>shall require a Bank Parcel Development Package (</w:t>
      </w:r>
      <w:r w:rsidR="006A401A">
        <w:t>“</w:t>
      </w:r>
      <w:r w:rsidRPr="00CA6204">
        <w:t>BPDP</w:t>
      </w:r>
      <w:r w:rsidR="006A401A">
        <w:t>”</w:t>
      </w:r>
      <w:r w:rsidRPr="00CA6204">
        <w:t>)</w:t>
      </w:r>
      <w:r w:rsidR="000654BF">
        <w:t xml:space="preserve"> be submitted to</w:t>
      </w:r>
      <w:r w:rsidR="00B8552A">
        <w:t>,</w:t>
      </w:r>
      <w:r w:rsidR="000654BF">
        <w:t xml:space="preserve"> and approved by</w:t>
      </w:r>
      <w:r w:rsidR="00B8552A">
        <w:t>,</w:t>
      </w:r>
      <w:r w:rsidR="000654BF">
        <w:t xml:space="preserve"> the </w:t>
      </w:r>
      <w:r w:rsidR="0020131A">
        <w:t>DWR</w:t>
      </w:r>
      <w:r w:rsidR="000654BF">
        <w:t xml:space="preserve"> </w:t>
      </w:r>
      <w:r w:rsidR="000654BF" w:rsidRPr="00CA6204">
        <w:t>prior to use of the parcel for mitigation purposes</w:t>
      </w:r>
      <w:r w:rsidR="000654BF">
        <w:t xml:space="preserve"> or sale </w:t>
      </w:r>
      <w:r w:rsidR="000742D8">
        <w:t xml:space="preserve">or transfer </w:t>
      </w:r>
      <w:r w:rsidR="000654BF">
        <w:t>of any associated credits</w:t>
      </w:r>
      <w:r w:rsidR="000654BF" w:rsidRPr="00CA6204">
        <w:t>.</w:t>
      </w:r>
    </w:p>
    <w:p w:rsidR="00B96CC3" w:rsidRDefault="00B96CC3" w:rsidP="003B0797">
      <w:pPr>
        <w:pStyle w:val="Clause"/>
        <w:numPr>
          <w:ilvl w:val="0"/>
          <w:numId w:val="0"/>
        </w:numPr>
        <w:ind w:left="720"/>
      </w:pPr>
    </w:p>
    <w:p w:rsidR="00B96CC3" w:rsidRDefault="000742D8" w:rsidP="003B0797">
      <w:pPr>
        <w:pStyle w:val="Clause"/>
        <w:numPr>
          <w:ilvl w:val="0"/>
          <w:numId w:val="9"/>
        </w:numPr>
      </w:pPr>
      <w:r>
        <w:t>Bank P</w:t>
      </w:r>
      <w:r w:rsidR="00B96CC3" w:rsidRPr="00CA6204">
        <w:t>arcel</w:t>
      </w:r>
      <w:r>
        <w:t>(</w:t>
      </w:r>
      <w:r w:rsidR="00B96CC3" w:rsidRPr="00CA6204">
        <w:t>s</w:t>
      </w:r>
      <w:r>
        <w:t>)</w:t>
      </w:r>
      <w:r w:rsidR="00B96CC3" w:rsidRPr="00CA6204">
        <w:t xml:space="preserve"> may be added to the Bank at any time upon approval of </w:t>
      </w:r>
      <w:r>
        <w:t>a</w:t>
      </w:r>
      <w:r w:rsidR="00B96CC3">
        <w:t xml:space="preserve"> </w:t>
      </w:r>
      <w:r w:rsidR="00B96CC3" w:rsidRPr="00CA6204">
        <w:t xml:space="preserve">BPDP by the </w:t>
      </w:r>
      <w:r w:rsidR="0020131A">
        <w:t>DWR</w:t>
      </w:r>
      <w:r w:rsidR="00B96CC3">
        <w:t>.</w:t>
      </w:r>
    </w:p>
    <w:p w:rsidR="003B0797" w:rsidRDefault="003B0797" w:rsidP="003B0797">
      <w:pPr>
        <w:pStyle w:val="Clause"/>
        <w:numPr>
          <w:ilvl w:val="0"/>
          <w:numId w:val="0"/>
        </w:numPr>
        <w:ind w:left="720"/>
      </w:pPr>
    </w:p>
    <w:p w:rsidR="00C86AFD" w:rsidRDefault="00C86AFD" w:rsidP="003B0797">
      <w:pPr>
        <w:pStyle w:val="Heading1"/>
        <w:spacing w:before="0" w:after="0"/>
      </w:pPr>
      <w:r w:rsidRPr="00FF0CEA">
        <w:t>BANK PARCEL</w:t>
      </w:r>
      <w:r w:rsidR="00D62C55">
        <w:t xml:space="preserve"> development package</w:t>
      </w:r>
    </w:p>
    <w:p w:rsidR="003B0797" w:rsidRPr="00FF0CEA" w:rsidRDefault="003B0797" w:rsidP="003B0797">
      <w:pPr>
        <w:pStyle w:val="Heading1"/>
        <w:numPr>
          <w:ilvl w:val="0"/>
          <w:numId w:val="0"/>
        </w:numPr>
        <w:spacing w:before="0" w:after="0"/>
        <w:ind w:left="360"/>
      </w:pPr>
    </w:p>
    <w:p w:rsidR="00B96CC3" w:rsidRDefault="00B96CC3" w:rsidP="003B0797">
      <w:pPr>
        <w:pStyle w:val="Clause"/>
        <w:numPr>
          <w:ilvl w:val="0"/>
          <w:numId w:val="16"/>
        </w:numPr>
      </w:pPr>
      <w:r>
        <w:t xml:space="preserve">Each </w:t>
      </w:r>
      <w:r w:rsidR="000E0F19" w:rsidRPr="00CA6204">
        <w:t>BPDP</w:t>
      </w:r>
      <w:r>
        <w:t xml:space="preserve"> shall i</w:t>
      </w:r>
      <w:r w:rsidR="000E0F19" w:rsidRPr="00CA6204">
        <w:t>nclud</w:t>
      </w:r>
      <w:r>
        <w:t>e</w:t>
      </w:r>
      <w:r w:rsidR="000E0F19" w:rsidRPr="00CA6204">
        <w:t xml:space="preserve"> detailed information </w:t>
      </w:r>
      <w:r w:rsidR="000E6F04">
        <w:t>consistent with the sections below</w:t>
      </w:r>
      <w:r w:rsidR="000E6F04" w:rsidRPr="00CA6204">
        <w:t xml:space="preserve"> </w:t>
      </w:r>
      <w:r w:rsidR="000E0F19" w:rsidRPr="00CA6204">
        <w:t>concerning</w:t>
      </w:r>
      <w:r>
        <w:t>:</w:t>
      </w:r>
      <w:r w:rsidR="000E0F19" w:rsidRPr="00CA6204">
        <w:t xml:space="preserve"> </w:t>
      </w:r>
      <w:r>
        <w:t>1)</w:t>
      </w:r>
      <w:r w:rsidR="00C60FB6">
        <w:t xml:space="preserve"> </w:t>
      </w:r>
      <w:r w:rsidR="000E0F19" w:rsidRPr="00CA6204">
        <w:t>site location</w:t>
      </w:r>
      <w:r w:rsidR="004A6191">
        <w:t xml:space="preserve"> (</w:t>
      </w:r>
      <w:r w:rsidR="004A6191" w:rsidRPr="004A6191">
        <w:t>8-digit HUC</w:t>
      </w:r>
      <w:r w:rsidR="004A6191">
        <w:t xml:space="preserve"> is required)</w:t>
      </w:r>
      <w:r w:rsidR="00CF5AD0">
        <w:t>;</w:t>
      </w:r>
      <w:r w:rsidR="00CF5AD0" w:rsidRPr="00CA6204">
        <w:t xml:space="preserve"> </w:t>
      </w:r>
      <w:r>
        <w:t xml:space="preserve">2) </w:t>
      </w:r>
      <w:r w:rsidR="000E0F19" w:rsidRPr="00CA6204">
        <w:t>existing conditions</w:t>
      </w:r>
      <w:r w:rsidR="00CF5AD0">
        <w:t>;</w:t>
      </w:r>
      <w:r w:rsidR="00CF5AD0" w:rsidRPr="00CA6204">
        <w:t xml:space="preserve"> </w:t>
      </w:r>
      <w:r>
        <w:t xml:space="preserve">3) </w:t>
      </w:r>
      <w:r w:rsidR="000E0F19" w:rsidRPr="00CA6204">
        <w:t xml:space="preserve">proposed </w:t>
      </w:r>
      <w:r w:rsidR="007B0A5E" w:rsidRPr="00CA6204">
        <w:t xml:space="preserve">buffer </w:t>
      </w:r>
      <w:r w:rsidR="00C60FB6">
        <w:t>restoration, nutrient offset</w:t>
      </w:r>
      <w:r w:rsidR="007B0A5E" w:rsidRPr="00CA6204">
        <w:t xml:space="preserve"> </w:t>
      </w:r>
      <w:r w:rsidR="002E4326">
        <w:t>and/</w:t>
      </w:r>
      <w:r w:rsidR="007B0A5E" w:rsidRPr="00CA6204">
        <w:t xml:space="preserve">or </w:t>
      </w:r>
      <w:proofErr w:type="spellStart"/>
      <w:r w:rsidR="007B0A5E" w:rsidRPr="00CA6204">
        <w:t>stormwater</w:t>
      </w:r>
      <w:proofErr w:type="spellEnd"/>
      <w:r w:rsidR="007B0A5E" w:rsidRPr="00CA6204">
        <w:t xml:space="preserve"> BMP activities</w:t>
      </w:r>
      <w:r w:rsidR="00CF5AD0">
        <w:t>;</w:t>
      </w:r>
      <w:r w:rsidR="00CF5AD0" w:rsidRPr="00CA6204">
        <w:t xml:space="preserve"> </w:t>
      </w:r>
      <w:r>
        <w:t xml:space="preserve">4) </w:t>
      </w:r>
      <w:r w:rsidR="000E0F19" w:rsidRPr="00CA6204">
        <w:t>monitoring and maintenance plans</w:t>
      </w:r>
      <w:r w:rsidR="00CF5AD0">
        <w:t>;</w:t>
      </w:r>
      <w:r w:rsidR="00CF5AD0" w:rsidRPr="00CA6204">
        <w:t xml:space="preserve"> </w:t>
      </w:r>
      <w:r>
        <w:t xml:space="preserve">5) </w:t>
      </w:r>
      <w:r w:rsidR="000E0F19" w:rsidRPr="00CA6204">
        <w:t>financial assurances</w:t>
      </w:r>
      <w:r w:rsidR="00CF5AD0">
        <w:t>;</w:t>
      </w:r>
      <w:r w:rsidR="00CF5AD0" w:rsidRPr="00CA6204">
        <w:t xml:space="preserve"> </w:t>
      </w:r>
      <w:r>
        <w:t xml:space="preserve">6) </w:t>
      </w:r>
      <w:r w:rsidR="000E0F19" w:rsidRPr="00CA6204">
        <w:t xml:space="preserve">associated </w:t>
      </w:r>
      <w:r w:rsidR="00395586" w:rsidRPr="00CA6204">
        <w:t xml:space="preserve">buffer </w:t>
      </w:r>
      <w:r w:rsidR="000E0F19" w:rsidRPr="00CA6204">
        <w:t>mitigation</w:t>
      </w:r>
      <w:r w:rsidR="002B737F" w:rsidRPr="00CA6204">
        <w:t>/nutrient credit</w:t>
      </w:r>
      <w:r w:rsidR="000E0F19" w:rsidRPr="00CA6204">
        <w:t xml:space="preserve"> </w:t>
      </w:r>
      <w:r w:rsidR="00395586" w:rsidRPr="00CA6204">
        <w:t>calculations</w:t>
      </w:r>
      <w:r w:rsidR="00CF5AD0">
        <w:t>, which shall</w:t>
      </w:r>
      <w:r w:rsidR="009C0B8D" w:rsidRPr="00CA6204">
        <w:t xml:space="preserve"> include credit generation, service area, and accounting as appropriate for each regulatory</w:t>
      </w:r>
      <w:r w:rsidR="009C0B8D">
        <w:t xml:space="preserve"> authority</w:t>
      </w:r>
      <w:r w:rsidR="00527C2A">
        <w:t>; and 7)</w:t>
      </w:r>
      <w:r w:rsidR="00527C2A" w:rsidRPr="00527C2A">
        <w:t xml:space="preserve"> stream </w:t>
      </w:r>
      <w:r w:rsidR="00A11A96">
        <w:t xml:space="preserve">buffer </w:t>
      </w:r>
      <w:r w:rsidR="00527C2A" w:rsidRPr="00527C2A">
        <w:t xml:space="preserve">determination letter from </w:t>
      </w:r>
      <w:r w:rsidR="0020131A">
        <w:t>DWR</w:t>
      </w:r>
      <w:r w:rsidR="00A11A96">
        <w:t xml:space="preserve"> (where applicable)</w:t>
      </w:r>
      <w:r w:rsidR="00527C2A">
        <w:t>.</w:t>
      </w:r>
    </w:p>
    <w:p w:rsidR="00907111" w:rsidRDefault="00907111" w:rsidP="003B0797">
      <w:pPr>
        <w:pStyle w:val="Clause"/>
        <w:numPr>
          <w:ilvl w:val="0"/>
          <w:numId w:val="0"/>
        </w:numPr>
        <w:ind w:left="720"/>
      </w:pPr>
    </w:p>
    <w:p w:rsidR="00FD6E8A" w:rsidRDefault="00E41B8D" w:rsidP="003B0797">
      <w:pPr>
        <w:pStyle w:val="Clause"/>
        <w:numPr>
          <w:ilvl w:val="0"/>
          <w:numId w:val="16"/>
        </w:numPr>
      </w:pPr>
      <w:r>
        <w:t xml:space="preserve">In addition to items 1-6 listed in “A” of this section, </w:t>
      </w:r>
      <w:r w:rsidR="00225337">
        <w:t xml:space="preserve">for each Bank Parcel, </w:t>
      </w:r>
      <w:r>
        <w:t xml:space="preserve">the </w:t>
      </w:r>
      <w:r w:rsidR="00FD6E8A" w:rsidRPr="00FD6E8A">
        <w:t xml:space="preserve">Sponsor </w:t>
      </w:r>
      <w:r>
        <w:t>agree</w:t>
      </w:r>
      <w:r w:rsidR="00CF5AD0">
        <w:t>s</w:t>
      </w:r>
      <w:r w:rsidR="002E472B">
        <w:t xml:space="preserve"> </w:t>
      </w:r>
      <w:r>
        <w:t xml:space="preserve">to </w:t>
      </w:r>
      <w:r w:rsidR="00C62D78" w:rsidRPr="00413AE8">
        <w:t xml:space="preserve">transfer or assign the conservation easement </w:t>
      </w:r>
      <w:r w:rsidR="00225337" w:rsidRPr="00413AE8">
        <w:t xml:space="preserve">and its interests </w:t>
      </w:r>
      <w:r w:rsidR="00C62D78" w:rsidRPr="00413AE8">
        <w:t>in perpetuity to a qualified holder under N.C. General Statute (“G.S.”) 121-34 et seq. and 170(h) of the Internal Revenue Code.  The holder shall be</w:t>
      </w:r>
      <w:r w:rsidR="00962668" w:rsidRPr="00413AE8">
        <w:t xml:space="preserve"> </w:t>
      </w:r>
      <w:r w:rsidR="00A25298" w:rsidRPr="00413AE8">
        <w:t>a</w:t>
      </w:r>
      <w:r w:rsidR="00A25298">
        <w:t xml:space="preserve"> </w:t>
      </w:r>
      <w:r w:rsidR="00FD6E8A" w:rsidRPr="00FD6E8A">
        <w:t xml:space="preserve">land trust or stewardship program that will hold </w:t>
      </w:r>
      <w:r w:rsidR="00C437AE">
        <w:t xml:space="preserve">and enforce </w:t>
      </w:r>
      <w:r w:rsidR="00FD6E8A" w:rsidRPr="00FD6E8A">
        <w:t>the conservation easement</w:t>
      </w:r>
      <w:r w:rsidR="00225337">
        <w:t xml:space="preserve"> and the interests</w:t>
      </w:r>
      <w:r w:rsidR="00962668">
        <w:t>.</w:t>
      </w:r>
      <w:r w:rsidR="00413AE8">
        <w:t xml:space="preserve"> </w:t>
      </w:r>
      <w:r w:rsidR="00FD6E8A" w:rsidRPr="00FD6E8A">
        <w:t xml:space="preserve"> </w:t>
      </w:r>
      <w:r>
        <w:t xml:space="preserve">The Sponsor shall choose a </w:t>
      </w:r>
      <w:r w:rsidR="00A25298">
        <w:t>l</w:t>
      </w:r>
      <w:r>
        <w:t xml:space="preserve">and trust or stewardship </w:t>
      </w:r>
      <w:r w:rsidR="00730620">
        <w:t>program that</w:t>
      </w:r>
      <w:r w:rsidR="00A25298">
        <w:t xml:space="preserve"> is </w:t>
      </w:r>
      <w:r w:rsidR="00C437AE" w:rsidRPr="00C437AE">
        <w:t>accredited</w:t>
      </w:r>
      <w:r w:rsidR="00F8677E">
        <w:t xml:space="preserve"> by the Land Trust Accreditation Commission</w:t>
      </w:r>
      <w:r w:rsidR="00C437AE" w:rsidRPr="00C437AE">
        <w:t xml:space="preserve"> and/or has been approved by </w:t>
      </w:r>
      <w:r w:rsidR="0020131A">
        <w:t>DWR</w:t>
      </w:r>
      <w:r w:rsidR="00A25298">
        <w:t xml:space="preserve"> </w:t>
      </w:r>
      <w:r>
        <w:t xml:space="preserve">prior to the </w:t>
      </w:r>
      <w:r w:rsidR="00C437AE">
        <w:t xml:space="preserve">end of the </w:t>
      </w:r>
      <w:r>
        <w:t>fourth year monitoring period</w:t>
      </w:r>
      <w:r w:rsidR="002E4326">
        <w:t xml:space="preserve">.  </w:t>
      </w:r>
      <w:r w:rsidR="00510941">
        <w:t>A land trust must be certified under 501(c</w:t>
      </w:r>
      <w:r w:rsidR="004A3FBF">
        <w:t>) (</w:t>
      </w:r>
      <w:r w:rsidR="00510941">
        <w:t xml:space="preserve">3) of the Internal Revenue Code and must have the qualifications outlined in G.S. 105-130.24 and G.S. 105-151.12.  </w:t>
      </w:r>
    </w:p>
    <w:p w:rsidR="003B0797" w:rsidRDefault="003B0797" w:rsidP="003B0797">
      <w:pPr>
        <w:pStyle w:val="Clause"/>
        <w:numPr>
          <w:ilvl w:val="0"/>
          <w:numId w:val="0"/>
        </w:numPr>
      </w:pPr>
    </w:p>
    <w:p w:rsidR="003B0797" w:rsidRDefault="0046606E" w:rsidP="003B0797">
      <w:pPr>
        <w:pStyle w:val="Heading2"/>
        <w:spacing w:before="0" w:after="0"/>
        <w:ind w:firstLine="360"/>
      </w:pPr>
      <w:r>
        <w:t>Permitting</w:t>
      </w:r>
    </w:p>
    <w:p w:rsidR="00D62C55" w:rsidRPr="00CA6204" w:rsidRDefault="003B0797" w:rsidP="003B0797">
      <w:pPr>
        <w:pStyle w:val="Heading2"/>
        <w:spacing w:before="0" w:after="0"/>
        <w:ind w:firstLine="360"/>
      </w:pPr>
      <w:r>
        <w:t xml:space="preserve"> </w:t>
      </w:r>
    </w:p>
    <w:p w:rsidR="00D62C55" w:rsidRDefault="00B85631" w:rsidP="003B0797">
      <w:pPr>
        <w:pStyle w:val="Clause"/>
      </w:pPr>
      <w:r w:rsidRPr="00B85631">
        <w:t xml:space="preserve">The Sponsor </w:t>
      </w:r>
      <w:r w:rsidR="00D62C55" w:rsidRPr="00CA6204">
        <w:t xml:space="preserve">will obtain all </w:t>
      </w:r>
      <w:r w:rsidR="00205388">
        <w:t>applicable</w:t>
      </w:r>
      <w:r w:rsidR="00D62C55" w:rsidRPr="00CA6204">
        <w:t xml:space="preserve"> </w:t>
      </w:r>
      <w:r w:rsidR="00A4755B" w:rsidRPr="00B85631">
        <w:t>federal, state, and local</w:t>
      </w:r>
      <w:r w:rsidR="00A4755B">
        <w:t xml:space="preserve"> </w:t>
      </w:r>
      <w:r w:rsidR="00D62C55" w:rsidRPr="00CA6204">
        <w:t xml:space="preserve">documentation, permits, or authorizations needed to construct and maintain the Bank Parcel. </w:t>
      </w:r>
      <w:r w:rsidR="00A4755B">
        <w:t xml:space="preserve"> </w:t>
      </w:r>
      <w:r w:rsidR="00D62C55" w:rsidRPr="00CA6204">
        <w:t xml:space="preserve">This Instrument does not qualify </w:t>
      </w:r>
      <w:r w:rsidR="00A4755B">
        <w:t xml:space="preserve">as, </w:t>
      </w:r>
      <w:r w:rsidR="00D62C55" w:rsidRPr="00CA6204">
        <w:t>or substitute for</w:t>
      </w:r>
      <w:r w:rsidR="00A4755B">
        <w:t>,</w:t>
      </w:r>
      <w:r w:rsidR="00D62C55" w:rsidRPr="00CA6204">
        <w:t xml:space="preserve"> such </w:t>
      </w:r>
      <w:r w:rsidR="003B016E">
        <w:t xml:space="preserve">documentation, permit or </w:t>
      </w:r>
      <w:r w:rsidR="00D62C55" w:rsidRPr="00CA6204">
        <w:t>authorization.</w:t>
      </w:r>
    </w:p>
    <w:p w:rsidR="0069230B" w:rsidRPr="0069230B" w:rsidRDefault="0069230B" w:rsidP="0069230B"/>
    <w:p w:rsidR="0046606E" w:rsidRDefault="0046606E" w:rsidP="003B0797">
      <w:pPr>
        <w:pStyle w:val="Heading2"/>
        <w:spacing w:before="0" w:after="0"/>
        <w:ind w:firstLine="360"/>
      </w:pPr>
      <w:r>
        <w:t>Construction</w:t>
      </w:r>
    </w:p>
    <w:p w:rsidR="003B0797" w:rsidRPr="003B0797" w:rsidRDefault="003B0797" w:rsidP="003B0797"/>
    <w:p w:rsidR="00065506" w:rsidRDefault="00065506" w:rsidP="003B0797">
      <w:pPr>
        <w:pStyle w:val="Clause"/>
      </w:pPr>
      <w:r>
        <w:t xml:space="preserve">The placement of BMPs constructed or renovated to produce </w:t>
      </w:r>
      <w:r w:rsidRPr="00B01C00">
        <w:t xml:space="preserve">Nutrient Offset Credit </w:t>
      </w:r>
      <w:r>
        <w:t xml:space="preserve">must be </w:t>
      </w:r>
      <w:r w:rsidRPr="00B01C00">
        <w:t xml:space="preserve">approved by </w:t>
      </w:r>
      <w:r w:rsidR="0020131A">
        <w:t>DWR</w:t>
      </w:r>
      <w:r>
        <w:t xml:space="preserve"> prior to construction or renovation</w:t>
      </w:r>
      <w:r w:rsidR="00234977">
        <w:t>.</w:t>
      </w:r>
    </w:p>
    <w:p w:rsidR="006A1959" w:rsidRDefault="006A1959" w:rsidP="003B0797">
      <w:pPr>
        <w:pStyle w:val="Clause"/>
        <w:numPr>
          <w:ilvl w:val="0"/>
          <w:numId w:val="0"/>
        </w:numPr>
        <w:ind w:left="720"/>
      </w:pPr>
    </w:p>
    <w:p w:rsidR="000E0F19" w:rsidRDefault="00B85631" w:rsidP="003B0797">
      <w:pPr>
        <w:pStyle w:val="Clause"/>
      </w:pPr>
      <w:r>
        <w:t xml:space="preserve">The Sponsor </w:t>
      </w:r>
      <w:r w:rsidR="000E0F19" w:rsidRPr="00CA6204">
        <w:t>agrees to perform all necessary work, in accordance with the provision</w:t>
      </w:r>
      <w:r w:rsidR="00B8552A">
        <w:t>s</w:t>
      </w:r>
      <w:r w:rsidR="000E0F19" w:rsidRPr="00CA6204">
        <w:t xml:space="preserve"> of this Instrument, to establish</w:t>
      </w:r>
      <w:r w:rsidR="00B8552A">
        <w:t xml:space="preserve">, </w:t>
      </w:r>
      <w:r w:rsidR="000E0F19" w:rsidRPr="00CA6204">
        <w:t>maintain</w:t>
      </w:r>
      <w:r w:rsidR="00B8552A">
        <w:t>,</w:t>
      </w:r>
      <w:r w:rsidR="000E0F19" w:rsidRPr="00CA6204">
        <w:t xml:space="preserve"> </w:t>
      </w:r>
      <w:r w:rsidR="00395586" w:rsidRPr="00CA6204">
        <w:t xml:space="preserve">and monitor </w:t>
      </w:r>
      <w:r w:rsidR="00567F85" w:rsidRPr="00567F85">
        <w:rPr>
          <w:highlight w:val="cyan"/>
        </w:rPr>
        <w:t>WHICH</w:t>
      </w:r>
      <w:r w:rsidR="0098163F">
        <w:t xml:space="preserve"> Riparian Buffers or other </w:t>
      </w:r>
      <w:r w:rsidR="000E0F19" w:rsidRPr="00CA6204">
        <w:t xml:space="preserve">riparian </w:t>
      </w:r>
      <w:r w:rsidR="00B8552A">
        <w:t>areas</w:t>
      </w:r>
      <w:r w:rsidR="000E0F19" w:rsidRPr="00CA6204">
        <w:t xml:space="preserve"> </w:t>
      </w:r>
      <w:r w:rsidR="007B0A5E" w:rsidRPr="00CA6204">
        <w:t xml:space="preserve">or to install and/or renovate </w:t>
      </w:r>
      <w:proofErr w:type="spellStart"/>
      <w:r w:rsidR="007B0A5E" w:rsidRPr="00CA6204">
        <w:t>stormwater</w:t>
      </w:r>
      <w:proofErr w:type="spellEnd"/>
      <w:r w:rsidR="007B0A5E" w:rsidRPr="00CA6204">
        <w:t xml:space="preserve"> BMPs </w:t>
      </w:r>
      <w:r w:rsidR="000E0F19" w:rsidRPr="00CA6204">
        <w:t xml:space="preserve">until </w:t>
      </w:r>
      <w:r w:rsidR="00EC6E8C" w:rsidRPr="00EC6E8C">
        <w:t>Item B (1) and (2) of Section IX have been satisfied</w:t>
      </w:r>
      <w:r w:rsidR="000E0F19" w:rsidRPr="00CA6204">
        <w:t>.</w:t>
      </w:r>
    </w:p>
    <w:p w:rsidR="0046606E" w:rsidRPr="00CA6204" w:rsidRDefault="0046606E" w:rsidP="003B0797">
      <w:pPr>
        <w:pStyle w:val="Clause"/>
        <w:numPr>
          <w:ilvl w:val="0"/>
          <w:numId w:val="0"/>
        </w:numPr>
        <w:ind w:left="720"/>
      </w:pPr>
    </w:p>
    <w:p w:rsidR="0046606E" w:rsidRPr="00CA6204" w:rsidRDefault="0046606E" w:rsidP="003B0797">
      <w:pPr>
        <w:pStyle w:val="Clause"/>
      </w:pPr>
      <w:r w:rsidRPr="00CA6204">
        <w:t xml:space="preserve">As-Built Reports: </w:t>
      </w:r>
      <w:r w:rsidR="00B85631">
        <w:t xml:space="preserve">The Sponsor </w:t>
      </w:r>
      <w:r w:rsidRPr="00CA6204">
        <w:t xml:space="preserve">will submit an as-built plan and report for each Bank Parcel within 30 </w:t>
      </w:r>
      <w:r w:rsidR="00261359">
        <w:t xml:space="preserve">calendar </w:t>
      </w:r>
      <w:r w:rsidRPr="00CA6204">
        <w:t>days after completing the establishment of the buffer</w:t>
      </w:r>
      <w:r w:rsidR="0069230B">
        <w:t xml:space="preserve"> area,  nutrient offset area</w:t>
      </w:r>
      <w:r w:rsidRPr="00CA6204">
        <w:t xml:space="preserve"> and/or construction or renovation of </w:t>
      </w:r>
      <w:r w:rsidR="00261359">
        <w:t xml:space="preserve">the </w:t>
      </w:r>
      <w:proofErr w:type="spellStart"/>
      <w:r w:rsidRPr="00CA6204">
        <w:t>stormwater</w:t>
      </w:r>
      <w:proofErr w:type="spellEnd"/>
      <w:r w:rsidRPr="00CA6204">
        <w:t xml:space="preserve"> BMP</w:t>
      </w:r>
      <w:r w:rsidR="00261359">
        <w:t>(</w:t>
      </w:r>
      <w:r w:rsidRPr="00CA6204">
        <w:t xml:space="preserve">s). The as-built report will describe any deviation from the </w:t>
      </w:r>
      <w:r w:rsidR="00892BB1">
        <w:t xml:space="preserve">approved </w:t>
      </w:r>
      <w:r w:rsidRPr="00CA6204">
        <w:t>BPDP</w:t>
      </w:r>
      <w:r w:rsidR="00261359">
        <w:t xml:space="preserve"> and</w:t>
      </w:r>
      <w:r w:rsidR="009C76B9">
        <w:t xml:space="preserve"> will document the following</w:t>
      </w:r>
      <w:r w:rsidRPr="00CA6204">
        <w:t>:</w:t>
      </w:r>
    </w:p>
    <w:p w:rsidR="0046606E" w:rsidRPr="00CA6204" w:rsidRDefault="0046606E" w:rsidP="003B0797">
      <w:pPr>
        <w:tabs>
          <w:tab w:val="left" w:pos="360"/>
          <w:tab w:val="left" w:pos="1080"/>
          <w:tab w:val="left" w:pos="1440"/>
        </w:tabs>
        <w:ind w:left="360"/>
        <w:jc w:val="both"/>
      </w:pPr>
    </w:p>
    <w:p w:rsidR="0046606E" w:rsidRPr="00CA6204" w:rsidRDefault="0046606E" w:rsidP="003B0797">
      <w:pPr>
        <w:numPr>
          <w:ilvl w:val="1"/>
          <w:numId w:val="2"/>
        </w:numPr>
        <w:tabs>
          <w:tab w:val="left" w:pos="360"/>
          <w:tab w:val="left" w:pos="720"/>
          <w:tab w:val="left" w:pos="1080"/>
        </w:tabs>
        <w:jc w:val="both"/>
      </w:pPr>
      <w:r w:rsidRPr="00261359">
        <w:rPr>
          <w:u w:val="single"/>
        </w:rPr>
        <w:t>Buffer restoration</w:t>
      </w:r>
      <w:r w:rsidRPr="00CA6204">
        <w:t>: planting details,</w:t>
      </w:r>
      <w:r>
        <w:t xml:space="preserve"> invasive species control,</w:t>
      </w:r>
      <w:r w:rsidRPr="00CA6204">
        <w:t xml:space="preserve"> monitoring device locations, vegetation plot locations, photo point locations, surface and groundwater elevations, as appropriate.</w:t>
      </w:r>
    </w:p>
    <w:p w:rsidR="003B0797" w:rsidRPr="003B0797" w:rsidRDefault="003B0797" w:rsidP="003B0797">
      <w:pPr>
        <w:tabs>
          <w:tab w:val="left" w:pos="360"/>
          <w:tab w:val="left" w:pos="1080"/>
        </w:tabs>
        <w:ind w:left="1440"/>
        <w:jc w:val="both"/>
      </w:pPr>
    </w:p>
    <w:p w:rsidR="0046606E" w:rsidRPr="00CA6204" w:rsidRDefault="0046606E" w:rsidP="003B0797">
      <w:pPr>
        <w:numPr>
          <w:ilvl w:val="1"/>
          <w:numId w:val="2"/>
        </w:numPr>
        <w:tabs>
          <w:tab w:val="left" w:pos="360"/>
          <w:tab w:val="left" w:pos="720"/>
          <w:tab w:val="left" w:pos="1080"/>
        </w:tabs>
        <w:jc w:val="both"/>
      </w:pPr>
      <w:proofErr w:type="spellStart"/>
      <w:r w:rsidRPr="00261359">
        <w:rPr>
          <w:u w:val="single"/>
        </w:rPr>
        <w:t>Stormwater</w:t>
      </w:r>
      <w:proofErr w:type="spellEnd"/>
      <w:r w:rsidRPr="00261359">
        <w:rPr>
          <w:u w:val="single"/>
        </w:rPr>
        <w:t xml:space="preserve"> BMPs</w:t>
      </w:r>
      <w:r w:rsidRPr="00CA6204">
        <w:t>: outlet structure information, surface area/volume computations, hydrograph routing information, planting details, monitoring device locations, photo point locations as appropriate.</w:t>
      </w:r>
    </w:p>
    <w:p w:rsidR="003B0797" w:rsidRDefault="003B0797" w:rsidP="003B0797">
      <w:pPr>
        <w:tabs>
          <w:tab w:val="left" w:pos="360"/>
          <w:tab w:val="left" w:pos="1080"/>
        </w:tabs>
        <w:ind w:left="1440"/>
        <w:jc w:val="both"/>
      </w:pPr>
    </w:p>
    <w:p w:rsidR="0046606E" w:rsidRDefault="0046606E" w:rsidP="003B0797">
      <w:pPr>
        <w:numPr>
          <w:ilvl w:val="1"/>
          <w:numId w:val="2"/>
        </w:numPr>
        <w:tabs>
          <w:tab w:val="left" w:pos="360"/>
          <w:tab w:val="left" w:pos="720"/>
          <w:tab w:val="left" w:pos="1080"/>
        </w:tabs>
        <w:jc w:val="both"/>
      </w:pPr>
      <w:r w:rsidRPr="00CA6204">
        <w:t xml:space="preserve">Boundary Survey of </w:t>
      </w:r>
      <w:r w:rsidR="00A25298">
        <w:t xml:space="preserve">the conservation </w:t>
      </w:r>
      <w:r w:rsidRPr="00CA6204">
        <w:t>easement area</w:t>
      </w:r>
      <w:r>
        <w:t xml:space="preserve"> including an enumeration of </w:t>
      </w:r>
      <w:r w:rsidR="0098163F">
        <w:t xml:space="preserve">the final mitigation area for </w:t>
      </w:r>
      <w:r>
        <w:t xml:space="preserve">buffer and/or nutrient offset </w:t>
      </w:r>
      <w:r w:rsidR="0098163F">
        <w:t xml:space="preserve">mitigation </w:t>
      </w:r>
      <w:r>
        <w:t>credits in both square feet and acres.</w:t>
      </w:r>
    </w:p>
    <w:p w:rsidR="003B0797" w:rsidRDefault="003B0797" w:rsidP="003B0797">
      <w:pPr>
        <w:pStyle w:val="Heading2"/>
        <w:spacing w:before="0" w:after="0"/>
        <w:ind w:firstLine="360"/>
      </w:pPr>
    </w:p>
    <w:p w:rsidR="0046606E" w:rsidRDefault="0046606E" w:rsidP="003B0797">
      <w:pPr>
        <w:pStyle w:val="Heading2"/>
        <w:spacing w:before="0" w:after="0"/>
        <w:ind w:firstLine="360"/>
      </w:pPr>
      <w:r>
        <w:t>Operation and Maintenance</w:t>
      </w:r>
    </w:p>
    <w:p w:rsidR="003B0797" w:rsidRPr="003B0797" w:rsidRDefault="003B0797" w:rsidP="003B0797"/>
    <w:p w:rsidR="006A1959" w:rsidRDefault="006A1959" w:rsidP="003B0797">
      <w:pPr>
        <w:pStyle w:val="Clause"/>
      </w:pPr>
      <w:r>
        <w:t xml:space="preserve">The Sponsor </w:t>
      </w:r>
      <w:r w:rsidRPr="00CA6204">
        <w:t xml:space="preserve">will provide </w:t>
      </w:r>
      <w:r>
        <w:t xml:space="preserve">the </w:t>
      </w:r>
      <w:r w:rsidR="0020131A">
        <w:t>DWR</w:t>
      </w:r>
      <w:r w:rsidRPr="00CA6204">
        <w:t xml:space="preserve"> with the necessary operation and maintenance agreements for the newly constructed or renovated </w:t>
      </w:r>
      <w:proofErr w:type="spellStart"/>
      <w:r w:rsidRPr="00CA6204">
        <w:t>stormwater</w:t>
      </w:r>
      <w:proofErr w:type="spellEnd"/>
      <w:r w:rsidRPr="00CA6204">
        <w:t xml:space="preserve"> BMPs. These agreements shall be consistent with the standards adopted by </w:t>
      </w:r>
      <w:r>
        <w:t xml:space="preserve">the </w:t>
      </w:r>
      <w:r w:rsidR="0020131A">
        <w:t>DWR</w:t>
      </w:r>
      <w:r>
        <w:t xml:space="preserve"> and must </w:t>
      </w:r>
      <w:r w:rsidRPr="00CA6204">
        <w:t xml:space="preserve">be approved by the </w:t>
      </w:r>
      <w:r w:rsidR="0020131A">
        <w:t>DWR</w:t>
      </w:r>
      <w:r w:rsidRPr="00CA6204">
        <w:t xml:space="preserve"> prior to the </w:t>
      </w:r>
      <w:r>
        <w:t xml:space="preserve">release </w:t>
      </w:r>
      <w:r w:rsidRPr="00CA6204">
        <w:t>of any credits</w:t>
      </w:r>
      <w:r>
        <w:t>.</w:t>
      </w:r>
    </w:p>
    <w:p w:rsidR="006A1959" w:rsidRDefault="006A1959" w:rsidP="003B0797">
      <w:pPr>
        <w:pStyle w:val="Clause"/>
        <w:numPr>
          <w:ilvl w:val="0"/>
          <w:numId w:val="0"/>
        </w:numPr>
        <w:ind w:left="720"/>
      </w:pPr>
    </w:p>
    <w:p w:rsidR="00C11B04" w:rsidRDefault="00C11B04" w:rsidP="003B0797">
      <w:pPr>
        <w:pStyle w:val="Clause"/>
      </w:pPr>
      <w:r>
        <w:t xml:space="preserve">The Sponsor </w:t>
      </w:r>
      <w:r w:rsidRPr="00CA6204">
        <w:t xml:space="preserve">agrees to perform all necessary work to operate and maintain the Bank Parcel(s) consistent with the operation and maintenance criteria established in </w:t>
      </w:r>
      <w:r>
        <w:t>each approved BPDP</w:t>
      </w:r>
      <w:r w:rsidR="00261359">
        <w:t xml:space="preserve"> until</w:t>
      </w:r>
      <w:r w:rsidR="0073345C">
        <w:t xml:space="preserve"> </w:t>
      </w:r>
      <w:r w:rsidR="00E5084C">
        <w:t>Item B</w:t>
      </w:r>
      <w:r w:rsidR="003F3C35">
        <w:t xml:space="preserve"> (1) and (2)</w:t>
      </w:r>
      <w:r w:rsidR="00E5084C">
        <w:t xml:space="preserve"> </w:t>
      </w:r>
      <w:r w:rsidR="00830DDC">
        <w:t>of Section IX ha</w:t>
      </w:r>
      <w:r w:rsidR="00E5084C">
        <w:t>ve</w:t>
      </w:r>
      <w:r w:rsidR="00830DDC">
        <w:t xml:space="preserve"> been </w:t>
      </w:r>
      <w:r w:rsidR="001A60C8">
        <w:t>satisfied</w:t>
      </w:r>
      <w:r w:rsidR="00830DDC">
        <w:t xml:space="preserve">. </w:t>
      </w:r>
    </w:p>
    <w:p w:rsidR="0090530E" w:rsidRDefault="0090530E" w:rsidP="0090530E">
      <w:pPr>
        <w:pStyle w:val="Clause"/>
        <w:numPr>
          <w:ilvl w:val="0"/>
          <w:numId w:val="0"/>
        </w:numPr>
        <w:ind w:left="720"/>
      </w:pPr>
    </w:p>
    <w:p w:rsidR="00724010" w:rsidRDefault="0090530E" w:rsidP="0090530E">
      <w:pPr>
        <w:pStyle w:val="Clause"/>
      </w:pPr>
      <w:r>
        <w:t>Requests for d</w:t>
      </w:r>
      <w:r w:rsidRPr="00CA6204">
        <w:t xml:space="preserve">eviation from the approved BPDP </w:t>
      </w:r>
      <w:r>
        <w:t xml:space="preserve">must be submitted to the </w:t>
      </w:r>
      <w:r w:rsidR="0020131A">
        <w:t>DWR</w:t>
      </w:r>
      <w:r>
        <w:t xml:space="preserve"> in writing. </w:t>
      </w:r>
      <w:r w:rsidRPr="00CA6204">
        <w:t xml:space="preserve"> </w:t>
      </w:r>
      <w:r>
        <w:t>W</w:t>
      </w:r>
      <w:r w:rsidRPr="00CA6204">
        <w:t>ritten</w:t>
      </w:r>
      <w:r>
        <w:t xml:space="preserve"> approval from the </w:t>
      </w:r>
      <w:r w:rsidR="0020131A">
        <w:t>DWR</w:t>
      </w:r>
      <w:r>
        <w:t xml:space="preserve"> must be received prior to implementing any deviation from the approved BPDP.</w:t>
      </w:r>
    </w:p>
    <w:p w:rsidR="00724010" w:rsidRDefault="00724010" w:rsidP="00724010">
      <w:pPr>
        <w:pStyle w:val="Clause"/>
        <w:numPr>
          <w:ilvl w:val="0"/>
          <w:numId w:val="0"/>
        </w:numPr>
        <w:ind w:left="720" w:hanging="360"/>
      </w:pPr>
    </w:p>
    <w:p w:rsidR="00724010" w:rsidRPr="00724010" w:rsidRDefault="00724010" w:rsidP="00724010">
      <w:pPr>
        <w:pStyle w:val="Clause"/>
        <w:numPr>
          <w:ilvl w:val="0"/>
          <w:numId w:val="0"/>
        </w:numPr>
        <w:tabs>
          <w:tab w:val="clear" w:pos="720"/>
        </w:tabs>
        <w:ind w:left="720" w:hanging="360"/>
        <w:rPr>
          <w:b/>
          <w:u w:val="single"/>
        </w:rPr>
      </w:pPr>
      <w:r w:rsidRPr="00724010">
        <w:rPr>
          <w:b/>
          <w:u w:val="single"/>
        </w:rPr>
        <w:t>Monitoring</w:t>
      </w:r>
    </w:p>
    <w:p w:rsidR="00724010" w:rsidRDefault="00724010" w:rsidP="00724010">
      <w:pPr>
        <w:pStyle w:val="Clause"/>
        <w:numPr>
          <w:ilvl w:val="0"/>
          <w:numId w:val="0"/>
        </w:numPr>
        <w:ind w:left="720"/>
      </w:pPr>
    </w:p>
    <w:p w:rsidR="0046606E" w:rsidRDefault="00B85631" w:rsidP="00724010">
      <w:pPr>
        <w:pStyle w:val="Clause"/>
      </w:pPr>
      <w:r>
        <w:t xml:space="preserve">The Sponsor </w:t>
      </w:r>
      <w:r w:rsidR="0046606E" w:rsidRPr="00CA6204">
        <w:t xml:space="preserve">shall monitor </w:t>
      </w:r>
      <w:r w:rsidR="00892BB1">
        <w:t>each</w:t>
      </w:r>
      <w:r w:rsidR="0046606E" w:rsidRPr="00CA6204">
        <w:t xml:space="preserve"> Bank Parcel as described in the BPDP until such time as </w:t>
      </w:r>
      <w:r w:rsidR="0020131A">
        <w:t>DWR</w:t>
      </w:r>
      <w:r w:rsidR="0046606E" w:rsidRPr="00CA6204">
        <w:t xml:space="preserve"> determines that the success criteria described below have been met. </w:t>
      </w:r>
      <w:r w:rsidR="004A3FBF" w:rsidRPr="00CA6204">
        <w:t>The monitoring per</w:t>
      </w:r>
      <w:r w:rsidR="004A3FBF">
        <w:t xml:space="preserve">iod shall be a minimum of five </w:t>
      </w:r>
      <w:r w:rsidR="004A3FBF" w:rsidRPr="00CA6204">
        <w:t>years.</w:t>
      </w:r>
    </w:p>
    <w:p w:rsidR="003F3C35" w:rsidRDefault="003F3C35" w:rsidP="003F3C35">
      <w:pPr>
        <w:pStyle w:val="Clause"/>
        <w:numPr>
          <w:ilvl w:val="0"/>
          <w:numId w:val="0"/>
        </w:numPr>
        <w:ind w:left="720"/>
      </w:pPr>
    </w:p>
    <w:p w:rsidR="00592D03" w:rsidRPr="00592D03" w:rsidRDefault="00592D03" w:rsidP="00592D03">
      <w:pPr>
        <w:pStyle w:val="Clause"/>
      </w:pPr>
      <w:r w:rsidRPr="00592D03">
        <w:rPr>
          <w:rFonts w:cs="LJMNFN+TimesNewRoman"/>
          <w:color w:val="000000"/>
        </w:rPr>
        <w:t>Trees should be planted at a density sufficient to provide 320 trees per acre at maturity. To achieve this density, approximately 436 (10x10 feet spacing) to 681 (8x8 feet spacing) trees per acre should be planted initially.</w:t>
      </w:r>
    </w:p>
    <w:p w:rsidR="00592D03" w:rsidRPr="00592D03" w:rsidRDefault="00592D03" w:rsidP="00592D03">
      <w:pPr>
        <w:pStyle w:val="Clause"/>
        <w:numPr>
          <w:ilvl w:val="0"/>
          <w:numId w:val="0"/>
        </w:numPr>
        <w:ind w:left="720"/>
      </w:pPr>
    </w:p>
    <w:p w:rsidR="003932CA" w:rsidRDefault="00AC2292" w:rsidP="003B0797">
      <w:pPr>
        <w:pStyle w:val="Clause"/>
      </w:pPr>
      <w:r w:rsidRPr="00AC2292">
        <w:t xml:space="preserve">Vegetative Success Criteria:  Reporting criteria of the riparian buffer restoration shall be based on the Carolina Vegetation Survey (“CVS”) - EEP </w:t>
      </w:r>
      <w:r w:rsidRPr="00AC2292">
        <w:rPr>
          <w:i/>
          <w:iCs/>
        </w:rPr>
        <w:t>Protocol for Recording Vegetation Level 1-2 Plot Sampling Only Version 4.0</w:t>
      </w:r>
      <w:r w:rsidRPr="00AC2292">
        <w:t xml:space="preserve"> or any updated versions of this protocol in place at the date of acceptance of the BPDP.  “Character Trees” are defined as planted or volunteer species identified from a survey of local vegetation on less degraded sections of the specified stream and from reference literature that details native species. A list of Character Tree species for each Bank Parcel will be detailed in the BPDP. Vegetative Success Criteria </w:t>
      </w:r>
      <w:r w:rsidR="00236D7E">
        <w:t xml:space="preserve">should </w:t>
      </w:r>
      <w:r w:rsidRPr="00AC2292">
        <w:t xml:space="preserve">be based upon guidelines set forth in the </w:t>
      </w:r>
      <w:r w:rsidRPr="00AC2292">
        <w:rPr>
          <w:i/>
          <w:iCs/>
        </w:rPr>
        <w:t>Guidelines for Riparian Buffer Restoration</w:t>
      </w:r>
      <w:r w:rsidRPr="00AC2292">
        <w:t xml:space="preserve"> prepared by the North Carolina Ecosystem Enhancement Program (or subsequent updated versions of this Guidance in place at the date of acceptance of a BPDP).  Success will be defined as the survival of an average density of 320 planted trees per acre after five years.  If vegetative success criteria are not met, supplemental plantings may be required.  Supplemental plantings will be utilized until the required densities have been achieved and maintained for five years</w:t>
      </w:r>
      <w:r w:rsidR="003932CA" w:rsidRPr="003932CA">
        <w:t xml:space="preserve">.  </w:t>
      </w:r>
    </w:p>
    <w:p w:rsidR="0046606E" w:rsidRPr="00CA6204" w:rsidRDefault="0046606E" w:rsidP="003B0797">
      <w:pPr>
        <w:tabs>
          <w:tab w:val="left" w:pos="360"/>
          <w:tab w:val="left" w:pos="720"/>
          <w:tab w:val="left" w:pos="1080"/>
          <w:tab w:val="left" w:pos="1440"/>
        </w:tabs>
        <w:ind w:left="720" w:hanging="720"/>
        <w:jc w:val="both"/>
      </w:pPr>
    </w:p>
    <w:p w:rsidR="0046606E" w:rsidRDefault="002914F4" w:rsidP="003B0797">
      <w:pPr>
        <w:pStyle w:val="Clause"/>
      </w:pPr>
      <w:r w:rsidRPr="009007B8">
        <w:rPr>
          <w:b/>
        </w:rPr>
        <w:t xml:space="preserve">Monitoring Reports for </w:t>
      </w:r>
      <w:r w:rsidR="00A67603" w:rsidRPr="009007B8">
        <w:rPr>
          <w:b/>
        </w:rPr>
        <w:t xml:space="preserve">Riparian </w:t>
      </w:r>
      <w:r w:rsidR="00F61EDC" w:rsidRPr="009007B8">
        <w:rPr>
          <w:b/>
        </w:rPr>
        <w:t xml:space="preserve">Buffer </w:t>
      </w:r>
      <w:r w:rsidRPr="009007B8">
        <w:rPr>
          <w:b/>
        </w:rPr>
        <w:t xml:space="preserve">Credit </w:t>
      </w:r>
      <w:r w:rsidR="00F61EDC" w:rsidRPr="009007B8">
        <w:rPr>
          <w:b/>
        </w:rPr>
        <w:t xml:space="preserve">or Nutrient Offset </w:t>
      </w:r>
      <w:r w:rsidRPr="009007B8">
        <w:rPr>
          <w:b/>
        </w:rPr>
        <w:t xml:space="preserve">Credit </w:t>
      </w:r>
      <w:r w:rsidR="00F61EDC" w:rsidRPr="009007B8">
        <w:rPr>
          <w:b/>
        </w:rPr>
        <w:t xml:space="preserve">(excluding </w:t>
      </w:r>
      <w:proofErr w:type="spellStart"/>
      <w:r w:rsidRPr="009007B8">
        <w:rPr>
          <w:b/>
        </w:rPr>
        <w:t>S</w:t>
      </w:r>
      <w:r w:rsidR="00F61EDC" w:rsidRPr="009007B8">
        <w:rPr>
          <w:b/>
        </w:rPr>
        <w:t>tormwater</w:t>
      </w:r>
      <w:proofErr w:type="spellEnd"/>
      <w:r w:rsidR="00F61EDC" w:rsidRPr="009007B8">
        <w:rPr>
          <w:b/>
        </w:rPr>
        <w:t xml:space="preserve"> BMPs)</w:t>
      </w:r>
      <w:r w:rsidR="0046606E" w:rsidRPr="00CA6204">
        <w:t xml:space="preserve">: </w:t>
      </w:r>
      <w:r w:rsidR="00B85631">
        <w:t xml:space="preserve">The Sponsor </w:t>
      </w:r>
      <w:r w:rsidR="0046606E" w:rsidRPr="00CA6204">
        <w:t xml:space="preserve">shall submit to the </w:t>
      </w:r>
      <w:r w:rsidR="0020131A">
        <w:t>DWR</w:t>
      </w:r>
      <w:r w:rsidR="0046606E" w:rsidRPr="00CA6204">
        <w:t xml:space="preserve"> an annual monitoring report no later than December 31 </w:t>
      </w:r>
      <w:r w:rsidR="003B290D">
        <w:t xml:space="preserve">of </w:t>
      </w:r>
      <w:r w:rsidR="0046606E" w:rsidRPr="00CA6204">
        <w:t xml:space="preserve">each year for </w:t>
      </w:r>
      <w:r w:rsidR="003B290D">
        <w:t xml:space="preserve">a minimum of </w:t>
      </w:r>
      <w:r w:rsidR="0046606E" w:rsidRPr="00CA6204">
        <w:t>five years after the first full growing season</w:t>
      </w:r>
      <w:r w:rsidR="003B290D">
        <w:t>.  This report will</w:t>
      </w:r>
      <w:r w:rsidR="0046606E" w:rsidRPr="00CA6204">
        <w:t xml:space="preserve"> describ</w:t>
      </w:r>
      <w:r w:rsidR="003B290D">
        <w:t>e</w:t>
      </w:r>
      <w:r w:rsidR="0046606E" w:rsidRPr="00CA6204">
        <w:t xml:space="preserve"> the conditions of each Bank Parcel</w:t>
      </w:r>
      <w:r w:rsidR="003B290D">
        <w:t>,</w:t>
      </w:r>
      <w:r w:rsidR="0046606E" w:rsidRPr="00CA6204">
        <w:t xml:space="preserve"> </w:t>
      </w:r>
      <w:r w:rsidR="00F61EDC">
        <w:t>including an evaluation of</w:t>
      </w:r>
      <w:r w:rsidR="0046606E" w:rsidRPr="00CA6204">
        <w:t xml:space="preserve"> the success criteria</w:t>
      </w:r>
      <w:r w:rsidR="00980FD3">
        <w:t xml:space="preserve"> contained within the approved BPDP</w:t>
      </w:r>
      <w:r w:rsidR="0046606E" w:rsidRPr="00CA6204">
        <w:t xml:space="preserve">. </w:t>
      </w:r>
      <w:r w:rsidR="00A67603">
        <w:t xml:space="preserve"> </w:t>
      </w:r>
      <w:r w:rsidR="0046606E" w:rsidRPr="00CA6204">
        <w:t>Reports shall contain the following:</w:t>
      </w:r>
    </w:p>
    <w:p w:rsidR="00D422D7" w:rsidRPr="00CA6204" w:rsidRDefault="00D422D7" w:rsidP="003B0797">
      <w:pPr>
        <w:pStyle w:val="Clause"/>
        <w:numPr>
          <w:ilvl w:val="0"/>
          <w:numId w:val="0"/>
        </w:numPr>
        <w:ind w:left="720"/>
      </w:pPr>
    </w:p>
    <w:p w:rsidR="0046606E" w:rsidRPr="00CA6204" w:rsidRDefault="0046606E" w:rsidP="003B0797">
      <w:pPr>
        <w:numPr>
          <w:ilvl w:val="0"/>
          <w:numId w:val="4"/>
        </w:numPr>
        <w:tabs>
          <w:tab w:val="left" w:pos="360"/>
          <w:tab w:val="left" w:pos="720"/>
          <w:tab w:val="left" w:pos="1080"/>
          <w:tab w:val="left" w:pos="1440"/>
        </w:tabs>
        <w:jc w:val="both"/>
      </w:pPr>
      <w:r w:rsidRPr="00CA6204">
        <w:t>A U.S. Geological Survey map showing location of the Bank Parcel(s);</w:t>
      </w:r>
      <w:r>
        <w:t xml:space="preserve"> </w:t>
      </w:r>
    </w:p>
    <w:p w:rsidR="003B0797" w:rsidRDefault="003B0797" w:rsidP="003B0797">
      <w:pPr>
        <w:tabs>
          <w:tab w:val="left" w:pos="360"/>
          <w:tab w:val="left" w:pos="720"/>
          <w:tab w:val="left" w:pos="1080"/>
          <w:tab w:val="left" w:pos="1440"/>
        </w:tabs>
        <w:ind w:left="1440"/>
        <w:jc w:val="both"/>
      </w:pPr>
    </w:p>
    <w:p w:rsidR="0046606E" w:rsidRPr="00CA6204" w:rsidRDefault="0046606E" w:rsidP="003B0797">
      <w:pPr>
        <w:numPr>
          <w:ilvl w:val="0"/>
          <w:numId w:val="4"/>
        </w:numPr>
        <w:tabs>
          <w:tab w:val="left" w:pos="360"/>
          <w:tab w:val="left" w:pos="720"/>
          <w:tab w:val="left" w:pos="1080"/>
          <w:tab w:val="left" w:pos="1440"/>
        </w:tabs>
        <w:jc w:val="both"/>
      </w:pPr>
      <w:r w:rsidRPr="00CA6204">
        <w:t>A detailed narrative summarizing the condition of the Bank Parcel(s) and all regular maintenance activities;</w:t>
      </w:r>
      <w:r w:rsidR="00664697">
        <w:t xml:space="preserve"> and </w:t>
      </w:r>
    </w:p>
    <w:p w:rsidR="003B0797" w:rsidRDefault="003B0797" w:rsidP="003B0797">
      <w:pPr>
        <w:tabs>
          <w:tab w:val="left" w:pos="360"/>
          <w:tab w:val="left" w:pos="720"/>
          <w:tab w:val="left" w:pos="1080"/>
          <w:tab w:val="left" w:pos="1440"/>
        </w:tabs>
        <w:ind w:left="1440"/>
        <w:jc w:val="both"/>
      </w:pPr>
    </w:p>
    <w:p w:rsidR="0046606E" w:rsidRPr="00CA6204" w:rsidRDefault="0046606E" w:rsidP="003B0797">
      <w:pPr>
        <w:numPr>
          <w:ilvl w:val="0"/>
          <w:numId w:val="4"/>
        </w:numPr>
        <w:tabs>
          <w:tab w:val="left" w:pos="360"/>
          <w:tab w:val="left" w:pos="720"/>
          <w:tab w:val="left" w:pos="1080"/>
          <w:tab w:val="left" w:pos="1440"/>
        </w:tabs>
        <w:jc w:val="both"/>
      </w:pPr>
      <w:r w:rsidRPr="00CA6204">
        <w:t>Appropriate topographic survey showing location of sampling plots, permanent photo points, location of transects, etc.;</w:t>
      </w:r>
      <w:r w:rsidR="00664697">
        <w:t xml:space="preserve"> and</w:t>
      </w:r>
    </w:p>
    <w:p w:rsidR="003B0797" w:rsidRDefault="003B0797" w:rsidP="003B0797">
      <w:pPr>
        <w:tabs>
          <w:tab w:val="left" w:pos="360"/>
          <w:tab w:val="left" w:pos="720"/>
          <w:tab w:val="left" w:pos="1080"/>
          <w:tab w:val="left" w:pos="1440"/>
        </w:tabs>
        <w:ind w:left="1440"/>
        <w:jc w:val="both"/>
      </w:pPr>
    </w:p>
    <w:p w:rsidR="0046606E" w:rsidRPr="00CA6204" w:rsidRDefault="0046606E" w:rsidP="003B0797">
      <w:pPr>
        <w:numPr>
          <w:ilvl w:val="0"/>
          <w:numId w:val="4"/>
        </w:numPr>
        <w:tabs>
          <w:tab w:val="left" w:pos="360"/>
          <w:tab w:val="left" w:pos="720"/>
          <w:tab w:val="left" w:pos="1080"/>
          <w:tab w:val="left" w:pos="1440"/>
        </w:tabs>
        <w:jc w:val="both"/>
      </w:pPr>
      <w:r w:rsidRPr="00CA6204">
        <w:t>Monitoring data, including specific vegetative counts and photographs; and</w:t>
      </w:r>
    </w:p>
    <w:p w:rsidR="003B0797" w:rsidRDefault="003B0797" w:rsidP="003B0797">
      <w:pPr>
        <w:tabs>
          <w:tab w:val="left" w:pos="360"/>
          <w:tab w:val="left" w:pos="720"/>
          <w:tab w:val="left" w:pos="1080"/>
          <w:tab w:val="left" w:pos="1440"/>
        </w:tabs>
        <w:ind w:left="1440"/>
        <w:jc w:val="both"/>
      </w:pPr>
    </w:p>
    <w:p w:rsidR="0046606E" w:rsidRPr="00A35BB1" w:rsidRDefault="0046606E" w:rsidP="003B0797">
      <w:pPr>
        <w:numPr>
          <w:ilvl w:val="0"/>
          <w:numId w:val="4"/>
        </w:numPr>
        <w:tabs>
          <w:tab w:val="left" w:pos="360"/>
          <w:tab w:val="left" w:pos="720"/>
          <w:tab w:val="left" w:pos="1080"/>
          <w:tab w:val="left" w:pos="1440"/>
        </w:tabs>
        <w:jc w:val="both"/>
      </w:pPr>
      <w:r w:rsidRPr="00A35BB1">
        <w:t xml:space="preserve">A copy of the </w:t>
      </w:r>
      <w:r w:rsidR="00DB3CEA" w:rsidRPr="00A35BB1">
        <w:t xml:space="preserve">most recent </w:t>
      </w:r>
      <w:r w:rsidRPr="00A35BB1">
        <w:t>Bank credit/debit ledger</w:t>
      </w:r>
      <w:r w:rsidR="00A67603" w:rsidRPr="00A35BB1">
        <w:t>s</w:t>
      </w:r>
      <w:r w:rsidR="00DB4EC8" w:rsidRPr="00A35BB1">
        <w:t>; and</w:t>
      </w:r>
    </w:p>
    <w:p w:rsidR="00DB4EC8" w:rsidRPr="00A35BB1" w:rsidRDefault="00DB4EC8" w:rsidP="00DB4EC8">
      <w:pPr>
        <w:tabs>
          <w:tab w:val="left" w:pos="360"/>
          <w:tab w:val="left" w:pos="720"/>
          <w:tab w:val="left" w:pos="1080"/>
          <w:tab w:val="left" w:pos="1440"/>
        </w:tabs>
        <w:ind w:left="1440"/>
        <w:jc w:val="both"/>
      </w:pPr>
    </w:p>
    <w:p w:rsidR="00AE712D" w:rsidRPr="00A35BB1" w:rsidRDefault="00AE712D" w:rsidP="003B0797">
      <w:pPr>
        <w:numPr>
          <w:ilvl w:val="0"/>
          <w:numId w:val="4"/>
        </w:numPr>
        <w:tabs>
          <w:tab w:val="left" w:pos="360"/>
          <w:tab w:val="left" w:pos="720"/>
          <w:tab w:val="left" w:pos="1080"/>
          <w:tab w:val="left" w:pos="1440"/>
        </w:tabs>
        <w:jc w:val="both"/>
      </w:pPr>
      <w:r w:rsidRPr="00A35BB1">
        <w:t>Corresponding verification letters fr</w:t>
      </w:r>
      <w:r w:rsidR="00DB4EC8" w:rsidRPr="00A35BB1">
        <w:t>om designated local governments; and</w:t>
      </w:r>
    </w:p>
    <w:p w:rsidR="00DB4EC8" w:rsidRPr="00A35BB1" w:rsidRDefault="00DB4EC8" w:rsidP="00DB4EC8">
      <w:pPr>
        <w:tabs>
          <w:tab w:val="left" w:pos="360"/>
          <w:tab w:val="left" w:pos="720"/>
          <w:tab w:val="left" w:pos="1080"/>
          <w:tab w:val="left" w:pos="1440"/>
        </w:tabs>
        <w:ind w:left="1440"/>
        <w:jc w:val="both"/>
      </w:pPr>
    </w:p>
    <w:p w:rsidR="00DB4EC8" w:rsidRPr="00A35BB1" w:rsidRDefault="00DB4EC8" w:rsidP="003B0797">
      <w:pPr>
        <w:numPr>
          <w:ilvl w:val="0"/>
          <w:numId w:val="4"/>
        </w:numPr>
        <w:tabs>
          <w:tab w:val="left" w:pos="360"/>
          <w:tab w:val="left" w:pos="720"/>
          <w:tab w:val="left" w:pos="1080"/>
          <w:tab w:val="left" w:pos="1440"/>
        </w:tabs>
        <w:jc w:val="both"/>
      </w:pPr>
      <w:r w:rsidRPr="00A35BB1">
        <w:t>Corresponding Mitigation Transfer Certificates</w:t>
      </w:r>
    </w:p>
    <w:p w:rsidR="0069230B" w:rsidRPr="00A35BB1" w:rsidRDefault="0069230B" w:rsidP="003932CA">
      <w:pPr>
        <w:pStyle w:val="Clause"/>
        <w:numPr>
          <w:ilvl w:val="0"/>
          <w:numId w:val="0"/>
        </w:numPr>
        <w:ind w:left="720"/>
      </w:pPr>
    </w:p>
    <w:p w:rsidR="00F61EDC" w:rsidRPr="00A35BB1" w:rsidRDefault="00AE712D" w:rsidP="003B0797">
      <w:pPr>
        <w:pStyle w:val="Clause"/>
      </w:pPr>
      <w:r w:rsidRPr="00A35BB1">
        <w:rPr>
          <w:b/>
        </w:rPr>
        <w:t xml:space="preserve">Operation and Maintenance </w:t>
      </w:r>
      <w:r w:rsidR="002914F4" w:rsidRPr="00A35BB1">
        <w:rPr>
          <w:b/>
        </w:rPr>
        <w:t xml:space="preserve">Reports for Nutrient Offset Credit – </w:t>
      </w:r>
      <w:proofErr w:type="spellStart"/>
      <w:r w:rsidR="00F61EDC" w:rsidRPr="00A35BB1">
        <w:rPr>
          <w:b/>
        </w:rPr>
        <w:t>Stormwater</w:t>
      </w:r>
      <w:proofErr w:type="spellEnd"/>
      <w:r w:rsidR="00F61EDC" w:rsidRPr="00A35BB1">
        <w:rPr>
          <w:b/>
        </w:rPr>
        <w:t xml:space="preserve"> BMP</w:t>
      </w:r>
      <w:r w:rsidR="002914F4" w:rsidRPr="00A35BB1">
        <w:rPr>
          <w:b/>
        </w:rPr>
        <w:t>s</w:t>
      </w:r>
      <w:r w:rsidR="00F61EDC" w:rsidRPr="00A35BB1">
        <w:t xml:space="preserve">: The Sponsor shall submit to the </w:t>
      </w:r>
      <w:r w:rsidR="0020131A">
        <w:t>DWR</w:t>
      </w:r>
      <w:r w:rsidR="00F61EDC" w:rsidRPr="00A35BB1">
        <w:t xml:space="preserve"> an annual </w:t>
      </w:r>
      <w:r w:rsidR="00153A79" w:rsidRPr="00A35BB1">
        <w:t>O</w:t>
      </w:r>
      <w:r w:rsidRPr="00A35BB1">
        <w:t xml:space="preserve">peration and </w:t>
      </w:r>
      <w:r w:rsidR="00153A79" w:rsidRPr="00A35BB1">
        <w:t>M</w:t>
      </w:r>
      <w:r w:rsidRPr="00A35BB1">
        <w:t>aintenance</w:t>
      </w:r>
      <w:r w:rsidRPr="00A35BB1">
        <w:rPr>
          <w:b/>
        </w:rPr>
        <w:t xml:space="preserve"> </w:t>
      </w:r>
      <w:r w:rsidR="00153A79" w:rsidRPr="00A35BB1">
        <w:t>(“O&amp;M”)</w:t>
      </w:r>
      <w:r w:rsidR="00153A79" w:rsidRPr="00A35BB1">
        <w:rPr>
          <w:b/>
        </w:rPr>
        <w:t xml:space="preserve"> </w:t>
      </w:r>
      <w:r w:rsidR="00F61EDC" w:rsidRPr="00A35BB1">
        <w:t>report</w:t>
      </w:r>
      <w:r w:rsidR="003B290D" w:rsidRPr="00A35BB1">
        <w:t xml:space="preserve"> no later than</w:t>
      </w:r>
      <w:r w:rsidR="009C76B9" w:rsidRPr="00A35BB1">
        <w:t xml:space="preserve"> </w:t>
      </w:r>
      <w:r w:rsidR="00F61EDC" w:rsidRPr="00A35BB1">
        <w:t xml:space="preserve">December 31 </w:t>
      </w:r>
      <w:r w:rsidR="009C76B9" w:rsidRPr="00A35BB1">
        <w:t xml:space="preserve">of </w:t>
      </w:r>
      <w:r w:rsidR="00F61EDC" w:rsidRPr="00A35BB1">
        <w:t xml:space="preserve">each year for </w:t>
      </w:r>
      <w:r w:rsidR="003B290D" w:rsidRPr="00A35BB1">
        <w:t xml:space="preserve">a minimum of </w:t>
      </w:r>
      <w:r w:rsidR="00F61EDC" w:rsidRPr="00A35BB1">
        <w:t>five years after the initial installation/r</w:t>
      </w:r>
      <w:r w:rsidR="009C76B9" w:rsidRPr="00A35BB1">
        <w:t xml:space="preserve">enovation of the </w:t>
      </w:r>
      <w:proofErr w:type="spellStart"/>
      <w:r w:rsidR="009C76B9" w:rsidRPr="00A35BB1">
        <w:t>stormwater</w:t>
      </w:r>
      <w:proofErr w:type="spellEnd"/>
      <w:r w:rsidR="009C76B9" w:rsidRPr="00A35BB1">
        <w:t xml:space="preserve"> BMP. This annual report shall describe</w:t>
      </w:r>
      <w:r w:rsidR="00F61EDC" w:rsidRPr="00A35BB1">
        <w:t xml:space="preserve"> the conditions of each Bank Parcel</w:t>
      </w:r>
      <w:r w:rsidR="00E9582E" w:rsidRPr="00A35BB1">
        <w:t>,</w:t>
      </w:r>
      <w:r w:rsidR="00F61EDC" w:rsidRPr="00A35BB1">
        <w:t xml:space="preserve"> </w:t>
      </w:r>
      <w:r w:rsidR="009C76B9" w:rsidRPr="00A35BB1">
        <w:t>includ</w:t>
      </w:r>
      <w:r w:rsidR="00E9582E" w:rsidRPr="00A35BB1">
        <w:t>ing</w:t>
      </w:r>
      <w:r w:rsidR="00980FD3" w:rsidRPr="00A35BB1">
        <w:t xml:space="preserve"> an evaluation of the </w:t>
      </w:r>
      <w:r w:rsidR="00F61EDC" w:rsidRPr="00A35BB1">
        <w:t>success</w:t>
      </w:r>
      <w:r w:rsidR="00980FD3" w:rsidRPr="00A35BB1">
        <w:t xml:space="preserve"> </w:t>
      </w:r>
      <w:r w:rsidR="00F61EDC" w:rsidRPr="00A35BB1">
        <w:t>criteria</w:t>
      </w:r>
      <w:r w:rsidR="00980FD3" w:rsidRPr="00A35BB1">
        <w:t xml:space="preserve"> contained within the approved BPDP</w:t>
      </w:r>
      <w:r w:rsidR="00F61EDC" w:rsidRPr="00A35BB1">
        <w:t>. Reports shall contain the following:</w:t>
      </w:r>
    </w:p>
    <w:p w:rsidR="00D422D7" w:rsidRPr="00A35BB1" w:rsidRDefault="00D422D7" w:rsidP="003B0797">
      <w:pPr>
        <w:pStyle w:val="Clause"/>
        <w:numPr>
          <w:ilvl w:val="0"/>
          <w:numId w:val="0"/>
        </w:numPr>
        <w:ind w:left="720"/>
      </w:pPr>
    </w:p>
    <w:p w:rsidR="00F61EDC" w:rsidRPr="00A35BB1" w:rsidRDefault="00F61EDC" w:rsidP="003B0797">
      <w:pPr>
        <w:numPr>
          <w:ilvl w:val="1"/>
          <w:numId w:val="5"/>
        </w:numPr>
        <w:tabs>
          <w:tab w:val="left" w:pos="360"/>
          <w:tab w:val="left" w:pos="720"/>
          <w:tab w:val="left" w:pos="1080"/>
          <w:tab w:val="left" w:pos="1440"/>
        </w:tabs>
        <w:ind w:left="1440"/>
        <w:jc w:val="both"/>
      </w:pPr>
      <w:r w:rsidRPr="00A35BB1">
        <w:t>A U.S. Geological Survey map showing location of the Bank Parcel(s);</w:t>
      </w:r>
      <w:r w:rsidR="00664697" w:rsidRPr="00A35BB1">
        <w:t xml:space="preserve"> and</w:t>
      </w:r>
    </w:p>
    <w:p w:rsidR="003B0797" w:rsidRPr="00A35BB1" w:rsidRDefault="003B0797" w:rsidP="003B0797">
      <w:pPr>
        <w:tabs>
          <w:tab w:val="left" w:pos="360"/>
          <w:tab w:val="left" w:pos="990"/>
          <w:tab w:val="left" w:pos="1080"/>
          <w:tab w:val="left" w:pos="1440"/>
        </w:tabs>
        <w:ind w:left="1440"/>
        <w:jc w:val="both"/>
      </w:pPr>
    </w:p>
    <w:p w:rsidR="00F61EDC" w:rsidRPr="00A35BB1" w:rsidRDefault="00F61EDC" w:rsidP="003B0797">
      <w:pPr>
        <w:numPr>
          <w:ilvl w:val="1"/>
          <w:numId w:val="5"/>
        </w:numPr>
        <w:tabs>
          <w:tab w:val="left" w:pos="360"/>
          <w:tab w:val="left" w:pos="990"/>
          <w:tab w:val="left" w:pos="1080"/>
          <w:tab w:val="left" w:pos="1440"/>
        </w:tabs>
        <w:ind w:left="1440"/>
        <w:jc w:val="both"/>
      </w:pPr>
      <w:r w:rsidRPr="00A35BB1">
        <w:t>A detailed narrative summarizing the condition of the Bank Parcel(s) and all regular maintenance activities; and</w:t>
      </w:r>
    </w:p>
    <w:p w:rsidR="003B0797" w:rsidRPr="00A35BB1" w:rsidRDefault="003B0797" w:rsidP="003B0797">
      <w:pPr>
        <w:tabs>
          <w:tab w:val="left" w:pos="360"/>
          <w:tab w:val="left" w:pos="990"/>
          <w:tab w:val="left" w:pos="1080"/>
          <w:tab w:val="left" w:pos="1440"/>
        </w:tabs>
        <w:ind w:left="1440"/>
        <w:jc w:val="both"/>
      </w:pPr>
    </w:p>
    <w:p w:rsidR="00F61EDC" w:rsidRPr="00A35BB1" w:rsidRDefault="00F61EDC" w:rsidP="003B0797">
      <w:pPr>
        <w:numPr>
          <w:ilvl w:val="1"/>
          <w:numId w:val="5"/>
        </w:numPr>
        <w:tabs>
          <w:tab w:val="left" w:pos="360"/>
          <w:tab w:val="left" w:pos="990"/>
          <w:tab w:val="left" w:pos="1080"/>
          <w:tab w:val="left" w:pos="1440"/>
        </w:tabs>
        <w:ind w:left="1440"/>
        <w:jc w:val="both"/>
      </w:pPr>
      <w:r w:rsidRPr="00A35BB1">
        <w:t xml:space="preserve">A copy of the </w:t>
      </w:r>
      <w:r w:rsidR="00A11B89" w:rsidRPr="00A35BB1">
        <w:t xml:space="preserve">most recent </w:t>
      </w:r>
      <w:r w:rsidRPr="00A35BB1">
        <w:t>Bank credit/debit l</w:t>
      </w:r>
      <w:r w:rsidR="00205388" w:rsidRPr="00A35BB1">
        <w:t>edger</w:t>
      </w:r>
      <w:r w:rsidR="00642CAA" w:rsidRPr="00A35BB1">
        <w:t>s</w:t>
      </w:r>
      <w:r w:rsidR="00205388" w:rsidRPr="00A35BB1">
        <w:t>; and</w:t>
      </w:r>
    </w:p>
    <w:p w:rsidR="00AE712D" w:rsidRPr="00A35BB1" w:rsidRDefault="00AE712D" w:rsidP="00AE712D">
      <w:pPr>
        <w:tabs>
          <w:tab w:val="left" w:pos="360"/>
          <w:tab w:val="left" w:pos="990"/>
          <w:tab w:val="left" w:pos="1080"/>
          <w:tab w:val="left" w:pos="1440"/>
        </w:tabs>
        <w:ind w:left="1440"/>
        <w:jc w:val="both"/>
      </w:pPr>
    </w:p>
    <w:p w:rsidR="00AE712D" w:rsidRPr="00A35BB1" w:rsidRDefault="00AE712D" w:rsidP="003B0797">
      <w:pPr>
        <w:numPr>
          <w:ilvl w:val="1"/>
          <w:numId w:val="5"/>
        </w:numPr>
        <w:tabs>
          <w:tab w:val="left" w:pos="360"/>
          <w:tab w:val="left" w:pos="990"/>
          <w:tab w:val="left" w:pos="1080"/>
          <w:tab w:val="left" w:pos="1440"/>
        </w:tabs>
        <w:ind w:left="1440"/>
        <w:jc w:val="both"/>
      </w:pPr>
      <w:r w:rsidRPr="00A35BB1">
        <w:t>Corresponding verification letters from designated local governments; and</w:t>
      </w:r>
    </w:p>
    <w:p w:rsidR="00DB4EC8" w:rsidRPr="00A35BB1" w:rsidRDefault="00DB4EC8" w:rsidP="00DB4EC8">
      <w:pPr>
        <w:tabs>
          <w:tab w:val="left" w:pos="360"/>
          <w:tab w:val="left" w:pos="990"/>
          <w:tab w:val="left" w:pos="1080"/>
          <w:tab w:val="left" w:pos="1440"/>
        </w:tabs>
        <w:ind w:left="1440"/>
        <w:jc w:val="both"/>
      </w:pPr>
    </w:p>
    <w:p w:rsidR="00DB4EC8" w:rsidRPr="00A35BB1" w:rsidRDefault="00DB4EC8" w:rsidP="003B0797">
      <w:pPr>
        <w:numPr>
          <w:ilvl w:val="1"/>
          <w:numId w:val="5"/>
        </w:numPr>
        <w:tabs>
          <w:tab w:val="left" w:pos="360"/>
          <w:tab w:val="left" w:pos="990"/>
          <w:tab w:val="left" w:pos="1080"/>
          <w:tab w:val="left" w:pos="1440"/>
        </w:tabs>
        <w:ind w:left="1440"/>
        <w:jc w:val="both"/>
      </w:pPr>
      <w:r w:rsidRPr="00A35BB1">
        <w:t>Corresponding Mitigation Transfer Certificates; and</w:t>
      </w:r>
    </w:p>
    <w:p w:rsidR="00F7264A" w:rsidRDefault="00F7264A" w:rsidP="00F7264A">
      <w:pPr>
        <w:tabs>
          <w:tab w:val="left" w:pos="360"/>
          <w:tab w:val="left" w:pos="990"/>
          <w:tab w:val="left" w:pos="1080"/>
          <w:tab w:val="left" w:pos="1440"/>
        </w:tabs>
        <w:ind w:left="1440"/>
        <w:jc w:val="both"/>
      </w:pPr>
    </w:p>
    <w:p w:rsidR="00205388" w:rsidRDefault="00205388" w:rsidP="003B0797">
      <w:pPr>
        <w:numPr>
          <w:ilvl w:val="1"/>
          <w:numId w:val="5"/>
        </w:numPr>
        <w:tabs>
          <w:tab w:val="left" w:pos="360"/>
          <w:tab w:val="left" w:pos="990"/>
          <w:tab w:val="left" w:pos="1080"/>
          <w:tab w:val="left" w:pos="1440"/>
        </w:tabs>
        <w:ind w:left="1440"/>
        <w:jc w:val="both"/>
      </w:pPr>
      <w:r w:rsidRPr="00205388">
        <w:t>Photographs of current conditions of the BMPs as well as photos showing any maintenance that ha</w:t>
      </w:r>
      <w:r w:rsidR="00025C87">
        <w:t>s</w:t>
      </w:r>
      <w:r w:rsidRPr="00205388">
        <w:t xml:space="preserve"> be</w:t>
      </w:r>
      <w:r w:rsidR="00025C87">
        <w:t>en</w:t>
      </w:r>
      <w:r w:rsidRPr="00205388">
        <w:t xml:space="preserve"> performed on the BMPs </w:t>
      </w:r>
      <w:r w:rsidR="00025C87">
        <w:t>including</w:t>
      </w:r>
      <w:r w:rsidRPr="00205388">
        <w:t xml:space="preserve"> the corresponding dates</w:t>
      </w:r>
      <w:r w:rsidR="00664697">
        <w:t>.</w:t>
      </w:r>
    </w:p>
    <w:p w:rsidR="00980FD3" w:rsidRDefault="00980FD3" w:rsidP="003B0797">
      <w:pPr>
        <w:tabs>
          <w:tab w:val="left" w:pos="360"/>
          <w:tab w:val="left" w:pos="990"/>
          <w:tab w:val="left" w:pos="1080"/>
          <w:tab w:val="left" w:pos="1440"/>
        </w:tabs>
        <w:ind w:left="1440"/>
        <w:jc w:val="both"/>
      </w:pPr>
    </w:p>
    <w:p w:rsidR="00980FD3" w:rsidRPr="00CA6204" w:rsidRDefault="00980FD3" w:rsidP="003B0797">
      <w:pPr>
        <w:pStyle w:val="Clause"/>
      </w:pPr>
      <w:proofErr w:type="spellStart"/>
      <w:r w:rsidRPr="00CA6204">
        <w:t>Stormwater</w:t>
      </w:r>
      <w:proofErr w:type="spellEnd"/>
      <w:r w:rsidRPr="00CA6204">
        <w:t xml:space="preserve"> BMP Success Criteria: The success of a </w:t>
      </w:r>
      <w:proofErr w:type="spellStart"/>
      <w:r w:rsidRPr="00CA6204">
        <w:t>stormwater</w:t>
      </w:r>
      <w:proofErr w:type="spellEnd"/>
      <w:r w:rsidRPr="00CA6204">
        <w:t xml:space="preserve"> BMP will be based upon the type </w:t>
      </w:r>
      <w:r>
        <w:t xml:space="preserve">of BMP </w:t>
      </w:r>
      <w:r w:rsidRPr="00CA6204">
        <w:t xml:space="preserve">and its associated design criteria </w:t>
      </w:r>
      <w:r>
        <w:t xml:space="preserve">contained within the </w:t>
      </w:r>
      <w:r w:rsidRPr="00CA6204">
        <w:t xml:space="preserve">approved BPDP. For purposes of this agreement, the design criteria shown in the </w:t>
      </w:r>
      <w:r w:rsidR="000D3180" w:rsidRPr="000D3180">
        <w:rPr>
          <w:i/>
        </w:rPr>
        <w:t xml:space="preserve">North Carolina </w:t>
      </w:r>
      <w:r w:rsidR="0020131A">
        <w:rPr>
          <w:i/>
        </w:rPr>
        <w:t xml:space="preserve">Division of Water Quality </w:t>
      </w:r>
      <w:proofErr w:type="spellStart"/>
      <w:r w:rsidR="000D3180" w:rsidRPr="000D3180">
        <w:rPr>
          <w:i/>
        </w:rPr>
        <w:t>Stormwater</w:t>
      </w:r>
      <w:proofErr w:type="spellEnd"/>
      <w:r w:rsidR="000D3180" w:rsidRPr="000D3180">
        <w:rPr>
          <w:i/>
        </w:rPr>
        <w:t xml:space="preserve"> Best Management Practices Manual</w:t>
      </w:r>
      <w:r w:rsidRPr="00CA6204">
        <w:t xml:space="preserve"> </w:t>
      </w:r>
      <w:r>
        <w:t>dated O</w:t>
      </w:r>
      <w:r w:rsidRPr="00CA6204">
        <w:t xml:space="preserve">ctober 2007, </w:t>
      </w:r>
      <w:r w:rsidR="00E9582E">
        <w:t xml:space="preserve">or any updated versions of this manual, </w:t>
      </w:r>
      <w:r w:rsidRPr="00CA6204">
        <w:t xml:space="preserve">and </w:t>
      </w:r>
      <w:r>
        <w:t xml:space="preserve">compliance with </w:t>
      </w:r>
      <w:r w:rsidRPr="00CA6204">
        <w:t xml:space="preserve">the approved operation and maintenance </w:t>
      </w:r>
      <w:r w:rsidR="00E9582E">
        <w:t xml:space="preserve">agreements </w:t>
      </w:r>
      <w:r>
        <w:t>contained within the approved BPDP</w:t>
      </w:r>
      <w:r w:rsidRPr="00CA6204">
        <w:t xml:space="preserve"> shall be the basis for judging the success of a specific device.</w:t>
      </w:r>
    </w:p>
    <w:p w:rsidR="00E344F7" w:rsidRDefault="00E344F7" w:rsidP="003B0797">
      <w:pPr>
        <w:pStyle w:val="Clause"/>
        <w:numPr>
          <w:ilvl w:val="0"/>
          <w:numId w:val="0"/>
        </w:numPr>
      </w:pPr>
    </w:p>
    <w:p w:rsidR="00F63B18" w:rsidRPr="006A1959" w:rsidRDefault="00E9582E" w:rsidP="003B0797">
      <w:pPr>
        <w:ind w:firstLine="360"/>
        <w:rPr>
          <w:b/>
          <w:u w:val="single"/>
        </w:rPr>
      </w:pPr>
      <w:r w:rsidRPr="006A1959">
        <w:rPr>
          <w:b/>
          <w:u w:val="single"/>
        </w:rPr>
        <w:t>Contingency Plans/Remedial Actions</w:t>
      </w:r>
    </w:p>
    <w:p w:rsidR="00F63B18" w:rsidRPr="00E9582E" w:rsidRDefault="00F63B18" w:rsidP="003B0797">
      <w:pPr>
        <w:rPr>
          <w:b/>
        </w:rPr>
      </w:pPr>
    </w:p>
    <w:p w:rsidR="0046606E" w:rsidRPr="00CA6204" w:rsidRDefault="0046606E" w:rsidP="003B0797">
      <w:pPr>
        <w:pStyle w:val="Clause"/>
      </w:pPr>
      <w:r w:rsidRPr="00CA6204">
        <w:t>In the event the Bank</w:t>
      </w:r>
      <w:r w:rsidR="00B60605">
        <w:t xml:space="preserve"> Parcel</w:t>
      </w:r>
      <w:r w:rsidRPr="00CA6204">
        <w:t xml:space="preserve"> fails to achieve the success criteri</w:t>
      </w:r>
      <w:r w:rsidR="00B85631">
        <w:t xml:space="preserve">a described in this </w:t>
      </w:r>
      <w:r w:rsidR="00B60605">
        <w:t>I</w:t>
      </w:r>
      <w:r w:rsidR="00B85631">
        <w:t>nstrument</w:t>
      </w:r>
      <w:r w:rsidR="00E9582E">
        <w:t xml:space="preserve"> and the approved BPDP</w:t>
      </w:r>
      <w:r w:rsidR="00B85631">
        <w:t>,</w:t>
      </w:r>
      <w:r w:rsidRPr="00CA6204">
        <w:t xml:space="preserve"> </w:t>
      </w:r>
      <w:r w:rsidR="00B85631">
        <w:t xml:space="preserve">the </w:t>
      </w:r>
      <w:r w:rsidR="00B60605">
        <w:t xml:space="preserve">Bank </w:t>
      </w:r>
      <w:r w:rsidR="00B85631">
        <w:t xml:space="preserve">Sponsor </w:t>
      </w:r>
      <w:r w:rsidRPr="00CA6204">
        <w:t xml:space="preserve">shall develop necessary contingency plans in coordination with the </w:t>
      </w:r>
      <w:r w:rsidR="0020131A">
        <w:t>DWR</w:t>
      </w:r>
      <w:r w:rsidRPr="00CA6204">
        <w:t xml:space="preserve"> and implement appropriate remedial actions for the Bank</w:t>
      </w:r>
      <w:r w:rsidR="00B60605">
        <w:t xml:space="preserve"> Parce</w:t>
      </w:r>
      <w:r w:rsidR="004053F0">
        <w:t>l and the Bank</w:t>
      </w:r>
      <w:r w:rsidRPr="00CA6204">
        <w:t xml:space="preserve">. Depending on the degree of remedial actions required, </w:t>
      </w:r>
      <w:r w:rsidR="0057439E">
        <w:t xml:space="preserve">the </w:t>
      </w:r>
      <w:r w:rsidR="0020131A">
        <w:t>DWR</w:t>
      </w:r>
      <w:r w:rsidRPr="00CA6204">
        <w:t xml:space="preserve"> </w:t>
      </w:r>
      <w:r w:rsidR="00E9582E">
        <w:t>may</w:t>
      </w:r>
      <w:r w:rsidRPr="00CA6204">
        <w:t xml:space="preserve"> </w:t>
      </w:r>
      <w:r w:rsidR="00E9582E">
        <w:t>modify</w:t>
      </w:r>
      <w:r w:rsidRPr="00CA6204">
        <w:t xml:space="preserve"> the monitoring period.</w:t>
      </w:r>
    </w:p>
    <w:p w:rsidR="003B0797" w:rsidRDefault="003B0797" w:rsidP="003B0797">
      <w:pPr>
        <w:pStyle w:val="Heading2"/>
        <w:spacing w:before="0" w:after="0"/>
      </w:pPr>
    </w:p>
    <w:p w:rsidR="00B2751B" w:rsidRDefault="00907111" w:rsidP="003B0797">
      <w:pPr>
        <w:pStyle w:val="Heading2"/>
        <w:spacing w:before="0" w:after="0"/>
        <w:ind w:firstLine="360"/>
      </w:pPr>
      <w:r w:rsidRPr="00A53501">
        <w:t>Financial Assurances</w:t>
      </w:r>
    </w:p>
    <w:p w:rsidR="003B0797" w:rsidRPr="003B0797" w:rsidRDefault="003B0797" w:rsidP="003B0797"/>
    <w:p w:rsidR="006A1959" w:rsidRDefault="006A1959" w:rsidP="003B0797">
      <w:pPr>
        <w:pStyle w:val="Clause"/>
      </w:pPr>
      <w:r>
        <w:t>Fo</w:t>
      </w:r>
      <w:r w:rsidRPr="00CA6204">
        <w:t xml:space="preserve">llowing approval of the BPDP, </w:t>
      </w:r>
      <w:r>
        <w:t xml:space="preserve">the Sponsor </w:t>
      </w:r>
      <w:r w:rsidRPr="00CA6204">
        <w:t>shall provide a Performance Bond from a surety company th</w:t>
      </w:r>
      <w:r>
        <w:t>at is rated no less than an “A-”</w:t>
      </w:r>
      <w:r w:rsidRPr="00CA6204">
        <w:t xml:space="preserve"> as rated by A.M. Best. </w:t>
      </w:r>
      <w:r>
        <w:t xml:space="preserve"> </w:t>
      </w:r>
      <w:r w:rsidRPr="00CA6204">
        <w:t xml:space="preserve">The Performance Bond amount shall be 100% of the estimated cost for implementation of the buffer restoration </w:t>
      </w:r>
      <w:r>
        <w:t>and</w:t>
      </w:r>
      <w:r w:rsidRPr="00CA6204">
        <w:t>/</w:t>
      </w:r>
      <w:r>
        <w:t>or</w:t>
      </w:r>
      <w:r w:rsidRPr="00CA6204">
        <w:t xml:space="preserve"> </w:t>
      </w:r>
      <w:proofErr w:type="spellStart"/>
      <w:r w:rsidRPr="00CA6204">
        <w:t>stormwater</w:t>
      </w:r>
      <w:proofErr w:type="spellEnd"/>
      <w:r w:rsidRPr="00CA6204">
        <w:t xml:space="preserve"> </w:t>
      </w:r>
      <w:r>
        <w:t xml:space="preserve">BMP project as described </w:t>
      </w:r>
      <w:r w:rsidRPr="00CA6204">
        <w:t xml:space="preserve">in the </w:t>
      </w:r>
      <w:r>
        <w:t xml:space="preserve">approved </w:t>
      </w:r>
      <w:r w:rsidRPr="00CA6204">
        <w:t>BPDP, but no</w:t>
      </w:r>
      <w:r>
        <w:t>t less than $150,000.00</w:t>
      </w:r>
      <w:r w:rsidR="00431CA5">
        <w:t>.</w:t>
      </w:r>
    </w:p>
    <w:p w:rsidR="006A1959" w:rsidRDefault="006A1959" w:rsidP="003B0797">
      <w:pPr>
        <w:pStyle w:val="Clause"/>
        <w:numPr>
          <w:ilvl w:val="0"/>
          <w:numId w:val="0"/>
        </w:numPr>
        <w:ind w:left="720"/>
      </w:pPr>
    </w:p>
    <w:p w:rsidR="006A1959" w:rsidRDefault="00414782" w:rsidP="00176407">
      <w:pPr>
        <w:pStyle w:val="Clause"/>
      </w:pPr>
      <w:r>
        <w:t xml:space="preserve">Alternatively, in lieu of posting the Performance Bond, </w:t>
      </w:r>
      <w:r w:rsidR="00B85631">
        <w:t xml:space="preserve">the Sponsor </w:t>
      </w:r>
      <w:r>
        <w:t>may elect to construct the pr</w:t>
      </w:r>
      <w:r w:rsidR="00071EEB">
        <w:t>oject prior to the first credit</w:t>
      </w:r>
      <w:r>
        <w:t xml:space="preserve"> release. </w:t>
      </w:r>
      <w:r w:rsidR="003F7C1A" w:rsidRPr="00CA6204">
        <w:t xml:space="preserve"> </w:t>
      </w:r>
    </w:p>
    <w:p w:rsidR="00176407" w:rsidRDefault="00176407" w:rsidP="00176407">
      <w:pPr>
        <w:pStyle w:val="ListParagraph"/>
      </w:pPr>
    </w:p>
    <w:p w:rsidR="00176407" w:rsidRDefault="00176407" w:rsidP="00176407">
      <w:pPr>
        <w:pStyle w:val="Clause"/>
      </w:pPr>
      <w:r w:rsidRPr="00431CA5">
        <w:t>After completion of the restoration/construction, a separate Performance</w:t>
      </w:r>
      <w:r>
        <w:t>/Maintenance</w:t>
      </w:r>
      <w:r w:rsidRPr="00431CA5">
        <w:t xml:space="preserve"> Bond will be secured for 100% of the estimated cost to implement the monitoring and maintenance plan but not less than $100,000.00. The Performance</w:t>
      </w:r>
      <w:r>
        <w:t>/Maintenance</w:t>
      </w:r>
      <w:r w:rsidRPr="00431CA5">
        <w:t xml:space="preserve"> Bond shall be in effect for a minimum of five years, and until </w:t>
      </w:r>
      <w:r w:rsidR="0020131A">
        <w:t>DWR</w:t>
      </w:r>
      <w:r w:rsidRPr="00431CA5">
        <w:t xml:space="preserve"> has released all mitigation credits to the Bank Sponsor.  Upon </w:t>
      </w:r>
      <w:r w:rsidR="0020131A">
        <w:t>DWR</w:t>
      </w:r>
      <w:r w:rsidRPr="00431CA5">
        <w:t xml:space="preserve"> approval, this may be lowered each year based on the adjusted cost to complete the monitoring</w:t>
      </w:r>
    </w:p>
    <w:p w:rsidR="00F7264A" w:rsidRDefault="00F7264A" w:rsidP="00F7264A">
      <w:pPr>
        <w:pStyle w:val="Clause"/>
        <w:numPr>
          <w:ilvl w:val="0"/>
          <w:numId w:val="0"/>
        </w:numPr>
        <w:ind w:left="720"/>
      </w:pPr>
    </w:p>
    <w:p w:rsidR="00953D1F" w:rsidRDefault="0046606E" w:rsidP="003B0797">
      <w:pPr>
        <w:pStyle w:val="Heading1"/>
        <w:spacing w:before="0" w:after="0"/>
      </w:pPr>
      <w:r>
        <w:t xml:space="preserve">calculation of </w:t>
      </w:r>
      <w:r w:rsidR="00BD199C">
        <w:t xml:space="preserve">Mitigation </w:t>
      </w:r>
      <w:r>
        <w:t>credits and credit release schedule</w:t>
      </w:r>
    </w:p>
    <w:p w:rsidR="003B0797" w:rsidRDefault="003B0797" w:rsidP="003B0797">
      <w:pPr>
        <w:pStyle w:val="Heading1"/>
        <w:numPr>
          <w:ilvl w:val="0"/>
          <w:numId w:val="0"/>
        </w:numPr>
        <w:spacing w:before="0" w:after="0"/>
        <w:ind w:left="360"/>
      </w:pPr>
    </w:p>
    <w:p w:rsidR="00205388" w:rsidRDefault="00FE751A" w:rsidP="009007B8">
      <w:pPr>
        <w:pStyle w:val="Clause"/>
        <w:numPr>
          <w:ilvl w:val="0"/>
          <w:numId w:val="31"/>
        </w:numPr>
      </w:pPr>
      <w:r>
        <w:t xml:space="preserve">Riparian </w:t>
      </w:r>
      <w:r w:rsidR="00205388" w:rsidRPr="00205388">
        <w:t xml:space="preserve">Buffer Credit may be achieved through </w:t>
      </w:r>
      <w:r w:rsidR="00DB4EC8">
        <w:t xml:space="preserve">restoration </w:t>
      </w:r>
      <w:r w:rsidR="00DB4EC8" w:rsidRPr="00A35BB1">
        <w:t>or enhancement</w:t>
      </w:r>
      <w:r w:rsidR="00205388" w:rsidRPr="00205388">
        <w:t xml:space="preserve"> of the </w:t>
      </w:r>
      <w:r w:rsidR="0020131A">
        <w:t>DWR</w:t>
      </w:r>
      <w:r w:rsidR="00205388" w:rsidRPr="00205388">
        <w:t xml:space="preserve"> riparian buffer, as defined in 15A NCAC 02B .</w:t>
      </w:r>
      <w:r>
        <w:t>02</w:t>
      </w:r>
      <w:r w:rsidR="00763749" w:rsidRPr="00763749">
        <w:rPr>
          <w:highlight w:val="cyan"/>
        </w:rPr>
        <w:t>XX</w:t>
      </w:r>
      <w:r>
        <w:t xml:space="preserve"> </w:t>
      </w:r>
      <w:r w:rsidR="00763749" w:rsidRPr="00763749">
        <w:rPr>
          <w:highlight w:val="green"/>
        </w:rPr>
        <w:t>(type in the applicable buffer rule here)</w:t>
      </w:r>
      <w:r w:rsidR="00763749">
        <w:t xml:space="preserve"> </w:t>
      </w:r>
      <w:r>
        <w:t>and per 15A NCAC 02B .</w:t>
      </w:r>
      <w:proofErr w:type="gramStart"/>
      <w:r>
        <w:t>02</w:t>
      </w:r>
      <w:r w:rsidR="00763749" w:rsidRPr="00763749">
        <w:rPr>
          <w:highlight w:val="cyan"/>
        </w:rPr>
        <w:t>XX</w:t>
      </w:r>
      <w:r w:rsidR="00763749">
        <w:t>(</w:t>
      </w:r>
      <w:proofErr w:type="gramEnd"/>
      <w:r w:rsidR="00763749" w:rsidRPr="00763749">
        <w:rPr>
          <w:highlight w:val="green"/>
        </w:rPr>
        <w:t>type in the applicable buffer mitigation rule here</w:t>
      </w:r>
      <w:r w:rsidR="00763749">
        <w:t>)</w:t>
      </w:r>
      <w:r w:rsidR="00205388" w:rsidRPr="00205388">
        <w:t>.</w:t>
      </w:r>
      <w:r w:rsidR="00B01C00">
        <w:t xml:space="preserve"> </w:t>
      </w:r>
      <w:r w:rsidR="00205388" w:rsidRPr="00205388">
        <w:t xml:space="preserve"> </w:t>
      </w:r>
    </w:p>
    <w:p w:rsidR="00205388" w:rsidRPr="00205388" w:rsidRDefault="00205388" w:rsidP="003B0797">
      <w:pPr>
        <w:pStyle w:val="Clause"/>
        <w:numPr>
          <w:ilvl w:val="0"/>
          <w:numId w:val="0"/>
        </w:numPr>
        <w:ind w:left="720"/>
      </w:pPr>
    </w:p>
    <w:p w:rsidR="00205388" w:rsidRDefault="00205388" w:rsidP="003B0797">
      <w:pPr>
        <w:pStyle w:val="Clause"/>
        <w:numPr>
          <w:ilvl w:val="0"/>
          <w:numId w:val="7"/>
        </w:numPr>
      </w:pPr>
      <w:r w:rsidRPr="00205388">
        <w:t xml:space="preserve">Nutrient Offset Credit may be achieved through restoration </w:t>
      </w:r>
      <w:r w:rsidR="00DB4EC8">
        <w:t xml:space="preserve">or </w:t>
      </w:r>
      <w:r w:rsidR="00DB4EC8" w:rsidRPr="00A35BB1">
        <w:t>enhancement</w:t>
      </w:r>
      <w:r w:rsidR="00DB4EC8">
        <w:t xml:space="preserve"> </w:t>
      </w:r>
      <w:r w:rsidRPr="00205388">
        <w:t xml:space="preserve">of the </w:t>
      </w:r>
      <w:r w:rsidR="003339D3">
        <w:t xml:space="preserve">riparian </w:t>
      </w:r>
      <w:r w:rsidRPr="00205388">
        <w:t>area adjacent to surface water</w:t>
      </w:r>
      <w:r>
        <w:t xml:space="preserve"> features</w:t>
      </w:r>
      <w:r w:rsidRPr="00205388">
        <w:t xml:space="preserve">. </w:t>
      </w:r>
      <w:r w:rsidR="00D163C7">
        <w:t>Surface water features do not have to be intermittent or perennial, nor do the</w:t>
      </w:r>
      <w:r w:rsidR="002F235E">
        <w:t xml:space="preserve">y have to be depicted on a USGS, </w:t>
      </w:r>
      <w:r w:rsidR="00D163C7">
        <w:t>NRCS</w:t>
      </w:r>
      <w:r w:rsidR="002F235E">
        <w:t>, or EMC approved</w:t>
      </w:r>
      <w:r w:rsidR="00065506">
        <w:t xml:space="preserve"> map</w:t>
      </w:r>
      <w:r w:rsidR="00D163C7">
        <w:t xml:space="preserve">. </w:t>
      </w:r>
      <w:r w:rsidR="00F3442B" w:rsidRPr="00A35BB1">
        <w:t xml:space="preserve">However, surface water features must be </w:t>
      </w:r>
      <w:proofErr w:type="spellStart"/>
      <w:r w:rsidR="005F6035" w:rsidRPr="00A35BB1">
        <w:t>hydrologically</w:t>
      </w:r>
      <w:proofErr w:type="spellEnd"/>
      <w:r w:rsidR="005F6035" w:rsidRPr="00A35BB1">
        <w:t xml:space="preserve"> </w:t>
      </w:r>
      <w:r w:rsidR="00DB4EC8" w:rsidRPr="00A35BB1">
        <w:t xml:space="preserve">connected and drain to jurisdictional </w:t>
      </w:r>
      <w:r w:rsidR="00F3442B" w:rsidRPr="00A35BB1">
        <w:t>waters that are either intermittent or perennial.</w:t>
      </w:r>
      <w:r w:rsidR="00D163C7" w:rsidRPr="00A35BB1">
        <w:t xml:space="preserve"> </w:t>
      </w:r>
      <w:r w:rsidR="00F3442B" w:rsidRPr="00A35BB1">
        <w:t xml:space="preserve"> </w:t>
      </w:r>
      <w:r w:rsidR="00D163C7" w:rsidRPr="00A35BB1">
        <w:t>T</w:t>
      </w:r>
      <w:r w:rsidRPr="00A35BB1">
        <w:t>he width of the restoration area begins at the most landward limit of the top of bank</w:t>
      </w:r>
      <w:r w:rsidRPr="00205388">
        <w:t xml:space="preserve"> or the rooted herbaceous vegetation and extends landward a </w:t>
      </w:r>
      <w:r w:rsidR="00D163C7">
        <w:t xml:space="preserve">maximum </w:t>
      </w:r>
      <w:r w:rsidRPr="00205388">
        <w:t xml:space="preserve">distance of 200 feet on all sides of the surface water. </w:t>
      </w:r>
    </w:p>
    <w:p w:rsidR="00205388" w:rsidRDefault="00205388" w:rsidP="003B0797">
      <w:pPr>
        <w:pStyle w:val="ListParagraph"/>
      </w:pPr>
    </w:p>
    <w:p w:rsidR="006E5473" w:rsidRPr="00A35BB1" w:rsidRDefault="006E5473" w:rsidP="003B0797">
      <w:pPr>
        <w:pStyle w:val="Clause"/>
        <w:numPr>
          <w:ilvl w:val="0"/>
          <w:numId w:val="7"/>
        </w:numPr>
      </w:pPr>
      <w:r>
        <w:t xml:space="preserve">The </w:t>
      </w:r>
      <w:r w:rsidR="00511304">
        <w:t xml:space="preserve">mitigation accomplished in the </w:t>
      </w:r>
      <w:r w:rsidR="0020131A">
        <w:t>DWR</w:t>
      </w:r>
      <w:r w:rsidR="00205388" w:rsidRPr="00205388">
        <w:t xml:space="preserve"> riparian buffer, as defined in </w:t>
      </w:r>
      <w:r w:rsidR="00763749" w:rsidRPr="00763749">
        <w:t>15A NCAC 02B .02</w:t>
      </w:r>
      <w:r w:rsidR="00763749" w:rsidRPr="00763749">
        <w:rPr>
          <w:highlight w:val="cyan"/>
        </w:rPr>
        <w:t>XX</w:t>
      </w:r>
      <w:r w:rsidR="00763749" w:rsidRPr="00763749">
        <w:t xml:space="preserve"> </w:t>
      </w:r>
      <w:r w:rsidR="00763749" w:rsidRPr="00763749">
        <w:rPr>
          <w:highlight w:val="green"/>
        </w:rPr>
        <w:t>(type in the applicable buffer rule here)</w:t>
      </w:r>
      <w:r w:rsidR="00763749" w:rsidRPr="00763749">
        <w:t xml:space="preserve"> and per 15A NCAC 02B .02</w:t>
      </w:r>
      <w:r w:rsidR="00763749" w:rsidRPr="00763749">
        <w:rPr>
          <w:highlight w:val="cyan"/>
        </w:rPr>
        <w:t>XX</w:t>
      </w:r>
      <w:r w:rsidR="00763749" w:rsidRPr="00763749">
        <w:rPr>
          <w:highlight w:val="green"/>
        </w:rPr>
        <w:t>(type in the applicable buffer mitigation rule here)</w:t>
      </w:r>
      <w:r w:rsidR="00763749">
        <w:t>,</w:t>
      </w:r>
      <w:r w:rsidR="00763749" w:rsidRPr="00763749">
        <w:t xml:space="preserve"> </w:t>
      </w:r>
      <w:r>
        <w:t xml:space="preserve">may be used for </w:t>
      </w:r>
      <w:r w:rsidR="000D3180" w:rsidRPr="000D3180">
        <w:rPr>
          <w:i/>
        </w:rPr>
        <w:t>either</w:t>
      </w:r>
      <w:r>
        <w:t xml:space="preserve"> </w:t>
      </w:r>
      <w:r w:rsidR="00B01C00">
        <w:t xml:space="preserve">Riparian </w:t>
      </w:r>
      <w:r>
        <w:t xml:space="preserve">Buffer Credit or </w:t>
      </w:r>
      <w:r w:rsidRPr="00F344A9">
        <w:t>Nutri</w:t>
      </w:r>
      <w:r w:rsidR="00153A79">
        <w:t xml:space="preserve">ent Offset Credit, but not both </w:t>
      </w:r>
      <w:r w:rsidR="00153A79" w:rsidRPr="00A35BB1">
        <w:t>and shall be subject to the same mitigation ratios.</w:t>
      </w:r>
    </w:p>
    <w:p w:rsidR="006A1959" w:rsidRDefault="006A1959" w:rsidP="003B0797">
      <w:pPr>
        <w:pStyle w:val="Clause"/>
        <w:numPr>
          <w:ilvl w:val="0"/>
          <w:numId w:val="0"/>
        </w:numPr>
        <w:ind w:left="720"/>
      </w:pPr>
    </w:p>
    <w:p w:rsidR="00B60605" w:rsidRDefault="000D3180" w:rsidP="003B0797">
      <w:pPr>
        <w:pStyle w:val="Clause"/>
        <w:numPr>
          <w:ilvl w:val="0"/>
          <w:numId w:val="7"/>
        </w:numPr>
      </w:pPr>
      <w:r w:rsidRPr="000D3180">
        <w:t xml:space="preserve">Riparian Buffer Credit is defined as one (1) buffer credit per one square foot or 43,560 buffer credits per one acre.  </w:t>
      </w:r>
    </w:p>
    <w:p w:rsidR="006E5473" w:rsidRDefault="006E5473" w:rsidP="003B0797">
      <w:pPr>
        <w:pStyle w:val="ListParagraph"/>
      </w:pPr>
    </w:p>
    <w:p w:rsidR="007072FD" w:rsidRDefault="00A81026" w:rsidP="003B0797">
      <w:pPr>
        <w:pStyle w:val="Clause"/>
        <w:numPr>
          <w:ilvl w:val="0"/>
          <w:numId w:val="7"/>
        </w:numPr>
      </w:pPr>
      <w:r>
        <w:t xml:space="preserve">Nutrient </w:t>
      </w:r>
      <w:r w:rsidR="00953D1F" w:rsidRPr="00CA6204">
        <w:t xml:space="preserve">Abatement of Restored Riparian </w:t>
      </w:r>
      <w:r w:rsidR="00D27537">
        <w:t>Area</w:t>
      </w:r>
      <w:r w:rsidR="00953D1F" w:rsidRPr="00CA6204">
        <w:t xml:space="preserve">: </w:t>
      </w:r>
      <w:r w:rsidR="00B85631">
        <w:t xml:space="preserve">The Sponsor </w:t>
      </w:r>
      <w:r w:rsidR="00953D1F" w:rsidRPr="00CA6204">
        <w:t xml:space="preserve">and </w:t>
      </w:r>
      <w:r w:rsidR="0020131A">
        <w:t>DWR</w:t>
      </w:r>
      <w:r w:rsidR="00953D1F" w:rsidRPr="00CA6204">
        <w:t xml:space="preserve"> agree</w:t>
      </w:r>
      <w:r w:rsidR="007072FD">
        <w:t>:</w:t>
      </w:r>
    </w:p>
    <w:p w:rsidR="00D422D7" w:rsidRDefault="00D422D7" w:rsidP="003B0797">
      <w:pPr>
        <w:pStyle w:val="ListParagraph"/>
      </w:pPr>
    </w:p>
    <w:p w:rsidR="007072FD" w:rsidRPr="007C596D" w:rsidRDefault="00C73EDA" w:rsidP="003B0797">
      <w:pPr>
        <w:pStyle w:val="Clause"/>
        <w:numPr>
          <w:ilvl w:val="1"/>
          <w:numId w:val="7"/>
        </w:numPr>
        <w:rPr>
          <w:highlight w:val="cyan"/>
        </w:rPr>
      </w:pPr>
      <w:r w:rsidRPr="00C73EDA">
        <w:rPr>
          <w:highlight w:val="cyan"/>
        </w:rPr>
        <w:t xml:space="preserve">The pounds of nitrogen offset per acre of restored riparian areas shall be two thousand two hundred and seventy three pounds per acre (2,273.02 lbs/acre) or the amount of nitrogen offset per </w:t>
      </w:r>
      <w:r w:rsidRPr="00A35BB1">
        <w:rPr>
          <w:highlight w:val="cyan"/>
        </w:rPr>
        <w:t xml:space="preserve">acre in effect </w:t>
      </w:r>
      <w:r w:rsidRPr="00C73EDA">
        <w:rPr>
          <w:highlight w:val="cyan"/>
        </w:rPr>
        <w:t>at the time the BPDP is approved</w:t>
      </w:r>
      <w:r w:rsidR="00660D86" w:rsidRPr="007C596D">
        <w:rPr>
          <w:highlight w:val="cyan"/>
        </w:rPr>
        <w:t>.</w:t>
      </w:r>
    </w:p>
    <w:p w:rsidR="003B0797" w:rsidRPr="007C596D" w:rsidRDefault="003B0797" w:rsidP="003B0797">
      <w:pPr>
        <w:pStyle w:val="Clause"/>
        <w:numPr>
          <w:ilvl w:val="0"/>
          <w:numId w:val="0"/>
        </w:numPr>
        <w:ind w:left="1440"/>
        <w:rPr>
          <w:highlight w:val="cyan"/>
        </w:rPr>
      </w:pPr>
    </w:p>
    <w:p w:rsidR="00660D86" w:rsidRPr="007C596D" w:rsidRDefault="00C73EDA" w:rsidP="003B0797">
      <w:pPr>
        <w:pStyle w:val="Clause"/>
        <w:numPr>
          <w:ilvl w:val="1"/>
          <w:numId w:val="7"/>
        </w:numPr>
        <w:rPr>
          <w:highlight w:val="cyan"/>
        </w:rPr>
      </w:pPr>
      <w:r w:rsidRPr="00C73EDA">
        <w:rPr>
          <w:highlight w:val="cyan"/>
        </w:rPr>
        <w:t xml:space="preserve">The pounds of phosphorus offset per acre of restored riparian areas shall be one hundred forty six and four-tenths pounds per acre (146.4 lbs/acre) or the amount of phosphorus offset per acre </w:t>
      </w:r>
      <w:r w:rsidRPr="00A35BB1">
        <w:rPr>
          <w:highlight w:val="cyan"/>
        </w:rPr>
        <w:t xml:space="preserve">in effect at </w:t>
      </w:r>
      <w:r w:rsidRPr="00C73EDA">
        <w:rPr>
          <w:highlight w:val="cyan"/>
        </w:rPr>
        <w:t>the time the BPDP is approved</w:t>
      </w:r>
      <w:r w:rsidR="007C596D" w:rsidRPr="007C596D">
        <w:rPr>
          <w:highlight w:val="cyan"/>
        </w:rPr>
        <w:t xml:space="preserve">.  </w:t>
      </w:r>
    </w:p>
    <w:p w:rsidR="002063AE" w:rsidRPr="00CA6204" w:rsidRDefault="002063AE" w:rsidP="003B0797">
      <w:pPr>
        <w:tabs>
          <w:tab w:val="left" w:pos="360"/>
          <w:tab w:val="left" w:pos="1080"/>
          <w:tab w:val="left" w:pos="1440"/>
        </w:tabs>
        <w:jc w:val="both"/>
      </w:pPr>
    </w:p>
    <w:p w:rsidR="00E951FE" w:rsidRPr="00E951FE" w:rsidRDefault="008B44AC" w:rsidP="003B0797">
      <w:pPr>
        <w:pStyle w:val="Clause"/>
        <w:rPr>
          <w:highlight w:val="cyan"/>
        </w:rPr>
      </w:pPr>
      <w:r w:rsidRPr="008B44AC">
        <w:rPr>
          <w:highlight w:val="cyan"/>
        </w:rPr>
        <w:t>Impacted areas in the Upper Falls Watershed can only mitigate in the Upper Falls</w:t>
      </w:r>
      <w:r w:rsidR="00017AE7">
        <w:rPr>
          <w:highlight w:val="cyan"/>
        </w:rPr>
        <w:t xml:space="preserve"> Watershed</w:t>
      </w:r>
      <w:r w:rsidRPr="008B44AC">
        <w:rPr>
          <w:highlight w:val="cyan"/>
        </w:rPr>
        <w:t>.  Impacted areas in the Lower Falls Watershed can mitigate in any portion of the Falls Watershed</w:t>
      </w:r>
      <w:r w:rsidR="00FD7352">
        <w:rPr>
          <w:highlight w:val="cyan"/>
        </w:rPr>
        <w:t xml:space="preserve"> per </w:t>
      </w:r>
      <w:r w:rsidRPr="008B44AC">
        <w:rPr>
          <w:highlight w:val="cyan"/>
        </w:rPr>
        <w:t xml:space="preserve">15A NCAC </w:t>
      </w:r>
      <w:r w:rsidR="00017AE7">
        <w:rPr>
          <w:highlight w:val="cyan"/>
        </w:rPr>
        <w:t xml:space="preserve">02B </w:t>
      </w:r>
      <w:r w:rsidRPr="008B44AC">
        <w:rPr>
          <w:highlight w:val="cyan"/>
        </w:rPr>
        <w:t>.0282</w:t>
      </w:r>
      <w:r w:rsidR="00017AE7">
        <w:rPr>
          <w:highlight w:val="cyan"/>
        </w:rPr>
        <w:t>.</w:t>
      </w:r>
    </w:p>
    <w:p w:rsidR="00D718EA" w:rsidRDefault="00E951FE" w:rsidP="003B0797">
      <w:pPr>
        <w:pStyle w:val="Clause"/>
        <w:numPr>
          <w:ilvl w:val="0"/>
          <w:numId w:val="0"/>
        </w:numPr>
        <w:ind w:left="720"/>
        <w:rPr>
          <w:u w:val="single"/>
        </w:rPr>
      </w:pPr>
      <w:r w:rsidRPr="00E951FE">
        <w:rPr>
          <w:highlight w:val="cyan"/>
          <w:u w:val="single"/>
        </w:rPr>
        <w:t>This paragraph only to be used for the Falls UMBI</w:t>
      </w:r>
    </w:p>
    <w:p w:rsidR="00E951FE" w:rsidRDefault="00E951FE" w:rsidP="003B0797">
      <w:pPr>
        <w:pStyle w:val="Clause"/>
        <w:numPr>
          <w:ilvl w:val="0"/>
          <w:numId w:val="0"/>
        </w:numPr>
        <w:ind w:left="720"/>
      </w:pPr>
    </w:p>
    <w:p w:rsidR="00D718EA" w:rsidRPr="00E951FE" w:rsidRDefault="00F27045" w:rsidP="003B0797">
      <w:pPr>
        <w:pStyle w:val="Clause"/>
        <w:rPr>
          <w:highlight w:val="cyan"/>
        </w:rPr>
      </w:pPr>
      <w:r w:rsidRPr="00E951FE">
        <w:rPr>
          <w:highlight w:val="cyan"/>
        </w:rPr>
        <w:t xml:space="preserve">Nutrient Offset Credits sold or transferred from approved Bank Parcels to prospective purchasers shall account for the </w:t>
      </w:r>
      <w:r w:rsidR="0020131A">
        <w:rPr>
          <w:highlight w:val="cyan"/>
        </w:rPr>
        <w:t>DWR</w:t>
      </w:r>
      <w:r w:rsidRPr="00E951FE">
        <w:rPr>
          <w:highlight w:val="cyan"/>
        </w:rPr>
        <w:t>-approved transport factors between the Bank Parcel site and the location of the site or development wishing to utilize credits.</w:t>
      </w:r>
    </w:p>
    <w:p w:rsidR="008B44AC" w:rsidRDefault="000B4803" w:rsidP="003B0797">
      <w:pPr>
        <w:pStyle w:val="Clause"/>
        <w:numPr>
          <w:ilvl w:val="0"/>
          <w:numId w:val="0"/>
        </w:numPr>
        <w:ind w:left="720"/>
        <w:rPr>
          <w:u w:val="single"/>
        </w:rPr>
      </w:pPr>
      <w:r w:rsidRPr="00E951FE">
        <w:rPr>
          <w:highlight w:val="cyan"/>
          <w:u w:val="single"/>
        </w:rPr>
        <w:t>This paragraph only to be used for the Jordan UMBI</w:t>
      </w:r>
      <w:r w:rsidR="00AC157E">
        <w:rPr>
          <w:u w:val="single"/>
        </w:rPr>
        <w:t xml:space="preserve"> </w:t>
      </w:r>
    </w:p>
    <w:p w:rsidR="000B4803" w:rsidRPr="00CA6204" w:rsidRDefault="000B4803" w:rsidP="003B0797">
      <w:pPr>
        <w:pStyle w:val="Clause"/>
        <w:numPr>
          <w:ilvl w:val="0"/>
          <w:numId w:val="0"/>
        </w:numPr>
        <w:ind w:left="720"/>
      </w:pPr>
    </w:p>
    <w:p w:rsidR="00094155" w:rsidRPr="00A35BB1" w:rsidRDefault="00300D22" w:rsidP="00300D22">
      <w:pPr>
        <w:pStyle w:val="Clause"/>
        <w:numPr>
          <w:ilvl w:val="0"/>
          <w:numId w:val="0"/>
        </w:numPr>
        <w:ind w:left="720"/>
        <w:rPr>
          <w:highlight w:val="cyan"/>
        </w:rPr>
      </w:pPr>
      <w:r w:rsidRPr="00A35BB1">
        <w:rPr>
          <w:highlight w:val="cyan"/>
          <w:u w:val="single"/>
        </w:rPr>
        <w:t>The following text to be inserted into Jordan UMBI only</w:t>
      </w:r>
      <w:r w:rsidRPr="00A35BB1">
        <w:rPr>
          <w:highlight w:val="cyan"/>
        </w:rPr>
        <w:t xml:space="preserve">: </w:t>
      </w:r>
    </w:p>
    <w:p w:rsidR="00300D22" w:rsidRPr="00A35BB1" w:rsidRDefault="00300D22" w:rsidP="0069230B">
      <w:pPr>
        <w:pStyle w:val="Clause"/>
        <w:rPr>
          <w:highlight w:val="cyan"/>
        </w:rPr>
      </w:pPr>
      <w:r w:rsidRPr="00A35BB1">
        <w:rPr>
          <w:highlight w:val="cyan"/>
        </w:rPr>
        <w:t>The following Jordan Water Supply Nutrient Strategy requirements apply</w:t>
      </w:r>
    </w:p>
    <w:p w:rsidR="00300D22" w:rsidRPr="00A35BB1" w:rsidRDefault="00300D22" w:rsidP="00300D22">
      <w:pPr>
        <w:pStyle w:val="Clause"/>
        <w:numPr>
          <w:ilvl w:val="0"/>
          <w:numId w:val="0"/>
        </w:numPr>
        <w:ind w:left="720"/>
        <w:rPr>
          <w:highlight w:val="cyan"/>
        </w:rPr>
      </w:pPr>
    </w:p>
    <w:p w:rsidR="00300D22" w:rsidRPr="00A35BB1" w:rsidRDefault="00300D22" w:rsidP="00300D22">
      <w:pPr>
        <w:pStyle w:val="Clause"/>
        <w:numPr>
          <w:ilvl w:val="1"/>
          <w:numId w:val="3"/>
        </w:numPr>
        <w:rPr>
          <w:highlight w:val="cyan"/>
        </w:rPr>
      </w:pPr>
      <w:r w:rsidRPr="00A35BB1">
        <w:rPr>
          <w:highlight w:val="cyan"/>
        </w:rPr>
        <w:t xml:space="preserve">Nutrient offsets can only be provided to offset impacts within the same Jordan </w:t>
      </w:r>
      <w:proofErr w:type="spellStart"/>
      <w:r w:rsidRPr="00A35BB1">
        <w:rPr>
          <w:highlight w:val="cyan"/>
        </w:rPr>
        <w:t>subwatershed</w:t>
      </w:r>
      <w:proofErr w:type="spellEnd"/>
      <w:r w:rsidRPr="00A35BB1">
        <w:rPr>
          <w:highlight w:val="cyan"/>
        </w:rPr>
        <w:t>, as defined in 15A NCAC 02B .0262.</w:t>
      </w:r>
    </w:p>
    <w:p w:rsidR="00300D22" w:rsidRPr="00A35BB1" w:rsidRDefault="00300D22" w:rsidP="00300D22">
      <w:pPr>
        <w:pStyle w:val="Clause"/>
        <w:numPr>
          <w:ilvl w:val="0"/>
          <w:numId w:val="0"/>
        </w:numPr>
        <w:ind w:left="1440"/>
        <w:rPr>
          <w:highlight w:val="cyan"/>
        </w:rPr>
      </w:pPr>
    </w:p>
    <w:p w:rsidR="00300D22" w:rsidRPr="00A35BB1" w:rsidRDefault="00300D22" w:rsidP="00300D22">
      <w:pPr>
        <w:pStyle w:val="Clause"/>
        <w:numPr>
          <w:ilvl w:val="1"/>
          <w:numId w:val="3"/>
        </w:numPr>
        <w:rPr>
          <w:highlight w:val="cyan"/>
        </w:rPr>
      </w:pPr>
      <w:r w:rsidRPr="00A35BB1">
        <w:rPr>
          <w:highlight w:val="cyan"/>
        </w:rPr>
        <w:t xml:space="preserve">Pursuant to the Jordan Trading Rule Item 15A NCAC 02B .0273(2)(a), load reductions eligible for credit are only those that exceed reduction needs calculated by applying  the strategy </w:t>
      </w:r>
      <w:proofErr w:type="spellStart"/>
      <w:r w:rsidRPr="00A35BB1">
        <w:rPr>
          <w:highlight w:val="cyan"/>
        </w:rPr>
        <w:t>subwatershed</w:t>
      </w:r>
      <w:proofErr w:type="spellEnd"/>
      <w:r w:rsidRPr="00A35BB1">
        <w:rPr>
          <w:highlight w:val="cyan"/>
        </w:rPr>
        <w:t xml:space="preserve"> percentage reduction goals as provided in 15A NCAC 02B .0262 (5).  For the Haw and Upper New Hope </w:t>
      </w:r>
      <w:proofErr w:type="spellStart"/>
      <w:r w:rsidRPr="00A35BB1">
        <w:rPr>
          <w:highlight w:val="cyan"/>
        </w:rPr>
        <w:t>subwatersheds</w:t>
      </w:r>
      <w:proofErr w:type="spellEnd"/>
      <w:r w:rsidRPr="00A35BB1">
        <w:rPr>
          <w:highlight w:val="cyan"/>
        </w:rPr>
        <w:t xml:space="preserve">, this requirement results in a reduction of credits yielded per acre of restored riparian buffers when compared with the credits given in other </w:t>
      </w:r>
      <w:r w:rsidR="007C6C36" w:rsidRPr="00A35BB1">
        <w:rPr>
          <w:highlight w:val="cyan"/>
        </w:rPr>
        <w:t xml:space="preserve">river </w:t>
      </w:r>
      <w:r w:rsidRPr="00A35BB1">
        <w:rPr>
          <w:highlight w:val="cyan"/>
        </w:rPr>
        <w:t xml:space="preserve">basins.  Table 1.0 below lists the generated credits per acre of restored riparian buffer for each Jordan </w:t>
      </w:r>
      <w:proofErr w:type="spellStart"/>
      <w:r w:rsidRPr="00A35BB1">
        <w:rPr>
          <w:highlight w:val="cyan"/>
        </w:rPr>
        <w:t>subwatershed</w:t>
      </w:r>
      <w:proofErr w:type="spellEnd"/>
      <w:r w:rsidRPr="00A35BB1">
        <w:rPr>
          <w:highlight w:val="cyan"/>
        </w:rPr>
        <w:t>.</w:t>
      </w:r>
    </w:p>
    <w:p w:rsidR="00300D22" w:rsidRPr="00A35BB1" w:rsidRDefault="00300D22" w:rsidP="00300D22">
      <w:pPr>
        <w:pStyle w:val="Clause"/>
        <w:numPr>
          <w:ilvl w:val="0"/>
          <w:numId w:val="0"/>
        </w:numPr>
        <w:ind w:left="720" w:hanging="360"/>
        <w:rPr>
          <w:highlight w:val="cyan"/>
        </w:rPr>
      </w:pPr>
    </w:p>
    <w:p w:rsidR="00300D22" w:rsidRPr="00A35BB1" w:rsidRDefault="00300D22" w:rsidP="00300D22">
      <w:pPr>
        <w:pStyle w:val="Clause"/>
        <w:numPr>
          <w:ilvl w:val="0"/>
          <w:numId w:val="0"/>
        </w:numPr>
        <w:ind w:left="720" w:hanging="360"/>
        <w:rPr>
          <w:sz w:val="20"/>
          <w:szCs w:val="20"/>
          <w:highlight w:val="cyan"/>
        </w:rPr>
      </w:pPr>
      <w:r w:rsidRPr="00A35BB1">
        <w:rPr>
          <w:b/>
          <w:highlight w:val="cyan"/>
        </w:rPr>
        <w:tab/>
      </w:r>
      <w:proofErr w:type="gramStart"/>
      <w:r w:rsidRPr="00A35BB1">
        <w:rPr>
          <w:b/>
          <w:sz w:val="20"/>
          <w:szCs w:val="20"/>
          <w:highlight w:val="cyan"/>
        </w:rPr>
        <w:t>Table 1.0.</w:t>
      </w:r>
      <w:proofErr w:type="gramEnd"/>
      <w:r w:rsidRPr="00A35BB1">
        <w:rPr>
          <w:b/>
          <w:sz w:val="20"/>
          <w:szCs w:val="20"/>
          <w:highlight w:val="cyan"/>
        </w:rPr>
        <w:t xml:space="preserve"> </w:t>
      </w:r>
      <w:r w:rsidR="007C6C36" w:rsidRPr="00A35BB1">
        <w:rPr>
          <w:b/>
          <w:sz w:val="20"/>
          <w:szCs w:val="20"/>
          <w:highlight w:val="cyan"/>
        </w:rPr>
        <w:t>Generated credit</w:t>
      </w:r>
      <w:r w:rsidRPr="00A35BB1">
        <w:rPr>
          <w:b/>
          <w:sz w:val="20"/>
          <w:szCs w:val="20"/>
          <w:highlight w:val="cyan"/>
        </w:rPr>
        <w:t xml:space="preserve"> yields for forest buffer restoration by Jordan </w:t>
      </w:r>
      <w:proofErr w:type="spellStart"/>
      <w:r w:rsidRPr="00A35BB1">
        <w:rPr>
          <w:b/>
          <w:sz w:val="20"/>
          <w:szCs w:val="20"/>
          <w:highlight w:val="cyan"/>
        </w:rPr>
        <w:t>Subwatershed</w:t>
      </w:r>
      <w:proofErr w:type="spellEnd"/>
    </w:p>
    <w:tbl>
      <w:tblPr>
        <w:tblW w:w="8212" w:type="dxa"/>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7"/>
        <w:gridCol w:w="3191"/>
        <w:gridCol w:w="2714"/>
      </w:tblGrid>
      <w:tr w:rsidR="00300D22" w:rsidRPr="00A35BB1" w:rsidTr="00685E98">
        <w:trPr>
          <w:trHeight w:val="306"/>
        </w:trPr>
        <w:tc>
          <w:tcPr>
            <w:tcW w:w="2307" w:type="dxa"/>
            <w:shd w:val="clear" w:color="auto" w:fill="auto"/>
            <w:noWrap/>
            <w:vAlign w:val="bottom"/>
            <w:hideMark/>
          </w:tcPr>
          <w:p w:rsidR="00300D22" w:rsidRPr="00A35BB1" w:rsidRDefault="00300D22" w:rsidP="00685E98">
            <w:pPr>
              <w:ind w:left="720"/>
              <w:contextualSpacing/>
              <w:rPr>
                <w:color w:val="000000"/>
                <w:sz w:val="22"/>
                <w:szCs w:val="22"/>
                <w:highlight w:val="cyan"/>
              </w:rPr>
            </w:pPr>
          </w:p>
        </w:tc>
        <w:tc>
          <w:tcPr>
            <w:tcW w:w="5905" w:type="dxa"/>
            <w:gridSpan w:val="2"/>
            <w:shd w:val="clear" w:color="auto" w:fill="auto"/>
            <w:noWrap/>
            <w:vAlign w:val="bottom"/>
            <w:hideMark/>
          </w:tcPr>
          <w:p w:rsidR="00300D22" w:rsidRPr="00A35BB1" w:rsidRDefault="00300D22" w:rsidP="00685E98">
            <w:pPr>
              <w:jc w:val="center"/>
              <w:rPr>
                <w:color w:val="000000"/>
                <w:sz w:val="22"/>
                <w:szCs w:val="22"/>
                <w:highlight w:val="cyan"/>
              </w:rPr>
            </w:pPr>
            <w:r w:rsidRPr="00A35BB1">
              <w:rPr>
                <w:color w:val="000000"/>
                <w:sz w:val="22"/>
                <w:szCs w:val="22"/>
                <w:highlight w:val="cyan"/>
              </w:rPr>
              <w:t>Credit Generated (lbs/30 yrs/ac)</w:t>
            </w:r>
          </w:p>
        </w:tc>
      </w:tr>
      <w:tr w:rsidR="00300D22" w:rsidRPr="00A35BB1" w:rsidTr="00685E98">
        <w:trPr>
          <w:trHeight w:val="485"/>
        </w:trPr>
        <w:tc>
          <w:tcPr>
            <w:tcW w:w="2307" w:type="dxa"/>
            <w:shd w:val="clear" w:color="auto" w:fill="auto"/>
            <w:noWrap/>
            <w:vAlign w:val="bottom"/>
            <w:hideMark/>
          </w:tcPr>
          <w:p w:rsidR="00300D22" w:rsidRPr="00A35BB1" w:rsidRDefault="00300D22" w:rsidP="00685E98">
            <w:pPr>
              <w:jc w:val="center"/>
              <w:rPr>
                <w:b/>
                <w:color w:val="000000"/>
                <w:sz w:val="22"/>
                <w:szCs w:val="22"/>
                <w:highlight w:val="cyan"/>
              </w:rPr>
            </w:pPr>
            <w:r w:rsidRPr="00A35BB1">
              <w:rPr>
                <w:b/>
                <w:color w:val="000000"/>
                <w:sz w:val="22"/>
                <w:szCs w:val="22"/>
                <w:highlight w:val="cyan"/>
              </w:rPr>
              <w:t xml:space="preserve">Jordan </w:t>
            </w:r>
            <w:proofErr w:type="spellStart"/>
            <w:r w:rsidRPr="00A35BB1">
              <w:rPr>
                <w:b/>
                <w:color w:val="000000"/>
                <w:sz w:val="22"/>
                <w:szCs w:val="22"/>
                <w:highlight w:val="cyan"/>
              </w:rPr>
              <w:t>Subwatershed</w:t>
            </w:r>
            <w:proofErr w:type="spellEnd"/>
          </w:p>
        </w:tc>
        <w:tc>
          <w:tcPr>
            <w:tcW w:w="3191" w:type="dxa"/>
            <w:shd w:val="clear" w:color="auto" w:fill="auto"/>
            <w:noWrap/>
            <w:vAlign w:val="bottom"/>
            <w:hideMark/>
          </w:tcPr>
          <w:p w:rsidR="00300D22" w:rsidRPr="00A35BB1" w:rsidRDefault="00300D22" w:rsidP="00685E98">
            <w:pPr>
              <w:jc w:val="center"/>
              <w:rPr>
                <w:b/>
                <w:color w:val="000000"/>
                <w:sz w:val="22"/>
                <w:szCs w:val="22"/>
                <w:highlight w:val="cyan"/>
              </w:rPr>
            </w:pPr>
            <w:r w:rsidRPr="00A35BB1">
              <w:rPr>
                <w:b/>
                <w:color w:val="000000"/>
                <w:sz w:val="22"/>
                <w:szCs w:val="22"/>
                <w:highlight w:val="cyan"/>
              </w:rPr>
              <w:t>Nitrogen</w:t>
            </w:r>
          </w:p>
        </w:tc>
        <w:tc>
          <w:tcPr>
            <w:tcW w:w="2714" w:type="dxa"/>
            <w:shd w:val="clear" w:color="auto" w:fill="auto"/>
            <w:noWrap/>
            <w:vAlign w:val="bottom"/>
            <w:hideMark/>
          </w:tcPr>
          <w:p w:rsidR="00300D22" w:rsidRPr="00A35BB1" w:rsidRDefault="00300D22" w:rsidP="00685E98">
            <w:pPr>
              <w:jc w:val="center"/>
              <w:rPr>
                <w:b/>
                <w:color w:val="000000"/>
                <w:sz w:val="22"/>
                <w:szCs w:val="22"/>
                <w:highlight w:val="cyan"/>
              </w:rPr>
            </w:pPr>
            <w:r w:rsidRPr="00A35BB1">
              <w:rPr>
                <w:b/>
                <w:color w:val="000000"/>
                <w:sz w:val="22"/>
                <w:szCs w:val="22"/>
                <w:highlight w:val="cyan"/>
              </w:rPr>
              <w:t>Phosphorus</w:t>
            </w:r>
          </w:p>
        </w:tc>
      </w:tr>
      <w:tr w:rsidR="00300D22" w:rsidRPr="00A35BB1" w:rsidTr="00685E98">
        <w:trPr>
          <w:trHeight w:val="306"/>
        </w:trPr>
        <w:tc>
          <w:tcPr>
            <w:tcW w:w="2307" w:type="dxa"/>
            <w:shd w:val="clear" w:color="auto" w:fill="auto"/>
            <w:noWrap/>
            <w:vAlign w:val="bottom"/>
            <w:hideMark/>
          </w:tcPr>
          <w:p w:rsidR="00300D22" w:rsidRPr="00A35BB1" w:rsidRDefault="00300D22" w:rsidP="00685E98">
            <w:pPr>
              <w:jc w:val="center"/>
              <w:rPr>
                <w:color w:val="000000"/>
                <w:sz w:val="22"/>
                <w:szCs w:val="22"/>
                <w:highlight w:val="cyan"/>
              </w:rPr>
            </w:pPr>
            <w:r w:rsidRPr="00A35BB1">
              <w:rPr>
                <w:color w:val="000000"/>
                <w:sz w:val="22"/>
                <w:szCs w:val="22"/>
                <w:highlight w:val="cyan"/>
              </w:rPr>
              <w:t>Upper New Hope</w:t>
            </w:r>
          </w:p>
        </w:tc>
        <w:tc>
          <w:tcPr>
            <w:tcW w:w="3191" w:type="dxa"/>
            <w:shd w:val="clear" w:color="auto" w:fill="auto"/>
            <w:noWrap/>
            <w:vAlign w:val="bottom"/>
            <w:hideMark/>
          </w:tcPr>
          <w:p w:rsidR="00300D22" w:rsidRPr="00A35BB1" w:rsidRDefault="00300D22" w:rsidP="00685E98">
            <w:pPr>
              <w:jc w:val="center"/>
              <w:rPr>
                <w:color w:val="000000"/>
                <w:sz w:val="22"/>
                <w:szCs w:val="22"/>
                <w:highlight w:val="cyan"/>
              </w:rPr>
            </w:pPr>
            <w:r w:rsidRPr="00A35BB1">
              <w:rPr>
                <w:color w:val="000000"/>
                <w:sz w:val="22"/>
                <w:szCs w:val="22"/>
                <w:highlight w:val="cyan"/>
              </w:rPr>
              <w:t>2,169</w:t>
            </w:r>
            <w:r w:rsidR="004369E9" w:rsidRPr="00A35BB1">
              <w:rPr>
                <w:color w:val="000000"/>
                <w:sz w:val="22"/>
                <w:szCs w:val="22"/>
                <w:highlight w:val="cyan"/>
              </w:rPr>
              <w:t>.26</w:t>
            </w:r>
          </w:p>
        </w:tc>
        <w:tc>
          <w:tcPr>
            <w:tcW w:w="2714" w:type="dxa"/>
            <w:shd w:val="clear" w:color="auto" w:fill="auto"/>
            <w:noWrap/>
            <w:vAlign w:val="bottom"/>
            <w:hideMark/>
          </w:tcPr>
          <w:p w:rsidR="00300D22" w:rsidRPr="00A35BB1" w:rsidRDefault="00300D22" w:rsidP="00685E98">
            <w:pPr>
              <w:jc w:val="center"/>
              <w:rPr>
                <w:color w:val="000000"/>
                <w:sz w:val="22"/>
                <w:szCs w:val="22"/>
                <w:highlight w:val="cyan"/>
              </w:rPr>
            </w:pPr>
            <w:r w:rsidRPr="00A35BB1">
              <w:rPr>
                <w:color w:val="000000"/>
                <w:sz w:val="22"/>
                <w:szCs w:val="22"/>
                <w:highlight w:val="cyan"/>
              </w:rPr>
              <w:t>143.81</w:t>
            </w:r>
          </w:p>
        </w:tc>
      </w:tr>
      <w:tr w:rsidR="00300D22" w:rsidRPr="00A35BB1" w:rsidTr="00685E98">
        <w:trPr>
          <w:trHeight w:val="306"/>
        </w:trPr>
        <w:tc>
          <w:tcPr>
            <w:tcW w:w="2307" w:type="dxa"/>
            <w:shd w:val="clear" w:color="auto" w:fill="auto"/>
            <w:noWrap/>
            <w:vAlign w:val="bottom"/>
            <w:hideMark/>
          </w:tcPr>
          <w:p w:rsidR="00300D22" w:rsidRPr="00A35BB1" w:rsidRDefault="00300D22" w:rsidP="00685E98">
            <w:pPr>
              <w:jc w:val="center"/>
              <w:rPr>
                <w:color w:val="000000"/>
                <w:sz w:val="22"/>
                <w:szCs w:val="22"/>
                <w:highlight w:val="cyan"/>
              </w:rPr>
            </w:pPr>
            <w:r w:rsidRPr="00A35BB1">
              <w:rPr>
                <w:color w:val="000000"/>
                <w:sz w:val="22"/>
                <w:szCs w:val="22"/>
                <w:highlight w:val="cyan"/>
              </w:rPr>
              <w:t>Lower New Hope</w:t>
            </w:r>
          </w:p>
        </w:tc>
        <w:tc>
          <w:tcPr>
            <w:tcW w:w="3191" w:type="dxa"/>
            <w:shd w:val="clear" w:color="auto" w:fill="auto"/>
            <w:noWrap/>
            <w:vAlign w:val="bottom"/>
            <w:hideMark/>
          </w:tcPr>
          <w:p w:rsidR="00300D22" w:rsidRPr="00A35BB1" w:rsidRDefault="00300D22" w:rsidP="00685E98">
            <w:pPr>
              <w:jc w:val="center"/>
              <w:rPr>
                <w:color w:val="000000"/>
                <w:sz w:val="22"/>
                <w:szCs w:val="22"/>
                <w:highlight w:val="cyan"/>
              </w:rPr>
            </w:pPr>
            <w:r w:rsidRPr="00A35BB1">
              <w:rPr>
                <w:color w:val="000000"/>
                <w:sz w:val="22"/>
                <w:szCs w:val="22"/>
                <w:highlight w:val="cyan"/>
              </w:rPr>
              <w:t>2,273</w:t>
            </w:r>
            <w:r w:rsidR="004369E9" w:rsidRPr="00A35BB1">
              <w:rPr>
                <w:color w:val="000000"/>
                <w:sz w:val="22"/>
                <w:szCs w:val="22"/>
                <w:highlight w:val="cyan"/>
              </w:rPr>
              <w:t>.02</w:t>
            </w:r>
          </w:p>
        </w:tc>
        <w:tc>
          <w:tcPr>
            <w:tcW w:w="2714" w:type="dxa"/>
            <w:shd w:val="clear" w:color="auto" w:fill="auto"/>
            <w:noWrap/>
            <w:vAlign w:val="bottom"/>
            <w:hideMark/>
          </w:tcPr>
          <w:p w:rsidR="00300D22" w:rsidRPr="00A35BB1" w:rsidRDefault="00300D22" w:rsidP="00685E98">
            <w:pPr>
              <w:jc w:val="center"/>
              <w:rPr>
                <w:color w:val="000000"/>
                <w:sz w:val="22"/>
                <w:szCs w:val="22"/>
                <w:highlight w:val="cyan"/>
              </w:rPr>
            </w:pPr>
            <w:r w:rsidRPr="00A35BB1">
              <w:rPr>
                <w:color w:val="000000"/>
                <w:sz w:val="22"/>
                <w:szCs w:val="22"/>
                <w:highlight w:val="cyan"/>
              </w:rPr>
              <w:t>146.40</w:t>
            </w:r>
          </w:p>
        </w:tc>
      </w:tr>
      <w:tr w:rsidR="00300D22" w:rsidRPr="00A35BB1" w:rsidTr="00685E98">
        <w:trPr>
          <w:trHeight w:val="306"/>
        </w:trPr>
        <w:tc>
          <w:tcPr>
            <w:tcW w:w="2307" w:type="dxa"/>
            <w:shd w:val="clear" w:color="auto" w:fill="auto"/>
            <w:noWrap/>
            <w:vAlign w:val="bottom"/>
            <w:hideMark/>
          </w:tcPr>
          <w:p w:rsidR="00300D22" w:rsidRPr="00A35BB1" w:rsidRDefault="00300D22" w:rsidP="00685E98">
            <w:pPr>
              <w:jc w:val="center"/>
              <w:rPr>
                <w:color w:val="000000"/>
                <w:sz w:val="22"/>
                <w:szCs w:val="22"/>
                <w:highlight w:val="cyan"/>
              </w:rPr>
            </w:pPr>
            <w:r w:rsidRPr="00A35BB1">
              <w:rPr>
                <w:color w:val="000000"/>
                <w:sz w:val="22"/>
                <w:szCs w:val="22"/>
                <w:highlight w:val="cyan"/>
              </w:rPr>
              <w:t>Haw</w:t>
            </w:r>
          </w:p>
        </w:tc>
        <w:tc>
          <w:tcPr>
            <w:tcW w:w="3191" w:type="dxa"/>
            <w:shd w:val="clear" w:color="auto" w:fill="auto"/>
            <w:noWrap/>
            <w:vAlign w:val="bottom"/>
            <w:hideMark/>
          </w:tcPr>
          <w:p w:rsidR="00300D22" w:rsidRPr="00A35BB1" w:rsidRDefault="00300D22" w:rsidP="00685E98">
            <w:pPr>
              <w:jc w:val="center"/>
              <w:rPr>
                <w:color w:val="000000"/>
                <w:sz w:val="22"/>
                <w:szCs w:val="22"/>
                <w:highlight w:val="cyan"/>
              </w:rPr>
            </w:pPr>
            <w:r w:rsidRPr="00A35BB1">
              <w:rPr>
                <w:color w:val="000000"/>
                <w:sz w:val="22"/>
                <w:szCs w:val="22"/>
                <w:highlight w:val="cyan"/>
              </w:rPr>
              <w:t>2,249</w:t>
            </w:r>
            <w:r w:rsidR="004369E9" w:rsidRPr="00A35BB1">
              <w:rPr>
                <w:color w:val="000000"/>
                <w:sz w:val="22"/>
                <w:szCs w:val="22"/>
                <w:highlight w:val="cyan"/>
              </w:rPr>
              <w:t>.36</w:t>
            </w:r>
          </w:p>
        </w:tc>
        <w:tc>
          <w:tcPr>
            <w:tcW w:w="2714" w:type="dxa"/>
            <w:shd w:val="clear" w:color="auto" w:fill="auto"/>
            <w:noWrap/>
            <w:vAlign w:val="bottom"/>
            <w:hideMark/>
          </w:tcPr>
          <w:p w:rsidR="00300D22" w:rsidRPr="00A35BB1" w:rsidRDefault="00300D22" w:rsidP="00685E98">
            <w:pPr>
              <w:jc w:val="center"/>
              <w:rPr>
                <w:color w:val="000000"/>
                <w:sz w:val="22"/>
                <w:szCs w:val="22"/>
                <w:highlight w:val="cyan"/>
              </w:rPr>
            </w:pPr>
            <w:r w:rsidRPr="00A35BB1">
              <w:rPr>
                <w:color w:val="000000"/>
                <w:sz w:val="22"/>
                <w:szCs w:val="22"/>
                <w:highlight w:val="cyan"/>
              </w:rPr>
              <w:t>143.81</w:t>
            </w:r>
          </w:p>
        </w:tc>
      </w:tr>
    </w:tbl>
    <w:p w:rsidR="00300D22" w:rsidRPr="00A35BB1" w:rsidRDefault="00300D22" w:rsidP="00300D22">
      <w:pPr>
        <w:pStyle w:val="Clause"/>
        <w:numPr>
          <w:ilvl w:val="0"/>
          <w:numId w:val="0"/>
        </w:numPr>
        <w:ind w:left="1440"/>
        <w:rPr>
          <w:highlight w:val="cyan"/>
        </w:rPr>
      </w:pPr>
    </w:p>
    <w:p w:rsidR="00300D22" w:rsidRPr="00A35BB1" w:rsidRDefault="00300D22" w:rsidP="00300D22">
      <w:pPr>
        <w:pStyle w:val="Clause"/>
        <w:numPr>
          <w:ilvl w:val="0"/>
          <w:numId w:val="0"/>
        </w:numPr>
        <w:ind w:left="1440"/>
        <w:rPr>
          <w:highlight w:val="cyan"/>
        </w:rPr>
      </w:pPr>
    </w:p>
    <w:p w:rsidR="00300D22" w:rsidRPr="00A35BB1" w:rsidRDefault="00300D22" w:rsidP="00300D22">
      <w:pPr>
        <w:pStyle w:val="Clause"/>
        <w:numPr>
          <w:ilvl w:val="1"/>
          <w:numId w:val="3"/>
        </w:numPr>
        <w:rPr>
          <w:highlight w:val="cyan"/>
        </w:rPr>
      </w:pPr>
      <w:r w:rsidRPr="00A35BB1">
        <w:rPr>
          <w:highlight w:val="cyan"/>
        </w:rPr>
        <w:t>As required under Jordan Trading Rule Item 15A NCAC 02B .0273 (2)(d)(</w:t>
      </w:r>
      <w:proofErr w:type="spellStart"/>
      <w:r w:rsidRPr="00A35BB1">
        <w:rPr>
          <w:highlight w:val="cyan"/>
        </w:rPr>
        <w:t>i</w:t>
      </w:r>
      <w:proofErr w:type="spellEnd"/>
      <w:r w:rsidRPr="00A35BB1">
        <w:rPr>
          <w:highlight w:val="cyan"/>
        </w:rPr>
        <w:t xml:space="preserve">), the party seeking to sale credits must account for differences in </w:t>
      </w:r>
      <w:proofErr w:type="spellStart"/>
      <w:r w:rsidRPr="00A35BB1">
        <w:rPr>
          <w:highlight w:val="cyan"/>
        </w:rPr>
        <w:t>instream</w:t>
      </w:r>
      <w:proofErr w:type="spellEnd"/>
      <w:r w:rsidRPr="00A35BB1">
        <w:rPr>
          <w:highlight w:val="cyan"/>
        </w:rPr>
        <w:t xml:space="preserve"> nutrient losses between the location of the reduction need and excess loading reduction being delivered to the affected arm of Jordan lake.  Attachment B provides the delivered Jordan Lake Total Nitrogen (TN) and Jordan Lake Total Phosphorous (TP) credit yields per acre of buffer restoration by each Jordan small watershed.  </w:t>
      </w:r>
    </w:p>
    <w:p w:rsidR="00300D22" w:rsidRPr="00A35BB1" w:rsidRDefault="00300D22" w:rsidP="00300D22">
      <w:pPr>
        <w:pStyle w:val="Clause"/>
        <w:numPr>
          <w:ilvl w:val="0"/>
          <w:numId w:val="0"/>
        </w:numPr>
        <w:ind w:left="1440"/>
        <w:rPr>
          <w:highlight w:val="cyan"/>
        </w:rPr>
      </w:pPr>
    </w:p>
    <w:p w:rsidR="00300D22" w:rsidRPr="00A35BB1" w:rsidRDefault="00300D22" w:rsidP="00300D22">
      <w:pPr>
        <w:pStyle w:val="Clause"/>
        <w:numPr>
          <w:ilvl w:val="0"/>
          <w:numId w:val="0"/>
        </w:numPr>
        <w:ind w:left="1440"/>
        <w:rPr>
          <w:highlight w:val="cyan"/>
        </w:rPr>
      </w:pPr>
      <w:r w:rsidRPr="00A35BB1">
        <w:rPr>
          <w:highlight w:val="cyan"/>
        </w:rPr>
        <w:t xml:space="preserve">Delivered credits are calculated by applying the delivery factors to the generated credit yields from Table 1.0 above and are provided in Attachment B.  A map and GIS data of the small watersheds are available online at: </w:t>
      </w:r>
      <w:hyperlink r:id="rId8" w:history="1">
        <w:r w:rsidRPr="00A35BB1">
          <w:rPr>
            <w:rStyle w:val="Hyperlink"/>
            <w:highlight w:val="cyan"/>
          </w:rPr>
          <w:t>http://portal.ncdenr.org/web/jordanlake</w:t>
        </w:r>
      </w:hyperlink>
      <w:r w:rsidRPr="00A35BB1">
        <w:rPr>
          <w:highlight w:val="cyan"/>
        </w:rPr>
        <w:t xml:space="preserve">.  </w:t>
      </w:r>
    </w:p>
    <w:p w:rsidR="007C6C36" w:rsidRPr="00A35BB1" w:rsidRDefault="007C6C36" w:rsidP="00300D22">
      <w:pPr>
        <w:pStyle w:val="Clause"/>
        <w:numPr>
          <w:ilvl w:val="0"/>
          <w:numId w:val="0"/>
        </w:numPr>
        <w:ind w:left="1440"/>
        <w:rPr>
          <w:highlight w:val="cyan"/>
        </w:rPr>
      </w:pPr>
    </w:p>
    <w:p w:rsidR="00300D22" w:rsidRPr="00A35BB1" w:rsidRDefault="00300D22" w:rsidP="00300D22">
      <w:pPr>
        <w:pStyle w:val="Clause"/>
        <w:numPr>
          <w:ilvl w:val="1"/>
          <w:numId w:val="3"/>
        </w:numPr>
        <w:rPr>
          <w:highlight w:val="cyan"/>
        </w:rPr>
      </w:pPr>
      <w:r w:rsidRPr="00A35BB1">
        <w:rPr>
          <w:highlight w:val="cyan"/>
        </w:rPr>
        <w:t xml:space="preserve">The Bank Sponsor shall report the pounds of nitrogen and phosphorus credit per acre of restored riparian buffer in their </w:t>
      </w:r>
      <w:r w:rsidR="007C6C36" w:rsidRPr="00A35BB1">
        <w:rPr>
          <w:highlight w:val="cyan"/>
        </w:rPr>
        <w:t>BPDP</w:t>
      </w:r>
      <w:r w:rsidRPr="00A35BB1">
        <w:rPr>
          <w:highlight w:val="cyan"/>
        </w:rPr>
        <w:t xml:space="preserve"> for both credits generated at the site of the nutrient reduction activity and the credits delivered to Jordan Lake.  The Bank Sponsor shall refer to Attachment B for determining delivered credits in the Jordan watershed.</w:t>
      </w:r>
    </w:p>
    <w:p w:rsidR="00300D22" w:rsidRPr="00A35BB1" w:rsidRDefault="00300D22" w:rsidP="00300D22">
      <w:pPr>
        <w:pStyle w:val="Clause"/>
        <w:numPr>
          <w:ilvl w:val="0"/>
          <w:numId w:val="0"/>
        </w:numPr>
        <w:ind w:left="1440"/>
        <w:rPr>
          <w:highlight w:val="cyan"/>
        </w:rPr>
      </w:pPr>
    </w:p>
    <w:p w:rsidR="00300D22" w:rsidRPr="00A35BB1" w:rsidRDefault="00300D22" w:rsidP="00300D22">
      <w:pPr>
        <w:pStyle w:val="Clause"/>
        <w:numPr>
          <w:ilvl w:val="1"/>
          <w:numId w:val="3"/>
        </w:numPr>
        <w:rPr>
          <w:highlight w:val="cyan"/>
        </w:rPr>
      </w:pPr>
      <w:r w:rsidRPr="00A35BB1">
        <w:rPr>
          <w:highlight w:val="cyan"/>
        </w:rPr>
        <w:t>Credit yields for measures that differ from forest buffer restoration shall be determined based on the proposed load reduction practice, the watersheds</w:t>
      </w:r>
      <w:r w:rsidR="006A533D" w:rsidRPr="00A35BB1">
        <w:rPr>
          <w:highlight w:val="cyan"/>
        </w:rPr>
        <w:t>’</w:t>
      </w:r>
      <w:r w:rsidRPr="00A35BB1">
        <w:rPr>
          <w:highlight w:val="cyan"/>
        </w:rPr>
        <w:t xml:space="preserve"> delivery factors, and the land use present at the baseline period for the site where the proposed load reduction practice occurs.</w:t>
      </w:r>
    </w:p>
    <w:p w:rsidR="00300D22" w:rsidRPr="00A35BB1" w:rsidRDefault="00300D22" w:rsidP="00300D22">
      <w:pPr>
        <w:pStyle w:val="Clause"/>
        <w:numPr>
          <w:ilvl w:val="0"/>
          <w:numId w:val="0"/>
        </w:numPr>
        <w:ind w:left="720"/>
      </w:pPr>
    </w:p>
    <w:p w:rsidR="0069230B" w:rsidRPr="00A35BB1" w:rsidRDefault="00A81026" w:rsidP="0069230B">
      <w:pPr>
        <w:pStyle w:val="Clause"/>
      </w:pPr>
      <w:r w:rsidRPr="00A35BB1">
        <w:rPr>
          <w:b/>
        </w:rPr>
        <w:t xml:space="preserve">Nutrient </w:t>
      </w:r>
      <w:r w:rsidR="006E5473" w:rsidRPr="00A35BB1">
        <w:rPr>
          <w:b/>
        </w:rPr>
        <w:t>Offset Credit</w:t>
      </w:r>
      <w:r w:rsidR="0011126A" w:rsidRPr="00A35BB1">
        <w:rPr>
          <w:b/>
        </w:rPr>
        <w:t xml:space="preserve"> of Installed/Renovated </w:t>
      </w:r>
      <w:proofErr w:type="spellStart"/>
      <w:r w:rsidR="0011126A" w:rsidRPr="00A35BB1">
        <w:rPr>
          <w:b/>
        </w:rPr>
        <w:t>Stormwater</w:t>
      </w:r>
      <w:proofErr w:type="spellEnd"/>
      <w:r w:rsidR="0011126A" w:rsidRPr="00A35BB1">
        <w:rPr>
          <w:b/>
        </w:rPr>
        <w:t xml:space="preserve"> Best Management Practices</w:t>
      </w:r>
      <w:r w:rsidR="0011126A" w:rsidRPr="00A35BB1">
        <w:t xml:space="preserve">: </w:t>
      </w:r>
      <w:r w:rsidR="00B85631" w:rsidRPr="00A35BB1">
        <w:t xml:space="preserve">The Sponsor </w:t>
      </w:r>
      <w:r w:rsidR="0011126A" w:rsidRPr="00A35BB1">
        <w:t xml:space="preserve">and </w:t>
      </w:r>
      <w:r w:rsidR="0020131A">
        <w:t>DWR</w:t>
      </w:r>
      <w:r w:rsidR="0011126A" w:rsidRPr="00A35BB1">
        <w:t xml:space="preserve"> agree that the pounds of nitrogen </w:t>
      </w:r>
      <w:r w:rsidRPr="00A35BB1">
        <w:t>and</w:t>
      </w:r>
      <w:r w:rsidR="00D50F58" w:rsidRPr="00A35BB1">
        <w:t>/or</w:t>
      </w:r>
      <w:r w:rsidRPr="00A35BB1">
        <w:t xml:space="preserve"> phosphorus </w:t>
      </w:r>
      <w:r w:rsidR="00A8077E" w:rsidRPr="00A35BB1">
        <w:t xml:space="preserve">available for credit release from newly renovated or constructed </w:t>
      </w:r>
      <w:proofErr w:type="spellStart"/>
      <w:r w:rsidR="00A8077E" w:rsidRPr="00A35BB1">
        <w:t>stormwater</w:t>
      </w:r>
      <w:proofErr w:type="spellEnd"/>
      <w:r w:rsidR="00A8077E" w:rsidRPr="00A35BB1">
        <w:t xml:space="preserve"> BMPs shall be bas</w:t>
      </w:r>
      <w:r w:rsidR="008F33E3" w:rsidRPr="00A35BB1">
        <w:t>ed upon the design calculations/</w:t>
      </w:r>
      <w:r w:rsidRPr="00A35BB1">
        <w:t xml:space="preserve">nutrient </w:t>
      </w:r>
      <w:r w:rsidR="00A8077E" w:rsidRPr="00A35BB1">
        <w:t xml:space="preserve">export calculations submitted to and approved by </w:t>
      </w:r>
      <w:r w:rsidR="00D50F58" w:rsidRPr="00A35BB1">
        <w:t xml:space="preserve">the </w:t>
      </w:r>
      <w:r w:rsidR="0020131A">
        <w:t>DWR</w:t>
      </w:r>
      <w:r w:rsidR="00A8077E" w:rsidRPr="00A35BB1">
        <w:t xml:space="preserve"> as part of the BPDP.</w:t>
      </w:r>
    </w:p>
    <w:p w:rsidR="00F45BD8" w:rsidRPr="00A35BB1" w:rsidRDefault="00F45BD8" w:rsidP="00F45BD8">
      <w:pPr>
        <w:pStyle w:val="Clause"/>
        <w:numPr>
          <w:ilvl w:val="0"/>
          <w:numId w:val="0"/>
        </w:numPr>
        <w:ind w:left="720"/>
      </w:pPr>
    </w:p>
    <w:p w:rsidR="00F45BD8" w:rsidRPr="00A35BB1" w:rsidRDefault="00F45BD8" w:rsidP="0069230B">
      <w:pPr>
        <w:pStyle w:val="Clause"/>
      </w:pPr>
      <w:r w:rsidRPr="00A35BB1">
        <w:t xml:space="preserve">The Sponsor and </w:t>
      </w:r>
      <w:r w:rsidR="0020131A">
        <w:t>DWR</w:t>
      </w:r>
      <w:r w:rsidRPr="00A35BB1">
        <w:t xml:space="preserve"> agree that the methodology and calculations for determining nitrogen and total phosphorous reduction, including delivery factors, associated with restoration</w:t>
      </w:r>
      <w:r w:rsidR="00153A79" w:rsidRPr="00A35BB1">
        <w:t xml:space="preserve"> or enhancement</w:t>
      </w:r>
      <w:r w:rsidRPr="00A35BB1">
        <w:t xml:space="preserve"> of riparian areas, shall be fixed as part of the approval of each BPDP, with the fixed amount not changing during the development or credit release schedule for each Bank Parcel.</w:t>
      </w:r>
    </w:p>
    <w:p w:rsidR="0069230B" w:rsidRDefault="0069230B"/>
    <w:p w:rsidR="00C767C2" w:rsidRDefault="0069230B" w:rsidP="0069230B">
      <w:pPr>
        <w:rPr>
          <w:i/>
        </w:rPr>
      </w:pPr>
      <w:r>
        <w:rPr>
          <w:i/>
        </w:rPr>
        <w:t>This space left blank intentionally, do not add text to this space.</w:t>
      </w:r>
    </w:p>
    <w:p w:rsidR="00C767C2" w:rsidRDefault="00C767C2">
      <w:pPr>
        <w:rPr>
          <w:i/>
        </w:rPr>
      </w:pPr>
      <w:r>
        <w:rPr>
          <w:i/>
        </w:rPr>
        <w:br w:type="page"/>
      </w:r>
    </w:p>
    <w:p w:rsidR="00A8077E" w:rsidRPr="00CA6204" w:rsidRDefault="006821F7" w:rsidP="003B0797">
      <w:pPr>
        <w:pStyle w:val="Clause"/>
      </w:pPr>
      <w:r w:rsidRPr="00CA6204">
        <w:t>Credit</w:t>
      </w:r>
      <w:r w:rsidR="006E5473">
        <w:t xml:space="preserve"> Relea</w:t>
      </w:r>
      <w:r w:rsidRPr="00CA6204">
        <w:t>s</w:t>
      </w:r>
      <w:r w:rsidR="006E5473">
        <w:t>e</w:t>
      </w:r>
      <w:r w:rsidRPr="00CA6204">
        <w:t xml:space="preserve">: </w:t>
      </w:r>
      <w:r w:rsidR="008F33E3">
        <w:t>Upon</w:t>
      </w:r>
      <w:r w:rsidRPr="00CA6204">
        <w:t xml:space="preserve"> submittal of all appropriate documentation by </w:t>
      </w:r>
      <w:r w:rsidR="00B85631">
        <w:t>the Sponsor</w:t>
      </w:r>
      <w:r w:rsidRPr="00CA6204">
        <w:t xml:space="preserve">, and subsequent approval by </w:t>
      </w:r>
      <w:r w:rsidR="0020131A">
        <w:t>DWR</w:t>
      </w:r>
      <w:r w:rsidRPr="00CA6204">
        <w:t>, it is agreed that the mitigation credits associated with th</w:t>
      </w:r>
      <w:r w:rsidR="00017AE7">
        <w:t>e</w:t>
      </w:r>
      <w:r w:rsidRPr="00CA6204">
        <w:t xml:space="preserve"> Bank </w:t>
      </w:r>
      <w:r w:rsidR="00017AE7">
        <w:t xml:space="preserve">Parcel </w:t>
      </w:r>
      <w:r w:rsidRPr="00CA6204">
        <w:t xml:space="preserve">will become available for sale to a third party </w:t>
      </w:r>
      <w:r w:rsidR="00632F7B" w:rsidRPr="00CA6204">
        <w:t>in accordance with the following schedule</w:t>
      </w:r>
      <w:r w:rsidR="002B4FFB" w:rsidRPr="00CA6204">
        <w:t>s:</w:t>
      </w:r>
    </w:p>
    <w:p w:rsidR="00E03238" w:rsidRDefault="00E03238" w:rsidP="003B0797">
      <w:pPr>
        <w:tabs>
          <w:tab w:val="left" w:pos="360"/>
          <w:tab w:val="left" w:pos="720"/>
          <w:tab w:val="left" w:pos="1080"/>
          <w:tab w:val="left" w:pos="1440"/>
        </w:tabs>
        <w:ind w:left="360"/>
        <w:jc w:val="both"/>
      </w:pPr>
    </w:p>
    <w:tbl>
      <w:tblPr>
        <w:tblW w:w="0" w:type="auto"/>
        <w:tblInd w:w="828" w:type="dxa"/>
        <w:tblLayout w:type="fixed"/>
        <w:tblLook w:val="0000"/>
      </w:tblPr>
      <w:tblGrid>
        <w:gridCol w:w="810"/>
        <w:gridCol w:w="6300"/>
        <w:gridCol w:w="1530"/>
      </w:tblGrid>
      <w:tr w:rsidR="008B69A3" w:rsidRPr="00CA6204" w:rsidTr="00587836">
        <w:trPr>
          <w:trHeight w:val="255"/>
        </w:trPr>
        <w:tc>
          <w:tcPr>
            <w:tcW w:w="8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B69A3" w:rsidRPr="0069230B" w:rsidRDefault="008B69A3" w:rsidP="00A06A91">
            <w:pPr>
              <w:jc w:val="both"/>
              <w:rPr>
                <w:b/>
                <w:bCs/>
                <w:sz w:val="20"/>
                <w:szCs w:val="20"/>
              </w:rPr>
            </w:pPr>
            <w:r w:rsidRPr="0069230B">
              <w:rPr>
                <w:b/>
                <w:bCs/>
                <w:sz w:val="20"/>
                <w:szCs w:val="20"/>
              </w:rPr>
              <w:t>Table I - Credit Release Schedule</w:t>
            </w:r>
            <w:r w:rsidR="003B3E0D" w:rsidRPr="0069230B">
              <w:rPr>
                <w:b/>
                <w:bCs/>
                <w:sz w:val="20"/>
                <w:szCs w:val="20"/>
              </w:rPr>
              <w:t xml:space="preserve"> for Riparian Buffer</w:t>
            </w:r>
            <w:r w:rsidR="005C1A46" w:rsidRPr="0069230B">
              <w:rPr>
                <w:b/>
                <w:bCs/>
                <w:sz w:val="20"/>
                <w:szCs w:val="20"/>
              </w:rPr>
              <w:t xml:space="preserve"> and Nutrient Offset </w:t>
            </w:r>
            <w:r w:rsidR="00A06A91" w:rsidRPr="0069230B">
              <w:rPr>
                <w:b/>
                <w:bCs/>
                <w:sz w:val="20"/>
                <w:szCs w:val="20"/>
              </w:rPr>
              <w:t xml:space="preserve">Credits </w:t>
            </w:r>
            <w:r w:rsidR="005C1A46" w:rsidRPr="0069230B">
              <w:rPr>
                <w:b/>
                <w:bCs/>
                <w:sz w:val="20"/>
                <w:szCs w:val="20"/>
              </w:rPr>
              <w:t>(</w:t>
            </w:r>
            <w:r w:rsidR="00A06A91" w:rsidRPr="0069230B">
              <w:rPr>
                <w:b/>
                <w:bCs/>
                <w:sz w:val="20"/>
                <w:szCs w:val="20"/>
              </w:rPr>
              <w:t>excluding</w:t>
            </w:r>
            <w:r w:rsidR="005C1A46" w:rsidRPr="0069230B">
              <w:rPr>
                <w:b/>
                <w:bCs/>
                <w:sz w:val="20"/>
                <w:szCs w:val="20"/>
              </w:rPr>
              <w:t xml:space="preserve"> </w:t>
            </w:r>
            <w:proofErr w:type="spellStart"/>
            <w:r w:rsidR="005C1A46" w:rsidRPr="0069230B">
              <w:rPr>
                <w:b/>
                <w:bCs/>
                <w:sz w:val="20"/>
                <w:szCs w:val="20"/>
              </w:rPr>
              <w:t>Stormwater</w:t>
            </w:r>
            <w:proofErr w:type="spellEnd"/>
            <w:r w:rsidR="005C1A46" w:rsidRPr="0069230B">
              <w:rPr>
                <w:b/>
                <w:bCs/>
                <w:sz w:val="20"/>
                <w:szCs w:val="20"/>
              </w:rPr>
              <w:t xml:space="preserve"> BMP</w:t>
            </w:r>
            <w:r w:rsidR="00A06A91" w:rsidRPr="0069230B">
              <w:rPr>
                <w:b/>
                <w:bCs/>
                <w:sz w:val="20"/>
                <w:szCs w:val="20"/>
              </w:rPr>
              <w:t>s</w:t>
            </w:r>
            <w:r w:rsidR="005C1A46" w:rsidRPr="0069230B">
              <w:rPr>
                <w:b/>
                <w:bCs/>
                <w:sz w:val="20"/>
                <w:szCs w:val="20"/>
              </w:rPr>
              <w:t xml:space="preserve">) </w:t>
            </w:r>
          </w:p>
        </w:tc>
      </w:tr>
      <w:tr w:rsidR="008B69A3" w:rsidRPr="00CA6204" w:rsidTr="0069230B">
        <w:trPr>
          <w:trHeight w:val="656"/>
        </w:trPr>
        <w:tc>
          <w:tcPr>
            <w:tcW w:w="810" w:type="dxa"/>
            <w:tcBorders>
              <w:top w:val="nil"/>
              <w:left w:val="single" w:sz="4" w:space="0" w:color="auto"/>
              <w:bottom w:val="single" w:sz="4" w:space="0" w:color="auto"/>
              <w:right w:val="single" w:sz="4" w:space="0" w:color="auto"/>
            </w:tcBorders>
            <w:shd w:val="clear" w:color="auto" w:fill="auto"/>
            <w:noWrap/>
            <w:vAlign w:val="bottom"/>
          </w:tcPr>
          <w:p w:rsidR="008B69A3" w:rsidRPr="0069230B" w:rsidRDefault="008B69A3" w:rsidP="003B0797">
            <w:pPr>
              <w:jc w:val="center"/>
              <w:rPr>
                <w:b/>
                <w:bCs/>
                <w:sz w:val="18"/>
                <w:szCs w:val="18"/>
              </w:rPr>
            </w:pPr>
            <w:r w:rsidRPr="0069230B">
              <w:rPr>
                <w:b/>
                <w:bCs/>
                <w:sz w:val="18"/>
                <w:szCs w:val="18"/>
              </w:rPr>
              <w:t>Task</w:t>
            </w:r>
          </w:p>
        </w:tc>
        <w:tc>
          <w:tcPr>
            <w:tcW w:w="6300" w:type="dxa"/>
            <w:tcBorders>
              <w:top w:val="nil"/>
              <w:left w:val="nil"/>
              <w:bottom w:val="single" w:sz="4" w:space="0" w:color="auto"/>
              <w:right w:val="single" w:sz="4" w:space="0" w:color="auto"/>
            </w:tcBorders>
            <w:shd w:val="clear" w:color="auto" w:fill="auto"/>
            <w:vAlign w:val="bottom"/>
          </w:tcPr>
          <w:p w:rsidR="008B69A3" w:rsidRPr="0069230B" w:rsidRDefault="008B69A3" w:rsidP="003B0797">
            <w:pPr>
              <w:jc w:val="center"/>
              <w:rPr>
                <w:b/>
                <w:bCs/>
                <w:sz w:val="18"/>
                <w:szCs w:val="18"/>
              </w:rPr>
            </w:pPr>
            <w:r w:rsidRPr="0069230B">
              <w:rPr>
                <w:b/>
                <w:bCs/>
                <w:sz w:val="18"/>
                <w:szCs w:val="18"/>
              </w:rPr>
              <w:t>Project Milestone</w:t>
            </w:r>
          </w:p>
        </w:tc>
        <w:tc>
          <w:tcPr>
            <w:tcW w:w="1530" w:type="dxa"/>
            <w:tcBorders>
              <w:top w:val="nil"/>
              <w:left w:val="nil"/>
              <w:bottom w:val="single" w:sz="4" w:space="0" w:color="auto"/>
              <w:right w:val="single" w:sz="4" w:space="0" w:color="auto"/>
            </w:tcBorders>
            <w:shd w:val="clear" w:color="auto" w:fill="auto"/>
            <w:vAlign w:val="bottom"/>
          </w:tcPr>
          <w:p w:rsidR="008B69A3" w:rsidRPr="0069230B" w:rsidRDefault="008B69A3" w:rsidP="003B0797">
            <w:pPr>
              <w:jc w:val="center"/>
              <w:rPr>
                <w:b/>
                <w:bCs/>
                <w:sz w:val="18"/>
                <w:szCs w:val="18"/>
              </w:rPr>
            </w:pPr>
            <w:r w:rsidRPr="0069230B">
              <w:rPr>
                <w:b/>
                <w:bCs/>
                <w:sz w:val="18"/>
                <w:szCs w:val="18"/>
              </w:rPr>
              <w:t>%</w:t>
            </w:r>
            <w:r w:rsidR="003D7082" w:rsidRPr="0069230B">
              <w:rPr>
                <w:b/>
                <w:bCs/>
                <w:sz w:val="18"/>
                <w:szCs w:val="18"/>
              </w:rPr>
              <w:t xml:space="preserve"> </w:t>
            </w:r>
            <w:r w:rsidRPr="0069230B">
              <w:rPr>
                <w:b/>
                <w:bCs/>
                <w:sz w:val="18"/>
                <w:szCs w:val="18"/>
              </w:rPr>
              <w:t>Credit Available for Sale</w:t>
            </w:r>
          </w:p>
        </w:tc>
      </w:tr>
      <w:tr w:rsidR="008B69A3" w:rsidRPr="003B0797" w:rsidTr="00587836">
        <w:trPr>
          <w:trHeight w:val="512"/>
        </w:trPr>
        <w:tc>
          <w:tcPr>
            <w:tcW w:w="810" w:type="dxa"/>
            <w:tcBorders>
              <w:top w:val="nil"/>
              <w:left w:val="single" w:sz="4" w:space="0" w:color="auto"/>
              <w:bottom w:val="single" w:sz="4" w:space="0" w:color="auto"/>
              <w:right w:val="single" w:sz="4" w:space="0" w:color="auto"/>
            </w:tcBorders>
            <w:shd w:val="clear" w:color="auto" w:fill="auto"/>
            <w:noWrap/>
            <w:vAlign w:val="bottom"/>
          </w:tcPr>
          <w:p w:rsidR="008B69A3" w:rsidRPr="0069230B" w:rsidRDefault="008B69A3" w:rsidP="003B0797">
            <w:pPr>
              <w:jc w:val="center"/>
              <w:rPr>
                <w:sz w:val="18"/>
                <w:szCs w:val="18"/>
              </w:rPr>
            </w:pPr>
            <w:r w:rsidRPr="0069230B">
              <w:rPr>
                <w:sz w:val="18"/>
                <w:szCs w:val="18"/>
              </w:rPr>
              <w:t>1</w:t>
            </w:r>
          </w:p>
        </w:tc>
        <w:tc>
          <w:tcPr>
            <w:tcW w:w="6300" w:type="dxa"/>
            <w:tcBorders>
              <w:top w:val="nil"/>
              <w:left w:val="nil"/>
              <w:bottom w:val="single" w:sz="4" w:space="0" w:color="auto"/>
              <w:right w:val="single" w:sz="4" w:space="0" w:color="auto"/>
            </w:tcBorders>
            <w:shd w:val="clear" w:color="auto" w:fill="auto"/>
            <w:vAlign w:val="bottom"/>
          </w:tcPr>
          <w:p w:rsidR="008B69A3" w:rsidRPr="0069230B" w:rsidRDefault="000751E4" w:rsidP="003B0797">
            <w:pPr>
              <w:rPr>
                <w:sz w:val="18"/>
                <w:szCs w:val="18"/>
              </w:rPr>
            </w:pPr>
            <w:r w:rsidRPr="0069230B">
              <w:rPr>
                <w:sz w:val="18"/>
                <w:szCs w:val="18"/>
              </w:rPr>
              <w:t>BPDP</w:t>
            </w:r>
            <w:r w:rsidR="008B69A3" w:rsidRPr="0069230B">
              <w:rPr>
                <w:sz w:val="18"/>
                <w:szCs w:val="18"/>
              </w:rPr>
              <w:t xml:space="preserve"> Approved by </w:t>
            </w:r>
            <w:r w:rsidR="0020131A">
              <w:rPr>
                <w:sz w:val="18"/>
                <w:szCs w:val="18"/>
              </w:rPr>
              <w:t>DWR</w:t>
            </w:r>
            <w:r w:rsidR="008B69A3" w:rsidRPr="0069230B">
              <w:rPr>
                <w:sz w:val="18"/>
                <w:szCs w:val="18"/>
              </w:rPr>
              <w:t xml:space="preserve">, Conservation Easement </w:t>
            </w:r>
            <w:r w:rsidR="00F27045" w:rsidRPr="0069230B">
              <w:rPr>
                <w:sz w:val="18"/>
                <w:szCs w:val="18"/>
              </w:rPr>
              <w:t>Recorded</w:t>
            </w:r>
            <w:r w:rsidR="00776B0A" w:rsidRPr="0069230B">
              <w:rPr>
                <w:sz w:val="18"/>
                <w:szCs w:val="18"/>
              </w:rPr>
              <w:t>*</w:t>
            </w:r>
            <w:r w:rsidR="008B69A3" w:rsidRPr="0069230B">
              <w:rPr>
                <w:sz w:val="18"/>
                <w:szCs w:val="18"/>
              </w:rPr>
              <w:t xml:space="preserve"> and </w:t>
            </w:r>
            <w:r w:rsidR="00167743" w:rsidRPr="0069230B">
              <w:rPr>
                <w:sz w:val="18"/>
                <w:szCs w:val="18"/>
              </w:rPr>
              <w:t>Financial As</w:t>
            </w:r>
            <w:r w:rsidR="00A0013F" w:rsidRPr="0069230B">
              <w:rPr>
                <w:sz w:val="18"/>
                <w:szCs w:val="18"/>
              </w:rPr>
              <w:t>surance Posted</w:t>
            </w:r>
          </w:p>
        </w:tc>
        <w:tc>
          <w:tcPr>
            <w:tcW w:w="1530" w:type="dxa"/>
            <w:tcBorders>
              <w:top w:val="nil"/>
              <w:left w:val="nil"/>
              <w:bottom w:val="single" w:sz="4" w:space="0" w:color="auto"/>
              <w:right w:val="single" w:sz="4" w:space="0" w:color="auto"/>
            </w:tcBorders>
            <w:shd w:val="clear" w:color="auto" w:fill="auto"/>
            <w:noWrap/>
            <w:vAlign w:val="bottom"/>
          </w:tcPr>
          <w:p w:rsidR="008B69A3" w:rsidRPr="0069230B" w:rsidRDefault="003809B2" w:rsidP="003B0797">
            <w:pPr>
              <w:jc w:val="center"/>
              <w:rPr>
                <w:sz w:val="18"/>
                <w:szCs w:val="18"/>
              </w:rPr>
            </w:pPr>
            <w:r w:rsidRPr="0069230B">
              <w:rPr>
                <w:sz w:val="18"/>
                <w:szCs w:val="18"/>
              </w:rPr>
              <w:t xml:space="preserve"> </w:t>
            </w:r>
            <w:r w:rsidR="00B22B18" w:rsidRPr="0069230B">
              <w:rPr>
                <w:sz w:val="18"/>
                <w:szCs w:val="18"/>
              </w:rPr>
              <w:t>20</w:t>
            </w:r>
          </w:p>
        </w:tc>
      </w:tr>
      <w:tr w:rsidR="008B69A3" w:rsidRPr="003B0797" w:rsidTr="00587836">
        <w:trPr>
          <w:trHeight w:val="510"/>
        </w:trPr>
        <w:tc>
          <w:tcPr>
            <w:tcW w:w="810" w:type="dxa"/>
            <w:tcBorders>
              <w:top w:val="nil"/>
              <w:left w:val="single" w:sz="4" w:space="0" w:color="auto"/>
              <w:bottom w:val="single" w:sz="4" w:space="0" w:color="auto"/>
              <w:right w:val="single" w:sz="4" w:space="0" w:color="auto"/>
            </w:tcBorders>
            <w:shd w:val="clear" w:color="auto" w:fill="auto"/>
            <w:noWrap/>
            <w:vAlign w:val="bottom"/>
          </w:tcPr>
          <w:p w:rsidR="008B69A3" w:rsidRPr="0069230B" w:rsidRDefault="008B69A3" w:rsidP="003B0797">
            <w:pPr>
              <w:jc w:val="center"/>
              <w:rPr>
                <w:sz w:val="18"/>
                <w:szCs w:val="18"/>
              </w:rPr>
            </w:pPr>
            <w:r w:rsidRPr="0069230B">
              <w:rPr>
                <w:sz w:val="18"/>
                <w:szCs w:val="18"/>
              </w:rPr>
              <w:t>2</w:t>
            </w:r>
          </w:p>
        </w:tc>
        <w:tc>
          <w:tcPr>
            <w:tcW w:w="6300" w:type="dxa"/>
            <w:tcBorders>
              <w:top w:val="nil"/>
              <w:left w:val="nil"/>
              <w:bottom w:val="single" w:sz="4" w:space="0" w:color="auto"/>
              <w:right w:val="single" w:sz="4" w:space="0" w:color="auto"/>
            </w:tcBorders>
            <w:shd w:val="clear" w:color="auto" w:fill="auto"/>
            <w:vAlign w:val="bottom"/>
          </w:tcPr>
          <w:p w:rsidR="008B69A3" w:rsidRPr="0069230B" w:rsidRDefault="008B69A3" w:rsidP="003B0797">
            <w:pPr>
              <w:rPr>
                <w:sz w:val="18"/>
                <w:szCs w:val="18"/>
              </w:rPr>
            </w:pPr>
            <w:r w:rsidRPr="0069230B">
              <w:rPr>
                <w:sz w:val="18"/>
                <w:szCs w:val="18"/>
              </w:rPr>
              <w:t>Mitigation Site Earthwork, Planting and Installation of Monitoring Devices Completed</w:t>
            </w:r>
          </w:p>
        </w:tc>
        <w:tc>
          <w:tcPr>
            <w:tcW w:w="1530" w:type="dxa"/>
            <w:tcBorders>
              <w:top w:val="nil"/>
              <w:left w:val="nil"/>
              <w:bottom w:val="single" w:sz="4" w:space="0" w:color="auto"/>
              <w:right w:val="single" w:sz="4" w:space="0" w:color="auto"/>
            </w:tcBorders>
            <w:shd w:val="clear" w:color="auto" w:fill="auto"/>
            <w:noWrap/>
            <w:vAlign w:val="bottom"/>
          </w:tcPr>
          <w:p w:rsidR="008B69A3" w:rsidRPr="0069230B" w:rsidRDefault="00B22B18" w:rsidP="003B0797">
            <w:pPr>
              <w:jc w:val="center"/>
              <w:rPr>
                <w:sz w:val="18"/>
                <w:szCs w:val="18"/>
              </w:rPr>
            </w:pPr>
            <w:r w:rsidRPr="0069230B">
              <w:rPr>
                <w:sz w:val="18"/>
                <w:szCs w:val="18"/>
              </w:rPr>
              <w:t>20</w:t>
            </w:r>
          </w:p>
        </w:tc>
      </w:tr>
      <w:tr w:rsidR="008B69A3" w:rsidRPr="003B0797" w:rsidTr="00587836">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tcPr>
          <w:p w:rsidR="008B69A3" w:rsidRPr="0069230B" w:rsidRDefault="008B69A3" w:rsidP="003B0797">
            <w:pPr>
              <w:jc w:val="center"/>
              <w:rPr>
                <w:sz w:val="18"/>
                <w:szCs w:val="18"/>
              </w:rPr>
            </w:pPr>
            <w:r w:rsidRPr="0069230B">
              <w:rPr>
                <w:sz w:val="18"/>
                <w:szCs w:val="18"/>
              </w:rPr>
              <w:t>3</w:t>
            </w:r>
          </w:p>
        </w:tc>
        <w:tc>
          <w:tcPr>
            <w:tcW w:w="6300" w:type="dxa"/>
            <w:tcBorders>
              <w:top w:val="nil"/>
              <w:left w:val="nil"/>
              <w:bottom w:val="single" w:sz="4" w:space="0" w:color="auto"/>
              <w:right w:val="single" w:sz="4" w:space="0" w:color="auto"/>
            </w:tcBorders>
            <w:shd w:val="clear" w:color="auto" w:fill="auto"/>
            <w:vAlign w:val="bottom"/>
          </w:tcPr>
          <w:p w:rsidR="005E32BE" w:rsidRPr="0069230B" w:rsidRDefault="008778BE" w:rsidP="003B0797">
            <w:pPr>
              <w:rPr>
                <w:sz w:val="18"/>
                <w:szCs w:val="18"/>
              </w:rPr>
            </w:pPr>
            <w:r w:rsidRPr="0069230B">
              <w:rPr>
                <w:sz w:val="18"/>
                <w:szCs w:val="18"/>
              </w:rPr>
              <w:t xml:space="preserve">Monitoring Financial Assurance Posted and </w:t>
            </w:r>
            <w:r w:rsidR="008B69A3" w:rsidRPr="0069230B">
              <w:rPr>
                <w:sz w:val="18"/>
                <w:szCs w:val="18"/>
              </w:rPr>
              <w:t>Approval of As-Built Report</w:t>
            </w:r>
          </w:p>
        </w:tc>
        <w:tc>
          <w:tcPr>
            <w:tcW w:w="1530" w:type="dxa"/>
            <w:tcBorders>
              <w:top w:val="nil"/>
              <w:left w:val="nil"/>
              <w:bottom w:val="single" w:sz="4" w:space="0" w:color="auto"/>
              <w:right w:val="single" w:sz="4" w:space="0" w:color="auto"/>
            </w:tcBorders>
            <w:shd w:val="clear" w:color="auto" w:fill="auto"/>
            <w:noWrap/>
            <w:vAlign w:val="bottom"/>
          </w:tcPr>
          <w:p w:rsidR="008B69A3" w:rsidRPr="0069230B" w:rsidRDefault="00B22B18" w:rsidP="003B0797">
            <w:pPr>
              <w:jc w:val="center"/>
              <w:rPr>
                <w:sz w:val="18"/>
                <w:szCs w:val="18"/>
              </w:rPr>
            </w:pPr>
            <w:r w:rsidRPr="0069230B">
              <w:rPr>
                <w:sz w:val="18"/>
                <w:szCs w:val="18"/>
              </w:rPr>
              <w:t>10</w:t>
            </w:r>
          </w:p>
        </w:tc>
      </w:tr>
      <w:tr w:rsidR="008B69A3" w:rsidRPr="003B0797" w:rsidTr="00587836">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tcPr>
          <w:p w:rsidR="008B69A3" w:rsidRPr="0069230B" w:rsidRDefault="008B69A3" w:rsidP="003B0797">
            <w:pPr>
              <w:jc w:val="center"/>
              <w:rPr>
                <w:sz w:val="18"/>
                <w:szCs w:val="18"/>
              </w:rPr>
            </w:pPr>
            <w:r w:rsidRPr="0069230B">
              <w:rPr>
                <w:sz w:val="18"/>
                <w:szCs w:val="18"/>
              </w:rPr>
              <w:t>4</w:t>
            </w:r>
          </w:p>
        </w:tc>
        <w:tc>
          <w:tcPr>
            <w:tcW w:w="6300" w:type="dxa"/>
            <w:tcBorders>
              <w:top w:val="nil"/>
              <w:left w:val="nil"/>
              <w:bottom w:val="single" w:sz="4" w:space="0" w:color="auto"/>
              <w:right w:val="single" w:sz="4" w:space="0" w:color="auto"/>
            </w:tcBorders>
            <w:shd w:val="clear" w:color="auto" w:fill="auto"/>
            <w:vAlign w:val="bottom"/>
          </w:tcPr>
          <w:p w:rsidR="008B69A3" w:rsidRPr="0069230B" w:rsidRDefault="008B69A3" w:rsidP="003B0797">
            <w:pPr>
              <w:rPr>
                <w:sz w:val="18"/>
                <w:szCs w:val="18"/>
              </w:rPr>
            </w:pPr>
            <w:r w:rsidRPr="0069230B">
              <w:rPr>
                <w:sz w:val="18"/>
                <w:szCs w:val="18"/>
              </w:rPr>
              <w:t>Monitoring Report #1</w:t>
            </w:r>
            <w:r w:rsidR="000751E4" w:rsidRPr="0069230B">
              <w:rPr>
                <w:sz w:val="18"/>
                <w:szCs w:val="18"/>
              </w:rPr>
              <w:t xml:space="preserve">: Approved by the </w:t>
            </w:r>
            <w:r w:rsidR="0020131A">
              <w:rPr>
                <w:sz w:val="18"/>
                <w:szCs w:val="18"/>
              </w:rPr>
              <w:t>DWR</w:t>
            </w:r>
            <w:r w:rsidR="00312615" w:rsidRPr="0069230B">
              <w:rPr>
                <w:sz w:val="18"/>
                <w:szCs w:val="18"/>
              </w:rPr>
              <w:t>*</w:t>
            </w:r>
            <w:r w:rsidR="00EA3A3D" w:rsidRPr="0069230B">
              <w:rPr>
                <w:sz w:val="18"/>
                <w:szCs w:val="18"/>
              </w:rPr>
              <w:t>*</w:t>
            </w:r>
          </w:p>
        </w:tc>
        <w:tc>
          <w:tcPr>
            <w:tcW w:w="1530" w:type="dxa"/>
            <w:tcBorders>
              <w:top w:val="nil"/>
              <w:left w:val="nil"/>
              <w:bottom w:val="single" w:sz="4" w:space="0" w:color="auto"/>
              <w:right w:val="single" w:sz="4" w:space="0" w:color="auto"/>
            </w:tcBorders>
            <w:shd w:val="clear" w:color="auto" w:fill="auto"/>
            <w:noWrap/>
            <w:vAlign w:val="bottom"/>
          </w:tcPr>
          <w:p w:rsidR="008B69A3" w:rsidRPr="0069230B" w:rsidRDefault="00017AE7" w:rsidP="003B0797">
            <w:pPr>
              <w:jc w:val="center"/>
              <w:rPr>
                <w:sz w:val="18"/>
                <w:szCs w:val="18"/>
              </w:rPr>
            </w:pPr>
            <w:r w:rsidRPr="0069230B">
              <w:rPr>
                <w:sz w:val="18"/>
                <w:szCs w:val="18"/>
              </w:rPr>
              <w:t>10</w:t>
            </w:r>
          </w:p>
        </w:tc>
      </w:tr>
      <w:tr w:rsidR="008B69A3" w:rsidRPr="003B0797" w:rsidTr="00587836">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tcPr>
          <w:p w:rsidR="008B69A3" w:rsidRPr="0069230B" w:rsidRDefault="008B69A3" w:rsidP="003B0797">
            <w:pPr>
              <w:jc w:val="center"/>
              <w:rPr>
                <w:sz w:val="18"/>
                <w:szCs w:val="18"/>
              </w:rPr>
            </w:pPr>
            <w:r w:rsidRPr="0069230B">
              <w:rPr>
                <w:sz w:val="18"/>
                <w:szCs w:val="18"/>
              </w:rPr>
              <w:t>5</w:t>
            </w:r>
          </w:p>
        </w:tc>
        <w:tc>
          <w:tcPr>
            <w:tcW w:w="6300" w:type="dxa"/>
            <w:tcBorders>
              <w:top w:val="nil"/>
              <w:left w:val="nil"/>
              <w:bottom w:val="single" w:sz="4" w:space="0" w:color="auto"/>
              <w:right w:val="single" w:sz="4" w:space="0" w:color="auto"/>
            </w:tcBorders>
            <w:shd w:val="clear" w:color="auto" w:fill="auto"/>
            <w:vAlign w:val="bottom"/>
          </w:tcPr>
          <w:p w:rsidR="008B69A3" w:rsidRPr="0069230B" w:rsidRDefault="008B69A3" w:rsidP="003B0797">
            <w:pPr>
              <w:rPr>
                <w:sz w:val="18"/>
                <w:szCs w:val="18"/>
              </w:rPr>
            </w:pPr>
            <w:r w:rsidRPr="0069230B">
              <w:rPr>
                <w:sz w:val="18"/>
                <w:szCs w:val="18"/>
              </w:rPr>
              <w:t>Monitoring Report #2</w:t>
            </w:r>
            <w:r w:rsidR="00312615" w:rsidRPr="0069230B">
              <w:rPr>
                <w:sz w:val="18"/>
                <w:szCs w:val="18"/>
              </w:rPr>
              <w:t xml:space="preserve">: Approved by the </w:t>
            </w:r>
            <w:r w:rsidR="0020131A">
              <w:rPr>
                <w:sz w:val="18"/>
                <w:szCs w:val="18"/>
              </w:rPr>
              <w:t>DWR</w:t>
            </w:r>
            <w:r w:rsidR="00312615" w:rsidRPr="0069230B">
              <w:rPr>
                <w:sz w:val="18"/>
                <w:szCs w:val="18"/>
              </w:rPr>
              <w:t>*</w:t>
            </w:r>
            <w:r w:rsidR="00EA3A3D" w:rsidRPr="0069230B">
              <w:rPr>
                <w:sz w:val="18"/>
                <w:szCs w:val="18"/>
              </w:rPr>
              <w:t>*</w:t>
            </w:r>
          </w:p>
        </w:tc>
        <w:tc>
          <w:tcPr>
            <w:tcW w:w="1530" w:type="dxa"/>
            <w:tcBorders>
              <w:top w:val="nil"/>
              <w:left w:val="nil"/>
              <w:bottom w:val="single" w:sz="4" w:space="0" w:color="auto"/>
              <w:right w:val="single" w:sz="4" w:space="0" w:color="auto"/>
            </w:tcBorders>
            <w:shd w:val="clear" w:color="auto" w:fill="auto"/>
            <w:noWrap/>
            <w:vAlign w:val="bottom"/>
          </w:tcPr>
          <w:p w:rsidR="008B69A3" w:rsidRPr="0069230B" w:rsidRDefault="008B69A3" w:rsidP="003B0797">
            <w:pPr>
              <w:jc w:val="center"/>
              <w:rPr>
                <w:sz w:val="18"/>
                <w:szCs w:val="18"/>
              </w:rPr>
            </w:pPr>
            <w:r w:rsidRPr="0069230B">
              <w:rPr>
                <w:sz w:val="18"/>
                <w:szCs w:val="18"/>
              </w:rPr>
              <w:t>10</w:t>
            </w:r>
          </w:p>
        </w:tc>
      </w:tr>
      <w:tr w:rsidR="008B69A3" w:rsidRPr="003B0797" w:rsidTr="00587836">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tcPr>
          <w:p w:rsidR="008B69A3" w:rsidRPr="0069230B" w:rsidRDefault="008B69A3" w:rsidP="003B0797">
            <w:pPr>
              <w:jc w:val="center"/>
              <w:rPr>
                <w:sz w:val="18"/>
                <w:szCs w:val="18"/>
              </w:rPr>
            </w:pPr>
            <w:r w:rsidRPr="0069230B">
              <w:rPr>
                <w:sz w:val="18"/>
                <w:szCs w:val="18"/>
              </w:rPr>
              <w:t>6</w:t>
            </w:r>
          </w:p>
        </w:tc>
        <w:tc>
          <w:tcPr>
            <w:tcW w:w="6300" w:type="dxa"/>
            <w:tcBorders>
              <w:top w:val="nil"/>
              <w:left w:val="nil"/>
              <w:bottom w:val="single" w:sz="4" w:space="0" w:color="auto"/>
              <w:right w:val="single" w:sz="4" w:space="0" w:color="auto"/>
            </w:tcBorders>
            <w:shd w:val="clear" w:color="auto" w:fill="auto"/>
            <w:vAlign w:val="bottom"/>
          </w:tcPr>
          <w:p w:rsidR="008B69A3" w:rsidRPr="0069230B" w:rsidRDefault="008B69A3" w:rsidP="003B0797">
            <w:pPr>
              <w:rPr>
                <w:sz w:val="18"/>
                <w:szCs w:val="18"/>
              </w:rPr>
            </w:pPr>
            <w:r w:rsidRPr="0069230B">
              <w:rPr>
                <w:sz w:val="18"/>
                <w:szCs w:val="18"/>
              </w:rPr>
              <w:t>Monitoring Report #3</w:t>
            </w:r>
            <w:r w:rsidR="00312615" w:rsidRPr="0069230B">
              <w:rPr>
                <w:sz w:val="18"/>
                <w:szCs w:val="18"/>
              </w:rPr>
              <w:t xml:space="preserve">: Approved by the </w:t>
            </w:r>
            <w:r w:rsidR="0020131A">
              <w:rPr>
                <w:sz w:val="18"/>
                <w:szCs w:val="18"/>
              </w:rPr>
              <w:t>DWR</w:t>
            </w:r>
            <w:r w:rsidR="00312615" w:rsidRPr="0069230B">
              <w:rPr>
                <w:sz w:val="18"/>
                <w:szCs w:val="18"/>
              </w:rPr>
              <w:t>*</w:t>
            </w:r>
            <w:r w:rsidR="00EA3A3D" w:rsidRPr="0069230B">
              <w:rPr>
                <w:sz w:val="18"/>
                <w:szCs w:val="18"/>
              </w:rPr>
              <w:t>*</w:t>
            </w:r>
          </w:p>
        </w:tc>
        <w:tc>
          <w:tcPr>
            <w:tcW w:w="1530" w:type="dxa"/>
            <w:tcBorders>
              <w:top w:val="nil"/>
              <w:left w:val="nil"/>
              <w:bottom w:val="single" w:sz="4" w:space="0" w:color="auto"/>
              <w:right w:val="single" w:sz="4" w:space="0" w:color="auto"/>
            </w:tcBorders>
            <w:shd w:val="clear" w:color="auto" w:fill="auto"/>
            <w:noWrap/>
            <w:vAlign w:val="bottom"/>
          </w:tcPr>
          <w:p w:rsidR="008B69A3" w:rsidRPr="0069230B" w:rsidRDefault="008B69A3" w:rsidP="003B0797">
            <w:pPr>
              <w:jc w:val="center"/>
              <w:rPr>
                <w:sz w:val="18"/>
                <w:szCs w:val="18"/>
              </w:rPr>
            </w:pPr>
            <w:r w:rsidRPr="0069230B">
              <w:rPr>
                <w:sz w:val="18"/>
                <w:szCs w:val="18"/>
              </w:rPr>
              <w:t>10</w:t>
            </w:r>
          </w:p>
        </w:tc>
      </w:tr>
      <w:tr w:rsidR="00B22B18" w:rsidRPr="003B0797" w:rsidTr="00F52DCA">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tcPr>
          <w:p w:rsidR="00B22B18" w:rsidRPr="0069230B" w:rsidRDefault="00F52DCA" w:rsidP="003B0797">
            <w:pPr>
              <w:jc w:val="center"/>
              <w:rPr>
                <w:sz w:val="18"/>
                <w:szCs w:val="18"/>
              </w:rPr>
            </w:pPr>
            <w:r w:rsidRPr="0069230B">
              <w:rPr>
                <w:sz w:val="18"/>
                <w:szCs w:val="18"/>
              </w:rPr>
              <w:t>7</w:t>
            </w:r>
          </w:p>
        </w:tc>
        <w:tc>
          <w:tcPr>
            <w:tcW w:w="6300" w:type="dxa"/>
            <w:tcBorders>
              <w:top w:val="nil"/>
              <w:left w:val="nil"/>
              <w:bottom w:val="single" w:sz="4" w:space="0" w:color="auto"/>
              <w:right w:val="single" w:sz="4" w:space="0" w:color="auto"/>
            </w:tcBorders>
            <w:shd w:val="clear" w:color="auto" w:fill="auto"/>
            <w:vAlign w:val="bottom"/>
          </w:tcPr>
          <w:p w:rsidR="00B22B18" w:rsidRPr="0069230B" w:rsidRDefault="00B22B18" w:rsidP="00776B0A">
            <w:pPr>
              <w:rPr>
                <w:sz w:val="18"/>
                <w:szCs w:val="18"/>
              </w:rPr>
            </w:pPr>
            <w:r w:rsidRPr="0069230B">
              <w:rPr>
                <w:sz w:val="18"/>
                <w:szCs w:val="18"/>
              </w:rPr>
              <w:t xml:space="preserve">Item </w:t>
            </w:r>
            <w:r w:rsidR="004A3FBF" w:rsidRPr="0069230B">
              <w:rPr>
                <w:sz w:val="18"/>
                <w:szCs w:val="18"/>
              </w:rPr>
              <w:t>B (</w:t>
            </w:r>
            <w:r w:rsidR="00776B0A" w:rsidRPr="0069230B">
              <w:rPr>
                <w:sz w:val="18"/>
                <w:szCs w:val="18"/>
              </w:rPr>
              <w:t>1</w:t>
            </w:r>
            <w:r w:rsidR="00B145CA" w:rsidRPr="0069230B">
              <w:rPr>
                <w:sz w:val="18"/>
                <w:szCs w:val="18"/>
              </w:rPr>
              <w:t>)</w:t>
            </w:r>
            <w:r w:rsidRPr="0069230B">
              <w:rPr>
                <w:sz w:val="18"/>
                <w:szCs w:val="18"/>
              </w:rPr>
              <w:t xml:space="preserve"> of Section </w:t>
            </w:r>
            <w:r w:rsidR="00776B0A" w:rsidRPr="0069230B">
              <w:rPr>
                <w:sz w:val="18"/>
                <w:szCs w:val="18"/>
              </w:rPr>
              <w:t>IX</w:t>
            </w:r>
            <w:r w:rsidRPr="0069230B">
              <w:rPr>
                <w:sz w:val="18"/>
                <w:szCs w:val="18"/>
              </w:rPr>
              <w:t xml:space="preserve"> </w:t>
            </w:r>
            <w:r w:rsidR="002804E6" w:rsidRPr="0069230B">
              <w:rPr>
                <w:sz w:val="18"/>
                <w:szCs w:val="18"/>
              </w:rPr>
              <w:t xml:space="preserve">in </w:t>
            </w:r>
            <w:r w:rsidRPr="0069230B">
              <w:rPr>
                <w:sz w:val="18"/>
                <w:szCs w:val="18"/>
              </w:rPr>
              <w:t xml:space="preserve">this Instrument has </w:t>
            </w:r>
            <w:r w:rsidR="00D82D50" w:rsidRPr="0069230B">
              <w:rPr>
                <w:sz w:val="18"/>
                <w:szCs w:val="18"/>
              </w:rPr>
              <w:t xml:space="preserve">been </w:t>
            </w:r>
            <w:r w:rsidR="00F52DCA" w:rsidRPr="0069230B">
              <w:rPr>
                <w:sz w:val="18"/>
                <w:szCs w:val="18"/>
              </w:rPr>
              <w:t xml:space="preserve">completed </w:t>
            </w:r>
            <w:r w:rsidR="00D82D50" w:rsidRPr="0069230B">
              <w:rPr>
                <w:sz w:val="18"/>
                <w:szCs w:val="18"/>
              </w:rPr>
              <w:t xml:space="preserve">and approved by </w:t>
            </w:r>
            <w:r w:rsidR="0020131A">
              <w:rPr>
                <w:sz w:val="18"/>
                <w:szCs w:val="18"/>
              </w:rPr>
              <w:t>DWR</w:t>
            </w:r>
            <w:r w:rsidR="002804E6" w:rsidRPr="0069230B">
              <w:rPr>
                <w:sz w:val="18"/>
                <w:szCs w:val="18"/>
              </w:rPr>
              <w:t>.</w:t>
            </w:r>
          </w:p>
        </w:tc>
        <w:tc>
          <w:tcPr>
            <w:tcW w:w="1530" w:type="dxa"/>
            <w:tcBorders>
              <w:top w:val="nil"/>
              <w:left w:val="nil"/>
              <w:bottom w:val="single" w:sz="4" w:space="0" w:color="auto"/>
              <w:right w:val="single" w:sz="4" w:space="0" w:color="auto"/>
            </w:tcBorders>
            <w:shd w:val="clear" w:color="auto" w:fill="auto"/>
            <w:noWrap/>
            <w:vAlign w:val="bottom"/>
          </w:tcPr>
          <w:p w:rsidR="00B22B18" w:rsidRPr="0069230B" w:rsidRDefault="00F52DCA" w:rsidP="003B0797">
            <w:pPr>
              <w:jc w:val="center"/>
              <w:rPr>
                <w:sz w:val="18"/>
                <w:szCs w:val="18"/>
              </w:rPr>
            </w:pPr>
            <w:r w:rsidRPr="0069230B">
              <w:rPr>
                <w:sz w:val="18"/>
                <w:szCs w:val="18"/>
              </w:rPr>
              <w:t>5</w:t>
            </w:r>
          </w:p>
        </w:tc>
      </w:tr>
      <w:tr w:rsidR="00F52DCA" w:rsidRPr="003B0797" w:rsidTr="00F52DCA">
        <w:trPr>
          <w:trHeight w:val="255"/>
        </w:trPr>
        <w:tc>
          <w:tcPr>
            <w:tcW w:w="810" w:type="dxa"/>
            <w:tcBorders>
              <w:top w:val="single" w:sz="4" w:space="0" w:color="auto"/>
              <w:left w:val="single" w:sz="4" w:space="0" w:color="auto"/>
              <w:bottom w:val="single" w:sz="4" w:space="0" w:color="auto"/>
            </w:tcBorders>
            <w:shd w:val="clear" w:color="auto" w:fill="auto"/>
            <w:noWrap/>
            <w:vAlign w:val="bottom"/>
          </w:tcPr>
          <w:p w:rsidR="00F52DCA" w:rsidRPr="0069230B" w:rsidRDefault="00F52DCA" w:rsidP="003B0797">
            <w:pPr>
              <w:jc w:val="center"/>
              <w:rPr>
                <w:sz w:val="18"/>
                <w:szCs w:val="18"/>
              </w:rPr>
            </w:pPr>
          </w:p>
        </w:tc>
        <w:tc>
          <w:tcPr>
            <w:tcW w:w="6300" w:type="dxa"/>
            <w:tcBorders>
              <w:top w:val="single" w:sz="4" w:space="0" w:color="auto"/>
              <w:bottom w:val="single" w:sz="4" w:space="0" w:color="auto"/>
            </w:tcBorders>
            <w:shd w:val="clear" w:color="auto" w:fill="auto"/>
            <w:vAlign w:val="bottom"/>
          </w:tcPr>
          <w:p w:rsidR="00F52DCA" w:rsidRPr="00AC157E" w:rsidRDefault="00F52DCA" w:rsidP="003B0797">
            <w:pPr>
              <w:jc w:val="center"/>
              <w:rPr>
                <w:b/>
                <w:i/>
                <w:sz w:val="18"/>
                <w:szCs w:val="18"/>
              </w:rPr>
            </w:pPr>
            <w:r w:rsidRPr="00AC157E">
              <w:rPr>
                <w:b/>
                <w:i/>
                <w:sz w:val="18"/>
                <w:szCs w:val="18"/>
              </w:rPr>
              <w:t>No remaining credits will be released until Task 7 has been satisfied</w:t>
            </w:r>
          </w:p>
        </w:tc>
        <w:tc>
          <w:tcPr>
            <w:tcW w:w="1530" w:type="dxa"/>
            <w:tcBorders>
              <w:top w:val="single" w:sz="4" w:space="0" w:color="auto"/>
              <w:bottom w:val="single" w:sz="4" w:space="0" w:color="auto"/>
              <w:right w:val="single" w:sz="4" w:space="0" w:color="auto"/>
            </w:tcBorders>
            <w:shd w:val="clear" w:color="auto" w:fill="auto"/>
            <w:noWrap/>
            <w:vAlign w:val="bottom"/>
          </w:tcPr>
          <w:p w:rsidR="00F52DCA" w:rsidRPr="0069230B" w:rsidRDefault="00F52DCA" w:rsidP="003B0797">
            <w:pPr>
              <w:jc w:val="center"/>
              <w:rPr>
                <w:sz w:val="18"/>
                <w:szCs w:val="18"/>
              </w:rPr>
            </w:pPr>
          </w:p>
        </w:tc>
      </w:tr>
      <w:tr w:rsidR="008B69A3" w:rsidRPr="003B0797" w:rsidTr="00587836">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tcPr>
          <w:p w:rsidR="008B69A3" w:rsidRPr="0069230B" w:rsidRDefault="00F52DCA" w:rsidP="003B0797">
            <w:pPr>
              <w:jc w:val="center"/>
              <w:rPr>
                <w:sz w:val="18"/>
                <w:szCs w:val="18"/>
              </w:rPr>
            </w:pPr>
            <w:r w:rsidRPr="0069230B">
              <w:rPr>
                <w:sz w:val="18"/>
                <w:szCs w:val="18"/>
              </w:rPr>
              <w:t>8</w:t>
            </w:r>
          </w:p>
        </w:tc>
        <w:tc>
          <w:tcPr>
            <w:tcW w:w="6300" w:type="dxa"/>
            <w:tcBorders>
              <w:top w:val="nil"/>
              <w:left w:val="nil"/>
              <w:bottom w:val="single" w:sz="4" w:space="0" w:color="auto"/>
              <w:right w:val="single" w:sz="4" w:space="0" w:color="auto"/>
            </w:tcBorders>
            <w:shd w:val="clear" w:color="auto" w:fill="auto"/>
            <w:vAlign w:val="bottom"/>
          </w:tcPr>
          <w:p w:rsidR="008B69A3" w:rsidRPr="0069230B" w:rsidRDefault="008B69A3" w:rsidP="003B0797">
            <w:pPr>
              <w:rPr>
                <w:sz w:val="18"/>
                <w:szCs w:val="18"/>
              </w:rPr>
            </w:pPr>
            <w:r w:rsidRPr="0069230B">
              <w:rPr>
                <w:sz w:val="18"/>
                <w:szCs w:val="18"/>
              </w:rPr>
              <w:t>Monitoring Report #4</w:t>
            </w:r>
            <w:r w:rsidR="00312615" w:rsidRPr="0069230B">
              <w:rPr>
                <w:sz w:val="18"/>
                <w:szCs w:val="18"/>
              </w:rPr>
              <w:t xml:space="preserve">: Approved by the </w:t>
            </w:r>
            <w:r w:rsidR="0020131A">
              <w:rPr>
                <w:sz w:val="18"/>
                <w:szCs w:val="18"/>
              </w:rPr>
              <w:t>DWR</w:t>
            </w:r>
            <w:r w:rsidR="00312615" w:rsidRPr="0069230B">
              <w:rPr>
                <w:sz w:val="18"/>
                <w:szCs w:val="18"/>
              </w:rPr>
              <w:t>*</w:t>
            </w:r>
            <w:r w:rsidR="00EA3A3D" w:rsidRPr="0069230B">
              <w:rPr>
                <w:sz w:val="18"/>
                <w:szCs w:val="18"/>
              </w:rPr>
              <w:t>*</w:t>
            </w:r>
          </w:p>
        </w:tc>
        <w:tc>
          <w:tcPr>
            <w:tcW w:w="1530" w:type="dxa"/>
            <w:tcBorders>
              <w:top w:val="nil"/>
              <w:left w:val="nil"/>
              <w:bottom w:val="single" w:sz="4" w:space="0" w:color="auto"/>
              <w:right w:val="single" w:sz="4" w:space="0" w:color="auto"/>
            </w:tcBorders>
            <w:shd w:val="clear" w:color="auto" w:fill="auto"/>
            <w:noWrap/>
            <w:vAlign w:val="bottom"/>
          </w:tcPr>
          <w:p w:rsidR="008B69A3" w:rsidRPr="0069230B" w:rsidRDefault="00FA54C7" w:rsidP="003B0797">
            <w:pPr>
              <w:jc w:val="center"/>
              <w:rPr>
                <w:sz w:val="18"/>
                <w:szCs w:val="18"/>
              </w:rPr>
            </w:pPr>
            <w:r w:rsidRPr="0069230B">
              <w:rPr>
                <w:sz w:val="18"/>
                <w:szCs w:val="18"/>
              </w:rPr>
              <w:t>5</w:t>
            </w:r>
          </w:p>
        </w:tc>
      </w:tr>
      <w:tr w:rsidR="008B69A3" w:rsidRPr="003B0797" w:rsidTr="00587836">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tcPr>
          <w:p w:rsidR="008B69A3" w:rsidRPr="0069230B" w:rsidRDefault="00F52DCA" w:rsidP="003B0797">
            <w:pPr>
              <w:jc w:val="center"/>
              <w:rPr>
                <w:sz w:val="18"/>
                <w:szCs w:val="18"/>
              </w:rPr>
            </w:pPr>
            <w:r w:rsidRPr="0069230B">
              <w:rPr>
                <w:sz w:val="18"/>
                <w:szCs w:val="18"/>
              </w:rPr>
              <w:t>9</w:t>
            </w:r>
          </w:p>
        </w:tc>
        <w:tc>
          <w:tcPr>
            <w:tcW w:w="6300" w:type="dxa"/>
            <w:tcBorders>
              <w:top w:val="nil"/>
              <w:left w:val="nil"/>
              <w:bottom w:val="single" w:sz="4" w:space="0" w:color="auto"/>
              <w:right w:val="single" w:sz="4" w:space="0" w:color="auto"/>
            </w:tcBorders>
            <w:shd w:val="clear" w:color="auto" w:fill="auto"/>
            <w:vAlign w:val="bottom"/>
          </w:tcPr>
          <w:p w:rsidR="005E32BE" w:rsidRPr="0069230B" w:rsidRDefault="008B69A3" w:rsidP="003B0797">
            <w:pPr>
              <w:rPr>
                <w:sz w:val="18"/>
                <w:szCs w:val="18"/>
              </w:rPr>
            </w:pPr>
            <w:r w:rsidRPr="0069230B">
              <w:rPr>
                <w:sz w:val="18"/>
                <w:szCs w:val="18"/>
              </w:rPr>
              <w:t>Monitoring Report #5</w:t>
            </w:r>
            <w:r w:rsidR="00312615" w:rsidRPr="0069230B">
              <w:rPr>
                <w:sz w:val="18"/>
                <w:szCs w:val="18"/>
              </w:rPr>
              <w:t xml:space="preserve">: Approved by the </w:t>
            </w:r>
            <w:r w:rsidR="0020131A">
              <w:rPr>
                <w:sz w:val="18"/>
                <w:szCs w:val="18"/>
              </w:rPr>
              <w:t>DWR</w:t>
            </w:r>
            <w:r w:rsidR="00EA3A3D" w:rsidRPr="0069230B">
              <w:rPr>
                <w:sz w:val="18"/>
                <w:szCs w:val="18"/>
              </w:rPr>
              <w:t>*</w:t>
            </w:r>
            <w:r w:rsidR="00312615" w:rsidRPr="0069230B">
              <w:rPr>
                <w:sz w:val="18"/>
                <w:szCs w:val="18"/>
              </w:rPr>
              <w:t>*</w:t>
            </w:r>
            <w:r w:rsidR="001338CD" w:rsidRPr="0069230B">
              <w:rPr>
                <w:sz w:val="18"/>
                <w:szCs w:val="18"/>
              </w:rPr>
              <w:t xml:space="preserve"> </w:t>
            </w:r>
            <w:r w:rsidR="00FA54C7" w:rsidRPr="0069230B">
              <w:rPr>
                <w:sz w:val="18"/>
                <w:szCs w:val="18"/>
              </w:rPr>
              <w:t xml:space="preserve">and final site visit by </w:t>
            </w:r>
            <w:r w:rsidR="0020131A">
              <w:rPr>
                <w:sz w:val="18"/>
                <w:szCs w:val="18"/>
              </w:rPr>
              <w:t>DWR</w:t>
            </w:r>
            <w:r w:rsidR="00FA54C7" w:rsidRPr="0069230B">
              <w:rPr>
                <w:sz w:val="18"/>
                <w:szCs w:val="18"/>
              </w:rPr>
              <w:t xml:space="preserve"> has been conducted</w:t>
            </w:r>
          </w:p>
        </w:tc>
        <w:tc>
          <w:tcPr>
            <w:tcW w:w="1530" w:type="dxa"/>
            <w:tcBorders>
              <w:top w:val="nil"/>
              <w:left w:val="nil"/>
              <w:bottom w:val="single" w:sz="4" w:space="0" w:color="auto"/>
              <w:right w:val="single" w:sz="4" w:space="0" w:color="auto"/>
            </w:tcBorders>
            <w:shd w:val="clear" w:color="auto" w:fill="auto"/>
            <w:noWrap/>
            <w:vAlign w:val="bottom"/>
          </w:tcPr>
          <w:p w:rsidR="008B69A3" w:rsidRPr="0069230B" w:rsidRDefault="00B22B18" w:rsidP="003B0797">
            <w:pPr>
              <w:jc w:val="center"/>
              <w:rPr>
                <w:sz w:val="18"/>
                <w:szCs w:val="18"/>
              </w:rPr>
            </w:pPr>
            <w:r w:rsidRPr="0069230B">
              <w:rPr>
                <w:sz w:val="18"/>
                <w:szCs w:val="18"/>
              </w:rPr>
              <w:t>10</w:t>
            </w:r>
          </w:p>
        </w:tc>
      </w:tr>
      <w:tr w:rsidR="008B69A3" w:rsidRPr="003B0797" w:rsidTr="00587836">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tcPr>
          <w:p w:rsidR="008B69A3" w:rsidRPr="0069230B" w:rsidRDefault="008B69A3" w:rsidP="003B0797">
            <w:pPr>
              <w:jc w:val="both"/>
              <w:rPr>
                <w:sz w:val="18"/>
                <w:szCs w:val="18"/>
              </w:rPr>
            </w:pPr>
            <w:r w:rsidRPr="0069230B">
              <w:rPr>
                <w:sz w:val="18"/>
                <w:szCs w:val="18"/>
              </w:rPr>
              <w:t> </w:t>
            </w:r>
          </w:p>
        </w:tc>
        <w:tc>
          <w:tcPr>
            <w:tcW w:w="6300" w:type="dxa"/>
            <w:tcBorders>
              <w:top w:val="nil"/>
              <w:left w:val="nil"/>
              <w:bottom w:val="single" w:sz="4" w:space="0" w:color="auto"/>
              <w:right w:val="single" w:sz="4" w:space="0" w:color="auto"/>
            </w:tcBorders>
            <w:shd w:val="clear" w:color="auto" w:fill="auto"/>
            <w:vAlign w:val="bottom"/>
          </w:tcPr>
          <w:p w:rsidR="008B69A3" w:rsidRPr="0069230B" w:rsidRDefault="008B69A3" w:rsidP="003B0797">
            <w:pPr>
              <w:jc w:val="right"/>
              <w:rPr>
                <w:b/>
                <w:sz w:val="18"/>
                <w:szCs w:val="18"/>
              </w:rPr>
            </w:pPr>
            <w:r w:rsidRPr="0069230B">
              <w:rPr>
                <w:b/>
                <w:sz w:val="18"/>
                <w:szCs w:val="18"/>
              </w:rPr>
              <w:t>Total</w:t>
            </w:r>
          </w:p>
        </w:tc>
        <w:tc>
          <w:tcPr>
            <w:tcW w:w="1530" w:type="dxa"/>
            <w:tcBorders>
              <w:top w:val="nil"/>
              <w:left w:val="nil"/>
              <w:bottom w:val="single" w:sz="4" w:space="0" w:color="auto"/>
              <w:right w:val="single" w:sz="4" w:space="0" w:color="auto"/>
            </w:tcBorders>
            <w:shd w:val="clear" w:color="auto" w:fill="auto"/>
            <w:noWrap/>
            <w:vAlign w:val="bottom"/>
          </w:tcPr>
          <w:p w:rsidR="008B69A3" w:rsidRPr="0069230B" w:rsidRDefault="008B69A3" w:rsidP="003B0797">
            <w:pPr>
              <w:jc w:val="center"/>
              <w:rPr>
                <w:b/>
                <w:bCs/>
                <w:sz w:val="18"/>
                <w:szCs w:val="18"/>
              </w:rPr>
            </w:pPr>
            <w:r w:rsidRPr="0069230B">
              <w:rPr>
                <w:b/>
                <w:bCs/>
                <w:sz w:val="18"/>
                <w:szCs w:val="18"/>
              </w:rPr>
              <w:t>100%</w:t>
            </w:r>
          </w:p>
        </w:tc>
      </w:tr>
    </w:tbl>
    <w:p w:rsidR="00EA3A3D" w:rsidRPr="0069230B" w:rsidRDefault="00E03238" w:rsidP="00E03238">
      <w:pPr>
        <w:tabs>
          <w:tab w:val="left" w:pos="990"/>
        </w:tabs>
        <w:ind w:left="990" w:right="720" w:hanging="270"/>
        <w:jc w:val="both"/>
        <w:rPr>
          <w:sz w:val="18"/>
          <w:szCs w:val="18"/>
        </w:rPr>
      </w:pPr>
      <w:r w:rsidRPr="0069230B">
        <w:rPr>
          <w:sz w:val="18"/>
          <w:szCs w:val="18"/>
        </w:rPr>
        <w:t>*</w:t>
      </w:r>
      <w:r w:rsidRPr="0069230B">
        <w:rPr>
          <w:sz w:val="18"/>
          <w:szCs w:val="18"/>
        </w:rPr>
        <w:tab/>
      </w:r>
      <w:r w:rsidR="00EA3A3D" w:rsidRPr="0069230B">
        <w:rPr>
          <w:sz w:val="18"/>
          <w:szCs w:val="18"/>
        </w:rPr>
        <w:t xml:space="preserve">For </w:t>
      </w:r>
      <w:r w:rsidR="00776B0A" w:rsidRPr="0069230B">
        <w:rPr>
          <w:sz w:val="18"/>
          <w:szCs w:val="18"/>
        </w:rPr>
        <w:t>specification</w:t>
      </w:r>
      <w:r w:rsidR="00EA3A3D" w:rsidRPr="0069230B">
        <w:rPr>
          <w:sz w:val="18"/>
          <w:szCs w:val="18"/>
        </w:rPr>
        <w:t>, please see Section VIII in this Instrument</w:t>
      </w:r>
    </w:p>
    <w:p w:rsidR="00E03238" w:rsidRPr="0069230B" w:rsidRDefault="00EA3A3D" w:rsidP="0069230B">
      <w:pPr>
        <w:tabs>
          <w:tab w:val="left" w:pos="990"/>
        </w:tabs>
        <w:ind w:left="990" w:right="720" w:hanging="270"/>
        <w:jc w:val="both"/>
        <w:rPr>
          <w:sz w:val="18"/>
          <w:szCs w:val="18"/>
        </w:rPr>
      </w:pPr>
      <w:r w:rsidRPr="0069230B">
        <w:rPr>
          <w:sz w:val="18"/>
          <w:szCs w:val="18"/>
        </w:rPr>
        <w:t>**</w:t>
      </w:r>
      <w:r w:rsidR="00E03238" w:rsidRPr="0069230B">
        <w:rPr>
          <w:sz w:val="18"/>
          <w:szCs w:val="18"/>
        </w:rPr>
        <w:tab/>
      </w:r>
      <w:r w:rsidR="0020131A">
        <w:rPr>
          <w:sz w:val="18"/>
          <w:szCs w:val="18"/>
        </w:rPr>
        <w:t>DWR</w:t>
      </w:r>
      <w:r w:rsidR="00E03238" w:rsidRPr="0069230B">
        <w:rPr>
          <w:sz w:val="18"/>
          <w:szCs w:val="18"/>
        </w:rPr>
        <w:t xml:space="preserve"> </w:t>
      </w:r>
      <w:r w:rsidR="000751E4" w:rsidRPr="0069230B">
        <w:rPr>
          <w:sz w:val="18"/>
          <w:szCs w:val="18"/>
        </w:rPr>
        <w:t xml:space="preserve">Approval </w:t>
      </w:r>
      <w:r w:rsidR="00312615" w:rsidRPr="0069230B">
        <w:rPr>
          <w:sz w:val="18"/>
          <w:szCs w:val="18"/>
        </w:rPr>
        <w:t xml:space="preserve">provided upon </w:t>
      </w:r>
      <w:r w:rsidR="000751E4" w:rsidRPr="0069230B">
        <w:rPr>
          <w:sz w:val="18"/>
          <w:szCs w:val="18"/>
        </w:rPr>
        <w:t>a determination that the site is meeting success criteria contained within the approved BPDP</w:t>
      </w:r>
    </w:p>
    <w:p w:rsidR="0069230B" w:rsidRDefault="0069230B" w:rsidP="0069230B">
      <w:pPr>
        <w:tabs>
          <w:tab w:val="left" w:pos="990"/>
        </w:tabs>
        <w:ind w:left="990" w:right="720" w:hanging="270"/>
        <w:jc w:val="both"/>
      </w:pPr>
    </w:p>
    <w:tbl>
      <w:tblPr>
        <w:tblW w:w="0" w:type="auto"/>
        <w:tblInd w:w="828" w:type="dxa"/>
        <w:tblLayout w:type="fixed"/>
        <w:tblLook w:val="0000"/>
      </w:tblPr>
      <w:tblGrid>
        <w:gridCol w:w="810"/>
        <w:gridCol w:w="6300"/>
        <w:gridCol w:w="1530"/>
      </w:tblGrid>
      <w:tr w:rsidR="003B3E0D" w:rsidRPr="00CA6204" w:rsidTr="00587836">
        <w:trPr>
          <w:trHeight w:val="255"/>
        </w:trPr>
        <w:tc>
          <w:tcPr>
            <w:tcW w:w="8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B3E0D" w:rsidRPr="0069230B" w:rsidRDefault="003B3E0D" w:rsidP="003B0797">
            <w:pPr>
              <w:jc w:val="both"/>
              <w:rPr>
                <w:b/>
                <w:bCs/>
                <w:sz w:val="20"/>
                <w:szCs w:val="20"/>
              </w:rPr>
            </w:pPr>
            <w:r w:rsidRPr="0069230B">
              <w:rPr>
                <w:b/>
                <w:bCs/>
                <w:sz w:val="20"/>
                <w:szCs w:val="20"/>
              </w:rPr>
              <w:t xml:space="preserve">Table 2 - Credit Release Schedule for </w:t>
            </w:r>
            <w:r w:rsidR="005C1A46" w:rsidRPr="0069230B">
              <w:rPr>
                <w:b/>
                <w:bCs/>
                <w:sz w:val="20"/>
                <w:szCs w:val="20"/>
              </w:rPr>
              <w:t xml:space="preserve">Nutrient Offset Credits – </w:t>
            </w:r>
            <w:proofErr w:type="spellStart"/>
            <w:r w:rsidRPr="0069230B">
              <w:rPr>
                <w:b/>
                <w:bCs/>
                <w:sz w:val="20"/>
                <w:szCs w:val="20"/>
              </w:rPr>
              <w:t>Stormwater</w:t>
            </w:r>
            <w:proofErr w:type="spellEnd"/>
            <w:r w:rsidRPr="0069230B">
              <w:rPr>
                <w:b/>
                <w:bCs/>
                <w:sz w:val="20"/>
                <w:szCs w:val="20"/>
              </w:rPr>
              <w:t xml:space="preserve"> B</w:t>
            </w:r>
            <w:r w:rsidR="005C1A46" w:rsidRPr="0069230B">
              <w:rPr>
                <w:b/>
                <w:bCs/>
                <w:sz w:val="20"/>
                <w:szCs w:val="20"/>
              </w:rPr>
              <w:t>MP</w:t>
            </w:r>
            <w:r w:rsidR="00A06A91" w:rsidRPr="0069230B">
              <w:rPr>
                <w:b/>
                <w:bCs/>
                <w:sz w:val="20"/>
                <w:szCs w:val="20"/>
              </w:rPr>
              <w:t>s</w:t>
            </w:r>
          </w:p>
        </w:tc>
      </w:tr>
      <w:tr w:rsidR="003B3E0D" w:rsidRPr="003B0797" w:rsidTr="0069230B">
        <w:trPr>
          <w:trHeight w:val="656"/>
        </w:trPr>
        <w:tc>
          <w:tcPr>
            <w:tcW w:w="810" w:type="dxa"/>
            <w:tcBorders>
              <w:top w:val="nil"/>
              <w:left w:val="single" w:sz="4" w:space="0" w:color="auto"/>
              <w:bottom w:val="single" w:sz="4" w:space="0" w:color="auto"/>
              <w:right w:val="single" w:sz="4" w:space="0" w:color="auto"/>
            </w:tcBorders>
            <w:shd w:val="clear" w:color="auto" w:fill="auto"/>
            <w:noWrap/>
            <w:vAlign w:val="bottom"/>
          </w:tcPr>
          <w:p w:rsidR="003B3E0D" w:rsidRPr="0069230B" w:rsidRDefault="003B3E0D" w:rsidP="003B0797">
            <w:pPr>
              <w:jc w:val="center"/>
              <w:rPr>
                <w:b/>
                <w:bCs/>
                <w:sz w:val="18"/>
                <w:szCs w:val="18"/>
              </w:rPr>
            </w:pPr>
            <w:r w:rsidRPr="0069230B">
              <w:rPr>
                <w:b/>
                <w:bCs/>
                <w:sz w:val="18"/>
                <w:szCs w:val="18"/>
              </w:rPr>
              <w:t>Task</w:t>
            </w:r>
          </w:p>
        </w:tc>
        <w:tc>
          <w:tcPr>
            <w:tcW w:w="6300" w:type="dxa"/>
            <w:tcBorders>
              <w:top w:val="nil"/>
              <w:left w:val="nil"/>
              <w:bottom w:val="single" w:sz="4" w:space="0" w:color="auto"/>
              <w:right w:val="single" w:sz="4" w:space="0" w:color="auto"/>
            </w:tcBorders>
            <w:shd w:val="clear" w:color="auto" w:fill="auto"/>
            <w:vAlign w:val="bottom"/>
          </w:tcPr>
          <w:p w:rsidR="003B3E0D" w:rsidRPr="0069230B" w:rsidRDefault="003B3E0D" w:rsidP="003B0797">
            <w:pPr>
              <w:jc w:val="center"/>
              <w:rPr>
                <w:b/>
                <w:bCs/>
                <w:sz w:val="18"/>
                <w:szCs w:val="18"/>
              </w:rPr>
            </w:pPr>
            <w:r w:rsidRPr="0069230B">
              <w:rPr>
                <w:b/>
                <w:bCs/>
                <w:sz w:val="18"/>
                <w:szCs w:val="18"/>
              </w:rPr>
              <w:t>Project Milestone</w:t>
            </w:r>
          </w:p>
        </w:tc>
        <w:tc>
          <w:tcPr>
            <w:tcW w:w="1530" w:type="dxa"/>
            <w:tcBorders>
              <w:top w:val="nil"/>
              <w:left w:val="nil"/>
              <w:bottom w:val="single" w:sz="4" w:space="0" w:color="auto"/>
              <w:right w:val="single" w:sz="4" w:space="0" w:color="auto"/>
            </w:tcBorders>
            <w:shd w:val="clear" w:color="auto" w:fill="auto"/>
            <w:vAlign w:val="bottom"/>
          </w:tcPr>
          <w:p w:rsidR="003B3E0D" w:rsidRPr="0069230B" w:rsidRDefault="003B3E0D" w:rsidP="003B0797">
            <w:pPr>
              <w:jc w:val="center"/>
              <w:rPr>
                <w:b/>
                <w:bCs/>
                <w:sz w:val="18"/>
                <w:szCs w:val="18"/>
              </w:rPr>
            </w:pPr>
            <w:r w:rsidRPr="0069230B">
              <w:rPr>
                <w:b/>
                <w:bCs/>
                <w:sz w:val="18"/>
                <w:szCs w:val="18"/>
              </w:rPr>
              <w:t>% Credit Available for Sale</w:t>
            </w:r>
          </w:p>
        </w:tc>
      </w:tr>
      <w:tr w:rsidR="003B3E0D" w:rsidRPr="003B0797" w:rsidTr="00587836">
        <w:trPr>
          <w:trHeight w:val="765"/>
        </w:trPr>
        <w:tc>
          <w:tcPr>
            <w:tcW w:w="810" w:type="dxa"/>
            <w:tcBorders>
              <w:top w:val="nil"/>
              <w:left w:val="single" w:sz="4" w:space="0" w:color="auto"/>
              <w:bottom w:val="single" w:sz="4" w:space="0" w:color="auto"/>
              <w:right w:val="single" w:sz="4" w:space="0" w:color="auto"/>
            </w:tcBorders>
            <w:shd w:val="clear" w:color="auto" w:fill="auto"/>
            <w:noWrap/>
            <w:vAlign w:val="bottom"/>
          </w:tcPr>
          <w:p w:rsidR="003B3E0D" w:rsidRPr="0069230B" w:rsidRDefault="003B3E0D" w:rsidP="003B0797">
            <w:pPr>
              <w:jc w:val="center"/>
              <w:rPr>
                <w:sz w:val="18"/>
                <w:szCs w:val="18"/>
              </w:rPr>
            </w:pPr>
            <w:r w:rsidRPr="0069230B">
              <w:rPr>
                <w:sz w:val="18"/>
                <w:szCs w:val="18"/>
              </w:rPr>
              <w:t>1</w:t>
            </w:r>
          </w:p>
        </w:tc>
        <w:tc>
          <w:tcPr>
            <w:tcW w:w="6300" w:type="dxa"/>
            <w:tcBorders>
              <w:top w:val="nil"/>
              <w:left w:val="nil"/>
              <w:bottom w:val="single" w:sz="4" w:space="0" w:color="auto"/>
              <w:right w:val="single" w:sz="4" w:space="0" w:color="auto"/>
            </w:tcBorders>
            <w:shd w:val="clear" w:color="auto" w:fill="auto"/>
            <w:vAlign w:val="bottom"/>
          </w:tcPr>
          <w:p w:rsidR="003B3E0D" w:rsidRPr="00A35BB1" w:rsidRDefault="00F731E9" w:rsidP="00AC157E">
            <w:pPr>
              <w:rPr>
                <w:sz w:val="18"/>
                <w:szCs w:val="18"/>
              </w:rPr>
            </w:pPr>
            <w:r w:rsidRPr="00A35BB1">
              <w:rPr>
                <w:sz w:val="18"/>
                <w:szCs w:val="18"/>
              </w:rPr>
              <w:t>BPDP</w:t>
            </w:r>
            <w:r w:rsidR="003B3E0D" w:rsidRPr="00A35BB1">
              <w:rPr>
                <w:sz w:val="18"/>
                <w:szCs w:val="18"/>
              </w:rPr>
              <w:t xml:space="preserve"> Approved by </w:t>
            </w:r>
            <w:r w:rsidR="0020131A">
              <w:rPr>
                <w:sz w:val="18"/>
                <w:szCs w:val="18"/>
              </w:rPr>
              <w:t>DWR</w:t>
            </w:r>
            <w:r w:rsidR="003B3E0D" w:rsidRPr="00A35BB1">
              <w:rPr>
                <w:sz w:val="18"/>
                <w:szCs w:val="18"/>
              </w:rPr>
              <w:t xml:space="preserve">, </w:t>
            </w:r>
            <w:r w:rsidR="00562490" w:rsidRPr="00A35BB1">
              <w:rPr>
                <w:sz w:val="18"/>
                <w:szCs w:val="18"/>
              </w:rPr>
              <w:t xml:space="preserve">Bank Closure Agreement, </w:t>
            </w:r>
            <w:r w:rsidR="00AC157E" w:rsidRPr="00A35BB1">
              <w:rPr>
                <w:sz w:val="18"/>
                <w:szCs w:val="18"/>
              </w:rPr>
              <w:t>Drainage and Acc</w:t>
            </w:r>
            <w:r w:rsidR="00C80F3A" w:rsidRPr="00A35BB1">
              <w:rPr>
                <w:sz w:val="18"/>
                <w:szCs w:val="18"/>
              </w:rPr>
              <w:t>e</w:t>
            </w:r>
            <w:r w:rsidR="00AC157E" w:rsidRPr="00A35BB1">
              <w:rPr>
                <w:sz w:val="18"/>
                <w:szCs w:val="18"/>
              </w:rPr>
              <w:t xml:space="preserve">ss </w:t>
            </w:r>
            <w:r w:rsidR="003B3E0D" w:rsidRPr="00A35BB1">
              <w:rPr>
                <w:sz w:val="18"/>
                <w:szCs w:val="18"/>
              </w:rPr>
              <w:t>Easement</w:t>
            </w:r>
            <w:r w:rsidR="00AC157E" w:rsidRPr="00A35BB1">
              <w:rPr>
                <w:sz w:val="18"/>
                <w:szCs w:val="18"/>
              </w:rPr>
              <w:t>s</w:t>
            </w:r>
            <w:r w:rsidR="003B3E0D" w:rsidRPr="00A35BB1">
              <w:rPr>
                <w:sz w:val="18"/>
                <w:szCs w:val="18"/>
              </w:rPr>
              <w:t xml:space="preserve"> Recorded and </w:t>
            </w:r>
            <w:r w:rsidR="00167743" w:rsidRPr="00A35BB1">
              <w:rPr>
                <w:sz w:val="18"/>
                <w:szCs w:val="18"/>
              </w:rPr>
              <w:t>Financial Assurance</w:t>
            </w:r>
            <w:r w:rsidR="003B3E0D" w:rsidRPr="00A35BB1">
              <w:rPr>
                <w:sz w:val="18"/>
                <w:szCs w:val="18"/>
              </w:rPr>
              <w:t xml:space="preserve"> Posted</w:t>
            </w:r>
            <w:r w:rsidR="00360002" w:rsidRPr="00A35BB1">
              <w:rPr>
                <w:sz w:val="18"/>
                <w:szCs w:val="18"/>
              </w:rPr>
              <w:t>,</w:t>
            </w:r>
            <w:r w:rsidR="002078EA" w:rsidRPr="00A35BB1">
              <w:rPr>
                <w:sz w:val="18"/>
                <w:szCs w:val="18"/>
              </w:rPr>
              <w:t xml:space="preserve"> </w:t>
            </w:r>
            <w:r w:rsidR="00360002" w:rsidRPr="00A35BB1">
              <w:rPr>
                <w:sz w:val="18"/>
                <w:szCs w:val="18"/>
              </w:rPr>
              <w:t>and</w:t>
            </w:r>
            <w:r w:rsidR="003B3E0D" w:rsidRPr="00A35BB1">
              <w:rPr>
                <w:sz w:val="18"/>
                <w:szCs w:val="18"/>
              </w:rPr>
              <w:t xml:space="preserve"> Operation and Maintenance Agreement Approved by </w:t>
            </w:r>
            <w:r w:rsidR="0020131A">
              <w:rPr>
                <w:sz w:val="18"/>
                <w:szCs w:val="18"/>
              </w:rPr>
              <w:t>DWR</w:t>
            </w:r>
          </w:p>
        </w:tc>
        <w:tc>
          <w:tcPr>
            <w:tcW w:w="1530" w:type="dxa"/>
            <w:tcBorders>
              <w:top w:val="nil"/>
              <w:left w:val="nil"/>
              <w:bottom w:val="single" w:sz="4" w:space="0" w:color="auto"/>
              <w:right w:val="single" w:sz="4" w:space="0" w:color="auto"/>
            </w:tcBorders>
            <w:shd w:val="clear" w:color="auto" w:fill="auto"/>
            <w:noWrap/>
            <w:vAlign w:val="bottom"/>
          </w:tcPr>
          <w:p w:rsidR="003B3E0D" w:rsidRPr="0069230B" w:rsidRDefault="001E2C81" w:rsidP="003B0797">
            <w:pPr>
              <w:jc w:val="center"/>
              <w:rPr>
                <w:sz w:val="18"/>
                <w:szCs w:val="18"/>
              </w:rPr>
            </w:pPr>
            <w:r w:rsidRPr="0069230B">
              <w:rPr>
                <w:sz w:val="18"/>
                <w:szCs w:val="18"/>
              </w:rPr>
              <w:t xml:space="preserve"> </w:t>
            </w:r>
            <w:r w:rsidR="009D7C46" w:rsidRPr="0069230B">
              <w:rPr>
                <w:sz w:val="18"/>
                <w:szCs w:val="18"/>
              </w:rPr>
              <w:t>20</w:t>
            </w:r>
            <w:r w:rsidRPr="0069230B">
              <w:rPr>
                <w:sz w:val="18"/>
                <w:szCs w:val="18"/>
              </w:rPr>
              <w:t>*</w:t>
            </w:r>
          </w:p>
        </w:tc>
      </w:tr>
      <w:tr w:rsidR="003B3E0D" w:rsidRPr="003B0797" w:rsidTr="00587836">
        <w:trPr>
          <w:trHeight w:val="510"/>
        </w:trPr>
        <w:tc>
          <w:tcPr>
            <w:tcW w:w="810" w:type="dxa"/>
            <w:tcBorders>
              <w:top w:val="nil"/>
              <w:left w:val="single" w:sz="4" w:space="0" w:color="auto"/>
              <w:bottom w:val="single" w:sz="4" w:space="0" w:color="auto"/>
              <w:right w:val="single" w:sz="4" w:space="0" w:color="auto"/>
            </w:tcBorders>
            <w:shd w:val="clear" w:color="auto" w:fill="auto"/>
            <w:noWrap/>
            <w:vAlign w:val="bottom"/>
          </w:tcPr>
          <w:p w:rsidR="003B3E0D" w:rsidRPr="0069230B" w:rsidRDefault="003B3E0D" w:rsidP="003B0797">
            <w:pPr>
              <w:jc w:val="center"/>
              <w:rPr>
                <w:sz w:val="18"/>
                <w:szCs w:val="18"/>
              </w:rPr>
            </w:pPr>
            <w:r w:rsidRPr="0069230B">
              <w:rPr>
                <w:sz w:val="18"/>
                <w:szCs w:val="18"/>
              </w:rPr>
              <w:t>2</w:t>
            </w:r>
          </w:p>
        </w:tc>
        <w:tc>
          <w:tcPr>
            <w:tcW w:w="6300" w:type="dxa"/>
            <w:tcBorders>
              <w:top w:val="nil"/>
              <w:left w:val="nil"/>
              <w:bottom w:val="single" w:sz="4" w:space="0" w:color="auto"/>
              <w:right w:val="single" w:sz="4" w:space="0" w:color="auto"/>
            </w:tcBorders>
            <w:shd w:val="clear" w:color="auto" w:fill="auto"/>
            <w:vAlign w:val="bottom"/>
          </w:tcPr>
          <w:p w:rsidR="003B3E0D" w:rsidRPr="00A35BB1" w:rsidRDefault="003B3E0D" w:rsidP="003B0797">
            <w:pPr>
              <w:rPr>
                <w:sz w:val="18"/>
                <w:szCs w:val="18"/>
              </w:rPr>
            </w:pPr>
            <w:r w:rsidRPr="00A35BB1">
              <w:rPr>
                <w:sz w:val="18"/>
                <w:szCs w:val="18"/>
              </w:rPr>
              <w:t xml:space="preserve">Installation / Renovation of </w:t>
            </w:r>
            <w:proofErr w:type="spellStart"/>
            <w:r w:rsidRPr="00A35BB1">
              <w:rPr>
                <w:sz w:val="18"/>
                <w:szCs w:val="18"/>
              </w:rPr>
              <w:t>Stormwater</w:t>
            </w:r>
            <w:proofErr w:type="spellEnd"/>
            <w:r w:rsidRPr="00A35BB1">
              <w:rPr>
                <w:sz w:val="18"/>
                <w:szCs w:val="18"/>
              </w:rPr>
              <w:t xml:space="preserve"> BMP in accordance with approved design plans completed</w:t>
            </w:r>
          </w:p>
        </w:tc>
        <w:tc>
          <w:tcPr>
            <w:tcW w:w="1530" w:type="dxa"/>
            <w:tcBorders>
              <w:top w:val="nil"/>
              <w:left w:val="nil"/>
              <w:bottom w:val="single" w:sz="4" w:space="0" w:color="auto"/>
              <w:right w:val="single" w:sz="4" w:space="0" w:color="auto"/>
            </w:tcBorders>
            <w:shd w:val="clear" w:color="auto" w:fill="auto"/>
            <w:noWrap/>
            <w:vAlign w:val="bottom"/>
          </w:tcPr>
          <w:p w:rsidR="003B3E0D" w:rsidRPr="0069230B" w:rsidRDefault="009D7C46" w:rsidP="003B0797">
            <w:pPr>
              <w:jc w:val="center"/>
              <w:rPr>
                <w:sz w:val="18"/>
                <w:szCs w:val="18"/>
              </w:rPr>
            </w:pPr>
            <w:r w:rsidRPr="0069230B">
              <w:rPr>
                <w:sz w:val="18"/>
                <w:szCs w:val="18"/>
              </w:rPr>
              <w:t>20</w:t>
            </w:r>
          </w:p>
        </w:tc>
      </w:tr>
      <w:tr w:rsidR="003B3E0D" w:rsidRPr="003B0797" w:rsidTr="00587836">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tcPr>
          <w:p w:rsidR="003B3E0D" w:rsidRPr="0069230B" w:rsidRDefault="003B3E0D" w:rsidP="003B0797">
            <w:pPr>
              <w:jc w:val="center"/>
              <w:rPr>
                <w:sz w:val="18"/>
                <w:szCs w:val="18"/>
              </w:rPr>
            </w:pPr>
            <w:r w:rsidRPr="0069230B">
              <w:rPr>
                <w:sz w:val="18"/>
                <w:szCs w:val="18"/>
              </w:rPr>
              <w:t>3</w:t>
            </w:r>
          </w:p>
        </w:tc>
        <w:tc>
          <w:tcPr>
            <w:tcW w:w="6300" w:type="dxa"/>
            <w:tcBorders>
              <w:top w:val="nil"/>
              <w:left w:val="nil"/>
              <w:bottom w:val="single" w:sz="4" w:space="0" w:color="auto"/>
              <w:right w:val="single" w:sz="4" w:space="0" w:color="auto"/>
            </w:tcBorders>
            <w:shd w:val="clear" w:color="auto" w:fill="auto"/>
            <w:vAlign w:val="bottom"/>
          </w:tcPr>
          <w:p w:rsidR="005E32BE" w:rsidRPr="00A35BB1" w:rsidRDefault="003B3E0D" w:rsidP="003B0797">
            <w:pPr>
              <w:rPr>
                <w:sz w:val="18"/>
                <w:szCs w:val="18"/>
              </w:rPr>
            </w:pPr>
            <w:r w:rsidRPr="00A35BB1">
              <w:rPr>
                <w:sz w:val="18"/>
                <w:szCs w:val="18"/>
              </w:rPr>
              <w:t xml:space="preserve">Approval of As-Built Package </w:t>
            </w:r>
          </w:p>
        </w:tc>
        <w:tc>
          <w:tcPr>
            <w:tcW w:w="1530" w:type="dxa"/>
            <w:tcBorders>
              <w:top w:val="nil"/>
              <w:left w:val="nil"/>
              <w:bottom w:val="single" w:sz="4" w:space="0" w:color="auto"/>
              <w:right w:val="single" w:sz="4" w:space="0" w:color="auto"/>
            </w:tcBorders>
            <w:shd w:val="clear" w:color="auto" w:fill="auto"/>
            <w:noWrap/>
            <w:vAlign w:val="bottom"/>
          </w:tcPr>
          <w:p w:rsidR="003B3E0D" w:rsidRPr="0069230B" w:rsidRDefault="009D7C46" w:rsidP="003B0797">
            <w:pPr>
              <w:jc w:val="center"/>
              <w:rPr>
                <w:sz w:val="18"/>
                <w:szCs w:val="18"/>
              </w:rPr>
            </w:pPr>
            <w:r w:rsidRPr="0069230B">
              <w:rPr>
                <w:sz w:val="18"/>
                <w:szCs w:val="18"/>
              </w:rPr>
              <w:t>10</w:t>
            </w:r>
          </w:p>
        </w:tc>
      </w:tr>
      <w:tr w:rsidR="00312615" w:rsidRPr="003B0797" w:rsidTr="005617E1">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tcPr>
          <w:p w:rsidR="00312615" w:rsidRPr="0069230B" w:rsidRDefault="00312615" w:rsidP="003B0797">
            <w:pPr>
              <w:jc w:val="center"/>
              <w:rPr>
                <w:sz w:val="18"/>
                <w:szCs w:val="18"/>
              </w:rPr>
            </w:pPr>
            <w:r w:rsidRPr="0069230B">
              <w:rPr>
                <w:sz w:val="18"/>
                <w:szCs w:val="18"/>
              </w:rPr>
              <w:t>4</w:t>
            </w:r>
          </w:p>
        </w:tc>
        <w:tc>
          <w:tcPr>
            <w:tcW w:w="6300" w:type="dxa"/>
            <w:tcBorders>
              <w:top w:val="nil"/>
              <w:left w:val="nil"/>
              <w:bottom w:val="single" w:sz="4" w:space="0" w:color="auto"/>
              <w:right w:val="single" w:sz="4" w:space="0" w:color="auto"/>
            </w:tcBorders>
            <w:shd w:val="clear" w:color="auto" w:fill="auto"/>
            <w:vAlign w:val="bottom"/>
          </w:tcPr>
          <w:p w:rsidR="00312615" w:rsidRPr="00A35BB1" w:rsidRDefault="00153A79" w:rsidP="003B0797">
            <w:pPr>
              <w:rPr>
                <w:sz w:val="18"/>
                <w:szCs w:val="18"/>
              </w:rPr>
            </w:pPr>
            <w:r w:rsidRPr="00A35BB1">
              <w:rPr>
                <w:sz w:val="18"/>
                <w:szCs w:val="18"/>
              </w:rPr>
              <w:t xml:space="preserve">O&amp;M </w:t>
            </w:r>
            <w:r w:rsidR="00312615" w:rsidRPr="00A35BB1">
              <w:rPr>
                <w:sz w:val="18"/>
                <w:szCs w:val="18"/>
              </w:rPr>
              <w:t xml:space="preserve">Report #1: Approved by the </w:t>
            </w:r>
            <w:r w:rsidR="0020131A">
              <w:rPr>
                <w:sz w:val="18"/>
                <w:szCs w:val="18"/>
              </w:rPr>
              <w:t>DWR</w:t>
            </w:r>
            <w:r w:rsidR="00312615" w:rsidRPr="00A35BB1">
              <w:rPr>
                <w:sz w:val="18"/>
                <w:szCs w:val="18"/>
              </w:rPr>
              <w:t>*</w:t>
            </w:r>
          </w:p>
        </w:tc>
        <w:tc>
          <w:tcPr>
            <w:tcW w:w="1530" w:type="dxa"/>
            <w:tcBorders>
              <w:top w:val="nil"/>
              <w:left w:val="nil"/>
              <w:bottom w:val="single" w:sz="4" w:space="0" w:color="auto"/>
              <w:right w:val="single" w:sz="4" w:space="0" w:color="auto"/>
            </w:tcBorders>
            <w:shd w:val="clear" w:color="auto" w:fill="auto"/>
            <w:noWrap/>
            <w:vAlign w:val="bottom"/>
          </w:tcPr>
          <w:p w:rsidR="00312615" w:rsidRPr="0069230B" w:rsidRDefault="00312615" w:rsidP="003B0797">
            <w:pPr>
              <w:jc w:val="center"/>
              <w:rPr>
                <w:sz w:val="18"/>
                <w:szCs w:val="18"/>
              </w:rPr>
            </w:pPr>
            <w:r w:rsidRPr="0069230B">
              <w:rPr>
                <w:sz w:val="18"/>
                <w:szCs w:val="18"/>
              </w:rPr>
              <w:t>10</w:t>
            </w:r>
          </w:p>
        </w:tc>
      </w:tr>
      <w:tr w:rsidR="00312615" w:rsidRPr="003B0797" w:rsidTr="005617E1">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tcPr>
          <w:p w:rsidR="00312615" w:rsidRPr="0069230B" w:rsidRDefault="00312615" w:rsidP="003B0797">
            <w:pPr>
              <w:jc w:val="center"/>
              <w:rPr>
                <w:sz w:val="18"/>
                <w:szCs w:val="18"/>
              </w:rPr>
            </w:pPr>
            <w:r w:rsidRPr="0069230B">
              <w:rPr>
                <w:sz w:val="18"/>
                <w:szCs w:val="18"/>
              </w:rPr>
              <w:t>5</w:t>
            </w:r>
          </w:p>
        </w:tc>
        <w:tc>
          <w:tcPr>
            <w:tcW w:w="6300" w:type="dxa"/>
            <w:tcBorders>
              <w:top w:val="nil"/>
              <w:left w:val="nil"/>
              <w:bottom w:val="single" w:sz="4" w:space="0" w:color="auto"/>
              <w:right w:val="single" w:sz="4" w:space="0" w:color="auto"/>
            </w:tcBorders>
            <w:shd w:val="clear" w:color="auto" w:fill="auto"/>
            <w:vAlign w:val="bottom"/>
          </w:tcPr>
          <w:p w:rsidR="00312615" w:rsidRPr="00A35BB1" w:rsidRDefault="00153A79" w:rsidP="003B0797">
            <w:pPr>
              <w:rPr>
                <w:sz w:val="18"/>
                <w:szCs w:val="18"/>
              </w:rPr>
            </w:pPr>
            <w:r w:rsidRPr="00A35BB1">
              <w:rPr>
                <w:sz w:val="18"/>
                <w:szCs w:val="18"/>
              </w:rPr>
              <w:t xml:space="preserve">O&amp;M Report </w:t>
            </w:r>
            <w:r w:rsidR="00312615" w:rsidRPr="00A35BB1">
              <w:rPr>
                <w:sz w:val="18"/>
                <w:szCs w:val="18"/>
              </w:rPr>
              <w:t xml:space="preserve">#2: Approved by the </w:t>
            </w:r>
            <w:r w:rsidR="0020131A">
              <w:rPr>
                <w:sz w:val="18"/>
                <w:szCs w:val="18"/>
              </w:rPr>
              <w:t>DWR</w:t>
            </w:r>
            <w:r w:rsidR="00312615" w:rsidRPr="00A35BB1">
              <w:rPr>
                <w:sz w:val="18"/>
                <w:szCs w:val="18"/>
              </w:rPr>
              <w:t>*</w:t>
            </w:r>
          </w:p>
        </w:tc>
        <w:tc>
          <w:tcPr>
            <w:tcW w:w="1530" w:type="dxa"/>
            <w:tcBorders>
              <w:top w:val="nil"/>
              <w:left w:val="nil"/>
              <w:bottom w:val="single" w:sz="4" w:space="0" w:color="auto"/>
              <w:right w:val="single" w:sz="4" w:space="0" w:color="auto"/>
            </w:tcBorders>
            <w:shd w:val="clear" w:color="auto" w:fill="auto"/>
            <w:noWrap/>
            <w:vAlign w:val="bottom"/>
          </w:tcPr>
          <w:p w:rsidR="00312615" w:rsidRPr="0069230B" w:rsidRDefault="00312615" w:rsidP="003B0797">
            <w:pPr>
              <w:jc w:val="center"/>
              <w:rPr>
                <w:sz w:val="18"/>
                <w:szCs w:val="18"/>
              </w:rPr>
            </w:pPr>
            <w:r w:rsidRPr="0069230B">
              <w:rPr>
                <w:sz w:val="18"/>
                <w:szCs w:val="18"/>
              </w:rPr>
              <w:t>10</w:t>
            </w:r>
          </w:p>
        </w:tc>
      </w:tr>
      <w:tr w:rsidR="00312615" w:rsidRPr="003B0797" w:rsidTr="005617E1">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tcPr>
          <w:p w:rsidR="00312615" w:rsidRPr="0069230B" w:rsidRDefault="00312615" w:rsidP="003B0797">
            <w:pPr>
              <w:jc w:val="center"/>
              <w:rPr>
                <w:sz w:val="18"/>
                <w:szCs w:val="18"/>
              </w:rPr>
            </w:pPr>
            <w:r w:rsidRPr="0069230B">
              <w:rPr>
                <w:sz w:val="18"/>
                <w:szCs w:val="18"/>
              </w:rPr>
              <w:t>6</w:t>
            </w:r>
          </w:p>
        </w:tc>
        <w:tc>
          <w:tcPr>
            <w:tcW w:w="6300" w:type="dxa"/>
            <w:tcBorders>
              <w:top w:val="nil"/>
              <w:left w:val="nil"/>
              <w:bottom w:val="single" w:sz="4" w:space="0" w:color="auto"/>
              <w:right w:val="single" w:sz="4" w:space="0" w:color="auto"/>
            </w:tcBorders>
            <w:shd w:val="clear" w:color="auto" w:fill="auto"/>
            <w:vAlign w:val="bottom"/>
          </w:tcPr>
          <w:p w:rsidR="00312615" w:rsidRPr="00A35BB1" w:rsidRDefault="00153A79" w:rsidP="003B0797">
            <w:pPr>
              <w:rPr>
                <w:sz w:val="18"/>
                <w:szCs w:val="18"/>
              </w:rPr>
            </w:pPr>
            <w:r w:rsidRPr="00A35BB1">
              <w:rPr>
                <w:sz w:val="18"/>
                <w:szCs w:val="18"/>
              </w:rPr>
              <w:t xml:space="preserve">O&amp;M </w:t>
            </w:r>
            <w:r w:rsidR="00312615" w:rsidRPr="00A35BB1">
              <w:rPr>
                <w:sz w:val="18"/>
                <w:szCs w:val="18"/>
              </w:rPr>
              <w:t xml:space="preserve">Report #3: Approved by the </w:t>
            </w:r>
            <w:r w:rsidR="0020131A">
              <w:rPr>
                <w:sz w:val="18"/>
                <w:szCs w:val="18"/>
              </w:rPr>
              <w:t>DWR</w:t>
            </w:r>
            <w:r w:rsidR="00312615" w:rsidRPr="00A35BB1">
              <w:rPr>
                <w:sz w:val="18"/>
                <w:szCs w:val="18"/>
              </w:rPr>
              <w:t>*</w:t>
            </w:r>
          </w:p>
        </w:tc>
        <w:tc>
          <w:tcPr>
            <w:tcW w:w="1530" w:type="dxa"/>
            <w:tcBorders>
              <w:top w:val="nil"/>
              <w:left w:val="nil"/>
              <w:bottom w:val="single" w:sz="4" w:space="0" w:color="auto"/>
              <w:right w:val="single" w:sz="4" w:space="0" w:color="auto"/>
            </w:tcBorders>
            <w:shd w:val="clear" w:color="auto" w:fill="auto"/>
            <w:noWrap/>
            <w:vAlign w:val="bottom"/>
          </w:tcPr>
          <w:p w:rsidR="00312615" w:rsidRPr="0069230B" w:rsidRDefault="00312615" w:rsidP="003B0797">
            <w:pPr>
              <w:jc w:val="center"/>
              <w:rPr>
                <w:sz w:val="18"/>
                <w:szCs w:val="18"/>
              </w:rPr>
            </w:pPr>
            <w:r w:rsidRPr="0069230B">
              <w:rPr>
                <w:sz w:val="18"/>
                <w:szCs w:val="18"/>
              </w:rPr>
              <w:t>10</w:t>
            </w:r>
          </w:p>
        </w:tc>
      </w:tr>
      <w:tr w:rsidR="00B22B18" w:rsidRPr="003B0797" w:rsidTr="00FA54C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tcPr>
          <w:p w:rsidR="00B22B18" w:rsidRPr="0069230B" w:rsidRDefault="00FA54C7" w:rsidP="003B0797">
            <w:pPr>
              <w:jc w:val="center"/>
              <w:rPr>
                <w:sz w:val="18"/>
                <w:szCs w:val="18"/>
              </w:rPr>
            </w:pPr>
            <w:r w:rsidRPr="0069230B">
              <w:rPr>
                <w:sz w:val="18"/>
                <w:szCs w:val="18"/>
              </w:rPr>
              <w:t>7</w:t>
            </w:r>
          </w:p>
        </w:tc>
        <w:tc>
          <w:tcPr>
            <w:tcW w:w="6300" w:type="dxa"/>
            <w:tcBorders>
              <w:top w:val="nil"/>
              <w:left w:val="nil"/>
              <w:bottom w:val="single" w:sz="4" w:space="0" w:color="auto"/>
              <w:right w:val="single" w:sz="4" w:space="0" w:color="auto"/>
            </w:tcBorders>
            <w:shd w:val="clear" w:color="auto" w:fill="auto"/>
            <w:vAlign w:val="bottom"/>
          </w:tcPr>
          <w:p w:rsidR="00B22B18" w:rsidRPr="00A35BB1" w:rsidRDefault="00FA54C7" w:rsidP="002E21C2">
            <w:pPr>
              <w:rPr>
                <w:sz w:val="18"/>
                <w:szCs w:val="18"/>
              </w:rPr>
            </w:pPr>
            <w:r w:rsidRPr="00A35BB1">
              <w:rPr>
                <w:sz w:val="18"/>
                <w:szCs w:val="18"/>
              </w:rPr>
              <w:t xml:space="preserve">Item </w:t>
            </w:r>
            <w:r w:rsidR="004A3FBF" w:rsidRPr="00A35BB1">
              <w:rPr>
                <w:sz w:val="18"/>
                <w:szCs w:val="18"/>
              </w:rPr>
              <w:t>B (</w:t>
            </w:r>
            <w:r w:rsidR="002E21C2" w:rsidRPr="00A35BB1">
              <w:rPr>
                <w:sz w:val="18"/>
                <w:szCs w:val="18"/>
              </w:rPr>
              <w:t>1</w:t>
            </w:r>
            <w:r w:rsidR="0004445A" w:rsidRPr="00A35BB1">
              <w:rPr>
                <w:sz w:val="18"/>
                <w:szCs w:val="18"/>
              </w:rPr>
              <w:t>)</w:t>
            </w:r>
            <w:r w:rsidRPr="00A35BB1">
              <w:rPr>
                <w:sz w:val="18"/>
                <w:szCs w:val="18"/>
              </w:rPr>
              <w:t xml:space="preserve"> of Section </w:t>
            </w:r>
            <w:r w:rsidR="0004445A" w:rsidRPr="00A35BB1">
              <w:rPr>
                <w:sz w:val="18"/>
                <w:szCs w:val="18"/>
              </w:rPr>
              <w:t>I</w:t>
            </w:r>
            <w:r w:rsidR="002E21C2" w:rsidRPr="00A35BB1">
              <w:rPr>
                <w:sz w:val="18"/>
                <w:szCs w:val="18"/>
              </w:rPr>
              <w:t>X</w:t>
            </w:r>
            <w:r w:rsidRPr="00A35BB1">
              <w:rPr>
                <w:sz w:val="18"/>
                <w:szCs w:val="18"/>
              </w:rPr>
              <w:t xml:space="preserve"> in this Instrument has been completed and approved by </w:t>
            </w:r>
            <w:r w:rsidR="0020131A">
              <w:rPr>
                <w:sz w:val="18"/>
                <w:szCs w:val="18"/>
              </w:rPr>
              <w:t>DWR</w:t>
            </w:r>
            <w:r w:rsidRPr="00A35BB1">
              <w:rPr>
                <w:sz w:val="18"/>
                <w:szCs w:val="18"/>
              </w:rPr>
              <w:t>.</w:t>
            </w:r>
          </w:p>
        </w:tc>
        <w:tc>
          <w:tcPr>
            <w:tcW w:w="1530" w:type="dxa"/>
            <w:tcBorders>
              <w:top w:val="nil"/>
              <w:left w:val="nil"/>
              <w:bottom w:val="single" w:sz="4" w:space="0" w:color="auto"/>
              <w:right w:val="single" w:sz="4" w:space="0" w:color="auto"/>
            </w:tcBorders>
            <w:shd w:val="clear" w:color="auto" w:fill="auto"/>
            <w:noWrap/>
            <w:vAlign w:val="bottom"/>
          </w:tcPr>
          <w:p w:rsidR="00B22B18" w:rsidRPr="0069230B" w:rsidRDefault="00FA54C7" w:rsidP="003B0797">
            <w:pPr>
              <w:jc w:val="center"/>
              <w:rPr>
                <w:sz w:val="18"/>
                <w:szCs w:val="18"/>
              </w:rPr>
            </w:pPr>
            <w:r w:rsidRPr="0069230B">
              <w:rPr>
                <w:sz w:val="18"/>
                <w:szCs w:val="18"/>
              </w:rPr>
              <w:t>5</w:t>
            </w:r>
          </w:p>
        </w:tc>
      </w:tr>
      <w:tr w:rsidR="00FA54C7" w:rsidRPr="003B0797" w:rsidTr="00FA54C7">
        <w:trPr>
          <w:trHeight w:val="255"/>
        </w:trPr>
        <w:tc>
          <w:tcPr>
            <w:tcW w:w="810" w:type="dxa"/>
            <w:tcBorders>
              <w:top w:val="single" w:sz="4" w:space="0" w:color="auto"/>
              <w:left w:val="single" w:sz="4" w:space="0" w:color="auto"/>
              <w:bottom w:val="single" w:sz="4" w:space="0" w:color="auto"/>
            </w:tcBorders>
            <w:shd w:val="clear" w:color="auto" w:fill="auto"/>
            <w:noWrap/>
            <w:vAlign w:val="bottom"/>
          </w:tcPr>
          <w:p w:rsidR="00FA54C7" w:rsidRPr="0069230B" w:rsidRDefault="00FA54C7" w:rsidP="003B0797">
            <w:pPr>
              <w:jc w:val="center"/>
              <w:rPr>
                <w:b/>
                <w:sz w:val="18"/>
                <w:szCs w:val="18"/>
              </w:rPr>
            </w:pPr>
          </w:p>
        </w:tc>
        <w:tc>
          <w:tcPr>
            <w:tcW w:w="6300" w:type="dxa"/>
            <w:tcBorders>
              <w:top w:val="single" w:sz="4" w:space="0" w:color="auto"/>
              <w:bottom w:val="single" w:sz="4" w:space="0" w:color="auto"/>
            </w:tcBorders>
            <w:shd w:val="clear" w:color="auto" w:fill="auto"/>
            <w:vAlign w:val="bottom"/>
          </w:tcPr>
          <w:p w:rsidR="00FA54C7" w:rsidRPr="00A35BB1" w:rsidRDefault="00FA54C7" w:rsidP="003B0797">
            <w:pPr>
              <w:jc w:val="center"/>
              <w:rPr>
                <w:b/>
                <w:i/>
                <w:sz w:val="18"/>
                <w:szCs w:val="18"/>
              </w:rPr>
            </w:pPr>
            <w:r w:rsidRPr="00A35BB1">
              <w:rPr>
                <w:b/>
                <w:i/>
                <w:sz w:val="18"/>
                <w:szCs w:val="18"/>
              </w:rPr>
              <w:t>No remaining credits will be released until Task 7 has been satisfied</w:t>
            </w:r>
          </w:p>
        </w:tc>
        <w:tc>
          <w:tcPr>
            <w:tcW w:w="1530" w:type="dxa"/>
            <w:tcBorders>
              <w:top w:val="single" w:sz="4" w:space="0" w:color="auto"/>
              <w:bottom w:val="single" w:sz="4" w:space="0" w:color="auto"/>
              <w:right w:val="single" w:sz="4" w:space="0" w:color="auto"/>
            </w:tcBorders>
            <w:shd w:val="clear" w:color="auto" w:fill="auto"/>
            <w:noWrap/>
            <w:vAlign w:val="bottom"/>
          </w:tcPr>
          <w:p w:rsidR="00FA54C7" w:rsidRPr="0069230B" w:rsidRDefault="00FA54C7" w:rsidP="003B0797">
            <w:pPr>
              <w:jc w:val="center"/>
              <w:rPr>
                <w:sz w:val="18"/>
                <w:szCs w:val="18"/>
              </w:rPr>
            </w:pPr>
          </w:p>
        </w:tc>
      </w:tr>
      <w:tr w:rsidR="00B22B18" w:rsidRPr="003B0797" w:rsidTr="005617E1">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tcPr>
          <w:p w:rsidR="00B22B18" w:rsidRPr="0069230B" w:rsidRDefault="00FA54C7" w:rsidP="003B0797">
            <w:pPr>
              <w:jc w:val="center"/>
              <w:rPr>
                <w:sz w:val="18"/>
                <w:szCs w:val="18"/>
              </w:rPr>
            </w:pPr>
            <w:r w:rsidRPr="0069230B">
              <w:rPr>
                <w:sz w:val="18"/>
                <w:szCs w:val="18"/>
              </w:rPr>
              <w:t>8</w:t>
            </w:r>
          </w:p>
        </w:tc>
        <w:tc>
          <w:tcPr>
            <w:tcW w:w="6300" w:type="dxa"/>
            <w:tcBorders>
              <w:top w:val="nil"/>
              <w:left w:val="nil"/>
              <w:bottom w:val="single" w:sz="4" w:space="0" w:color="auto"/>
              <w:right w:val="single" w:sz="4" w:space="0" w:color="auto"/>
            </w:tcBorders>
            <w:shd w:val="clear" w:color="auto" w:fill="auto"/>
            <w:vAlign w:val="bottom"/>
          </w:tcPr>
          <w:p w:rsidR="00B22B18" w:rsidRPr="00A35BB1" w:rsidRDefault="00153A79" w:rsidP="003B0797">
            <w:pPr>
              <w:rPr>
                <w:sz w:val="18"/>
                <w:szCs w:val="18"/>
              </w:rPr>
            </w:pPr>
            <w:r w:rsidRPr="00A35BB1">
              <w:rPr>
                <w:sz w:val="18"/>
                <w:szCs w:val="18"/>
              </w:rPr>
              <w:t xml:space="preserve">O&amp;M </w:t>
            </w:r>
            <w:r w:rsidR="00B22B18" w:rsidRPr="00A35BB1">
              <w:rPr>
                <w:sz w:val="18"/>
                <w:szCs w:val="18"/>
              </w:rPr>
              <w:t xml:space="preserve">Report #4: Approved by the </w:t>
            </w:r>
            <w:r w:rsidR="0020131A">
              <w:rPr>
                <w:sz w:val="18"/>
                <w:szCs w:val="18"/>
              </w:rPr>
              <w:t>DWR</w:t>
            </w:r>
            <w:r w:rsidR="00B22B18" w:rsidRPr="00A35BB1">
              <w:rPr>
                <w:sz w:val="18"/>
                <w:szCs w:val="18"/>
              </w:rPr>
              <w:t>*</w:t>
            </w:r>
          </w:p>
        </w:tc>
        <w:tc>
          <w:tcPr>
            <w:tcW w:w="1530" w:type="dxa"/>
            <w:tcBorders>
              <w:top w:val="nil"/>
              <w:left w:val="nil"/>
              <w:bottom w:val="single" w:sz="4" w:space="0" w:color="auto"/>
              <w:right w:val="single" w:sz="4" w:space="0" w:color="auto"/>
            </w:tcBorders>
            <w:shd w:val="clear" w:color="auto" w:fill="auto"/>
            <w:noWrap/>
            <w:vAlign w:val="bottom"/>
          </w:tcPr>
          <w:p w:rsidR="00B22B18" w:rsidRPr="0069230B" w:rsidRDefault="00FA54C7" w:rsidP="003B0797">
            <w:pPr>
              <w:jc w:val="center"/>
              <w:rPr>
                <w:sz w:val="18"/>
                <w:szCs w:val="18"/>
              </w:rPr>
            </w:pPr>
            <w:r w:rsidRPr="0069230B">
              <w:rPr>
                <w:sz w:val="18"/>
                <w:szCs w:val="18"/>
              </w:rPr>
              <w:t>5</w:t>
            </w:r>
          </w:p>
        </w:tc>
      </w:tr>
      <w:tr w:rsidR="00B22B18" w:rsidRPr="003B0797" w:rsidTr="005617E1">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tcPr>
          <w:p w:rsidR="00B22B18" w:rsidRPr="0069230B" w:rsidRDefault="00FA54C7" w:rsidP="003B0797">
            <w:pPr>
              <w:jc w:val="center"/>
              <w:rPr>
                <w:sz w:val="18"/>
                <w:szCs w:val="18"/>
              </w:rPr>
            </w:pPr>
            <w:r w:rsidRPr="0069230B">
              <w:rPr>
                <w:sz w:val="18"/>
                <w:szCs w:val="18"/>
              </w:rPr>
              <w:t>9</w:t>
            </w:r>
          </w:p>
        </w:tc>
        <w:tc>
          <w:tcPr>
            <w:tcW w:w="6300" w:type="dxa"/>
            <w:tcBorders>
              <w:top w:val="nil"/>
              <w:left w:val="nil"/>
              <w:bottom w:val="single" w:sz="4" w:space="0" w:color="auto"/>
              <w:right w:val="single" w:sz="4" w:space="0" w:color="auto"/>
            </w:tcBorders>
            <w:shd w:val="clear" w:color="auto" w:fill="auto"/>
            <w:vAlign w:val="bottom"/>
          </w:tcPr>
          <w:p w:rsidR="005E32BE" w:rsidRPr="00A35BB1" w:rsidRDefault="00153A79" w:rsidP="003B0797">
            <w:pPr>
              <w:rPr>
                <w:sz w:val="18"/>
                <w:szCs w:val="18"/>
              </w:rPr>
            </w:pPr>
            <w:r w:rsidRPr="00A35BB1">
              <w:rPr>
                <w:sz w:val="18"/>
                <w:szCs w:val="18"/>
              </w:rPr>
              <w:t>O&amp;M</w:t>
            </w:r>
            <w:r w:rsidR="00B22B18" w:rsidRPr="00A35BB1">
              <w:rPr>
                <w:sz w:val="18"/>
                <w:szCs w:val="18"/>
              </w:rPr>
              <w:t xml:space="preserve"> Report #5: Approved by the </w:t>
            </w:r>
            <w:r w:rsidR="0020131A">
              <w:rPr>
                <w:sz w:val="18"/>
                <w:szCs w:val="18"/>
              </w:rPr>
              <w:t>DWR</w:t>
            </w:r>
            <w:r w:rsidR="00BF26D9" w:rsidRPr="00A35BB1">
              <w:rPr>
                <w:sz w:val="18"/>
                <w:szCs w:val="18"/>
              </w:rPr>
              <w:t>*</w:t>
            </w:r>
            <w:r w:rsidR="00FA54C7" w:rsidRPr="00A35BB1">
              <w:rPr>
                <w:sz w:val="18"/>
                <w:szCs w:val="18"/>
              </w:rPr>
              <w:t xml:space="preserve"> and final site visit by </w:t>
            </w:r>
            <w:r w:rsidR="0020131A">
              <w:rPr>
                <w:sz w:val="18"/>
                <w:szCs w:val="18"/>
              </w:rPr>
              <w:t>DWR</w:t>
            </w:r>
            <w:r w:rsidR="00FA54C7" w:rsidRPr="00A35BB1">
              <w:rPr>
                <w:sz w:val="18"/>
                <w:szCs w:val="18"/>
              </w:rPr>
              <w:t xml:space="preserve"> has been conducted</w:t>
            </w:r>
          </w:p>
        </w:tc>
        <w:tc>
          <w:tcPr>
            <w:tcW w:w="1530" w:type="dxa"/>
            <w:tcBorders>
              <w:top w:val="nil"/>
              <w:left w:val="nil"/>
              <w:bottom w:val="single" w:sz="4" w:space="0" w:color="auto"/>
              <w:right w:val="single" w:sz="4" w:space="0" w:color="auto"/>
            </w:tcBorders>
            <w:shd w:val="clear" w:color="auto" w:fill="auto"/>
            <w:noWrap/>
            <w:vAlign w:val="bottom"/>
          </w:tcPr>
          <w:p w:rsidR="00B22B18" w:rsidRPr="0069230B" w:rsidRDefault="009D7C46" w:rsidP="003B0797">
            <w:pPr>
              <w:jc w:val="center"/>
              <w:rPr>
                <w:sz w:val="18"/>
                <w:szCs w:val="18"/>
              </w:rPr>
            </w:pPr>
            <w:r w:rsidRPr="0069230B">
              <w:rPr>
                <w:sz w:val="18"/>
                <w:szCs w:val="18"/>
              </w:rPr>
              <w:t>10</w:t>
            </w:r>
          </w:p>
        </w:tc>
      </w:tr>
      <w:tr w:rsidR="00B22B18" w:rsidRPr="003B0797" w:rsidTr="005617E1">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tcPr>
          <w:p w:rsidR="00B22B18" w:rsidRPr="0069230B" w:rsidRDefault="00B22B18" w:rsidP="003B0797">
            <w:pPr>
              <w:jc w:val="both"/>
              <w:rPr>
                <w:sz w:val="18"/>
                <w:szCs w:val="18"/>
              </w:rPr>
            </w:pPr>
            <w:r w:rsidRPr="0069230B">
              <w:rPr>
                <w:sz w:val="18"/>
                <w:szCs w:val="18"/>
              </w:rPr>
              <w:t> </w:t>
            </w:r>
          </w:p>
        </w:tc>
        <w:tc>
          <w:tcPr>
            <w:tcW w:w="6300" w:type="dxa"/>
            <w:tcBorders>
              <w:top w:val="nil"/>
              <w:left w:val="nil"/>
              <w:bottom w:val="single" w:sz="4" w:space="0" w:color="auto"/>
              <w:right w:val="single" w:sz="4" w:space="0" w:color="auto"/>
            </w:tcBorders>
            <w:shd w:val="clear" w:color="auto" w:fill="auto"/>
            <w:vAlign w:val="bottom"/>
          </w:tcPr>
          <w:p w:rsidR="005E32BE" w:rsidRPr="0069230B" w:rsidRDefault="00B22B18" w:rsidP="003B0797">
            <w:pPr>
              <w:jc w:val="right"/>
              <w:rPr>
                <w:b/>
                <w:bCs/>
                <w:sz w:val="18"/>
                <w:szCs w:val="18"/>
              </w:rPr>
            </w:pPr>
            <w:r w:rsidRPr="0069230B">
              <w:rPr>
                <w:b/>
                <w:sz w:val="18"/>
                <w:szCs w:val="18"/>
              </w:rPr>
              <w:t>Total</w:t>
            </w:r>
          </w:p>
        </w:tc>
        <w:tc>
          <w:tcPr>
            <w:tcW w:w="1530" w:type="dxa"/>
            <w:tcBorders>
              <w:top w:val="nil"/>
              <w:left w:val="nil"/>
              <w:bottom w:val="single" w:sz="4" w:space="0" w:color="auto"/>
              <w:right w:val="single" w:sz="4" w:space="0" w:color="auto"/>
            </w:tcBorders>
            <w:shd w:val="clear" w:color="auto" w:fill="auto"/>
            <w:noWrap/>
            <w:vAlign w:val="bottom"/>
          </w:tcPr>
          <w:p w:rsidR="00B22B18" w:rsidRPr="0069230B" w:rsidRDefault="00B22B18" w:rsidP="003B0797">
            <w:pPr>
              <w:jc w:val="center"/>
              <w:rPr>
                <w:b/>
                <w:bCs/>
                <w:sz w:val="18"/>
                <w:szCs w:val="18"/>
              </w:rPr>
            </w:pPr>
            <w:r w:rsidRPr="0069230B">
              <w:rPr>
                <w:b/>
                <w:bCs/>
                <w:sz w:val="18"/>
                <w:szCs w:val="18"/>
              </w:rPr>
              <w:t>100%</w:t>
            </w:r>
          </w:p>
        </w:tc>
      </w:tr>
    </w:tbl>
    <w:p w:rsidR="001E2C81" w:rsidRPr="0069230B" w:rsidRDefault="00E03238" w:rsidP="00E03238">
      <w:pPr>
        <w:tabs>
          <w:tab w:val="left" w:pos="1080"/>
        </w:tabs>
        <w:ind w:left="720" w:right="720"/>
        <w:jc w:val="both"/>
        <w:rPr>
          <w:sz w:val="18"/>
          <w:szCs w:val="18"/>
        </w:rPr>
      </w:pPr>
      <w:r w:rsidRPr="00E03238">
        <w:rPr>
          <w:sz w:val="20"/>
          <w:szCs w:val="20"/>
        </w:rPr>
        <w:t>*</w:t>
      </w:r>
      <w:r>
        <w:rPr>
          <w:sz w:val="20"/>
          <w:szCs w:val="20"/>
        </w:rPr>
        <w:tab/>
      </w:r>
      <w:r w:rsidR="001E2C81" w:rsidRPr="0069230B">
        <w:rPr>
          <w:sz w:val="18"/>
          <w:szCs w:val="18"/>
        </w:rPr>
        <w:t xml:space="preserve">For </w:t>
      </w:r>
      <w:r w:rsidR="00776B0A" w:rsidRPr="0069230B">
        <w:rPr>
          <w:sz w:val="18"/>
          <w:szCs w:val="18"/>
        </w:rPr>
        <w:t>specification</w:t>
      </w:r>
      <w:r w:rsidR="001E2C81" w:rsidRPr="0069230B">
        <w:rPr>
          <w:sz w:val="18"/>
          <w:szCs w:val="18"/>
        </w:rPr>
        <w:t>, please see Section VIII in this Instrument</w:t>
      </w:r>
    </w:p>
    <w:p w:rsidR="00C767C2" w:rsidRDefault="001E2C81" w:rsidP="00E03238">
      <w:pPr>
        <w:tabs>
          <w:tab w:val="left" w:pos="1080"/>
        </w:tabs>
        <w:ind w:left="1080" w:right="720" w:hanging="360"/>
        <w:jc w:val="both"/>
        <w:rPr>
          <w:sz w:val="18"/>
          <w:szCs w:val="18"/>
        </w:rPr>
      </w:pPr>
      <w:r w:rsidRPr="0069230B">
        <w:rPr>
          <w:sz w:val="18"/>
          <w:szCs w:val="18"/>
        </w:rPr>
        <w:t>**</w:t>
      </w:r>
      <w:r w:rsidR="00E03238" w:rsidRPr="0069230B">
        <w:rPr>
          <w:sz w:val="18"/>
          <w:szCs w:val="18"/>
        </w:rPr>
        <w:tab/>
      </w:r>
      <w:r w:rsidR="0020131A">
        <w:rPr>
          <w:sz w:val="18"/>
          <w:szCs w:val="18"/>
        </w:rPr>
        <w:t>DWR</w:t>
      </w:r>
      <w:r w:rsidR="00312615" w:rsidRPr="0069230B">
        <w:rPr>
          <w:sz w:val="18"/>
          <w:szCs w:val="18"/>
        </w:rPr>
        <w:t xml:space="preserve"> Approval provided upon a determination that the site is meeting success criteria contained within the approved BPDP</w:t>
      </w:r>
    </w:p>
    <w:p w:rsidR="00C767C2" w:rsidRDefault="00C767C2">
      <w:pPr>
        <w:rPr>
          <w:sz w:val="18"/>
          <w:szCs w:val="18"/>
        </w:rPr>
      </w:pPr>
      <w:r>
        <w:rPr>
          <w:sz w:val="18"/>
          <w:szCs w:val="18"/>
        </w:rPr>
        <w:br w:type="page"/>
      </w:r>
    </w:p>
    <w:p w:rsidR="00312615" w:rsidRPr="0069230B" w:rsidRDefault="00312615" w:rsidP="00E03238">
      <w:pPr>
        <w:tabs>
          <w:tab w:val="left" w:pos="1080"/>
        </w:tabs>
        <w:ind w:left="1080" w:right="720" w:hanging="360"/>
        <w:jc w:val="both"/>
        <w:rPr>
          <w:sz w:val="18"/>
          <w:szCs w:val="18"/>
        </w:rPr>
      </w:pPr>
    </w:p>
    <w:p w:rsidR="004434A3" w:rsidRDefault="0020131A" w:rsidP="003B0797">
      <w:pPr>
        <w:pStyle w:val="Clause"/>
      </w:pPr>
      <w:r>
        <w:t>DWR</w:t>
      </w:r>
      <w:r w:rsidR="004C381B">
        <w:t xml:space="preserve"> </w:t>
      </w:r>
      <w:r w:rsidR="002804E6">
        <w:t>may</w:t>
      </w:r>
      <w:r w:rsidR="00416B58">
        <w:t xml:space="preserve"> modify </w:t>
      </w:r>
      <w:r w:rsidR="00A94EBB">
        <w:t>the credit release schedule</w:t>
      </w:r>
      <w:r w:rsidR="00DA7E5F">
        <w:t xml:space="preserve"> based on the </w:t>
      </w:r>
      <w:r w:rsidR="002804E6">
        <w:t>information</w:t>
      </w:r>
      <w:r w:rsidR="00DA7E5F">
        <w:t xml:space="preserve"> submitted </w:t>
      </w:r>
      <w:r w:rsidR="002804E6">
        <w:t>or</w:t>
      </w:r>
      <w:r w:rsidR="00DA7E5F">
        <w:t xml:space="preserve"> the order in which </w:t>
      </w:r>
      <w:r w:rsidR="002804E6">
        <w:t>required information</w:t>
      </w:r>
      <w:r w:rsidR="00DA7E5F">
        <w:t xml:space="preserve"> is received.  </w:t>
      </w:r>
      <w:r>
        <w:t>DWR</w:t>
      </w:r>
      <w:r w:rsidR="00416B58">
        <w:t xml:space="preserve"> </w:t>
      </w:r>
      <w:r w:rsidR="002804E6">
        <w:t xml:space="preserve">will </w:t>
      </w:r>
      <w:r w:rsidR="00416B58">
        <w:t>notify the Sponsor of any modification to the credit release schedule</w:t>
      </w:r>
      <w:r w:rsidR="004C381B">
        <w:t>.</w:t>
      </w:r>
    </w:p>
    <w:p w:rsidR="00907111" w:rsidRDefault="00907111" w:rsidP="003B0797">
      <w:pPr>
        <w:pStyle w:val="Clause"/>
        <w:numPr>
          <w:ilvl w:val="0"/>
          <w:numId w:val="0"/>
        </w:numPr>
        <w:ind w:left="720"/>
      </w:pPr>
    </w:p>
    <w:p w:rsidR="006A1959" w:rsidRDefault="00E9631B" w:rsidP="003B0797">
      <w:pPr>
        <w:pStyle w:val="Heading1"/>
        <w:spacing w:before="0" w:after="0"/>
      </w:pPr>
      <w:r>
        <w:t>Procedure for Debiting and Crediting</w:t>
      </w:r>
    </w:p>
    <w:p w:rsidR="009007B8" w:rsidRDefault="009007B8" w:rsidP="009007B8">
      <w:pPr>
        <w:pStyle w:val="Heading1"/>
        <w:numPr>
          <w:ilvl w:val="0"/>
          <w:numId w:val="0"/>
        </w:numPr>
        <w:spacing w:before="0" w:after="0"/>
        <w:ind w:left="360"/>
      </w:pPr>
    </w:p>
    <w:p w:rsidR="00F77523" w:rsidRDefault="004A1062" w:rsidP="009007B8">
      <w:pPr>
        <w:pStyle w:val="Clause"/>
        <w:numPr>
          <w:ilvl w:val="0"/>
          <w:numId w:val="32"/>
        </w:numPr>
      </w:pPr>
      <w:r>
        <w:t>Available mitigation c</w:t>
      </w:r>
      <w:r w:rsidRPr="00824C60">
        <w:t xml:space="preserve">redits </w:t>
      </w:r>
      <w:r>
        <w:t xml:space="preserve">(credits that have been released by </w:t>
      </w:r>
      <w:r w:rsidR="0020131A">
        <w:t>DWR</w:t>
      </w:r>
      <w:r>
        <w:t xml:space="preserve"> but not sold by the Sponsor) that are generated within the </w:t>
      </w:r>
      <w:r w:rsidR="0020131A">
        <w:t>DWR</w:t>
      </w:r>
      <w:r>
        <w:t xml:space="preserve"> riparian buffer, as defined by </w:t>
      </w:r>
      <w:r w:rsidR="00763749" w:rsidRPr="00763749">
        <w:t>15A NCAC 02B .02</w:t>
      </w:r>
      <w:r w:rsidR="00763749" w:rsidRPr="00763749">
        <w:rPr>
          <w:highlight w:val="cyan"/>
        </w:rPr>
        <w:t>XX</w:t>
      </w:r>
      <w:r w:rsidR="00763749" w:rsidRPr="00763749">
        <w:t xml:space="preserve"> </w:t>
      </w:r>
      <w:r w:rsidR="00763749" w:rsidRPr="00763749">
        <w:rPr>
          <w:highlight w:val="green"/>
        </w:rPr>
        <w:t>(type in the applicable buffer rule here)</w:t>
      </w:r>
      <w:r w:rsidR="00763749" w:rsidRPr="00763749">
        <w:t xml:space="preserve"> and per 15A NCAC 02B .</w:t>
      </w:r>
      <w:proofErr w:type="gramStart"/>
      <w:r w:rsidR="00763749" w:rsidRPr="00763749">
        <w:t>02</w:t>
      </w:r>
      <w:r w:rsidR="00763749" w:rsidRPr="00763749">
        <w:rPr>
          <w:highlight w:val="cyan"/>
        </w:rPr>
        <w:t>XX</w:t>
      </w:r>
      <w:r w:rsidR="00763749" w:rsidRPr="00763749">
        <w:t>(</w:t>
      </w:r>
      <w:proofErr w:type="gramEnd"/>
      <w:r w:rsidR="00763749" w:rsidRPr="00763749">
        <w:rPr>
          <w:highlight w:val="green"/>
        </w:rPr>
        <w:t>type in the applicable buffer mitigation rule here)</w:t>
      </w:r>
      <w:r>
        <w:t>, c</w:t>
      </w:r>
      <w:r w:rsidRPr="00CA6204">
        <w:t xml:space="preserve">an be converted and transferred </w:t>
      </w:r>
      <w:r>
        <w:t xml:space="preserve">from </w:t>
      </w:r>
      <w:r w:rsidRPr="003809BE">
        <w:t xml:space="preserve">Riparian Buffer Credits </w:t>
      </w:r>
      <w:r w:rsidRPr="00CA6204">
        <w:t xml:space="preserve">to </w:t>
      </w:r>
      <w:r>
        <w:t>Nutrient</w:t>
      </w:r>
      <w:r w:rsidRPr="00CA6204">
        <w:t xml:space="preserve"> </w:t>
      </w:r>
      <w:r>
        <w:t>O</w:t>
      </w:r>
      <w:r w:rsidRPr="00CA6204">
        <w:t>ffset</w:t>
      </w:r>
      <w:r>
        <w:t xml:space="preserve"> Credits and from Nutrient Offset Credits to Riparian Buffer Credits.  Available Nutrient Offset Credits that are generated outside of the </w:t>
      </w:r>
      <w:r w:rsidR="0020131A">
        <w:t>DWR</w:t>
      </w:r>
      <w:r>
        <w:t xml:space="preserve"> riparian buffer cannot be converted or transferred to Riparian Buffer Credits</w:t>
      </w:r>
      <w:r w:rsidR="000B5B50">
        <w:t>.</w:t>
      </w:r>
    </w:p>
    <w:p w:rsidR="003E6FE9" w:rsidRDefault="003E6FE9" w:rsidP="003E6FE9">
      <w:pPr>
        <w:pStyle w:val="Clause"/>
        <w:numPr>
          <w:ilvl w:val="0"/>
          <w:numId w:val="0"/>
        </w:numPr>
        <w:ind w:left="720"/>
      </w:pPr>
    </w:p>
    <w:p w:rsidR="003E6FE9" w:rsidRPr="00A35BB1" w:rsidRDefault="003E6FE9" w:rsidP="003E6FE9">
      <w:pPr>
        <w:pStyle w:val="Clause"/>
        <w:numPr>
          <w:ilvl w:val="0"/>
          <w:numId w:val="32"/>
        </w:numPr>
      </w:pPr>
      <w:r w:rsidRPr="00A35BB1">
        <w:t xml:space="preserve">The Bank Sponsor shall obtain verification of nutrient offset need from a designated </w:t>
      </w:r>
      <w:r w:rsidR="00685E98" w:rsidRPr="00A35BB1">
        <w:t>local government</w:t>
      </w:r>
      <w:r w:rsidRPr="00A35BB1">
        <w:t xml:space="preserve"> prior to debiting</w:t>
      </w:r>
      <w:r w:rsidR="00DF0873" w:rsidRPr="00A35BB1">
        <w:t xml:space="preserve"> </w:t>
      </w:r>
      <w:r w:rsidR="00685E98" w:rsidRPr="00A35BB1">
        <w:t>Nutrient Offset Credits</w:t>
      </w:r>
      <w:r w:rsidR="00DF0873" w:rsidRPr="00A35BB1">
        <w:t xml:space="preserve"> from the Bank Parcel.  </w:t>
      </w:r>
    </w:p>
    <w:p w:rsidR="00DF0873" w:rsidRPr="00A35BB1" w:rsidRDefault="00DF0873" w:rsidP="00DF0873">
      <w:pPr>
        <w:pStyle w:val="Clause"/>
        <w:numPr>
          <w:ilvl w:val="0"/>
          <w:numId w:val="0"/>
        </w:numPr>
        <w:ind w:left="720"/>
      </w:pPr>
    </w:p>
    <w:p w:rsidR="00DF0873" w:rsidRPr="00A35BB1" w:rsidRDefault="00DF0873" w:rsidP="003E6FE9">
      <w:pPr>
        <w:pStyle w:val="Clause"/>
        <w:numPr>
          <w:ilvl w:val="0"/>
          <w:numId w:val="32"/>
        </w:numPr>
      </w:pPr>
      <w:r w:rsidRPr="00A35BB1">
        <w:t xml:space="preserve">The Bank Sponsor shall obtain verification of buffer mitigation required prior to </w:t>
      </w:r>
      <w:r w:rsidR="00685E98" w:rsidRPr="00A35BB1">
        <w:t>debiting Riparian Buffer Credits from the Bank Parcel</w:t>
      </w:r>
      <w:r w:rsidRPr="00A35BB1">
        <w:t xml:space="preserve">.  </w:t>
      </w:r>
    </w:p>
    <w:p w:rsidR="00F77523" w:rsidRDefault="00582AFC" w:rsidP="003B0797">
      <w:pPr>
        <w:pStyle w:val="Clause"/>
        <w:numPr>
          <w:ilvl w:val="0"/>
          <w:numId w:val="0"/>
        </w:numPr>
        <w:ind w:left="720"/>
      </w:pPr>
      <w:r>
        <w:tab/>
      </w:r>
    </w:p>
    <w:p w:rsidR="00F77523" w:rsidRDefault="004A1062" w:rsidP="003B0797">
      <w:pPr>
        <w:pStyle w:val="Clause"/>
      </w:pPr>
      <w:r w:rsidRPr="00582AFC">
        <w:t>The Bank Sponsor shall maintain three credit ledgers</w:t>
      </w:r>
      <w:r>
        <w:t>, if applicable, for each Bank Parcel under this Instrument</w:t>
      </w:r>
      <w:r w:rsidRPr="00582AFC">
        <w:t>: one accounting for buffer mitigation credits in square feet, one accounting for nitrogen offset credits</w:t>
      </w:r>
      <w:r>
        <w:t xml:space="preserve"> in pounds</w:t>
      </w:r>
      <w:r w:rsidRPr="00582AFC">
        <w:t>, and one accounting for phosphorus offset credits</w:t>
      </w:r>
      <w:r>
        <w:t xml:space="preserve"> in pounds</w:t>
      </w:r>
      <w:r w:rsidRPr="00582AFC">
        <w:t xml:space="preserve">. </w:t>
      </w:r>
    </w:p>
    <w:p w:rsidR="004A1062" w:rsidRDefault="004A1062" w:rsidP="004A1062">
      <w:pPr>
        <w:pStyle w:val="Clause"/>
        <w:numPr>
          <w:ilvl w:val="0"/>
          <w:numId w:val="0"/>
        </w:numPr>
        <w:ind w:left="720"/>
      </w:pPr>
    </w:p>
    <w:p w:rsidR="004A1062" w:rsidRPr="004A6191" w:rsidRDefault="004F3C7B" w:rsidP="003B0797">
      <w:pPr>
        <w:pStyle w:val="Clause"/>
      </w:pPr>
      <w:r w:rsidRPr="004A6191">
        <w:t xml:space="preserve">Each credit ledger shall be submitted on a separate 8 ½in X 11in spreadsheet with legible font style and font size.  </w:t>
      </w:r>
      <w:r w:rsidR="003438BF" w:rsidRPr="004A6191">
        <w:t xml:space="preserve">At a minimum and unless otherwise requested by </w:t>
      </w:r>
      <w:r w:rsidR="0020131A">
        <w:t>DWR</w:t>
      </w:r>
      <w:r w:rsidR="003438BF" w:rsidRPr="004A6191">
        <w:t xml:space="preserve">, </w:t>
      </w:r>
      <w:r w:rsidR="004A1062" w:rsidRPr="004A6191">
        <w:t>credit ledgers shall contain the following inf</w:t>
      </w:r>
      <w:r w:rsidR="00F53A8B" w:rsidRPr="004A6191">
        <w:t>ormation:</w:t>
      </w:r>
    </w:p>
    <w:p w:rsidR="00F53A8B" w:rsidRPr="004A6191" w:rsidRDefault="00F53A8B" w:rsidP="00F53A8B">
      <w:pPr>
        <w:pStyle w:val="Clause"/>
        <w:numPr>
          <w:ilvl w:val="0"/>
          <w:numId w:val="0"/>
        </w:numPr>
        <w:ind w:left="720"/>
      </w:pPr>
    </w:p>
    <w:p w:rsidR="004F3C7B" w:rsidRPr="004A6191" w:rsidRDefault="004F3C7B" w:rsidP="004A1062">
      <w:pPr>
        <w:pStyle w:val="Clause"/>
        <w:numPr>
          <w:ilvl w:val="1"/>
          <w:numId w:val="3"/>
        </w:numPr>
      </w:pPr>
      <w:r w:rsidRPr="004A6191">
        <w:t>Bank Details</w:t>
      </w:r>
      <w:r w:rsidR="00EA5D1E" w:rsidRPr="004A6191">
        <w:t xml:space="preserve"> listed in a header</w:t>
      </w:r>
      <w:r w:rsidRPr="004A6191">
        <w:t xml:space="preserve">:  </w:t>
      </w:r>
      <w:r w:rsidR="006555D0" w:rsidRPr="004A6191">
        <w:t>(</w:t>
      </w:r>
      <w:r w:rsidRPr="004A6191">
        <w:t xml:space="preserve">1) name of the approved banking instrument as it appears on the instrument document, </w:t>
      </w:r>
      <w:r w:rsidR="006555D0" w:rsidRPr="004A6191">
        <w:t>(</w:t>
      </w:r>
      <w:r w:rsidRPr="004A6191">
        <w:t xml:space="preserve">2) sponsor name, </w:t>
      </w:r>
      <w:r w:rsidR="006555D0" w:rsidRPr="004A6191">
        <w:t>(</w:t>
      </w:r>
      <w:r w:rsidRPr="004A6191">
        <w:t>3) bank parcel name as it appears on the BPDP,</w:t>
      </w:r>
      <w:r w:rsidR="00A06A9F" w:rsidRPr="004A6191">
        <w:t xml:space="preserve"> (4) </w:t>
      </w:r>
      <w:r w:rsidR="0020131A">
        <w:t>DWR</w:t>
      </w:r>
      <w:r w:rsidR="00A06A9F" w:rsidRPr="004A6191">
        <w:t xml:space="preserve"> project number for the BPDP, </w:t>
      </w:r>
      <w:r w:rsidR="006555D0" w:rsidRPr="004A6191">
        <w:t>(</w:t>
      </w:r>
      <w:r w:rsidR="00A06A9F" w:rsidRPr="004A6191">
        <w:t>5</w:t>
      </w:r>
      <w:r w:rsidRPr="004A6191">
        <w:t>) dat</w:t>
      </w:r>
      <w:r w:rsidR="00A06A9F" w:rsidRPr="004A6191">
        <w:t>e the ledger was last updated, 6</w:t>
      </w:r>
      <w:r w:rsidRPr="004A6191">
        <w:t>) total credits released to date.</w:t>
      </w:r>
    </w:p>
    <w:p w:rsidR="00F53A8B" w:rsidRPr="004A6191" w:rsidRDefault="00F53A8B" w:rsidP="00F53A8B">
      <w:pPr>
        <w:pStyle w:val="Clause"/>
        <w:numPr>
          <w:ilvl w:val="0"/>
          <w:numId w:val="0"/>
        </w:numPr>
        <w:ind w:left="1440"/>
      </w:pPr>
    </w:p>
    <w:p w:rsidR="004F3C7B" w:rsidRPr="004A6191" w:rsidRDefault="004F3C7B" w:rsidP="004A1062">
      <w:pPr>
        <w:pStyle w:val="Clause"/>
        <w:numPr>
          <w:ilvl w:val="1"/>
          <w:numId w:val="3"/>
        </w:numPr>
      </w:pPr>
      <w:r w:rsidRPr="004A6191">
        <w:t>Credit Details</w:t>
      </w:r>
      <w:r w:rsidR="00EA5D1E" w:rsidRPr="004A6191">
        <w:t xml:space="preserve"> </w:t>
      </w:r>
      <w:r w:rsidR="00A06A9F" w:rsidRPr="004A6191">
        <w:t>Table with the following for each credit sale</w:t>
      </w:r>
      <w:r w:rsidRPr="004A6191">
        <w:t xml:space="preserve">: </w:t>
      </w:r>
      <w:r w:rsidR="006555D0" w:rsidRPr="004A6191">
        <w:t>(</w:t>
      </w:r>
      <w:r w:rsidRPr="004A6191">
        <w:t xml:space="preserve">1) date of credit sale, </w:t>
      </w:r>
      <w:r w:rsidR="006555D0" w:rsidRPr="004A6191">
        <w:t>(</w:t>
      </w:r>
      <w:r w:rsidRPr="004A6191">
        <w:t xml:space="preserve">2) purchaser name, </w:t>
      </w:r>
      <w:r w:rsidR="006555D0" w:rsidRPr="004A6191">
        <w:t>(</w:t>
      </w:r>
      <w:r w:rsidRPr="004A6191">
        <w:t>3) project name and corresponding HUC</w:t>
      </w:r>
      <w:r w:rsidR="00F53A8B" w:rsidRPr="004A6191">
        <w:t xml:space="preserve">, </w:t>
      </w:r>
      <w:r w:rsidR="006555D0" w:rsidRPr="004A6191">
        <w:t>(</w:t>
      </w:r>
      <w:r w:rsidR="00F53A8B" w:rsidRPr="004A6191">
        <w:t xml:space="preserve">4) name of </w:t>
      </w:r>
      <w:r w:rsidR="005F3BE8" w:rsidRPr="00A35BB1">
        <w:t xml:space="preserve">designated </w:t>
      </w:r>
      <w:r w:rsidR="00F53A8B" w:rsidRPr="00A35BB1">
        <w:t>local government</w:t>
      </w:r>
      <w:r w:rsidR="003717CB" w:rsidRPr="00A35BB1">
        <w:t xml:space="preserve"> re</w:t>
      </w:r>
      <w:r w:rsidR="005F3BE8" w:rsidRPr="00A35BB1">
        <w:t xml:space="preserve">quiring Nutrient Offset Credits, and/or (5) </w:t>
      </w:r>
      <w:r w:rsidR="0020131A">
        <w:t>DWR</w:t>
      </w:r>
      <w:r w:rsidR="005F3BE8" w:rsidRPr="00A35BB1">
        <w:t xml:space="preserve"> authorization number or delegated local government requiring Riparian Buffer Credits for this project</w:t>
      </w:r>
      <w:r w:rsidR="00F53A8B" w:rsidRPr="00A35BB1">
        <w:t xml:space="preserve">, </w:t>
      </w:r>
      <w:r w:rsidR="006555D0" w:rsidRPr="00A35BB1">
        <w:t>(</w:t>
      </w:r>
      <w:r w:rsidR="005F3BE8" w:rsidRPr="00A35BB1">
        <w:t>6</w:t>
      </w:r>
      <w:r w:rsidR="00F53A8B" w:rsidRPr="00A35BB1">
        <w:t>) credits released</w:t>
      </w:r>
      <w:r w:rsidR="00A06A9F" w:rsidRPr="00A35BB1">
        <w:t xml:space="preserve"> by </w:t>
      </w:r>
      <w:r w:rsidR="0020131A">
        <w:t>DWR</w:t>
      </w:r>
      <w:r w:rsidR="00A06A9F" w:rsidRPr="00A35BB1">
        <w:t xml:space="preserve"> </w:t>
      </w:r>
      <w:r w:rsidR="00F53A8B" w:rsidRPr="00A35BB1">
        <w:t xml:space="preserve">to </w:t>
      </w:r>
      <w:r w:rsidR="00A06A9F" w:rsidRPr="00A35BB1">
        <w:t>the B</w:t>
      </w:r>
      <w:r w:rsidR="00F53A8B" w:rsidRPr="00A35BB1">
        <w:t>ank listed in pounds for Nutrient Offset Credits</w:t>
      </w:r>
      <w:r w:rsidR="00F53A8B" w:rsidRPr="004A6191">
        <w:t xml:space="preserve"> and in square feet for Riparian Buffer Credits, </w:t>
      </w:r>
      <w:r w:rsidR="006555D0" w:rsidRPr="004A6191">
        <w:t>(</w:t>
      </w:r>
      <w:r w:rsidR="005F3BE8">
        <w:t>7</w:t>
      </w:r>
      <w:r w:rsidR="00F53A8B" w:rsidRPr="004A6191">
        <w:t xml:space="preserve">) credits debited/sold from bank listed in pounds for Nutrient Offset Credits and in square feet for Riparian Buffer Credits, </w:t>
      </w:r>
      <w:r w:rsidR="006555D0" w:rsidRPr="004A6191">
        <w:t>(</w:t>
      </w:r>
      <w:r w:rsidR="005F3BE8">
        <w:t>8</w:t>
      </w:r>
      <w:r w:rsidR="00F53A8B" w:rsidRPr="004A6191">
        <w:t xml:space="preserve">) </w:t>
      </w:r>
      <w:r w:rsidR="00A06A9F" w:rsidRPr="004A6191">
        <w:t>available credits</w:t>
      </w:r>
      <w:r w:rsidR="00F53A8B" w:rsidRPr="004A6191">
        <w:t xml:space="preserve"> listed in pounds and acres for Nutrient Offset Credits and in square feet and acres for Riparian Buffer Credits</w:t>
      </w:r>
      <w:r w:rsidR="000B5B50">
        <w:t>.</w:t>
      </w:r>
    </w:p>
    <w:p w:rsidR="006A1959" w:rsidRPr="004A6191" w:rsidRDefault="006A1959" w:rsidP="003B0797">
      <w:pPr>
        <w:pStyle w:val="Clause"/>
        <w:numPr>
          <w:ilvl w:val="0"/>
          <w:numId w:val="0"/>
        </w:numPr>
        <w:ind w:left="720"/>
      </w:pPr>
    </w:p>
    <w:p w:rsidR="004152FD" w:rsidRPr="004A6191" w:rsidRDefault="00AC2292" w:rsidP="004A1062">
      <w:pPr>
        <w:pStyle w:val="Clause"/>
      </w:pPr>
      <w:r w:rsidRPr="00AC2292">
        <w:t xml:space="preserve">All credit and debit transactions for each Bank Parcel under this Instrument shall be accurately depicted in the credit ledgers.  </w:t>
      </w:r>
      <w:r w:rsidR="0020131A">
        <w:t>DWR</w:t>
      </w:r>
      <w:r w:rsidRPr="00AC2292">
        <w:t xml:space="preserve"> shall be notified of each credit sale or credit transfer within thirty (30) calendar days by electronically submitting an updated credit ledger to </w:t>
      </w:r>
      <w:r w:rsidR="0020131A">
        <w:t>DWR</w:t>
      </w:r>
      <w:r w:rsidRPr="00AC2292">
        <w:t xml:space="preserve">.  At a minimum, </w:t>
      </w:r>
      <w:r w:rsidR="0020131A">
        <w:t>DWR</w:t>
      </w:r>
      <w:r w:rsidRPr="00AC2292">
        <w:t xml:space="preserve"> shall receive a hard copy of updated credit ledgers</w:t>
      </w:r>
      <w:r>
        <w:t xml:space="preserve"> along </w:t>
      </w:r>
      <w:r w:rsidRPr="00685E98">
        <w:t xml:space="preserve">with the corresponding Mitigation Credit Transfer Certificates (“Certificate”) </w:t>
      </w:r>
      <w:r w:rsidR="00DF0873" w:rsidRPr="00A35BB1">
        <w:t xml:space="preserve">and all corresponding </w:t>
      </w:r>
      <w:r w:rsidR="00685E98" w:rsidRPr="00A35BB1">
        <w:t xml:space="preserve">letters from the designated local governments </w:t>
      </w:r>
      <w:r w:rsidRPr="00A35BB1">
        <w:t>twice</w:t>
      </w:r>
      <w:r w:rsidRPr="00685E98">
        <w:t xml:space="preserve"> a year.  Notification of all credit sales shall be provided</w:t>
      </w:r>
      <w:r w:rsidRPr="00AC2292">
        <w:t xml:space="preserve"> to </w:t>
      </w:r>
      <w:r w:rsidR="0020131A">
        <w:t>DWR</w:t>
      </w:r>
      <w:r w:rsidRPr="00AC2292">
        <w:t xml:space="preserve"> until all credits that have been released have been sold</w:t>
      </w:r>
      <w:r w:rsidR="00E9631B" w:rsidRPr="004A6191">
        <w:t>.</w:t>
      </w:r>
    </w:p>
    <w:p w:rsidR="006A1959" w:rsidRPr="004A6191" w:rsidRDefault="006A1959" w:rsidP="003B0797">
      <w:pPr>
        <w:pStyle w:val="Clause"/>
        <w:numPr>
          <w:ilvl w:val="0"/>
          <w:numId w:val="0"/>
        </w:numPr>
        <w:ind w:left="720"/>
      </w:pPr>
    </w:p>
    <w:p w:rsidR="001F7D58" w:rsidRPr="004A6191" w:rsidRDefault="004152FD" w:rsidP="003B0797">
      <w:pPr>
        <w:pStyle w:val="Clause"/>
      </w:pPr>
      <w:r w:rsidRPr="004A6191">
        <w:t>All credit sales</w:t>
      </w:r>
      <w:r w:rsidR="007B5514" w:rsidRPr="004A6191">
        <w:t xml:space="preserve"> will include a </w:t>
      </w:r>
      <w:r w:rsidR="00AC2292">
        <w:t>Certificate</w:t>
      </w:r>
      <w:r w:rsidR="007B5514" w:rsidRPr="004A6191">
        <w:t xml:space="preserve"> </w:t>
      </w:r>
      <w:r w:rsidRPr="004A6191">
        <w:t xml:space="preserve">that </w:t>
      </w:r>
      <w:r w:rsidR="001F7D58" w:rsidRPr="004A6191">
        <w:t>will include, at a minimum, the following information:</w:t>
      </w:r>
    </w:p>
    <w:p w:rsidR="00A30561" w:rsidRPr="004A6191" w:rsidRDefault="00A30561" w:rsidP="00A30561">
      <w:pPr>
        <w:pStyle w:val="Clause"/>
        <w:numPr>
          <w:ilvl w:val="0"/>
          <w:numId w:val="0"/>
        </w:numPr>
        <w:ind w:left="720"/>
      </w:pPr>
    </w:p>
    <w:p w:rsidR="00D34475" w:rsidRPr="004A6191" w:rsidRDefault="005B570B" w:rsidP="001F7D58">
      <w:pPr>
        <w:pStyle w:val="Clause"/>
        <w:numPr>
          <w:ilvl w:val="1"/>
          <w:numId w:val="3"/>
        </w:numPr>
      </w:pPr>
      <w:r w:rsidRPr="004A6191">
        <w:t xml:space="preserve">Bank Details: </w:t>
      </w:r>
      <w:r w:rsidR="006555D0" w:rsidRPr="004A6191">
        <w:t>(</w:t>
      </w:r>
      <w:r w:rsidR="00A30561" w:rsidRPr="004A6191">
        <w:t xml:space="preserve">1) </w:t>
      </w:r>
      <w:r w:rsidRPr="004A6191">
        <w:t>s</w:t>
      </w:r>
      <w:r w:rsidR="00A30561" w:rsidRPr="004A6191">
        <w:t xml:space="preserve">ponsor Name, </w:t>
      </w:r>
      <w:r w:rsidR="006555D0" w:rsidRPr="004A6191">
        <w:t>(</w:t>
      </w:r>
      <w:r w:rsidR="00A30561" w:rsidRPr="004A6191">
        <w:t>2</w:t>
      </w:r>
      <w:r w:rsidR="00D34475" w:rsidRPr="004A6191">
        <w:t xml:space="preserve">) </w:t>
      </w:r>
      <w:r w:rsidRPr="004A6191">
        <w:t xml:space="preserve">name </w:t>
      </w:r>
      <w:r w:rsidR="00A30561" w:rsidRPr="004A6191">
        <w:t>of the a</w:t>
      </w:r>
      <w:r w:rsidR="00D34475" w:rsidRPr="004A6191">
        <w:t xml:space="preserve">pproved </w:t>
      </w:r>
      <w:r w:rsidR="00A30561" w:rsidRPr="004A6191">
        <w:t>banking i</w:t>
      </w:r>
      <w:r w:rsidR="00D34475" w:rsidRPr="004A6191">
        <w:t xml:space="preserve">nstrument </w:t>
      </w:r>
      <w:r w:rsidR="00A30561" w:rsidRPr="004A6191">
        <w:t>as it appears on the instrument document</w:t>
      </w:r>
      <w:r w:rsidR="007630CD" w:rsidRPr="004A6191">
        <w:t>,</w:t>
      </w:r>
      <w:r w:rsidR="00A30561" w:rsidRPr="004A6191">
        <w:t xml:space="preserve"> </w:t>
      </w:r>
      <w:r w:rsidR="006555D0" w:rsidRPr="004A6191">
        <w:t>(</w:t>
      </w:r>
      <w:r w:rsidR="00A30561" w:rsidRPr="004A6191">
        <w:t>3</w:t>
      </w:r>
      <w:r w:rsidR="00D34475" w:rsidRPr="004A6191">
        <w:t xml:space="preserve">) </w:t>
      </w:r>
      <w:r w:rsidR="00A30561" w:rsidRPr="004A6191">
        <w:t>bank parcel n</w:t>
      </w:r>
      <w:r w:rsidR="00D34475" w:rsidRPr="004A6191">
        <w:t xml:space="preserve">ame </w:t>
      </w:r>
      <w:r w:rsidR="00543C83" w:rsidRPr="004A6191">
        <w:t xml:space="preserve">as it appears on the BPDP, </w:t>
      </w:r>
      <w:r w:rsidR="006555D0" w:rsidRPr="004A6191">
        <w:t>(</w:t>
      </w:r>
      <w:r w:rsidR="00543C83" w:rsidRPr="004A6191">
        <w:t xml:space="preserve">4) </w:t>
      </w:r>
      <w:r w:rsidR="0020131A">
        <w:t>DWR</w:t>
      </w:r>
      <w:r w:rsidR="00543C83" w:rsidRPr="004A6191">
        <w:t xml:space="preserve"> project number for the BPDP</w:t>
      </w:r>
      <w:r w:rsidR="00045ACB" w:rsidRPr="004A6191">
        <w:t>.</w:t>
      </w:r>
    </w:p>
    <w:p w:rsidR="00045ACB" w:rsidRPr="004A6191" w:rsidRDefault="00045ACB" w:rsidP="00045ACB">
      <w:pPr>
        <w:pStyle w:val="Clause"/>
        <w:numPr>
          <w:ilvl w:val="0"/>
          <w:numId w:val="0"/>
        </w:numPr>
        <w:ind w:left="1440"/>
      </w:pPr>
    </w:p>
    <w:p w:rsidR="00045ACB" w:rsidRPr="004A6191" w:rsidRDefault="00045ACB" w:rsidP="001F7D58">
      <w:pPr>
        <w:pStyle w:val="Clause"/>
        <w:numPr>
          <w:ilvl w:val="1"/>
          <w:numId w:val="3"/>
        </w:numPr>
      </w:pPr>
      <w:r w:rsidRPr="004A6191">
        <w:t xml:space="preserve">Credit Details: </w:t>
      </w:r>
      <w:r w:rsidR="006555D0" w:rsidRPr="004A6191">
        <w:t>(1) date of receipt, (2) identify if full or partial payment,  (3 – when applicable</w:t>
      </w:r>
      <w:r w:rsidR="006555D0" w:rsidRPr="00A35BB1">
        <w:t xml:space="preserve">) amount of nitrogen credits purchased in pounds and confirmation from the </w:t>
      </w:r>
      <w:r w:rsidR="005F3BE8" w:rsidRPr="00A35BB1">
        <w:t xml:space="preserve">designated </w:t>
      </w:r>
      <w:r w:rsidR="006555D0" w:rsidRPr="00A35BB1">
        <w:t xml:space="preserve">local government of the amount required, (4 – when applicable) amount of phosphorous credits purchased in pounds and confirmation from the </w:t>
      </w:r>
      <w:r w:rsidR="005F3BE8" w:rsidRPr="00A35BB1">
        <w:t xml:space="preserve">designated </w:t>
      </w:r>
      <w:r w:rsidR="006555D0" w:rsidRPr="00A35BB1">
        <w:t xml:space="preserve">local government of the amount required, and (5 – when applicable) amount of </w:t>
      </w:r>
      <w:r w:rsidR="00CF45C5" w:rsidRPr="00A35BB1">
        <w:t>Riparian</w:t>
      </w:r>
      <w:r w:rsidR="00CF45C5" w:rsidRPr="004A6191">
        <w:t xml:space="preserve"> Buffer Credits</w:t>
      </w:r>
      <w:r w:rsidR="006555D0" w:rsidRPr="004A6191">
        <w:t xml:space="preserve"> purchased in square feet and the confirmation from </w:t>
      </w:r>
      <w:r w:rsidR="0020131A">
        <w:t>DWR</w:t>
      </w:r>
      <w:r w:rsidR="006555D0" w:rsidRPr="004A6191">
        <w:t xml:space="preserve"> or the local government of the amount required.</w:t>
      </w:r>
    </w:p>
    <w:p w:rsidR="00A30561" w:rsidRPr="004A6191" w:rsidRDefault="00A30561" w:rsidP="00D34475">
      <w:pPr>
        <w:pStyle w:val="Clause"/>
        <w:numPr>
          <w:ilvl w:val="0"/>
          <w:numId w:val="0"/>
        </w:numPr>
        <w:ind w:left="1440"/>
      </w:pPr>
    </w:p>
    <w:p w:rsidR="001F7D58" w:rsidRPr="00685E98" w:rsidRDefault="007D02A5" w:rsidP="001F7D58">
      <w:pPr>
        <w:pStyle w:val="Clause"/>
        <w:numPr>
          <w:ilvl w:val="1"/>
          <w:numId w:val="3"/>
        </w:numPr>
      </w:pPr>
      <w:r w:rsidRPr="004A6191">
        <w:t xml:space="preserve">Project </w:t>
      </w:r>
      <w:r w:rsidR="00D34475" w:rsidRPr="004A6191">
        <w:t>D</w:t>
      </w:r>
      <w:r w:rsidR="001F7D58" w:rsidRPr="004A6191">
        <w:t xml:space="preserve">etails:  </w:t>
      </w:r>
      <w:r w:rsidR="006555D0" w:rsidRPr="004A6191">
        <w:t>(</w:t>
      </w:r>
      <w:r w:rsidR="00D34475" w:rsidRPr="004A6191">
        <w:t xml:space="preserve">1) project name </w:t>
      </w:r>
      <w:r w:rsidR="00045ACB" w:rsidRPr="004A6191">
        <w:t>as it appears on</w:t>
      </w:r>
      <w:r w:rsidR="00D34475" w:rsidRPr="004A6191">
        <w:t xml:space="preserve"> </w:t>
      </w:r>
      <w:r w:rsidR="0020131A">
        <w:t>DWR</w:t>
      </w:r>
      <w:r w:rsidR="006555D0" w:rsidRPr="004A6191">
        <w:t xml:space="preserve"> or local government permits and/or certifications</w:t>
      </w:r>
      <w:r w:rsidR="00D34475" w:rsidRPr="004A6191">
        <w:t xml:space="preserve">, </w:t>
      </w:r>
      <w:r w:rsidR="006555D0" w:rsidRPr="004A6191">
        <w:t>(</w:t>
      </w:r>
      <w:r w:rsidR="00D34475" w:rsidRPr="004A6191">
        <w:t>2</w:t>
      </w:r>
      <w:r w:rsidR="001F7D58" w:rsidRPr="004A6191">
        <w:t xml:space="preserve">) 8-digit HUC (or the sub-watershed </w:t>
      </w:r>
      <w:r w:rsidR="00D022FF">
        <w:t xml:space="preserve">if </w:t>
      </w:r>
      <w:r w:rsidR="006555D0" w:rsidRPr="004A6191">
        <w:t xml:space="preserve">for the Jordan </w:t>
      </w:r>
      <w:r w:rsidR="006555D0" w:rsidRPr="00A35BB1">
        <w:t>Lake Nutrient Strategy</w:t>
      </w:r>
      <w:r w:rsidR="001F7D58" w:rsidRPr="00A35BB1">
        <w:t>)</w:t>
      </w:r>
      <w:r w:rsidR="00D34475" w:rsidRPr="00A35BB1">
        <w:t xml:space="preserve">, </w:t>
      </w:r>
      <w:r w:rsidR="006555D0" w:rsidRPr="00A35BB1">
        <w:t>(</w:t>
      </w:r>
      <w:r w:rsidR="00D34475" w:rsidRPr="00A35BB1">
        <w:t>3</w:t>
      </w:r>
      <w:r w:rsidRPr="00A35BB1">
        <w:t xml:space="preserve">) river basin, </w:t>
      </w:r>
      <w:r w:rsidR="006555D0" w:rsidRPr="00A35BB1">
        <w:t>(</w:t>
      </w:r>
      <w:r w:rsidR="00D34475" w:rsidRPr="00A35BB1">
        <w:t>4) nutrient strategy appli</w:t>
      </w:r>
      <w:r w:rsidR="006555D0" w:rsidRPr="00A35BB1">
        <w:t xml:space="preserve">cable to the project, (5 – when applicable) </w:t>
      </w:r>
      <w:r w:rsidR="005F3BE8" w:rsidRPr="00A35BB1">
        <w:t xml:space="preserve">designated </w:t>
      </w:r>
      <w:r w:rsidR="006555D0" w:rsidRPr="00A35BB1">
        <w:t xml:space="preserve">local government requiring </w:t>
      </w:r>
      <w:r w:rsidR="00CF45C5" w:rsidRPr="00A35BB1">
        <w:t>Nutrient Offset Credits</w:t>
      </w:r>
      <w:r w:rsidR="005F3BE8" w:rsidRPr="00A35BB1">
        <w:t xml:space="preserve">, and/or (6) </w:t>
      </w:r>
      <w:r w:rsidR="0020131A">
        <w:t>DWR</w:t>
      </w:r>
      <w:r w:rsidR="005F3BE8" w:rsidRPr="00A35BB1">
        <w:t xml:space="preserve"> authorization number or delegated local government requiring</w:t>
      </w:r>
      <w:r w:rsidR="006555D0" w:rsidRPr="00A35BB1">
        <w:t xml:space="preserve"> </w:t>
      </w:r>
      <w:r w:rsidR="00CF45C5" w:rsidRPr="00A35BB1">
        <w:t>Riparian Buffer Credits</w:t>
      </w:r>
      <w:r w:rsidR="006555D0" w:rsidRPr="00A35BB1">
        <w:t xml:space="preserve"> for this project</w:t>
      </w:r>
      <w:r w:rsidR="00045ACB" w:rsidRPr="00A35BB1">
        <w:t>.</w:t>
      </w:r>
      <w:r w:rsidR="00D34475" w:rsidRPr="00685E98">
        <w:t xml:space="preserve"> </w:t>
      </w:r>
    </w:p>
    <w:p w:rsidR="006A1959" w:rsidRPr="00685E98" w:rsidRDefault="006A1959" w:rsidP="003B0797">
      <w:pPr>
        <w:pStyle w:val="Clause"/>
        <w:numPr>
          <w:ilvl w:val="0"/>
          <w:numId w:val="0"/>
        </w:numPr>
        <w:ind w:left="720" w:hanging="360"/>
      </w:pPr>
    </w:p>
    <w:p w:rsidR="00A220EF" w:rsidRPr="00685E98" w:rsidRDefault="00A220EF" w:rsidP="003B0797">
      <w:pPr>
        <w:pStyle w:val="Clause"/>
      </w:pPr>
      <w:r w:rsidRPr="00685E98">
        <w:t xml:space="preserve">If the </w:t>
      </w:r>
      <w:r w:rsidR="0020131A">
        <w:t>DWR</w:t>
      </w:r>
      <w:r w:rsidRPr="00685E98">
        <w:t xml:space="preserve"> determines</w:t>
      </w:r>
      <w:r w:rsidRPr="00CA6204">
        <w:t xml:space="preserve"> that the Bank is operating at </w:t>
      </w:r>
      <w:r w:rsidRPr="00A35BB1">
        <w:t>a deficit (e</w:t>
      </w:r>
      <w:r w:rsidR="00E37684" w:rsidRPr="00A35BB1">
        <w:t>.g.</w:t>
      </w:r>
      <w:r w:rsidRPr="00A35BB1">
        <w:t xml:space="preserve"> the Sponsor is closing on sales and/or transferring credit </w:t>
      </w:r>
      <w:r w:rsidR="00E37684" w:rsidRPr="00A35BB1">
        <w:t xml:space="preserve">that is </w:t>
      </w:r>
      <w:r w:rsidRPr="00A35BB1">
        <w:t xml:space="preserve">not available), </w:t>
      </w:r>
      <w:r w:rsidR="00766DEE" w:rsidRPr="00A35BB1">
        <w:t xml:space="preserve">or the Bank is selling credits out of compliance with statutes, rules </w:t>
      </w:r>
      <w:r w:rsidR="00E83B36" w:rsidRPr="00A35BB1">
        <w:t>or</w:t>
      </w:r>
      <w:r w:rsidR="00766DEE" w:rsidRPr="00A35BB1">
        <w:t xml:space="preserve"> this</w:t>
      </w:r>
      <w:r w:rsidR="00222E42" w:rsidRPr="00A35BB1">
        <w:t xml:space="preserve"> Agreement</w:t>
      </w:r>
      <w:r w:rsidR="00766DEE" w:rsidRPr="00A35BB1">
        <w:t xml:space="preserve">, </w:t>
      </w:r>
      <w:r w:rsidRPr="00A35BB1">
        <w:t xml:space="preserve">the sale/transfer of credits will immediately cease, and the </w:t>
      </w:r>
      <w:r w:rsidR="0020131A">
        <w:t>DWR</w:t>
      </w:r>
      <w:r w:rsidRPr="00A35BB1">
        <w:t>, in consultation with the</w:t>
      </w:r>
      <w:r w:rsidRPr="00685E98">
        <w:t xml:space="preserve"> Sponsor, will determine what remedial actions are necessary.  </w:t>
      </w:r>
    </w:p>
    <w:p w:rsidR="00907111" w:rsidRDefault="00907111" w:rsidP="003B0797">
      <w:pPr>
        <w:pStyle w:val="Clause"/>
        <w:numPr>
          <w:ilvl w:val="0"/>
          <w:numId w:val="0"/>
        </w:numPr>
        <w:ind w:left="720"/>
      </w:pPr>
    </w:p>
    <w:p w:rsidR="0024623D" w:rsidRDefault="0024623D" w:rsidP="003B0797">
      <w:pPr>
        <w:pStyle w:val="Heading1"/>
        <w:spacing w:before="0" w:after="0"/>
      </w:pPr>
      <w:r>
        <w:t>Property Disposition and Long-term Management</w:t>
      </w:r>
    </w:p>
    <w:p w:rsidR="004A3FBF" w:rsidRDefault="004A3FBF" w:rsidP="004A3FBF">
      <w:pPr>
        <w:pStyle w:val="Heading1"/>
        <w:numPr>
          <w:ilvl w:val="0"/>
          <w:numId w:val="0"/>
        </w:numPr>
        <w:spacing w:before="0" w:after="0"/>
        <w:ind w:left="360"/>
      </w:pPr>
    </w:p>
    <w:p w:rsidR="0024623D" w:rsidRDefault="0024623D" w:rsidP="003B0797">
      <w:pPr>
        <w:pStyle w:val="Clause"/>
        <w:numPr>
          <w:ilvl w:val="0"/>
          <w:numId w:val="11"/>
        </w:numPr>
      </w:pPr>
      <w:r w:rsidRPr="00685E98">
        <w:t xml:space="preserve">Prior to the release of any credits, </w:t>
      </w:r>
      <w:r w:rsidR="00B85631" w:rsidRPr="00685E98">
        <w:t xml:space="preserve">the Sponsor </w:t>
      </w:r>
      <w:r w:rsidRPr="00685E98">
        <w:t>shall acquire a permanent</w:t>
      </w:r>
      <w:r w:rsidR="00766DEE" w:rsidRPr="00685E98">
        <w:t xml:space="preserve"> conservation easement(s) and/or drainage and access easements</w:t>
      </w:r>
      <w:r w:rsidRPr="00685E98">
        <w:t xml:space="preserve"> </w:t>
      </w:r>
      <w:r w:rsidR="00FA18EE" w:rsidRPr="00685E98">
        <w:t>for</w:t>
      </w:r>
      <w:r w:rsidR="00FA18EE">
        <w:t xml:space="preserve"> the Bank Parcel(s) </w:t>
      </w:r>
      <w:r w:rsidRPr="00EE1C68">
        <w:t xml:space="preserve">at </w:t>
      </w:r>
      <w:r w:rsidR="00037519">
        <w:t xml:space="preserve">the </w:t>
      </w:r>
      <w:r w:rsidR="00FA18EE">
        <w:t xml:space="preserve">County </w:t>
      </w:r>
      <w:r w:rsidR="00037519">
        <w:t xml:space="preserve">Register of Deed’s office </w:t>
      </w:r>
      <w:r w:rsidR="00FA18EE">
        <w:t>that is sufficient to ensure protection</w:t>
      </w:r>
      <w:r w:rsidR="003339D3">
        <w:t>, operation</w:t>
      </w:r>
      <w:r w:rsidR="00FA18EE">
        <w:t xml:space="preserve"> and maintenance of </w:t>
      </w:r>
      <w:r w:rsidR="00FA18EE" w:rsidRPr="00EE1C68">
        <w:t>restored riparian buffer</w:t>
      </w:r>
      <w:r w:rsidR="003339D3">
        <w:t>s</w:t>
      </w:r>
      <w:r w:rsidR="008A703A">
        <w:t xml:space="preserve">, other riparian areas, </w:t>
      </w:r>
      <w:r w:rsidR="003339D3">
        <w:t>and/or</w:t>
      </w:r>
      <w:r w:rsidR="00FA18EE">
        <w:t xml:space="preserve"> </w:t>
      </w:r>
      <w:proofErr w:type="spellStart"/>
      <w:r w:rsidR="00FA18EE">
        <w:t>stormwater</w:t>
      </w:r>
      <w:proofErr w:type="spellEnd"/>
      <w:r w:rsidR="00FA18EE">
        <w:t xml:space="preserve"> BMP</w:t>
      </w:r>
      <w:r w:rsidR="008858DF">
        <w:t>s</w:t>
      </w:r>
      <w:r w:rsidR="00FA18EE">
        <w:t xml:space="preserve"> for the duration</w:t>
      </w:r>
      <w:r w:rsidR="003339D3">
        <w:t xml:space="preserve"> specified in the approved BPDP</w:t>
      </w:r>
      <w:r w:rsidRPr="00EE1C68">
        <w:t xml:space="preserve">. </w:t>
      </w:r>
    </w:p>
    <w:p w:rsidR="0024623D" w:rsidRDefault="0024623D" w:rsidP="003B0797">
      <w:pPr>
        <w:pStyle w:val="Clause"/>
        <w:numPr>
          <w:ilvl w:val="0"/>
          <w:numId w:val="0"/>
        </w:numPr>
        <w:ind w:left="720"/>
      </w:pPr>
    </w:p>
    <w:p w:rsidR="00B93D2B" w:rsidRDefault="0024623D" w:rsidP="003B0797">
      <w:pPr>
        <w:pStyle w:val="Clause"/>
      </w:pPr>
      <w:r w:rsidRPr="00EE1C68">
        <w:t>The fo</w:t>
      </w:r>
      <w:r w:rsidR="00245066">
        <w:t xml:space="preserve">rm of the conservation easement </w:t>
      </w:r>
      <w:r w:rsidRPr="00EE1C68">
        <w:t xml:space="preserve">shall be consistent with the standards employed by the State of North Carolina in the protection of restored riparian buffers </w:t>
      </w:r>
      <w:r w:rsidR="00293FCA">
        <w:t>an</w:t>
      </w:r>
      <w:r w:rsidR="00143A33">
        <w:t>d riparian areas as well as any</w:t>
      </w:r>
      <w:r w:rsidRPr="00EE1C68">
        <w:t xml:space="preserve"> </w:t>
      </w:r>
      <w:proofErr w:type="spellStart"/>
      <w:r w:rsidRPr="00EE1C68">
        <w:t>stormwater</w:t>
      </w:r>
      <w:proofErr w:type="spellEnd"/>
      <w:r w:rsidRPr="00EE1C68">
        <w:t xml:space="preserve"> BMPs and shall be approved by the </w:t>
      </w:r>
      <w:r w:rsidR="0020131A">
        <w:t>DWR</w:t>
      </w:r>
      <w:r w:rsidRPr="00EE1C68">
        <w:t xml:space="preserve"> prior</w:t>
      </w:r>
      <w:r w:rsidR="00013685">
        <w:t xml:space="preserve"> to the release of any credits.  </w:t>
      </w:r>
    </w:p>
    <w:p w:rsidR="0024623D" w:rsidRDefault="0024623D" w:rsidP="003B0797">
      <w:pPr>
        <w:pStyle w:val="Clause"/>
        <w:numPr>
          <w:ilvl w:val="0"/>
          <w:numId w:val="0"/>
        </w:numPr>
        <w:ind w:left="720"/>
      </w:pPr>
    </w:p>
    <w:p w:rsidR="00E553A2" w:rsidRDefault="00B85631" w:rsidP="003B0797">
      <w:pPr>
        <w:pStyle w:val="Clause"/>
      </w:pPr>
      <w:r>
        <w:t xml:space="preserve">The Sponsor </w:t>
      </w:r>
      <w:r w:rsidR="0024623D" w:rsidRPr="00EE1C68">
        <w:t>shall not grant additional easements, right of way</w:t>
      </w:r>
      <w:r w:rsidR="003339D3">
        <w:t>s</w:t>
      </w:r>
      <w:r w:rsidR="0024623D" w:rsidRPr="00EE1C68">
        <w:t xml:space="preserve">, or any other property interest in or to the project areas without </w:t>
      </w:r>
      <w:r w:rsidR="003339D3">
        <w:t>prior approval from</w:t>
      </w:r>
      <w:r w:rsidR="0024623D" w:rsidRPr="00EE1C68">
        <w:t xml:space="preserve"> the </w:t>
      </w:r>
      <w:r w:rsidR="0020131A">
        <w:t>DWR</w:t>
      </w:r>
      <w:r w:rsidR="0024623D" w:rsidRPr="00EE1C68">
        <w:t xml:space="preserve">. </w:t>
      </w:r>
    </w:p>
    <w:p w:rsidR="006A1959" w:rsidRDefault="006A1959" w:rsidP="003B0797">
      <w:pPr>
        <w:pStyle w:val="Clause"/>
        <w:numPr>
          <w:ilvl w:val="0"/>
          <w:numId w:val="0"/>
        </w:numPr>
        <w:ind w:left="720"/>
      </w:pPr>
    </w:p>
    <w:p w:rsidR="006A1959" w:rsidRDefault="00B93D2B" w:rsidP="003B0797">
      <w:pPr>
        <w:pStyle w:val="Clause"/>
      </w:pPr>
      <w:r>
        <w:t>T</w:t>
      </w:r>
      <w:r w:rsidR="00C87E95">
        <w:t xml:space="preserve">he Sponsor shall </w:t>
      </w:r>
      <w:r w:rsidR="00C3220E">
        <w:t xml:space="preserve">transfer or assign </w:t>
      </w:r>
      <w:r w:rsidR="00C87E95">
        <w:t>the Bank Parcel’s conservation easeme</w:t>
      </w:r>
      <w:r w:rsidR="00146C12">
        <w:t>nt and all of its interests to a</w:t>
      </w:r>
      <w:r w:rsidR="00C87E95">
        <w:t xml:space="preserve"> land trust or stewardship fund</w:t>
      </w:r>
      <w:r w:rsidR="00146C12">
        <w:t xml:space="preserve"> </w:t>
      </w:r>
      <w:r w:rsidR="00510941">
        <w:t>as described in Item B of Section V in this Instrument</w:t>
      </w:r>
      <w:r w:rsidR="00C87E95">
        <w:t xml:space="preserve">.  </w:t>
      </w:r>
      <w:r w:rsidR="008A703A">
        <w:t xml:space="preserve">The land trust or stewardship will hold and enforce the conservation easement in perpetuity. </w:t>
      </w:r>
    </w:p>
    <w:p w:rsidR="00013685" w:rsidRDefault="00013685" w:rsidP="003B0797">
      <w:pPr>
        <w:pStyle w:val="Clause"/>
        <w:numPr>
          <w:ilvl w:val="0"/>
          <w:numId w:val="0"/>
        </w:numPr>
        <w:ind w:left="720"/>
      </w:pPr>
    </w:p>
    <w:p w:rsidR="00013685" w:rsidRPr="004A3FBF" w:rsidRDefault="004A3FBF" w:rsidP="004A3FBF">
      <w:pPr>
        <w:pStyle w:val="Clause"/>
      </w:pPr>
      <w:r w:rsidRPr="004A3FBF">
        <w:t>In the event that the Sponsor is also the owner of the underlying fee interest in the property, the conveyance of the conservation easement to a land trust or stewardship fund must be arranged at the outset of the approved BPDP</w:t>
      </w:r>
      <w:r w:rsidR="00013685" w:rsidRPr="004A3FBF">
        <w:t>. </w:t>
      </w:r>
    </w:p>
    <w:p w:rsidR="00E03238" w:rsidRDefault="00E03238">
      <w:pPr>
        <w:rPr>
          <w:b/>
          <w:bCs/>
          <w:caps/>
          <w:color w:val="333333"/>
          <w:kern w:val="36"/>
          <w:szCs w:val="43"/>
        </w:rPr>
      </w:pPr>
    </w:p>
    <w:p w:rsidR="00752232" w:rsidRDefault="00F344A9" w:rsidP="003B0797">
      <w:pPr>
        <w:pStyle w:val="Heading1"/>
        <w:spacing w:before="0" w:after="0"/>
      </w:pPr>
      <w:r>
        <w:t xml:space="preserve"> </w:t>
      </w:r>
      <w:r w:rsidR="00BA206E">
        <w:t xml:space="preserve">bank </w:t>
      </w:r>
      <w:r w:rsidR="003F2B06">
        <w:t xml:space="preserve">Parcel </w:t>
      </w:r>
      <w:r w:rsidR="00E553A2">
        <w:t>clos</w:t>
      </w:r>
      <w:r w:rsidR="00BA206E">
        <w:t>ure</w:t>
      </w:r>
    </w:p>
    <w:p w:rsidR="004A3FBF" w:rsidRDefault="004A3FBF" w:rsidP="004A3FBF">
      <w:pPr>
        <w:pStyle w:val="Heading1"/>
        <w:numPr>
          <w:ilvl w:val="0"/>
          <w:numId w:val="0"/>
        </w:numPr>
        <w:spacing w:before="0" w:after="0"/>
        <w:ind w:left="360"/>
      </w:pPr>
    </w:p>
    <w:p w:rsidR="005A72FA" w:rsidRDefault="005A72FA" w:rsidP="003B0797">
      <w:pPr>
        <w:pStyle w:val="Clause"/>
        <w:numPr>
          <w:ilvl w:val="0"/>
          <w:numId w:val="10"/>
        </w:numPr>
      </w:pPr>
      <w:r>
        <w:t xml:space="preserve">Bank </w:t>
      </w:r>
      <w:r w:rsidR="00F344A9">
        <w:t xml:space="preserve">Parcel </w:t>
      </w:r>
      <w:r>
        <w:t xml:space="preserve">Closure shall be identified as the event when </w:t>
      </w:r>
      <w:r w:rsidR="00D5095D">
        <w:t xml:space="preserve">the Sponsor is relieved of all of its responsibilities to </w:t>
      </w:r>
      <w:r w:rsidR="00B6645D" w:rsidRPr="00B6645D">
        <w:t xml:space="preserve">the Bank Parcel and there are no mitigation credits left to </w:t>
      </w:r>
      <w:r w:rsidR="007E08BD" w:rsidRPr="00B6645D">
        <w:t>s</w:t>
      </w:r>
      <w:r w:rsidR="007E08BD">
        <w:t>ell</w:t>
      </w:r>
      <w:r w:rsidR="00F344A9">
        <w:t xml:space="preserve">. </w:t>
      </w:r>
    </w:p>
    <w:p w:rsidR="00907111" w:rsidRDefault="00907111" w:rsidP="003B0797">
      <w:pPr>
        <w:pStyle w:val="Clause"/>
        <w:numPr>
          <w:ilvl w:val="0"/>
          <w:numId w:val="0"/>
        </w:numPr>
        <w:ind w:left="720"/>
      </w:pPr>
    </w:p>
    <w:p w:rsidR="004C381B" w:rsidRDefault="005A72FA" w:rsidP="003B0797">
      <w:pPr>
        <w:pStyle w:val="Clause"/>
        <w:numPr>
          <w:ilvl w:val="0"/>
          <w:numId w:val="10"/>
        </w:numPr>
      </w:pPr>
      <w:r>
        <w:t xml:space="preserve">Bank </w:t>
      </w:r>
      <w:r w:rsidR="00F344A9">
        <w:t xml:space="preserve">Parcel </w:t>
      </w:r>
      <w:r>
        <w:t xml:space="preserve">Closure shall </w:t>
      </w:r>
      <w:r w:rsidR="004C381B">
        <w:t xml:space="preserve">commence </w:t>
      </w:r>
      <w:r w:rsidR="00B83A6C">
        <w:t xml:space="preserve">only </w:t>
      </w:r>
      <w:r w:rsidR="004C381B">
        <w:t xml:space="preserve">after </w:t>
      </w:r>
      <w:r w:rsidR="00B83A6C">
        <w:t xml:space="preserve">all of </w:t>
      </w:r>
      <w:r w:rsidR="004C381B">
        <w:t>the following events</w:t>
      </w:r>
      <w:r w:rsidR="00B83A6C">
        <w:t xml:space="preserve"> have occurred</w:t>
      </w:r>
      <w:r w:rsidR="004C381B">
        <w:t>:</w:t>
      </w:r>
    </w:p>
    <w:p w:rsidR="00D259AB" w:rsidRDefault="002D107C" w:rsidP="003B0797">
      <w:pPr>
        <w:pStyle w:val="Clause"/>
        <w:numPr>
          <w:ilvl w:val="1"/>
          <w:numId w:val="10"/>
        </w:numPr>
      </w:pPr>
      <w:r>
        <w:t>Transfer or assign</w:t>
      </w:r>
      <w:r w:rsidR="00D259AB">
        <w:t xml:space="preserve"> the conservation easement and all of its interests, in perpetuity, to </w:t>
      </w:r>
      <w:r w:rsidR="00146C12">
        <w:t xml:space="preserve">a </w:t>
      </w:r>
      <w:r w:rsidR="00D259AB">
        <w:t>land trust or stewardship program</w:t>
      </w:r>
      <w:r w:rsidR="00146C12">
        <w:t xml:space="preserve"> </w:t>
      </w:r>
      <w:r w:rsidR="00A56F15">
        <w:t xml:space="preserve">as described in Item B </w:t>
      </w:r>
      <w:r w:rsidR="00776B0A">
        <w:t>of</w:t>
      </w:r>
      <w:r w:rsidR="00A56F15">
        <w:t xml:space="preserve"> Section V of this instrument</w:t>
      </w:r>
      <w:r w:rsidR="00D259AB">
        <w:t xml:space="preserve">. </w:t>
      </w:r>
    </w:p>
    <w:p w:rsidR="004A3FBF" w:rsidRDefault="004A3FBF" w:rsidP="004A3FBF">
      <w:pPr>
        <w:pStyle w:val="Clause"/>
        <w:numPr>
          <w:ilvl w:val="0"/>
          <w:numId w:val="0"/>
        </w:numPr>
        <w:ind w:left="1440"/>
      </w:pPr>
    </w:p>
    <w:p w:rsidR="007E08BD" w:rsidRDefault="004C1A5E" w:rsidP="003B0797">
      <w:pPr>
        <w:pStyle w:val="Clause"/>
        <w:numPr>
          <w:ilvl w:val="1"/>
          <w:numId w:val="10"/>
        </w:numPr>
      </w:pPr>
      <w:r>
        <w:t xml:space="preserve">All five years of </w:t>
      </w:r>
      <w:r w:rsidR="00293FCA">
        <w:t>monitoring completed</w:t>
      </w:r>
      <w:r w:rsidR="00B21244">
        <w:t xml:space="preserve"> and a</w:t>
      </w:r>
      <w:r w:rsidR="00A56F15">
        <w:t>ll m</w:t>
      </w:r>
      <w:r w:rsidR="00D259AB">
        <w:t xml:space="preserve">onitoring </w:t>
      </w:r>
      <w:r w:rsidR="00A56F15">
        <w:t>r</w:t>
      </w:r>
      <w:r w:rsidR="00293FCA">
        <w:t>eport</w:t>
      </w:r>
      <w:r>
        <w:t>s</w:t>
      </w:r>
      <w:r w:rsidR="00293FCA">
        <w:t xml:space="preserve"> submitted and approved by </w:t>
      </w:r>
      <w:r w:rsidR="0020131A">
        <w:t>DWR</w:t>
      </w:r>
      <w:r w:rsidR="007E08BD">
        <w:t>.</w:t>
      </w:r>
    </w:p>
    <w:p w:rsidR="004A3FBF" w:rsidRDefault="004A3FBF" w:rsidP="004A3FBF">
      <w:pPr>
        <w:pStyle w:val="Clause"/>
        <w:numPr>
          <w:ilvl w:val="0"/>
          <w:numId w:val="0"/>
        </w:numPr>
        <w:ind w:left="1440"/>
      </w:pPr>
    </w:p>
    <w:p w:rsidR="003F2B06" w:rsidRDefault="003F2B06" w:rsidP="003B0797">
      <w:pPr>
        <w:pStyle w:val="Clause"/>
        <w:numPr>
          <w:ilvl w:val="1"/>
          <w:numId w:val="10"/>
        </w:numPr>
      </w:pPr>
      <w:r>
        <w:t xml:space="preserve">All credits have </w:t>
      </w:r>
      <w:r w:rsidR="007E08BD">
        <w:t xml:space="preserve">been released and </w:t>
      </w:r>
      <w:r>
        <w:t xml:space="preserve">debited and updated ledgers showing a zero credit balance have been </w:t>
      </w:r>
      <w:r w:rsidR="00F344A9">
        <w:t>submitted and a</w:t>
      </w:r>
      <w:r>
        <w:t xml:space="preserve">pproved by </w:t>
      </w:r>
      <w:r w:rsidR="0020131A">
        <w:t>DWR</w:t>
      </w:r>
      <w:r>
        <w:t xml:space="preserve">.  </w:t>
      </w:r>
    </w:p>
    <w:p w:rsidR="00A37A63" w:rsidRDefault="00A37A63" w:rsidP="003B0797">
      <w:pPr>
        <w:pStyle w:val="Clause"/>
        <w:numPr>
          <w:ilvl w:val="0"/>
          <w:numId w:val="0"/>
        </w:numPr>
      </w:pPr>
    </w:p>
    <w:p w:rsidR="00812920" w:rsidRDefault="00864958" w:rsidP="003B0797">
      <w:pPr>
        <w:pStyle w:val="Heading1"/>
        <w:spacing w:before="0" w:after="0"/>
      </w:pPr>
      <w:r>
        <w:t xml:space="preserve">general </w:t>
      </w:r>
      <w:r w:rsidR="00812920" w:rsidRPr="00FF0CEA">
        <w:t>PROVISIONS</w:t>
      </w:r>
    </w:p>
    <w:p w:rsidR="004A3FBF" w:rsidRPr="00FF0CEA" w:rsidRDefault="004A3FBF" w:rsidP="004A3FBF">
      <w:pPr>
        <w:pStyle w:val="Heading1"/>
        <w:numPr>
          <w:ilvl w:val="0"/>
          <w:numId w:val="0"/>
        </w:numPr>
        <w:spacing w:before="0" w:after="0"/>
        <w:ind w:left="360"/>
      </w:pPr>
    </w:p>
    <w:p w:rsidR="00812920" w:rsidRDefault="007E08BD" w:rsidP="003B0797">
      <w:pPr>
        <w:pStyle w:val="Clause"/>
        <w:numPr>
          <w:ilvl w:val="0"/>
          <w:numId w:val="8"/>
        </w:numPr>
      </w:pPr>
      <w:r w:rsidRPr="007E08BD">
        <w:t>Upon the presentation of proper credentials, and during normal business hours, t</w:t>
      </w:r>
      <w:r w:rsidR="000D3180" w:rsidRPr="007E08BD">
        <w:t xml:space="preserve">he Sponsor and the landowner </w:t>
      </w:r>
      <w:r w:rsidRPr="007E08BD">
        <w:t>shall grant permission to the Director, an authorized representative of the Director, or DENR staff, to enter the property containing the Bank Parcel(s).</w:t>
      </w:r>
      <w:r w:rsidR="00B0104F">
        <w:t xml:space="preserve">  </w:t>
      </w:r>
    </w:p>
    <w:p w:rsidR="00CC261C" w:rsidRDefault="00CC261C" w:rsidP="00CC261C">
      <w:pPr>
        <w:pStyle w:val="Clause"/>
        <w:numPr>
          <w:ilvl w:val="0"/>
          <w:numId w:val="0"/>
        </w:numPr>
        <w:ind w:left="720"/>
      </w:pPr>
    </w:p>
    <w:p w:rsidR="008858DF" w:rsidRPr="00B21244" w:rsidRDefault="008858DF" w:rsidP="003B0797">
      <w:pPr>
        <w:pStyle w:val="Clause"/>
        <w:numPr>
          <w:ilvl w:val="0"/>
          <w:numId w:val="8"/>
        </w:numPr>
      </w:pPr>
      <w:r>
        <w:t xml:space="preserve">Amendments: </w:t>
      </w:r>
      <w:r w:rsidRPr="00CA6204">
        <w:t xml:space="preserve">This Banking </w:t>
      </w:r>
      <w:r w:rsidRPr="00B21244">
        <w:t>Instrument may be amended or modified only with written approval of all signatory parties.</w:t>
      </w:r>
    </w:p>
    <w:p w:rsidR="008858DF" w:rsidRPr="00B21244" w:rsidRDefault="008858DF" w:rsidP="003B0797">
      <w:pPr>
        <w:pStyle w:val="Clause"/>
        <w:numPr>
          <w:ilvl w:val="0"/>
          <w:numId w:val="0"/>
        </w:numPr>
        <w:ind w:left="720"/>
      </w:pPr>
    </w:p>
    <w:p w:rsidR="008858DF" w:rsidRPr="00B21244" w:rsidRDefault="008858DF" w:rsidP="003B0797">
      <w:pPr>
        <w:pStyle w:val="Clause"/>
        <w:numPr>
          <w:ilvl w:val="0"/>
          <w:numId w:val="8"/>
        </w:numPr>
      </w:pPr>
      <w:r w:rsidRPr="00B1043B">
        <w:t xml:space="preserve">Any transfer of the Sponsor’s rights or obligations outlined in this Instrument or any other agreement referenced in this Instrument to a third party must be approved by </w:t>
      </w:r>
      <w:r w:rsidR="0020131A">
        <w:t>DWR</w:t>
      </w:r>
      <w:r w:rsidRPr="00B1043B">
        <w:t xml:space="preserve"> prior to the transfer</w:t>
      </w:r>
      <w:r w:rsidRPr="00B21244">
        <w:t>.</w:t>
      </w:r>
    </w:p>
    <w:p w:rsidR="00C804F6" w:rsidRPr="00CA6204" w:rsidRDefault="00C804F6" w:rsidP="003B0797">
      <w:pPr>
        <w:tabs>
          <w:tab w:val="left" w:pos="360"/>
          <w:tab w:val="left" w:pos="720"/>
          <w:tab w:val="left" w:pos="1080"/>
          <w:tab w:val="left" w:pos="1440"/>
        </w:tabs>
        <w:ind w:left="720" w:hanging="720"/>
        <w:jc w:val="both"/>
      </w:pPr>
    </w:p>
    <w:p w:rsidR="00C804F6" w:rsidRDefault="00C804F6" w:rsidP="003B0797">
      <w:pPr>
        <w:pStyle w:val="Clause"/>
      </w:pPr>
      <w:r w:rsidRPr="00CA6204">
        <w:t xml:space="preserve">Force Majeure: </w:t>
      </w:r>
      <w:r w:rsidR="008C7F72" w:rsidRPr="00CA6204">
        <w:t xml:space="preserve">After the sale of all available credits, </w:t>
      </w:r>
      <w:r w:rsidR="00B85631">
        <w:t xml:space="preserve">the Sponsor </w:t>
      </w:r>
      <w:r w:rsidRPr="00CA6204">
        <w:t xml:space="preserve">will not be responsible for Bank failure that is attributed to natural catastrophes </w:t>
      </w:r>
      <w:r w:rsidR="00757F05">
        <w:t>including</w:t>
      </w:r>
      <w:r w:rsidRPr="00CA6204">
        <w:t xml:space="preserve"> </w:t>
      </w:r>
      <w:r w:rsidR="00131E6C" w:rsidRPr="00CA6204">
        <w:t xml:space="preserve">but not limited to </w:t>
      </w:r>
      <w:r w:rsidRPr="00CA6204">
        <w:t xml:space="preserve">flood, drought, disease, regional pest infestation, etc. that are beyond the control of </w:t>
      </w:r>
      <w:r w:rsidR="00B85631">
        <w:t>the Sponsor</w:t>
      </w:r>
      <w:r w:rsidRPr="00CA6204">
        <w:t xml:space="preserve">. </w:t>
      </w:r>
    </w:p>
    <w:p w:rsidR="003773F6" w:rsidRDefault="003773F6" w:rsidP="003B0797">
      <w:pPr>
        <w:pStyle w:val="Clause"/>
        <w:numPr>
          <w:ilvl w:val="0"/>
          <w:numId w:val="0"/>
        </w:numPr>
        <w:ind w:left="720"/>
      </w:pPr>
    </w:p>
    <w:p w:rsidR="00772994" w:rsidRDefault="00772994" w:rsidP="003B0797">
      <w:pPr>
        <w:pStyle w:val="Clause"/>
      </w:pPr>
      <w:r w:rsidRPr="00DB17BA">
        <w:t xml:space="preserve">However, if an event occurs before </w:t>
      </w:r>
      <w:r w:rsidR="0020131A">
        <w:t>DWR</w:t>
      </w:r>
      <w:r w:rsidR="00DB17BA" w:rsidRPr="00DB17BA">
        <w:t xml:space="preserve"> has released </w:t>
      </w:r>
      <w:r w:rsidRPr="00DB17BA">
        <w:t xml:space="preserve">all </w:t>
      </w:r>
      <w:r w:rsidR="00DB17BA">
        <w:t xml:space="preserve">of the </w:t>
      </w:r>
      <w:proofErr w:type="gramStart"/>
      <w:r w:rsidRPr="00DB17BA">
        <w:t>credits,</w:t>
      </w:r>
      <w:proofErr w:type="gramEnd"/>
      <w:r w:rsidRPr="00DB17BA">
        <w:t xml:space="preserve"> the</w:t>
      </w:r>
      <w:r>
        <w:t xml:space="preserve"> Sponsor </w:t>
      </w:r>
      <w:r w:rsidRPr="00CA6204">
        <w:t>shall take remedial action to restore the property to its condition prior to th</w:t>
      </w:r>
      <w:r>
        <w:t>e</w:t>
      </w:r>
      <w:r w:rsidRPr="00CA6204">
        <w:t xml:space="preserve"> event, in a manner sufficient to provide adequate mitigation to cover credits that were sold prior to the occurrence of the event. Such remedial action shall be taken by </w:t>
      </w:r>
      <w:r>
        <w:t xml:space="preserve">the Sponsor </w:t>
      </w:r>
      <w:r w:rsidRPr="00CA6204">
        <w:t xml:space="preserve">only to the extent necessary and appropriate, as determined by </w:t>
      </w:r>
      <w:r w:rsidR="0020131A">
        <w:t>DWR</w:t>
      </w:r>
      <w:r w:rsidRPr="00CA6204">
        <w:t xml:space="preserve"> and </w:t>
      </w:r>
      <w:r>
        <w:t>the Sponsor.</w:t>
      </w:r>
    </w:p>
    <w:p w:rsidR="00DB17BA" w:rsidRPr="00CA6204" w:rsidRDefault="00DB17BA" w:rsidP="003B0797">
      <w:pPr>
        <w:pStyle w:val="Clause"/>
        <w:numPr>
          <w:ilvl w:val="0"/>
          <w:numId w:val="0"/>
        </w:numPr>
        <w:ind w:left="720"/>
      </w:pPr>
    </w:p>
    <w:p w:rsidR="008C7F72" w:rsidRPr="004A6191" w:rsidRDefault="0020131A" w:rsidP="003B0797">
      <w:pPr>
        <w:pStyle w:val="NormalIndent"/>
      </w:pPr>
      <w:r>
        <w:t>DWR</w:t>
      </w:r>
      <w:r w:rsidR="008C7F72" w:rsidRPr="00CA6204">
        <w:t xml:space="preserve"> must concur in writing that a </w:t>
      </w:r>
      <w:r w:rsidR="008C7F72" w:rsidRPr="00CA6204">
        <w:rPr>
          <w:i/>
        </w:rPr>
        <w:t>force majeure</w:t>
      </w:r>
      <w:r w:rsidR="008C7F72" w:rsidRPr="00CA6204">
        <w:t xml:space="preserve"> event has occurred</w:t>
      </w:r>
      <w:r w:rsidR="007D6813">
        <w:t xml:space="preserve"> for this provision to </w:t>
      </w:r>
      <w:r w:rsidR="007D6813" w:rsidRPr="004A6191">
        <w:t>apply</w:t>
      </w:r>
      <w:r w:rsidR="008C7F72" w:rsidRPr="004A6191">
        <w:t>.</w:t>
      </w:r>
    </w:p>
    <w:p w:rsidR="00813CD6" w:rsidRPr="004A6191" w:rsidRDefault="00813CD6" w:rsidP="003B0797">
      <w:pPr>
        <w:pStyle w:val="Clause"/>
        <w:numPr>
          <w:ilvl w:val="0"/>
          <w:numId w:val="0"/>
        </w:numPr>
        <w:ind w:left="720"/>
      </w:pPr>
    </w:p>
    <w:p w:rsidR="00B961CA" w:rsidRDefault="002F7E2B" w:rsidP="001231B9">
      <w:pPr>
        <w:pStyle w:val="Clause"/>
        <w:numPr>
          <w:ilvl w:val="0"/>
          <w:numId w:val="8"/>
        </w:numPr>
      </w:pPr>
      <w:r w:rsidRPr="004A6191">
        <w:t xml:space="preserve">Oversight:  Actions taken by </w:t>
      </w:r>
      <w:r w:rsidR="0020131A">
        <w:t>DWR</w:t>
      </w:r>
      <w:r w:rsidRPr="004A6191">
        <w:t xml:space="preserve"> may include, but are not limited to, the following:  </w:t>
      </w:r>
    </w:p>
    <w:p w:rsidR="00813CD6" w:rsidRPr="004A6191" w:rsidRDefault="00813CD6" w:rsidP="00813CD6">
      <w:pPr>
        <w:pStyle w:val="Clause"/>
        <w:numPr>
          <w:ilvl w:val="0"/>
          <w:numId w:val="0"/>
        </w:numPr>
        <w:ind w:left="720"/>
      </w:pPr>
    </w:p>
    <w:p w:rsidR="00B961CA" w:rsidRPr="004A6191" w:rsidRDefault="00B961CA" w:rsidP="00B961CA">
      <w:pPr>
        <w:pStyle w:val="Clause"/>
        <w:numPr>
          <w:ilvl w:val="1"/>
          <w:numId w:val="8"/>
        </w:numPr>
      </w:pPr>
      <w:r w:rsidRPr="004A6191">
        <w:t xml:space="preserve">Site visits. </w:t>
      </w:r>
    </w:p>
    <w:p w:rsidR="00B961CA" w:rsidRPr="00A35BB1" w:rsidRDefault="00B961CA" w:rsidP="00B961CA">
      <w:pPr>
        <w:pStyle w:val="Clause"/>
        <w:numPr>
          <w:ilvl w:val="1"/>
          <w:numId w:val="8"/>
        </w:numPr>
      </w:pPr>
      <w:r w:rsidRPr="004A6191">
        <w:t xml:space="preserve">BPDP </w:t>
      </w:r>
      <w:r w:rsidRPr="00A35BB1">
        <w:t>review and approval of items listed in Items A and B of Section V of this instrument.</w:t>
      </w:r>
    </w:p>
    <w:p w:rsidR="00B961CA" w:rsidRPr="00A35BB1" w:rsidRDefault="00B961CA" w:rsidP="00B961CA">
      <w:pPr>
        <w:pStyle w:val="Clause"/>
        <w:numPr>
          <w:ilvl w:val="1"/>
          <w:numId w:val="8"/>
        </w:numPr>
      </w:pPr>
      <w:r w:rsidRPr="00A35BB1">
        <w:t xml:space="preserve">Monitoring Report </w:t>
      </w:r>
      <w:r w:rsidR="00245066" w:rsidRPr="00A35BB1">
        <w:t xml:space="preserve">and/or O&amp;M report </w:t>
      </w:r>
      <w:r w:rsidRPr="00A35BB1">
        <w:t xml:space="preserve">review and approval of items listed in Items </w:t>
      </w:r>
      <w:r w:rsidR="00245066" w:rsidRPr="00A35BB1">
        <w:t>M</w:t>
      </w:r>
      <w:r w:rsidRPr="00A35BB1">
        <w:t xml:space="preserve"> and </w:t>
      </w:r>
      <w:r w:rsidR="00245066" w:rsidRPr="00A35BB1">
        <w:t>N</w:t>
      </w:r>
      <w:r w:rsidRPr="00A35BB1">
        <w:t xml:space="preserve"> of Section V of this instrument. </w:t>
      </w:r>
    </w:p>
    <w:p w:rsidR="00B961CA" w:rsidRPr="00A35BB1" w:rsidRDefault="00B961CA" w:rsidP="00B961CA">
      <w:pPr>
        <w:pStyle w:val="Clause"/>
        <w:numPr>
          <w:ilvl w:val="1"/>
          <w:numId w:val="8"/>
        </w:numPr>
      </w:pPr>
      <w:r w:rsidRPr="00A35BB1">
        <w:t xml:space="preserve">As-Built Report review and approval of items listed in Item F of Section V of this instrument. </w:t>
      </w:r>
    </w:p>
    <w:p w:rsidR="00B961CA" w:rsidRPr="00A35BB1" w:rsidRDefault="00B961CA" w:rsidP="00B961CA">
      <w:pPr>
        <w:pStyle w:val="Clause"/>
        <w:numPr>
          <w:ilvl w:val="1"/>
          <w:numId w:val="8"/>
        </w:numPr>
      </w:pPr>
      <w:r w:rsidRPr="00A35BB1">
        <w:t>Credit Ledger review and ap</w:t>
      </w:r>
      <w:r w:rsidR="00245066" w:rsidRPr="00A35BB1">
        <w:t>proval of items listed in Item E and F</w:t>
      </w:r>
      <w:r w:rsidRPr="00A35BB1">
        <w:t xml:space="preserve"> of Section VII of this instrument. </w:t>
      </w:r>
    </w:p>
    <w:p w:rsidR="00657873" w:rsidRPr="00A35BB1" w:rsidRDefault="00AC2292" w:rsidP="00B961CA">
      <w:pPr>
        <w:pStyle w:val="Clause"/>
        <w:numPr>
          <w:ilvl w:val="1"/>
          <w:numId w:val="8"/>
        </w:numPr>
      </w:pPr>
      <w:r w:rsidRPr="00A35BB1">
        <w:t>Certificate</w:t>
      </w:r>
      <w:r w:rsidR="00B961CA" w:rsidRPr="00A35BB1">
        <w:t xml:space="preserve"> review of items listed in It</w:t>
      </w:r>
      <w:r w:rsidR="00245066" w:rsidRPr="00A35BB1">
        <w:t>em G</w:t>
      </w:r>
      <w:r w:rsidR="00B961CA" w:rsidRPr="00A35BB1">
        <w:t xml:space="preserve"> of Section VII of this instrument and cross analysis to credit ledgers.</w:t>
      </w:r>
    </w:p>
    <w:p w:rsidR="00657873" w:rsidRPr="00A35BB1" w:rsidRDefault="00657873" w:rsidP="00B961CA">
      <w:pPr>
        <w:pStyle w:val="Clause"/>
        <w:numPr>
          <w:ilvl w:val="1"/>
          <w:numId w:val="8"/>
        </w:numPr>
      </w:pPr>
      <w:r w:rsidRPr="00A35BB1">
        <w:t>Information requests, file reviews and audits</w:t>
      </w:r>
    </w:p>
    <w:p w:rsidR="00BD5014" w:rsidRPr="004A6191" w:rsidRDefault="00BD5014" w:rsidP="00BD5014">
      <w:pPr>
        <w:pStyle w:val="Clause"/>
        <w:numPr>
          <w:ilvl w:val="0"/>
          <w:numId w:val="0"/>
        </w:numPr>
        <w:ind w:left="720"/>
      </w:pPr>
    </w:p>
    <w:p w:rsidR="002F7E2B" w:rsidRPr="004A6191" w:rsidRDefault="002F7E2B" w:rsidP="00BD5014">
      <w:pPr>
        <w:pStyle w:val="Clause"/>
        <w:numPr>
          <w:ilvl w:val="0"/>
          <w:numId w:val="0"/>
        </w:numPr>
        <w:ind w:left="720"/>
      </w:pPr>
      <w:r w:rsidRPr="004A6191">
        <w:t xml:space="preserve">Reports, ledgers, files and other information shall be made available to </w:t>
      </w:r>
      <w:r w:rsidR="0020131A">
        <w:t>DWR</w:t>
      </w:r>
      <w:r w:rsidRPr="004A6191">
        <w:t xml:space="preserve"> upon request, unless otherwise specified in this or any other document.  </w:t>
      </w:r>
    </w:p>
    <w:p w:rsidR="002F7E2B" w:rsidRPr="002F7E2B" w:rsidRDefault="002F7E2B" w:rsidP="002F7E2B">
      <w:pPr>
        <w:pStyle w:val="Clause"/>
        <w:numPr>
          <w:ilvl w:val="0"/>
          <w:numId w:val="0"/>
        </w:numPr>
        <w:ind w:left="720"/>
      </w:pPr>
    </w:p>
    <w:p w:rsidR="007610D0" w:rsidRDefault="00324F38" w:rsidP="003B0797">
      <w:pPr>
        <w:pStyle w:val="Clause"/>
      </w:pPr>
      <w:r w:rsidRPr="00CA6204">
        <w:t>Validity</w:t>
      </w:r>
      <w:r w:rsidR="00864958">
        <w:t xml:space="preserve"> of </w:t>
      </w:r>
      <w:r w:rsidRPr="00CA6204">
        <w:t xml:space="preserve">the Banking Instrument: This Instrument will become valid on the date of the last party’s signature. </w:t>
      </w:r>
    </w:p>
    <w:p w:rsidR="00772994" w:rsidRDefault="00772994" w:rsidP="003B0797">
      <w:pPr>
        <w:pStyle w:val="Clause"/>
        <w:numPr>
          <w:ilvl w:val="0"/>
          <w:numId w:val="0"/>
        </w:numPr>
        <w:ind w:left="720"/>
      </w:pPr>
    </w:p>
    <w:p w:rsidR="00772994" w:rsidRDefault="00222E42" w:rsidP="003B0797">
      <w:pPr>
        <w:pStyle w:val="Clause"/>
      </w:pPr>
      <w:r>
        <w:t xml:space="preserve">Specific Language of </w:t>
      </w:r>
      <w:r w:rsidR="00772994">
        <w:t xml:space="preserve">Banking </w:t>
      </w:r>
      <w:r w:rsidR="00772994" w:rsidRPr="00CA6204">
        <w:t>Instrument Shall Be Controlling: To the extent that specific language in this document changes, modifies, or deletes terms and conditions contained in those documents that are incorporated into the Instrument by reference, and that are not legally binding, the specific language within the Instrument shall be controlling</w:t>
      </w:r>
      <w:r w:rsidR="00234977">
        <w:t>.</w:t>
      </w:r>
    </w:p>
    <w:p w:rsidR="00161189" w:rsidRDefault="00161189" w:rsidP="003B0797">
      <w:pPr>
        <w:pStyle w:val="Clause"/>
        <w:numPr>
          <w:ilvl w:val="0"/>
          <w:numId w:val="0"/>
        </w:numPr>
        <w:ind w:left="720"/>
      </w:pPr>
    </w:p>
    <w:p w:rsidR="006A1959" w:rsidRDefault="00161189" w:rsidP="003B0797">
      <w:pPr>
        <w:pStyle w:val="Clause"/>
      </w:pPr>
      <w:r>
        <w:t xml:space="preserve">Any disputes over decisions regarding this Instrument, shall be referred to the Director of </w:t>
      </w:r>
      <w:r w:rsidR="0020131A">
        <w:t>DWR</w:t>
      </w:r>
      <w:r>
        <w:t xml:space="preserve"> for a decision.  The Director’s decision is subject to review as provided in Articles 3 and 4 of G.S. 150B.</w:t>
      </w:r>
      <w:r w:rsidR="00222E42">
        <w:t xml:space="preserve">  </w:t>
      </w:r>
    </w:p>
    <w:p w:rsidR="0046606E" w:rsidRDefault="0046606E" w:rsidP="003B0797">
      <w:pPr>
        <w:pStyle w:val="Clause"/>
        <w:numPr>
          <w:ilvl w:val="0"/>
          <w:numId w:val="0"/>
        </w:numPr>
      </w:pPr>
    </w:p>
    <w:p w:rsidR="00537603" w:rsidRPr="00685E98" w:rsidRDefault="00537603" w:rsidP="003B0797">
      <w:pPr>
        <w:pStyle w:val="Clause"/>
      </w:pPr>
      <w:r w:rsidRPr="00685E98">
        <w:t>This Agreement shall be binding upon the parties and is entered into knowingly, intelligently, and voluntarily</w:t>
      </w:r>
      <w:r w:rsidR="00222E42" w:rsidRPr="00685E98">
        <w:t xml:space="preserve">.  </w:t>
      </w:r>
    </w:p>
    <w:p w:rsidR="00537603" w:rsidRDefault="00537603" w:rsidP="003B0797">
      <w:pPr>
        <w:pStyle w:val="Clause"/>
        <w:numPr>
          <w:ilvl w:val="0"/>
          <w:numId w:val="0"/>
        </w:numPr>
      </w:pPr>
    </w:p>
    <w:p w:rsidR="00864B8E" w:rsidRDefault="00864B8E" w:rsidP="003B0797">
      <w:pPr>
        <w:pStyle w:val="Clause"/>
      </w:pPr>
      <w:r w:rsidRPr="00CA6204">
        <w:t xml:space="preserve">Notices: </w:t>
      </w:r>
      <w:r w:rsidR="008937AA">
        <w:t>A</w:t>
      </w:r>
      <w:r w:rsidRPr="00CA6204">
        <w:t xml:space="preserve">ll notices and other communications which </w:t>
      </w:r>
      <w:r w:rsidRPr="00D34414">
        <w:t xml:space="preserve">may be or are required to be given or made by any party to the other shall be in writing and shall be deemed to have been properly given and received on the date delivered in person or deposited in the United States mail, registered or certified, return receipt requested, to the addresses set </w:t>
      </w:r>
      <w:r w:rsidR="00E8484D" w:rsidRPr="00D34414">
        <w:t>out below, or at such other addresses as specified by written notice delivered in accordance herewith.</w:t>
      </w:r>
    </w:p>
    <w:p w:rsidR="00BD455A" w:rsidRDefault="00BD455A" w:rsidP="00B81D5A">
      <w:pPr>
        <w:tabs>
          <w:tab w:val="left" w:pos="3150"/>
        </w:tabs>
        <w:ind w:left="1440" w:hanging="720"/>
        <w:jc w:val="both"/>
        <w:rPr>
          <w:sz w:val="22"/>
          <w:szCs w:val="22"/>
        </w:rPr>
      </w:pPr>
    </w:p>
    <w:p w:rsidR="00C77FD9" w:rsidRPr="00E03238" w:rsidRDefault="00F27045" w:rsidP="00B81D5A">
      <w:pPr>
        <w:tabs>
          <w:tab w:val="left" w:pos="3150"/>
        </w:tabs>
        <w:ind w:left="1440" w:hanging="720"/>
        <w:jc w:val="both"/>
        <w:rPr>
          <w:sz w:val="22"/>
          <w:szCs w:val="22"/>
        </w:rPr>
      </w:pPr>
      <w:r w:rsidRPr="00E03238">
        <w:rPr>
          <w:sz w:val="22"/>
          <w:szCs w:val="22"/>
        </w:rPr>
        <w:t xml:space="preserve">If to </w:t>
      </w:r>
      <w:r w:rsidR="00C92FA2" w:rsidRPr="00E03238">
        <w:rPr>
          <w:sz w:val="22"/>
          <w:szCs w:val="22"/>
          <w:highlight w:val="cyan"/>
        </w:rPr>
        <w:t>BANKER NAME</w:t>
      </w:r>
      <w:r w:rsidR="00E8484D" w:rsidRPr="00E03238">
        <w:rPr>
          <w:sz w:val="22"/>
          <w:szCs w:val="22"/>
          <w:highlight w:val="cyan"/>
        </w:rPr>
        <w:t>:</w:t>
      </w:r>
      <w:r w:rsidR="00E8484D" w:rsidRPr="00E03238">
        <w:rPr>
          <w:sz w:val="22"/>
          <w:szCs w:val="22"/>
          <w:highlight w:val="cyan"/>
        </w:rPr>
        <w:tab/>
      </w:r>
      <w:r w:rsidR="00C92FA2" w:rsidRPr="00E03238">
        <w:rPr>
          <w:sz w:val="22"/>
          <w:szCs w:val="22"/>
          <w:highlight w:val="cyan"/>
        </w:rPr>
        <w:t>Banker Address</w:t>
      </w:r>
    </w:p>
    <w:p w:rsidR="00C92FA2" w:rsidRPr="00E03238" w:rsidRDefault="00C92FA2" w:rsidP="00B81D5A">
      <w:pPr>
        <w:tabs>
          <w:tab w:val="left" w:pos="3150"/>
        </w:tabs>
        <w:ind w:left="1440" w:hanging="720"/>
        <w:jc w:val="both"/>
        <w:rPr>
          <w:sz w:val="22"/>
          <w:szCs w:val="22"/>
        </w:rPr>
      </w:pPr>
    </w:p>
    <w:p w:rsidR="00BD455A" w:rsidRDefault="00167743" w:rsidP="00172CE3">
      <w:pPr>
        <w:tabs>
          <w:tab w:val="left" w:pos="3150"/>
        </w:tabs>
        <w:ind w:left="1440" w:hanging="720"/>
        <w:jc w:val="both"/>
        <w:rPr>
          <w:sz w:val="22"/>
          <w:szCs w:val="22"/>
        </w:rPr>
      </w:pPr>
      <w:r w:rsidRPr="00E03238">
        <w:rPr>
          <w:sz w:val="22"/>
          <w:szCs w:val="22"/>
        </w:rPr>
        <w:t>Copy to:</w:t>
      </w:r>
      <w:r w:rsidRPr="00E03238">
        <w:rPr>
          <w:sz w:val="22"/>
          <w:szCs w:val="22"/>
        </w:rPr>
        <w:tab/>
      </w:r>
      <w:r w:rsidR="00C92FA2" w:rsidRPr="00E03238">
        <w:rPr>
          <w:sz w:val="22"/>
          <w:szCs w:val="22"/>
          <w:highlight w:val="cyan"/>
        </w:rPr>
        <w:t>Banker A</w:t>
      </w:r>
      <w:r w:rsidR="00172CE3">
        <w:rPr>
          <w:sz w:val="22"/>
          <w:szCs w:val="22"/>
          <w:highlight w:val="cyan"/>
        </w:rPr>
        <w:t>lternate Address (if applicable</w:t>
      </w:r>
      <w:r w:rsidR="00172CE3">
        <w:rPr>
          <w:sz w:val="22"/>
          <w:szCs w:val="22"/>
        </w:rPr>
        <w:t>)</w:t>
      </w:r>
    </w:p>
    <w:p w:rsidR="002167F2" w:rsidRDefault="002167F2" w:rsidP="00B81D5A">
      <w:pPr>
        <w:tabs>
          <w:tab w:val="left" w:pos="3150"/>
        </w:tabs>
        <w:ind w:left="1440" w:hanging="720"/>
        <w:rPr>
          <w:sz w:val="22"/>
          <w:szCs w:val="22"/>
        </w:rPr>
      </w:pPr>
    </w:p>
    <w:p w:rsidR="00D34414" w:rsidRPr="00C11B04" w:rsidRDefault="00567318" w:rsidP="00B81D5A">
      <w:pPr>
        <w:tabs>
          <w:tab w:val="left" w:pos="3150"/>
        </w:tabs>
        <w:ind w:left="1440" w:hanging="720"/>
        <w:rPr>
          <w:sz w:val="22"/>
          <w:szCs w:val="22"/>
        </w:rPr>
      </w:pPr>
      <w:r>
        <w:rPr>
          <w:sz w:val="22"/>
          <w:szCs w:val="22"/>
        </w:rPr>
        <w:t xml:space="preserve">If to </w:t>
      </w:r>
      <w:r w:rsidR="0020131A">
        <w:rPr>
          <w:sz w:val="22"/>
          <w:szCs w:val="22"/>
        </w:rPr>
        <w:t>DWR</w:t>
      </w:r>
      <w:r>
        <w:rPr>
          <w:sz w:val="22"/>
          <w:szCs w:val="22"/>
        </w:rPr>
        <w:t>:</w:t>
      </w:r>
      <w:r>
        <w:rPr>
          <w:sz w:val="22"/>
          <w:szCs w:val="22"/>
        </w:rPr>
        <w:tab/>
      </w:r>
      <w:r w:rsidR="00E909EB">
        <w:rPr>
          <w:sz w:val="22"/>
          <w:szCs w:val="22"/>
        </w:rPr>
        <w:t xml:space="preserve">NC Division of Water </w:t>
      </w:r>
      <w:r w:rsidR="0020131A">
        <w:rPr>
          <w:sz w:val="22"/>
          <w:szCs w:val="22"/>
        </w:rPr>
        <w:t xml:space="preserve">Resources </w:t>
      </w:r>
      <w:r w:rsidR="00C059D3">
        <w:rPr>
          <w:sz w:val="22"/>
          <w:szCs w:val="22"/>
        </w:rPr>
        <w:t>–</w:t>
      </w:r>
      <w:r w:rsidR="002063AE" w:rsidRPr="00C11B04">
        <w:rPr>
          <w:sz w:val="22"/>
          <w:szCs w:val="22"/>
        </w:rPr>
        <w:t xml:space="preserve"> </w:t>
      </w:r>
      <w:r w:rsidR="0020131A">
        <w:rPr>
          <w:sz w:val="22"/>
          <w:szCs w:val="22"/>
        </w:rPr>
        <w:t xml:space="preserve">Wetlands </w:t>
      </w:r>
      <w:r w:rsidR="00C059D3">
        <w:rPr>
          <w:sz w:val="22"/>
          <w:szCs w:val="22"/>
        </w:rPr>
        <w:t>Branch</w:t>
      </w:r>
    </w:p>
    <w:p w:rsidR="00B81D5A" w:rsidRDefault="00C059D3" w:rsidP="00B81D5A">
      <w:pPr>
        <w:tabs>
          <w:tab w:val="left" w:pos="3150"/>
        </w:tabs>
        <w:ind w:left="1440" w:hanging="720"/>
        <w:rPr>
          <w:sz w:val="22"/>
          <w:szCs w:val="22"/>
        </w:rPr>
      </w:pPr>
      <w:r>
        <w:rPr>
          <w:sz w:val="22"/>
          <w:szCs w:val="22"/>
        </w:rPr>
        <w:tab/>
      </w:r>
      <w:r w:rsidR="00567318">
        <w:rPr>
          <w:sz w:val="22"/>
          <w:szCs w:val="22"/>
        </w:rPr>
        <w:tab/>
      </w:r>
      <w:r w:rsidR="00E909EB">
        <w:rPr>
          <w:sz w:val="22"/>
          <w:szCs w:val="22"/>
        </w:rPr>
        <w:t xml:space="preserve">Attn:  Nutrient Offset </w:t>
      </w:r>
      <w:r w:rsidR="002F718D">
        <w:rPr>
          <w:sz w:val="22"/>
          <w:szCs w:val="22"/>
        </w:rPr>
        <w:t>Bank</w:t>
      </w:r>
      <w:r w:rsidR="00E909EB">
        <w:rPr>
          <w:sz w:val="22"/>
          <w:szCs w:val="22"/>
        </w:rPr>
        <w:t xml:space="preserve"> Coordinator</w:t>
      </w:r>
    </w:p>
    <w:p w:rsidR="00B81D5A" w:rsidRDefault="00B81D5A" w:rsidP="00B81D5A">
      <w:pPr>
        <w:tabs>
          <w:tab w:val="left" w:pos="3150"/>
        </w:tabs>
        <w:ind w:left="1440" w:hanging="720"/>
        <w:rPr>
          <w:sz w:val="22"/>
          <w:szCs w:val="22"/>
        </w:rPr>
      </w:pPr>
      <w:r>
        <w:rPr>
          <w:sz w:val="22"/>
          <w:szCs w:val="22"/>
        </w:rPr>
        <w:tab/>
      </w:r>
      <w:r>
        <w:rPr>
          <w:sz w:val="22"/>
          <w:szCs w:val="22"/>
        </w:rPr>
        <w:tab/>
      </w:r>
      <w:r w:rsidR="00C059D3">
        <w:rPr>
          <w:sz w:val="22"/>
          <w:szCs w:val="22"/>
        </w:rPr>
        <w:t>1</w:t>
      </w:r>
      <w:r w:rsidR="00360002" w:rsidRPr="00C11B04">
        <w:rPr>
          <w:sz w:val="22"/>
          <w:szCs w:val="22"/>
        </w:rPr>
        <w:t>650 Mail Service Center</w:t>
      </w:r>
    </w:p>
    <w:p w:rsidR="00656B37" w:rsidRPr="00CA770C" w:rsidRDefault="00B81D5A" w:rsidP="00B81D5A">
      <w:pPr>
        <w:tabs>
          <w:tab w:val="left" w:pos="3150"/>
        </w:tabs>
        <w:ind w:left="1440" w:hanging="720"/>
        <w:rPr>
          <w:sz w:val="22"/>
          <w:szCs w:val="22"/>
        </w:rPr>
      </w:pPr>
      <w:r>
        <w:rPr>
          <w:sz w:val="22"/>
          <w:szCs w:val="22"/>
        </w:rPr>
        <w:tab/>
      </w:r>
      <w:r>
        <w:rPr>
          <w:sz w:val="22"/>
          <w:szCs w:val="22"/>
        </w:rPr>
        <w:tab/>
      </w:r>
      <w:r w:rsidR="002063AE" w:rsidRPr="00C11B04">
        <w:rPr>
          <w:sz w:val="22"/>
          <w:szCs w:val="22"/>
        </w:rPr>
        <w:t xml:space="preserve">Raleigh, NC  </w:t>
      </w:r>
      <w:r w:rsidR="00360002" w:rsidRPr="00C11B04">
        <w:rPr>
          <w:sz w:val="22"/>
          <w:szCs w:val="22"/>
        </w:rPr>
        <w:t>27699-1650</w:t>
      </w:r>
    </w:p>
    <w:p w:rsidR="00E8484D" w:rsidRPr="00CA6204" w:rsidRDefault="00E8484D" w:rsidP="003B0797">
      <w:pPr>
        <w:tabs>
          <w:tab w:val="left" w:pos="360"/>
          <w:tab w:val="left" w:pos="720"/>
          <w:tab w:val="left" w:pos="1080"/>
          <w:tab w:val="left" w:pos="1440"/>
        </w:tabs>
        <w:ind w:left="720" w:hanging="720"/>
        <w:jc w:val="both"/>
      </w:pPr>
    </w:p>
    <w:p w:rsidR="00567318" w:rsidRPr="00CA6204" w:rsidRDefault="00567318" w:rsidP="003B0797">
      <w:pPr>
        <w:pStyle w:val="Clause"/>
      </w:pPr>
      <w:r w:rsidRPr="00CA6204">
        <w:t>Applicable Law: This Agreement shall be construed under the laws of the State of North Carolina.</w:t>
      </w:r>
    </w:p>
    <w:p w:rsidR="004A3FBF" w:rsidRDefault="004A3FBF" w:rsidP="003B0797">
      <w:pPr>
        <w:tabs>
          <w:tab w:val="left" w:pos="360"/>
          <w:tab w:val="left" w:pos="720"/>
          <w:tab w:val="left" w:pos="1080"/>
          <w:tab w:val="left" w:pos="1440"/>
        </w:tabs>
        <w:ind w:left="720" w:hanging="720"/>
        <w:jc w:val="both"/>
      </w:pPr>
    </w:p>
    <w:p w:rsidR="00B81D5A" w:rsidRPr="00CA6204" w:rsidRDefault="00B81D5A" w:rsidP="003B0797">
      <w:pPr>
        <w:tabs>
          <w:tab w:val="left" w:pos="360"/>
          <w:tab w:val="left" w:pos="720"/>
          <w:tab w:val="left" w:pos="1080"/>
          <w:tab w:val="left" w:pos="1440"/>
        </w:tabs>
        <w:ind w:left="720" w:hanging="720"/>
        <w:jc w:val="both"/>
      </w:pPr>
    </w:p>
    <w:p w:rsidR="00E8484D" w:rsidRPr="00E03238" w:rsidRDefault="00917F27" w:rsidP="00E03238">
      <w:pPr>
        <w:jc w:val="both"/>
      </w:pPr>
      <w:r w:rsidRPr="00E03238">
        <w:rPr>
          <w:highlight w:val="cyan"/>
        </w:rPr>
        <w:t xml:space="preserve">SPONSOR </w:t>
      </w:r>
      <w:r w:rsidR="00D34414" w:rsidRPr="00E03238">
        <w:rPr>
          <w:highlight w:val="cyan"/>
        </w:rPr>
        <w:t>NAME</w:t>
      </w:r>
    </w:p>
    <w:p w:rsidR="00D34414" w:rsidRPr="00CA6204" w:rsidRDefault="00D34414" w:rsidP="003B0797">
      <w:pPr>
        <w:tabs>
          <w:tab w:val="left" w:pos="360"/>
          <w:tab w:val="left" w:pos="720"/>
          <w:tab w:val="left" w:pos="1080"/>
          <w:tab w:val="left" w:pos="1440"/>
        </w:tabs>
        <w:ind w:left="1440" w:hanging="720"/>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6"/>
        <w:gridCol w:w="3122"/>
        <w:gridCol w:w="1416"/>
      </w:tblGrid>
      <w:tr w:rsidR="004A3FBF" w:rsidTr="004A3FBF">
        <w:tc>
          <w:tcPr>
            <w:tcW w:w="856" w:type="dxa"/>
            <w:vAlign w:val="bottom"/>
          </w:tcPr>
          <w:p w:rsidR="004A3FBF" w:rsidRDefault="004A3FBF" w:rsidP="004A3FBF">
            <w:pPr>
              <w:tabs>
                <w:tab w:val="left" w:pos="360"/>
                <w:tab w:val="left" w:pos="720"/>
                <w:tab w:val="left" w:pos="1080"/>
                <w:tab w:val="left" w:pos="1440"/>
              </w:tabs>
            </w:pPr>
            <w:r>
              <w:t>By</w:t>
            </w:r>
            <w:r w:rsidRPr="00CA6204">
              <w:t>:</w:t>
            </w:r>
          </w:p>
        </w:tc>
        <w:tc>
          <w:tcPr>
            <w:tcW w:w="3122" w:type="dxa"/>
            <w:tcBorders>
              <w:bottom w:val="single" w:sz="4" w:space="0" w:color="auto"/>
            </w:tcBorders>
          </w:tcPr>
          <w:p w:rsidR="004A3FBF" w:rsidRDefault="004A3FBF" w:rsidP="003B0797">
            <w:pPr>
              <w:tabs>
                <w:tab w:val="left" w:pos="360"/>
                <w:tab w:val="left" w:pos="720"/>
                <w:tab w:val="left" w:pos="1080"/>
                <w:tab w:val="left" w:pos="1440"/>
              </w:tabs>
              <w:jc w:val="both"/>
            </w:pPr>
          </w:p>
        </w:tc>
        <w:tc>
          <w:tcPr>
            <w:tcW w:w="1416" w:type="dxa"/>
          </w:tcPr>
          <w:p w:rsidR="004A3FBF" w:rsidRDefault="004A3FBF" w:rsidP="003B0797">
            <w:pPr>
              <w:tabs>
                <w:tab w:val="left" w:pos="360"/>
                <w:tab w:val="left" w:pos="720"/>
                <w:tab w:val="left" w:pos="1080"/>
                <w:tab w:val="left" w:pos="1440"/>
              </w:tabs>
              <w:jc w:val="both"/>
            </w:pPr>
            <w:r>
              <w:t>(Print)</w:t>
            </w:r>
          </w:p>
        </w:tc>
      </w:tr>
      <w:tr w:rsidR="004A3FBF" w:rsidTr="004A3FBF">
        <w:tc>
          <w:tcPr>
            <w:tcW w:w="856" w:type="dxa"/>
            <w:vAlign w:val="bottom"/>
          </w:tcPr>
          <w:p w:rsidR="004A3FBF" w:rsidRDefault="004A3FBF" w:rsidP="004A3FBF">
            <w:pPr>
              <w:tabs>
                <w:tab w:val="left" w:pos="360"/>
                <w:tab w:val="left" w:pos="720"/>
                <w:tab w:val="left" w:pos="1080"/>
                <w:tab w:val="left" w:pos="1440"/>
              </w:tabs>
            </w:pPr>
          </w:p>
        </w:tc>
        <w:tc>
          <w:tcPr>
            <w:tcW w:w="3122" w:type="dxa"/>
            <w:tcBorders>
              <w:top w:val="single" w:sz="4" w:space="0" w:color="auto"/>
              <w:bottom w:val="single" w:sz="4" w:space="0" w:color="auto"/>
            </w:tcBorders>
          </w:tcPr>
          <w:p w:rsidR="004A3FBF" w:rsidRDefault="004A3FBF" w:rsidP="003B0797">
            <w:pPr>
              <w:tabs>
                <w:tab w:val="left" w:pos="360"/>
                <w:tab w:val="left" w:pos="720"/>
                <w:tab w:val="left" w:pos="1080"/>
                <w:tab w:val="left" w:pos="1440"/>
              </w:tabs>
              <w:jc w:val="both"/>
            </w:pPr>
          </w:p>
        </w:tc>
        <w:tc>
          <w:tcPr>
            <w:tcW w:w="1416" w:type="dxa"/>
          </w:tcPr>
          <w:p w:rsidR="004A3FBF" w:rsidRDefault="004A3FBF" w:rsidP="003B0797">
            <w:pPr>
              <w:tabs>
                <w:tab w:val="left" w:pos="360"/>
                <w:tab w:val="left" w:pos="720"/>
                <w:tab w:val="left" w:pos="1080"/>
                <w:tab w:val="left" w:pos="1440"/>
              </w:tabs>
              <w:jc w:val="both"/>
            </w:pPr>
          </w:p>
          <w:p w:rsidR="004A3FBF" w:rsidRDefault="004A3FBF" w:rsidP="003B0797">
            <w:pPr>
              <w:tabs>
                <w:tab w:val="left" w:pos="360"/>
                <w:tab w:val="left" w:pos="720"/>
                <w:tab w:val="left" w:pos="1080"/>
                <w:tab w:val="left" w:pos="1440"/>
              </w:tabs>
              <w:jc w:val="both"/>
            </w:pPr>
            <w:r>
              <w:t>(Signature)</w:t>
            </w:r>
          </w:p>
        </w:tc>
      </w:tr>
      <w:tr w:rsidR="004A3FBF" w:rsidTr="004A3FBF">
        <w:tc>
          <w:tcPr>
            <w:tcW w:w="856" w:type="dxa"/>
            <w:vAlign w:val="bottom"/>
          </w:tcPr>
          <w:p w:rsidR="004A3FBF" w:rsidRDefault="004A3FBF" w:rsidP="004A3FBF">
            <w:pPr>
              <w:tabs>
                <w:tab w:val="left" w:pos="360"/>
                <w:tab w:val="left" w:pos="720"/>
                <w:tab w:val="left" w:pos="1080"/>
                <w:tab w:val="left" w:pos="1440"/>
              </w:tabs>
            </w:pPr>
            <w:r w:rsidRPr="00CA6204">
              <w:t>Title:</w:t>
            </w:r>
          </w:p>
        </w:tc>
        <w:tc>
          <w:tcPr>
            <w:tcW w:w="3122" w:type="dxa"/>
            <w:tcBorders>
              <w:top w:val="single" w:sz="4" w:space="0" w:color="auto"/>
              <w:bottom w:val="single" w:sz="4" w:space="0" w:color="auto"/>
            </w:tcBorders>
          </w:tcPr>
          <w:p w:rsidR="004A3FBF" w:rsidRDefault="004A3FBF" w:rsidP="003B0797">
            <w:pPr>
              <w:tabs>
                <w:tab w:val="left" w:pos="360"/>
                <w:tab w:val="left" w:pos="720"/>
                <w:tab w:val="left" w:pos="1080"/>
                <w:tab w:val="left" w:pos="1440"/>
              </w:tabs>
              <w:jc w:val="both"/>
            </w:pPr>
          </w:p>
        </w:tc>
        <w:tc>
          <w:tcPr>
            <w:tcW w:w="1416" w:type="dxa"/>
          </w:tcPr>
          <w:p w:rsidR="004A3FBF" w:rsidRDefault="004A3FBF" w:rsidP="003B0797">
            <w:pPr>
              <w:tabs>
                <w:tab w:val="left" w:pos="360"/>
                <w:tab w:val="left" w:pos="720"/>
                <w:tab w:val="left" w:pos="1080"/>
                <w:tab w:val="left" w:pos="1440"/>
              </w:tabs>
              <w:jc w:val="both"/>
            </w:pPr>
          </w:p>
          <w:p w:rsidR="004A3FBF" w:rsidRDefault="004A3FBF" w:rsidP="003B0797">
            <w:pPr>
              <w:tabs>
                <w:tab w:val="left" w:pos="360"/>
                <w:tab w:val="left" w:pos="720"/>
                <w:tab w:val="left" w:pos="1080"/>
                <w:tab w:val="left" w:pos="1440"/>
              </w:tabs>
              <w:jc w:val="both"/>
            </w:pPr>
          </w:p>
        </w:tc>
      </w:tr>
      <w:tr w:rsidR="004A3FBF" w:rsidTr="004A3FBF">
        <w:tc>
          <w:tcPr>
            <w:tcW w:w="856" w:type="dxa"/>
            <w:vAlign w:val="bottom"/>
          </w:tcPr>
          <w:p w:rsidR="004A3FBF" w:rsidRDefault="004A3FBF" w:rsidP="004A3FBF">
            <w:pPr>
              <w:tabs>
                <w:tab w:val="left" w:pos="360"/>
                <w:tab w:val="left" w:pos="720"/>
                <w:tab w:val="left" w:pos="1080"/>
                <w:tab w:val="left" w:pos="1440"/>
              </w:tabs>
            </w:pPr>
            <w:r w:rsidRPr="00CA6204">
              <w:t>Date:</w:t>
            </w:r>
          </w:p>
        </w:tc>
        <w:tc>
          <w:tcPr>
            <w:tcW w:w="3122" w:type="dxa"/>
            <w:tcBorders>
              <w:top w:val="single" w:sz="4" w:space="0" w:color="auto"/>
              <w:bottom w:val="single" w:sz="4" w:space="0" w:color="auto"/>
            </w:tcBorders>
          </w:tcPr>
          <w:p w:rsidR="004A3FBF" w:rsidRDefault="004A3FBF" w:rsidP="003B0797">
            <w:pPr>
              <w:tabs>
                <w:tab w:val="left" w:pos="360"/>
                <w:tab w:val="left" w:pos="720"/>
                <w:tab w:val="left" w:pos="1080"/>
                <w:tab w:val="left" w:pos="1440"/>
              </w:tabs>
              <w:jc w:val="both"/>
            </w:pPr>
          </w:p>
        </w:tc>
        <w:tc>
          <w:tcPr>
            <w:tcW w:w="1416" w:type="dxa"/>
          </w:tcPr>
          <w:p w:rsidR="004A3FBF" w:rsidRDefault="004A3FBF" w:rsidP="003B0797">
            <w:pPr>
              <w:tabs>
                <w:tab w:val="left" w:pos="360"/>
                <w:tab w:val="left" w:pos="720"/>
                <w:tab w:val="left" w:pos="1080"/>
                <w:tab w:val="left" w:pos="1440"/>
              </w:tabs>
              <w:jc w:val="both"/>
            </w:pPr>
          </w:p>
          <w:p w:rsidR="004A3FBF" w:rsidRDefault="004A3FBF" w:rsidP="003B0797">
            <w:pPr>
              <w:tabs>
                <w:tab w:val="left" w:pos="360"/>
                <w:tab w:val="left" w:pos="720"/>
                <w:tab w:val="left" w:pos="1080"/>
                <w:tab w:val="left" w:pos="1440"/>
              </w:tabs>
              <w:jc w:val="both"/>
            </w:pPr>
          </w:p>
        </w:tc>
      </w:tr>
    </w:tbl>
    <w:p w:rsidR="004A3FBF" w:rsidRDefault="004A3FBF" w:rsidP="003B0797">
      <w:pPr>
        <w:tabs>
          <w:tab w:val="left" w:pos="360"/>
          <w:tab w:val="left" w:pos="720"/>
          <w:tab w:val="left" w:pos="1080"/>
          <w:tab w:val="left" w:pos="1440"/>
        </w:tabs>
        <w:ind w:left="1440" w:hanging="720"/>
        <w:jc w:val="both"/>
      </w:pPr>
    </w:p>
    <w:p w:rsidR="00E8484D" w:rsidRPr="00CA6204" w:rsidRDefault="00E8484D" w:rsidP="004A3FBF">
      <w:pPr>
        <w:jc w:val="both"/>
      </w:pPr>
      <w:r w:rsidRPr="00CA6204">
        <w:t>NORTH CAROLINA DEPARTMENT</w:t>
      </w:r>
      <w:r w:rsidR="004A3FBF">
        <w:t xml:space="preserve"> </w:t>
      </w:r>
      <w:r w:rsidRPr="00CA6204">
        <w:t>OF ENVIRONMENT AND NATURAL</w:t>
      </w:r>
      <w:r w:rsidR="004A3FBF">
        <w:t xml:space="preserve"> </w:t>
      </w:r>
      <w:r w:rsidRPr="00CA6204">
        <w:t>RESOURCES DIVISION OF WATER</w:t>
      </w:r>
      <w:r w:rsidR="004A3FBF">
        <w:t xml:space="preserve"> </w:t>
      </w:r>
      <w:r w:rsidR="0020131A">
        <w:t>RESOURCES</w:t>
      </w:r>
    </w:p>
    <w:p w:rsidR="00E8484D" w:rsidRDefault="00E8484D" w:rsidP="003B0797">
      <w:pPr>
        <w:tabs>
          <w:tab w:val="left" w:pos="360"/>
          <w:tab w:val="left" w:pos="720"/>
          <w:tab w:val="left" w:pos="1080"/>
          <w:tab w:val="left" w:pos="1440"/>
        </w:tabs>
        <w:ind w:left="1440" w:hanging="720"/>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6"/>
        <w:gridCol w:w="3122"/>
        <w:gridCol w:w="1416"/>
      </w:tblGrid>
      <w:tr w:rsidR="004A3FBF" w:rsidTr="004A3FBF">
        <w:tc>
          <w:tcPr>
            <w:tcW w:w="856" w:type="dxa"/>
            <w:vAlign w:val="bottom"/>
          </w:tcPr>
          <w:p w:rsidR="004A3FBF" w:rsidRDefault="004A3FBF" w:rsidP="004A3FBF">
            <w:pPr>
              <w:tabs>
                <w:tab w:val="left" w:pos="360"/>
                <w:tab w:val="left" w:pos="720"/>
                <w:tab w:val="left" w:pos="1080"/>
                <w:tab w:val="left" w:pos="1440"/>
              </w:tabs>
            </w:pPr>
            <w:r>
              <w:t>By</w:t>
            </w:r>
            <w:r w:rsidRPr="00CA6204">
              <w:t>:</w:t>
            </w:r>
          </w:p>
        </w:tc>
        <w:tc>
          <w:tcPr>
            <w:tcW w:w="3122" w:type="dxa"/>
            <w:tcBorders>
              <w:bottom w:val="single" w:sz="4" w:space="0" w:color="auto"/>
            </w:tcBorders>
          </w:tcPr>
          <w:p w:rsidR="004A3FBF" w:rsidRDefault="004A3FBF" w:rsidP="004A3FBF">
            <w:pPr>
              <w:tabs>
                <w:tab w:val="left" w:pos="360"/>
                <w:tab w:val="left" w:pos="720"/>
                <w:tab w:val="left" w:pos="1080"/>
                <w:tab w:val="left" w:pos="1440"/>
              </w:tabs>
              <w:jc w:val="both"/>
            </w:pPr>
          </w:p>
        </w:tc>
        <w:tc>
          <w:tcPr>
            <w:tcW w:w="1416" w:type="dxa"/>
          </w:tcPr>
          <w:p w:rsidR="004A3FBF" w:rsidRDefault="004A3FBF" w:rsidP="004A3FBF">
            <w:pPr>
              <w:tabs>
                <w:tab w:val="left" w:pos="360"/>
                <w:tab w:val="left" w:pos="720"/>
                <w:tab w:val="left" w:pos="1080"/>
                <w:tab w:val="left" w:pos="1440"/>
              </w:tabs>
              <w:jc w:val="both"/>
            </w:pPr>
            <w:r>
              <w:t>(Print)</w:t>
            </w:r>
          </w:p>
        </w:tc>
      </w:tr>
      <w:tr w:rsidR="004A3FBF" w:rsidTr="004A3FBF">
        <w:tc>
          <w:tcPr>
            <w:tcW w:w="856" w:type="dxa"/>
            <w:vAlign w:val="bottom"/>
          </w:tcPr>
          <w:p w:rsidR="004A3FBF" w:rsidRDefault="004A3FBF" w:rsidP="004A3FBF">
            <w:pPr>
              <w:tabs>
                <w:tab w:val="left" w:pos="360"/>
                <w:tab w:val="left" w:pos="720"/>
                <w:tab w:val="left" w:pos="1080"/>
                <w:tab w:val="left" w:pos="1440"/>
              </w:tabs>
            </w:pPr>
          </w:p>
        </w:tc>
        <w:tc>
          <w:tcPr>
            <w:tcW w:w="3122" w:type="dxa"/>
            <w:tcBorders>
              <w:top w:val="single" w:sz="4" w:space="0" w:color="auto"/>
              <w:bottom w:val="single" w:sz="4" w:space="0" w:color="auto"/>
            </w:tcBorders>
          </w:tcPr>
          <w:p w:rsidR="004A3FBF" w:rsidRDefault="004A3FBF" w:rsidP="004A3FBF">
            <w:pPr>
              <w:tabs>
                <w:tab w:val="left" w:pos="360"/>
                <w:tab w:val="left" w:pos="720"/>
                <w:tab w:val="left" w:pos="1080"/>
                <w:tab w:val="left" w:pos="1440"/>
              </w:tabs>
              <w:jc w:val="both"/>
            </w:pPr>
          </w:p>
        </w:tc>
        <w:tc>
          <w:tcPr>
            <w:tcW w:w="1416" w:type="dxa"/>
          </w:tcPr>
          <w:p w:rsidR="004A3FBF" w:rsidRDefault="004A3FBF" w:rsidP="004A3FBF">
            <w:pPr>
              <w:tabs>
                <w:tab w:val="left" w:pos="360"/>
                <w:tab w:val="left" w:pos="720"/>
                <w:tab w:val="left" w:pos="1080"/>
                <w:tab w:val="left" w:pos="1440"/>
              </w:tabs>
              <w:jc w:val="both"/>
            </w:pPr>
          </w:p>
          <w:p w:rsidR="004A3FBF" w:rsidRDefault="004A3FBF" w:rsidP="004A3FBF">
            <w:pPr>
              <w:tabs>
                <w:tab w:val="left" w:pos="360"/>
                <w:tab w:val="left" w:pos="720"/>
                <w:tab w:val="left" w:pos="1080"/>
                <w:tab w:val="left" w:pos="1440"/>
              </w:tabs>
              <w:jc w:val="both"/>
            </w:pPr>
            <w:r>
              <w:t>(Signature)</w:t>
            </w:r>
          </w:p>
        </w:tc>
      </w:tr>
      <w:tr w:rsidR="004A3FBF" w:rsidTr="004A3FBF">
        <w:tc>
          <w:tcPr>
            <w:tcW w:w="856" w:type="dxa"/>
            <w:vAlign w:val="bottom"/>
          </w:tcPr>
          <w:p w:rsidR="004A3FBF" w:rsidRDefault="004A3FBF" w:rsidP="004A3FBF">
            <w:pPr>
              <w:tabs>
                <w:tab w:val="left" w:pos="360"/>
                <w:tab w:val="left" w:pos="720"/>
                <w:tab w:val="left" w:pos="1080"/>
                <w:tab w:val="left" w:pos="1440"/>
              </w:tabs>
            </w:pPr>
            <w:r w:rsidRPr="00CA6204">
              <w:t>Title:</w:t>
            </w:r>
          </w:p>
        </w:tc>
        <w:tc>
          <w:tcPr>
            <w:tcW w:w="3122" w:type="dxa"/>
            <w:tcBorders>
              <w:top w:val="single" w:sz="4" w:space="0" w:color="auto"/>
              <w:bottom w:val="single" w:sz="4" w:space="0" w:color="auto"/>
            </w:tcBorders>
          </w:tcPr>
          <w:p w:rsidR="004A3FBF" w:rsidRDefault="004A3FBF" w:rsidP="004A3FBF">
            <w:pPr>
              <w:tabs>
                <w:tab w:val="left" w:pos="360"/>
                <w:tab w:val="left" w:pos="720"/>
                <w:tab w:val="left" w:pos="1080"/>
                <w:tab w:val="left" w:pos="1440"/>
              </w:tabs>
              <w:jc w:val="both"/>
            </w:pPr>
          </w:p>
        </w:tc>
        <w:tc>
          <w:tcPr>
            <w:tcW w:w="1416" w:type="dxa"/>
          </w:tcPr>
          <w:p w:rsidR="004A3FBF" w:rsidRDefault="004A3FBF" w:rsidP="004A3FBF">
            <w:pPr>
              <w:tabs>
                <w:tab w:val="left" w:pos="360"/>
                <w:tab w:val="left" w:pos="720"/>
                <w:tab w:val="left" w:pos="1080"/>
                <w:tab w:val="left" w:pos="1440"/>
              </w:tabs>
              <w:jc w:val="both"/>
            </w:pPr>
          </w:p>
          <w:p w:rsidR="004A3FBF" w:rsidRDefault="004A3FBF" w:rsidP="004A3FBF">
            <w:pPr>
              <w:tabs>
                <w:tab w:val="left" w:pos="360"/>
                <w:tab w:val="left" w:pos="720"/>
                <w:tab w:val="left" w:pos="1080"/>
                <w:tab w:val="left" w:pos="1440"/>
              </w:tabs>
              <w:jc w:val="both"/>
            </w:pPr>
          </w:p>
        </w:tc>
      </w:tr>
      <w:tr w:rsidR="004A3FBF" w:rsidTr="004A3FBF">
        <w:tc>
          <w:tcPr>
            <w:tcW w:w="856" w:type="dxa"/>
            <w:vAlign w:val="bottom"/>
          </w:tcPr>
          <w:p w:rsidR="004A3FBF" w:rsidRDefault="004A3FBF" w:rsidP="004A3FBF">
            <w:pPr>
              <w:tabs>
                <w:tab w:val="left" w:pos="360"/>
                <w:tab w:val="left" w:pos="720"/>
                <w:tab w:val="left" w:pos="1080"/>
                <w:tab w:val="left" w:pos="1440"/>
              </w:tabs>
            </w:pPr>
            <w:r w:rsidRPr="00CA6204">
              <w:t>Date:</w:t>
            </w:r>
          </w:p>
        </w:tc>
        <w:tc>
          <w:tcPr>
            <w:tcW w:w="3122" w:type="dxa"/>
            <w:tcBorders>
              <w:top w:val="single" w:sz="4" w:space="0" w:color="auto"/>
              <w:bottom w:val="single" w:sz="4" w:space="0" w:color="auto"/>
            </w:tcBorders>
          </w:tcPr>
          <w:p w:rsidR="004A3FBF" w:rsidRDefault="004A3FBF" w:rsidP="004A3FBF">
            <w:pPr>
              <w:tabs>
                <w:tab w:val="left" w:pos="360"/>
                <w:tab w:val="left" w:pos="720"/>
                <w:tab w:val="left" w:pos="1080"/>
                <w:tab w:val="left" w:pos="1440"/>
              </w:tabs>
              <w:jc w:val="both"/>
            </w:pPr>
          </w:p>
        </w:tc>
        <w:tc>
          <w:tcPr>
            <w:tcW w:w="1416" w:type="dxa"/>
          </w:tcPr>
          <w:p w:rsidR="004A3FBF" w:rsidRDefault="004A3FBF" w:rsidP="004A3FBF">
            <w:pPr>
              <w:tabs>
                <w:tab w:val="left" w:pos="360"/>
                <w:tab w:val="left" w:pos="720"/>
                <w:tab w:val="left" w:pos="1080"/>
                <w:tab w:val="left" w:pos="1440"/>
              </w:tabs>
              <w:jc w:val="both"/>
            </w:pPr>
          </w:p>
          <w:p w:rsidR="004A3FBF" w:rsidRDefault="004A3FBF" w:rsidP="004A3FBF">
            <w:pPr>
              <w:tabs>
                <w:tab w:val="left" w:pos="360"/>
                <w:tab w:val="left" w:pos="720"/>
                <w:tab w:val="left" w:pos="1080"/>
                <w:tab w:val="left" w:pos="1440"/>
              </w:tabs>
              <w:jc w:val="both"/>
            </w:pPr>
          </w:p>
        </w:tc>
      </w:tr>
    </w:tbl>
    <w:p w:rsidR="004A3FBF" w:rsidRDefault="004A3FBF" w:rsidP="003B0797">
      <w:pPr>
        <w:tabs>
          <w:tab w:val="left" w:pos="360"/>
          <w:tab w:val="left" w:pos="720"/>
          <w:tab w:val="left" w:pos="1080"/>
          <w:tab w:val="left" w:pos="1440"/>
        </w:tabs>
        <w:ind w:left="1440" w:hanging="720"/>
        <w:jc w:val="both"/>
      </w:pPr>
    </w:p>
    <w:p w:rsidR="00E03238" w:rsidRPr="00CA6204" w:rsidRDefault="00E03238" w:rsidP="00E03238">
      <w:pPr>
        <w:jc w:val="both"/>
      </w:pPr>
    </w:p>
    <w:sectPr w:rsidR="00E03238" w:rsidRPr="00CA6204" w:rsidSect="003E6FE9">
      <w:headerReference w:type="even" r:id="rId9"/>
      <w:headerReference w:type="default" r:id="rId10"/>
      <w:footerReference w:type="even" r:id="rId11"/>
      <w:footerReference w:type="default"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A79" w:rsidRDefault="00153A79" w:rsidP="009C76B9">
      <w:r>
        <w:separator/>
      </w:r>
    </w:p>
  </w:endnote>
  <w:endnote w:type="continuationSeparator" w:id="0">
    <w:p w:rsidR="00153A79" w:rsidRDefault="00153A79" w:rsidP="009C7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LJMNFN+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A79" w:rsidRDefault="0020443B" w:rsidP="00FF59CC">
    <w:pPr>
      <w:pStyle w:val="Footer"/>
      <w:framePr w:wrap="around" w:vAnchor="text" w:hAnchor="margin" w:xAlign="center" w:y="1"/>
      <w:rPr>
        <w:rStyle w:val="PageNumber"/>
      </w:rPr>
    </w:pPr>
    <w:r>
      <w:rPr>
        <w:rStyle w:val="PageNumber"/>
      </w:rPr>
      <w:fldChar w:fldCharType="begin"/>
    </w:r>
    <w:r w:rsidR="00153A79">
      <w:rPr>
        <w:rStyle w:val="PageNumber"/>
      </w:rPr>
      <w:instrText xml:space="preserve">PAGE  </w:instrText>
    </w:r>
    <w:r>
      <w:rPr>
        <w:rStyle w:val="PageNumber"/>
      </w:rPr>
      <w:fldChar w:fldCharType="end"/>
    </w:r>
  </w:p>
  <w:p w:rsidR="00153A79" w:rsidRDefault="00153A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10689"/>
      <w:docPartObj>
        <w:docPartGallery w:val="Page Numbers (Bottom of Page)"/>
        <w:docPartUnique/>
      </w:docPartObj>
    </w:sdtPr>
    <w:sdtContent>
      <w:p w:rsidR="00153A79" w:rsidRDefault="0020443B">
        <w:pPr>
          <w:pStyle w:val="Footer"/>
          <w:jc w:val="center"/>
        </w:pPr>
        <w:fldSimple w:instr=" PAGE   \* MERGEFORMAT ">
          <w:r w:rsidR="0020131A">
            <w:rPr>
              <w:noProof/>
            </w:rPr>
            <w:t>6</w:t>
          </w:r>
        </w:fldSimple>
      </w:p>
    </w:sdtContent>
  </w:sdt>
  <w:p w:rsidR="00153A79" w:rsidRDefault="00153A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A79" w:rsidRDefault="00153A79" w:rsidP="009C76B9">
      <w:r>
        <w:separator/>
      </w:r>
    </w:p>
  </w:footnote>
  <w:footnote w:type="continuationSeparator" w:id="0">
    <w:p w:rsidR="00153A79" w:rsidRDefault="00153A79" w:rsidP="009C7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A79" w:rsidRDefault="002044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9532" o:spid="_x0000_s2063" type="#_x0000_t136" style="position:absolute;margin-left:0;margin-top:0;width:539.85pt;height:119.95pt;rotation:315;z-index:-251654144;mso-position-horizontal:center;mso-position-horizontal-relative:margin;mso-position-vertical:center;mso-position-vertical-relative:margin" o:allowincell="f" fillcolor="#8db3e2 [1311]" stroked="f">
          <v:fill opacity=".5"/>
          <v:textpath style="font-family:&quot;Times New Roman&quot;;font-size:1pt" string="TEMPLAT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A79" w:rsidRDefault="00C6136A">
    <w:pPr>
      <w:pStyle w:val="Header"/>
    </w:pPr>
    <w:r>
      <w:t xml:space="preserve">UMBI Template Version 2 _ </w:t>
    </w:r>
    <w:r w:rsidR="00153A79">
      <w:t xml:space="preserve">Updated </w:t>
    </w:r>
    <w:r w:rsidR="0020131A">
      <w:t>8/8/2013 (replaced DWQ w/ DWR only)</w:t>
    </w:r>
  </w:p>
  <w:p w:rsidR="00153A79" w:rsidRDefault="002044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9533" o:spid="_x0000_s2064" type="#_x0000_t136" style="position:absolute;margin-left:0;margin-top:0;width:539.85pt;height:119.95pt;rotation:315;z-index:-251652096;mso-position-horizontal:center;mso-position-horizontal-relative:margin;mso-position-vertical:center;mso-position-vertical-relative:margin" o:allowincell="f" fillcolor="#8db3e2 [1311]" stroked="f">
          <v:fill opacity=".5"/>
          <v:textpath style="font-family:&quot;Times New Roman&quot;;font-size:1pt" string="TEMPLAT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A79" w:rsidRDefault="002044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9531" o:spid="_x0000_s2062" type="#_x0000_t136" style="position:absolute;margin-left:0;margin-top:0;width:539.85pt;height:119.95pt;rotation:315;z-index:-251656192;mso-position-horizontal:center;mso-position-horizontal-relative:margin;mso-position-vertical:center;mso-position-vertical-relative:margin" o:allowincell="f" fillcolor="#8db3e2 [1311]" stroked="f">
          <v:fill opacity=".5"/>
          <v:textpath style="font-family:&quot;Times New Roman&quot;;font-size:1pt" string="TEMPLAT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492"/>
    <w:multiLevelType w:val="hybridMultilevel"/>
    <w:tmpl w:val="A30ECA22"/>
    <w:lvl w:ilvl="0" w:tplc="727804B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57219A"/>
    <w:multiLevelType w:val="hybridMultilevel"/>
    <w:tmpl w:val="945E8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135313"/>
    <w:multiLevelType w:val="hybridMultilevel"/>
    <w:tmpl w:val="0498BF1A"/>
    <w:lvl w:ilvl="0" w:tplc="0409000F">
      <w:start w:val="1"/>
      <w:numFmt w:val="decimal"/>
      <w:lvlText w:val="%1."/>
      <w:lvlJc w:val="left"/>
      <w:pPr>
        <w:ind w:left="1080" w:hanging="360"/>
      </w:p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DB3166E"/>
    <w:multiLevelType w:val="hybridMultilevel"/>
    <w:tmpl w:val="60667CA0"/>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8C52C0E8">
      <w:numFmt w:val="bullet"/>
      <w:lvlText w:val=""/>
      <w:lvlJc w:val="left"/>
      <w:pPr>
        <w:ind w:left="3060" w:hanging="360"/>
      </w:pPr>
      <w:rPr>
        <w:rFonts w:ascii="Symbol" w:eastAsia="Times New Roman" w:hAnsi="Symbol"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0117AE"/>
    <w:multiLevelType w:val="hybridMultilevel"/>
    <w:tmpl w:val="7656333C"/>
    <w:lvl w:ilvl="0" w:tplc="B11896DE">
      <w:start w:val="1"/>
      <w:numFmt w:val="upperLetter"/>
      <w:pStyle w:val="Clause"/>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7D0FA9"/>
    <w:multiLevelType w:val="hybridMultilevel"/>
    <w:tmpl w:val="DCB81244"/>
    <w:lvl w:ilvl="0" w:tplc="04090019">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nsid w:val="30223905"/>
    <w:multiLevelType w:val="hybridMultilevel"/>
    <w:tmpl w:val="C6DA36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64C69"/>
    <w:multiLevelType w:val="hybridMultilevel"/>
    <w:tmpl w:val="1F788D0A"/>
    <w:lvl w:ilvl="0" w:tplc="D13EBDB6">
      <w:start w:val="2"/>
      <w:numFmt w:val="upperLetter"/>
      <w:lvlText w:val="%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4A4DB4"/>
    <w:multiLevelType w:val="hybridMultilevel"/>
    <w:tmpl w:val="947A8EF4"/>
    <w:lvl w:ilvl="0" w:tplc="04090015">
      <w:start w:val="6"/>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8C3F05"/>
    <w:multiLevelType w:val="hybridMultilevel"/>
    <w:tmpl w:val="707EEE96"/>
    <w:lvl w:ilvl="0" w:tplc="F9165DE4">
      <w:start w:val="1"/>
      <w:numFmt w:val="decimal"/>
      <w:lvlText w:val="%1."/>
      <w:lvlJc w:val="left"/>
      <w:pPr>
        <w:ind w:left="720" w:hanging="360"/>
      </w:pPr>
      <w:rPr>
        <w:rFonts w:hint="default"/>
      </w:rPr>
    </w:lvl>
    <w:lvl w:ilvl="1" w:tplc="DFEAB3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F69C9"/>
    <w:multiLevelType w:val="hybridMultilevel"/>
    <w:tmpl w:val="26C82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772751"/>
    <w:multiLevelType w:val="hybridMultilevel"/>
    <w:tmpl w:val="5B4608C4"/>
    <w:lvl w:ilvl="0" w:tplc="ED4078DE">
      <w:start w:val="1"/>
      <w:numFmt w:val="upperRoman"/>
      <w:pStyle w:val="Heading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8E7225"/>
    <w:multiLevelType w:val="hybridMultilevel"/>
    <w:tmpl w:val="2FF4155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3038E8"/>
    <w:multiLevelType w:val="hybridMultilevel"/>
    <w:tmpl w:val="42F2A35C"/>
    <w:lvl w:ilvl="0" w:tplc="04090015">
      <w:start w:val="1"/>
      <w:numFmt w:val="upp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nsid w:val="70D27BE9"/>
    <w:multiLevelType w:val="multilevel"/>
    <w:tmpl w:val="9028D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2557762"/>
    <w:multiLevelType w:val="hybridMultilevel"/>
    <w:tmpl w:val="79BE07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B6D51DD"/>
    <w:multiLevelType w:val="hybridMultilevel"/>
    <w:tmpl w:val="A1943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5"/>
  </w:num>
  <w:num w:numId="5">
    <w:abstractNumId w:val="3"/>
  </w:num>
  <w:num w:numId="6">
    <w:abstractNumId w:val="11"/>
  </w:num>
  <w:num w:numId="7">
    <w:abstractNumId w:val="4"/>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6"/>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12"/>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num>
  <w:num w:numId="22">
    <w:abstractNumId w:val="0"/>
  </w:num>
  <w:num w:numId="23">
    <w:abstractNumId w:val="4"/>
    <w:lvlOverride w:ilvl="0">
      <w:startOverride w:val="1"/>
    </w:lvlOverride>
  </w:num>
  <w:num w:numId="24">
    <w:abstractNumId w:val="4"/>
  </w:num>
  <w:num w:numId="25">
    <w:abstractNumId w:val="4"/>
  </w:num>
  <w:num w:numId="26">
    <w:abstractNumId w:val="4"/>
  </w:num>
  <w:num w:numId="27">
    <w:abstractNumId w:val="9"/>
  </w:num>
  <w:num w:numId="28">
    <w:abstractNumId w:val="13"/>
  </w:num>
  <w:num w:numId="29">
    <w:abstractNumId w:val="6"/>
  </w:num>
  <w:num w:numId="30">
    <w:abstractNumId w:val="1"/>
  </w:num>
  <w:num w:numId="31">
    <w:abstractNumId w:val="4"/>
    <w:lvlOverride w:ilvl="0">
      <w:startOverride w:val="1"/>
    </w:lvlOverride>
  </w:num>
  <w:num w:numId="32">
    <w:abstractNumId w:val="4"/>
    <w:lvlOverride w:ilvl="0">
      <w:startOverride w:val="1"/>
    </w:lvlOverride>
  </w:num>
  <w:num w:numId="33">
    <w:abstractNumId w:val="14"/>
  </w:num>
  <w:num w:numId="34">
    <w:abstractNumId w:val="10"/>
  </w:num>
  <w:num w:numId="35">
    <w:abstractNumId w:val="7"/>
  </w:num>
  <w:num w:numId="3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stylePaneSortMethod w:val="0000"/>
  <w:defaultTabStop w:val="720"/>
  <w:drawingGridHorizontalSpacing w:val="12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rsids>
    <w:rsidRoot w:val="00495EC8"/>
    <w:rsid w:val="00001837"/>
    <w:rsid w:val="00001D8B"/>
    <w:rsid w:val="00004F3F"/>
    <w:rsid w:val="000068F4"/>
    <w:rsid w:val="0000691A"/>
    <w:rsid w:val="00006D0C"/>
    <w:rsid w:val="00007249"/>
    <w:rsid w:val="00007548"/>
    <w:rsid w:val="00010489"/>
    <w:rsid w:val="00011510"/>
    <w:rsid w:val="00012106"/>
    <w:rsid w:val="00012A4C"/>
    <w:rsid w:val="000133BA"/>
    <w:rsid w:val="000135AF"/>
    <w:rsid w:val="0001365D"/>
    <w:rsid w:val="00013685"/>
    <w:rsid w:val="000136AC"/>
    <w:rsid w:val="00015A5C"/>
    <w:rsid w:val="00017AE7"/>
    <w:rsid w:val="00021509"/>
    <w:rsid w:val="000230EE"/>
    <w:rsid w:val="00024874"/>
    <w:rsid w:val="00024AAD"/>
    <w:rsid w:val="00024B28"/>
    <w:rsid w:val="000251D1"/>
    <w:rsid w:val="00025C87"/>
    <w:rsid w:val="00026072"/>
    <w:rsid w:val="00026881"/>
    <w:rsid w:val="00026903"/>
    <w:rsid w:val="0002703E"/>
    <w:rsid w:val="000270C1"/>
    <w:rsid w:val="00027A78"/>
    <w:rsid w:val="0003009B"/>
    <w:rsid w:val="00030C27"/>
    <w:rsid w:val="00030E20"/>
    <w:rsid w:val="00031466"/>
    <w:rsid w:val="000318FF"/>
    <w:rsid w:val="00031916"/>
    <w:rsid w:val="00032D09"/>
    <w:rsid w:val="00033C3B"/>
    <w:rsid w:val="00034231"/>
    <w:rsid w:val="000353C4"/>
    <w:rsid w:val="000368D2"/>
    <w:rsid w:val="00037519"/>
    <w:rsid w:val="00041676"/>
    <w:rsid w:val="00042107"/>
    <w:rsid w:val="00042B5D"/>
    <w:rsid w:val="00042BC7"/>
    <w:rsid w:val="0004445A"/>
    <w:rsid w:val="00045ACB"/>
    <w:rsid w:val="0004616E"/>
    <w:rsid w:val="00047CB8"/>
    <w:rsid w:val="000535DC"/>
    <w:rsid w:val="00053A8A"/>
    <w:rsid w:val="00053CEB"/>
    <w:rsid w:val="00053ED3"/>
    <w:rsid w:val="00054547"/>
    <w:rsid w:val="000557EB"/>
    <w:rsid w:val="00057A08"/>
    <w:rsid w:val="00057D14"/>
    <w:rsid w:val="00060677"/>
    <w:rsid w:val="00062239"/>
    <w:rsid w:val="000627B1"/>
    <w:rsid w:val="000651AD"/>
    <w:rsid w:val="000654BF"/>
    <w:rsid w:val="00065506"/>
    <w:rsid w:val="00071872"/>
    <w:rsid w:val="00071EEB"/>
    <w:rsid w:val="000742D8"/>
    <w:rsid w:val="0007501D"/>
    <w:rsid w:val="000751E4"/>
    <w:rsid w:val="00075B14"/>
    <w:rsid w:val="00075CC3"/>
    <w:rsid w:val="00076E82"/>
    <w:rsid w:val="0007706D"/>
    <w:rsid w:val="00081EAF"/>
    <w:rsid w:val="000834D5"/>
    <w:rsid w:val="00083CD8"/>
    <w:rsid w:val="00084544"/>
    <w:rsid w:val="000852EF"/>
    <w:rsid w:val="00087830"/>
    <w:rsid w:val="00087B5B"/>
    <w:rsid w:val="00090BC9"/>
    <w:rsid w:val="000924D4"/>
    <w:rsid w:val="000930A7"/>
    <w:rsid w:val="0009356B"/>
    <w:rsid w:val="00094019"/>
    <w:rsid w:val="00094155"/>
    <w:rsid w:val="000958FE"/>
    <w:rsid w:val="00096685"/>
    <w:rsid w:val="000A20FB"/>
    <w:rsid w:val="000A2145"/>
    <w:rsid w:val="000A37C7"/>
    <w:rsid w:val="000A3A3D"/>
    <w:rsid w:val="000A4210"/>
    <w:rsid w:val="000A69BB"/>
    <w:rsid w:val="000A6B59"/>
    <w:rsid w:val="000B0361"/>
    <w:rsid w:val="000B03F4"/>
    <w:rsid w:val="000B1860"/>
    <w:rsid w:val="000B2277"/>
    <w:rsid w:val="000B2EBA"/>
    <w:rsid w:val="000B3AF6"/>
    <w:rsid w:val="000B4803"/>
    <w:rsid w:val="000B4E35"/>
    <w:rsid w:val="000B5B50"/>
    <w:rsid w:val="000B5EC3"/>
    <w:rsid w:val="000B67C4"/>
    <w:rsid w:val="000B7C76"/>
    <w:rsid w:val="000C0206"/>
    <w:rsid w:val="000C0A37"/>
    <w:rsid w:val="000C167D"/>
    <w:rsid w:val="000C1B55"/>
    <w:rsid w:val="000C2D01"/>
    <w:rsid w:val="000C35BF"/>
    <w:rsid w:val="000C61C4"/>
    <w:rsid w:val="000C756F"/>
    <w:rsid w:val="000D0A8B"/>
    <w:rsid w:val="000D0CA5"/>
    <w:rsid w:val="000D0EDB"/>
    <w:rsid w:val="000D116A"/>
    <w:rsid w:val="000D1C71"/>
    <w:rsid w:val="000D25ED"/>
    <w:rsid w:val="000D3180"/>
    <w:rsid w:val="000D334D"/>
    <w:rsid w:val="000D4B04"/>
    <w:rsid w:val="000D565C"/>
    <w:rsid w:val="000D5660"/>
    <w:rsid w:val="000D5D8D"/>
    <w:rsid w:val="000D62DD"/>
    <w:rsid w:val="000D71AE"/>
    <w:rsid w:val="000D7821"/>
    <w:rsid w:val="000D7BD7"/>
    <w:rsid w:val="000D7CA5"/>
    <w:rsid w:val="000E0F19"/>
    <w:rsid w:val="000E36C9"/>
    <w:rsid w:val="000E3BC9"/>
    <w:rsid w:val="000E6F04"/>
    <w:rsid w:val="000F1348"/>
    <w:rsid w:val="000F366C"/>
    <w:rsid w:val="000F399C"/>
    <w:rsid w:val="000F41E2"/>
    <w:rsid w:val="000F46E7"/>
    <w:rsid w:val="000F489F"/>
    <w:rsid w:val="000F5409"/>
    <w:rsid w:val="000F6D38"/>
    <w:rsid w:val="000F76C2"/>
    <w:rsid w:val="00101DDA"/>
    <w:rsid w:val="00101E7F"/>
    <w:rsid w:val="00102AF0"/>
    <w:rsid w:val="00102E61"/>
    <w:rsid w:val="0010397E"/>
    <w:rsid w:val="00103BEB"/>
    <w:rsid w:val="00104F2A"/>
    <w:rsid w:val="00105518"/>
    <w:rsid w:val="001059CD"/>
    <w:rsid w:val="00106DDD"/>
    <w:rsid w:val="001077F1"/>
    <w:rsid w:val="00110C42"/>
    <w:rsid w:val="0011126A"/>
    <w:rsid w:val="00111443"/>
    <w:rsid w:val="00111C63"/>
    <w:rsid w:val="001133EB"/>
    <w:rsid w:val="00113401"/>
    <w:rsid w:val="00113930"/>
    <w:rsid w:val="00114142"/>
    <w:rsid w:val="00115675"/>
    <w:rsid w:val="00115A0D"/>
    <w:rsid w:val="00115D2D"/>
    <w:rsid w:val="00116D75"/>
    <w:rsid w:val="00116D7A"/>
    <w:rsid w:val="001231B9"/>
    <w:rsid w:val="00123F13"/>
    <w:rsid w:val="001241A1"/>
    <w:rsid w:val="00126197"/>
    <w:rsid w:val="0012692A"/>
    <w:rsid w:val="00127236"/>
    <w:rsid w:val="0013005C"/>
    <w:rsid w:val="00130402"/>
    <w:rsid w:val="00131E6C"/>
    <w:rsid w:val="00132632"/>
    <w:rsid w:val="00132AE1"/>
    <w:rsid w:val="00132C8E"/>
    <w:rsid w:val="001338CD"/>
    <w:rsid w:val="0013403D"/>
    <w:rsid w:val="001348D4"/>
    <w:rsid w:val="001349E7"/>
    <w:rsid w:val="00137DFB"/>
    <w:rsid w:val="00137F90"/>
    <w:rsid w:val="00141349"/>
    <w:rsid w:val="00141720"/>
    <w:rsid w:val="001437D8"/>
    <w:rsid w:val="00143A33"/>
    <w:rsid w:val="00146C12"/>
    <w:rsid w:val="001479AA"/>
    <w:rsid w:val="00151EAC"/>
    <w:rsid w:val="00153A79"/>
    <w:rsid w:val="001606D1"/>
    <w:rsid w:val="0016098F"/>
    <w:rsid w:val="00161189"/>
    <w:rsid w:val="00161514"/>
    <w:rsid w:val="00161733"/>
    <w:rsid w:val="001618CF"/>
    <w:rsid w:val="00161A42"/>
    <w:rsid w:val="00162571"/>
    <w:rsid w:val="0016328B"/>
    <w:rsid w:val="00163AF2"/>
    <w:rsid w:val="00164A0F"/>
    <w:rsid w:val="0016625A"/>
    <w:rsid w:val="00167743"/>
    <w:rsid w:val="00167A47"/>
    <w:rsid w:val="0017058A"/>
    <w:rsid w:val="0017189E"/>
    <w:rsid w:val="00171CB8"/>
    <w:rsid w:val="00172CE3"/>
    <w:rsid w:val="00174692"/>
    <w:rsid w:val="00175857"/>
    <w:rsid w:val="0017615E"/>
    <w:rsid w:val="00176407"/>
    <w:rsid w:val="001764A3"/>
    <w:rsid w:val="00176EA3"/>
    <w:rsid w:val="00180491"/>
    <w:rsid w:val="00180497"/>
    <w:rsid w:val="0018156C"/>
    <w:rsid w:val="00182CE5"/>
    <w:rsid w:val="00182F11"/>
    <w:rsid w:val="0018567C"/>
    <w:rsid w:val="00185E4B"/>
    <w:rsid w:val="00186E1E"/>
    <w:rsid w:val="00187097"/>
    <w:rsid w:val="0019037C"/>
    <w:rsid w:val="0019043E"/>
    <w:rsid w:val="001907E1"/>
    <w:rsid w:val="001924E5"/>
    <w:rsid w:val="00192542"/>
    <w:rsid w:val="001934B1"/>
    <w:rsid w:val="001935FA"/>
    <w:rsid w:val="00195E99"/>
    <w:rsid w:val="001A0456"/>
    <w:rsid w:val="001A0834"/>
    <w:rsid w:val="001A1A5A"/>
    <w:rsid w:val="001A2311"/>
    <w:rsid w:val="001A45BD"/>
    <w:rsid w:val="001A4C40"/>
    <w:rsid w:val="001A5BD4"/>
    <w:rsid w:val="001A60C8"/>
    <w:rsid w:val="001A636D"/>
    <w:rsid w:val="001B0974"/>
    <w:rsid w:val="001B0ADB"/>
    <w:rsid w:val="001B231F"/>
    <w:rsid w:val="001B29E5"/>
    <w:rsid w:val="001B31D9"/>
    <w:rsid w:val="001B3CA5"/>
    <w:rsid w:val="001B6075"/>
    <w:rsid w:val="001B7120"/>
    <w:rsid w:val="001C248A"/>
    <w:rsid w:val="001C32B7"/>
    <w:rsid w:val="001C3386"/>
    <w:rsid w:val="001C385A"/>
    <w:rsid w:val="001C386B"/>
    <w:rsid w:val="001C38EB"/>
    <w:rsid w:val="001C3FE2"/>
    <w:rsid w:val="001C4CA3"/>
    <w:rsid w:val="001C54AC"/>
    <w:rsid w:val="001C5953"/>
    <w:rsid w:val="001C66C3"/>
    <w:rsid w:val="001C6BF6"/>
    <w:rsid w:val="001C7337"/>
    <w:rsid w:val="001D2004"/>
    <w:rsid w:val="001D31AD"/>
    <w:rsid w:val="001D5A73"/>
    <w:rsid w:val="001D6606"/>
    <w:rsid w:val="001D736E"/>
    <w:rsid w:val="001E03BB"/>
    <w:rsid w:val="001E0471"/>
    <w:rsid w:val="001E0CF5"/>
    <w:rsid w:val="001E11D5"/>
    <w:rsid w:val="001E2C81"/>
    <w:rsid w:val="001E2E5F"/>
    <w:rsid w:val="001E5515"/>
    <w:rsid w:val="001E7133"/>
    <w:rsid w:val="001E768A"/>
    <w:rsid w:val="001E7705"/>
    <w:rsid w:val="001E7C5D"/>
    <w:rsid w:val="001F02AF"/>
    <w:rsid w:val="001F1F86"/>
    <w:rsid w:val="001F21B4"/>
    <w:rsid w:val="001F2D4F"/>
    <w:rsid w:val="001F5403"/>
    <w:rsid w:val="001F6A28"/>
    <w:rsid w:val="001F6A9F"/>
    <w:rsid w:val="001F6BD5"/>
    <w:rsid w:val="001F7D58"/>
    <w:rsid w:val="001F7E43"/>
    <w:rsid w:val="001F7F68"/>
    <w:rsid w:val="00200B04"/>
    <w:rsid w:val="00201156"/>
    <w:rsid w:val="0020131A"/>
    <w:rsid w:val="00201A5D"/>
    <w:rsid w:val="00202876"/>
    <w:rsid w:val="00203568"/>
    <w:rsid w:val="00203906"/>
    <w:rsid w:val="00204054"/>
    <w:rsid w:val="0020443B"/>
    <w:rsid w:val="00204E49"/>
    <w:rsid w:val="00205388"/>
    <w:rsid w:val="00205F88"/>
    <w:rsid w:val="00206214"/>
    <w:rsid w:val="002063AE"/>
    <w:rsid w:val="002078EA"/>
    <w:rsid w:val="00207955"/>
    <w:rsid w:val="00207CE3"/>
    <w:rsid w:val="002105CA"/>
    <w:rsid w:val="0021109C"/>
    <w:rsid w:val="00211EE4"/>
    <w:rsid w:val="002136D0"/>
    <w:rsid w:val="002145E3"/>
    <w:rsid w:val="00215828"/>
    <w:rsid w:val="00215844"/>
    <w:rsid w:val="00216737"/>
    <w:rsid w:val="002167F2"/>
    <w:rsid w:val="00216854"/>
    <w:rsid w:val="0022058B"/>
    <w:rsid w:val="00220C67"/>
    <w:rsid w:val="002218C0"/>
    <w:rsid w:val="00221EBE"/>
    <w:rsid w:val="00222BC6"/>
    <w:rsid w:val="00222E42"/>
    <w:rsid w:val="00224A82"/>
    <w:rsid w:val="00225337"/>
    <w:rsid w:val="002257E5"/>
    <w:rsid w:val="00225E78"/>
    <w:rsid w:val="00226CD5"/>
    <w:rsid w:val="00231827"/>
    <w:rsid w:val="002318CD"/>
    <w:rsid w:val="00231B00"/>
    <w:rsid w:val="00232B1D"/>
    <w:rsid w:val="002332E5"/>
    <w:rsid w:val="00234977"/>
    <w:rsid w:val="002352F2"/>
    <w:rsid w:val="00236231"/>
    <w:rsid w:val="00236D7E"/>
    <w:rsid w:val="0024001C"/>
    <w:rsid w:val="00241931"/>
    <w:rsid w:val="00242270"/>
    <w:rsid w:val="00245066"/>
    <w:rsid w:val="002451B2"/>
    <w:rsid w:val="00245583"/>
    <w:rsid w:val="00246231"/>
    <w:rsid w:val="0024623D"/>
    <w:rsid w:val="00246889"/>
    <w:rsid w:val="00246B4F"/>
    <w:rsid w:val="00247F67"/>
    <w:rsid w:val="00250FF1"/>
    <w:rsid w:val="0025428B"/>
    <w:rsid w:val="0025548E"/>
    <w:rsid w:val="00255AD2"/>
    <w:rsid w:val="002568D6"/>
    <w:rsid w:val="00257680"/>
    <w:rsid w:val="00257E6A"/>
    <w:rsid w:val="00261359"/>
    <w:rsid w:val="00263272"/>
    <w:rsid w:val="00263D0A"/>
    <w:rsid w:val="00264452"/>
    <w:rsid w:val="002645F0"/>
    <w:rsid w:val="0026489F"/>
    <w:rsid w:val="00265144"/>
    <w:rsid w:val="00265DB7"/>
    <w:rsid w:val="00266F06"/>
    <w:rsid w:val="00267E6B"/>
    <w:rsid w:val="002713E8"/>
    <w:rsid w:val="002726B9"/>
    <w:rsid w:val="00274054"/>
    <w:rsid w:val="00274D1B"/>
    <w:rsid w:val="00276A8B"/>
    <w:rsid w:val="002804E6"/>
    <w:rsid w:val="00280760"/>
    <w:rsid w:val="00280B1F"/>
    <w:rsid w:val="002811C8"/>
    <w:rsid w:val="002812E1"/>
    <w:rsid w:val="002815EF"/>
    <w:rsid w:val="00282C46"/>
    <w:rsid w:val="0028342A"/>
    <w:rsid w:val="002834CA"/>
    <w:rsid w:val="002847DC"/>
    <w:rsid w:val="0028576F"/>
    <w:rsid w:val="00285D64"/>
    <w:rsid w:val="002864A7"/>
    <w:rsid w:val="002871A9"/>
    <w:rsid w:val="002875C6"/>
    <w:rsid w:val="0028799D"/>
    <w:rsid w:val="002914F4"/>
    <w:rsid w:val="00291926"/>
    <w:rsid w:val="00291D51"/>
    <w:rsid w:val="00293581"/>
    <w:rsid w:val="00293FCA"/>
    <w:rsid w:val="00295A49"/>
    <w:rsid w:val="00296623"/>
    <w:rsid w:val="00296B38"/>
    <w:rsid w:val="002975A1"/>
    <w:rsid w:val="0029787F"/>
    <w:rsid w:val="00297FD0"/>
    <w:rsid w:val="002A027B"/>
    <w:rsid w:val="002A09CF"/>
    <w:rsid w:val="002A11BF"/>
    <w:rsid w:val="002A1406"/>
    <w:rsid w:val="002A28B7"/>
    <w:rsid w:val="002A2A4A"/>
    <w:rsid w:val="002A4E52"/>
    <w:rsid w:val="002A64FB"/>
    <w:rsid w:val="002A718D"/>
    <w:rsid w:val="002B072C"/>
    <w:rsid w:val="002B0DBC"/>
    <w:rsid w:val="002B232E"/>
    <w:rsid w:val="002B2579"/>
    <w:rsid w:val="002B3561"/>
    <w:rsid w:val="002B4909"/>
    <w:rsid w:val="002B4FFB"/>
    <w:rsid w:val="002B737F"/>
    <w:rsid w:val="002B73B7"/>
    <w:rsid w:val="002C00D1"/>
    <w:rsid w:val="002C0118"/>
    <w:rsid w:val="002C111A"/>
    <w:rsid w:val="002C3266"/>
    <w:rsid w:val="002C3B9A"/>
    <w:rsid w:val="002C3E88"/>
    <w:rsid w:val="002C5774"/>
    <w:rsid w:val="002C5834"/>
    <w:rsid w:val="002C590D"/>
    <w:rsid w:val="002C5B42"/>
    <w:rsid w:val="002C6CA2"/>
    <w:rsid w:val="002D107C"/>
    <w:rsid w:val="002D24E1"/>
    <w:rsid w:val="002D2B0D"/>
    <w:rsid w:val="002D2C26"/>
    <w:rsid w:val="002D2C9F"/>
    <w:rsid w:val="002D2DD8"/>
    <w:rsid w:val="002D311A"/>
    <w:rsid w:val="002D33D0"/>
    <w:rsid w:val="002D3E8F"/>
    <w:rsid w:val="002D5BDD"/>
    <w:rsid w:val="002D6BA9"/>
    <w:rsid w:val="002D70DE"/>
    <w:rsid w:val="002D75CA"/>
    <w:rsid w:val="002E0EDD"/>
    <w:rsid w:val="002E15BA"/>
    <w:rsid w:val="002E21C2"/>
    <w:rsid w:val="002E2F50"/>
    <w:rsid w:val="002E42C3"/>
    <w:rsid w:val="002E4326"/>
    <w:rsid w:val="002E472B"/>
    <w:rsid w:val="002E4788"/>
    <w:rsid w:val="002E4C7A"/>
    <w:rsid w:val="002E4E0B"/>
    <w:rsid w:val="002E605D"/>
    <w:rsid w:val="002E7FAE"/>
    <w:rsid w:val="002F17F9"/>
    <w:rsid w:val="002F235E"/>
    <w:rsid w:val="002F302F"/>
    <w:rsid w:val="002F508F"/>
    <w:rsid w:val="002F5F4D"/>
    <w:rsid w:val="002F718D"/>
    <w:rsid w:val="002F7E2B"/>
    <w:rsid w:val="00300D22"/>
    <w:rsid w:val="00300E10"/>
    <w:rsid w:val="0030174B"/>
    <w:rsid w:val="00303C75"/>
    <w:rsid w:val="00306011"/>
    <w:rsid w:val="003060A5"/>
    <w:rsid w:val="00306E10"/>
    <w:rsid w:val="00307470"/>
    <w:rsid w:val="003075F3"/>
    <w:rsid w:val="0031037E"/>
    <w:rsid w:val="003123B6"/>
    <w:rsid w:val="00312615"/>
    <w:rsid w:val="00312A16"/>
    <w:rsid w:val="00316E69"/>
    <w:rsid w:val="00317385"/>
    <w:rsid w:val="00317928"/>
    <w:rsid w:val="0032034F"/>
    <w:rsid w:val="00320744"/>
    <w:rsid w:val="00321449"/>
    <w:rsid w:val="00321CAC"/>
    <w:rsid w:val="00322F9F"/>
    <w:rsid w:val="00324176"/>
    <w:rsid w:val="00324F38"/>
    <w:rsid w:val="00324FE8"/>
    <w:rsid w:val="00327765"/>
    <w:rsid w:val="0033096B"/>
    <w:rsid w:val="00330C27"/>
    <w:rsid w:val="00330F9E"/>
    <w:rsid w:val="0033132D"/>
    <w:rsid w:val="00333511"/>
    <w:rsid w:val="003339D3"/>
    <w:rsid w:val="003339F9"/>
    <w:rsid w:val="00336439"/>
    <w:rsid w:val="003402EA"/>
    <w:rsid w:val="00340859"/>
    <w:rsid w:val="00341A3C"/>
    <w:rsid w:val="003438BF"/>
    <w:rsid w:val="00344F36"/>
    <w:rsid w:val="00347330"/>
    <w:rsid w:val="003477B3"/>
    <w:rsid w:val="00347816"/>
    <w:rsid w:val="0035104C"/>
    <w:rsid w:val="003516B6"/>
    <w:rsid w:val="00353DEB"/>
    <w:rsid w:val="00355D89"/>
    <w:rsid w:val="003569BD"/>
    <w:rsid w:val="0035732A"/>
    <w:rsid w:val="00357FE9"/>
    <w:rsid w:val="00360002"/>
    <w:rsid w:val="00360558"/>
    <w:rsid w:val="003617AE"/>
    <w:rsid w:val="00361C94"/>
    <w:rsid w:val="00362339"/>
    <w:rsid w:val="00362CC9"/>
    <w:rsid w:val="003638F3"/>
    <w:rsid w:val="003658BB"/>
    <w:rsid w:val="00366A44"/>
    <w:rsid w:val="0036789C"/>
    <w:rsid w:val="00370CD3"/>
    <w:rsid w:val="003717CB"/>
    <w:rsid w:val="00371BE3"/>
    <w:rsid w:val="00374078"/>
    <w:rsid w:val="00374462"/>
    <w:rsid w:val="003756CD"/>
    <w:rsid w:val="003757E8"/>
    <w:rsid w:val="003773F6"/>
    <w:rsid w:val="00377AAE"/>
    <w:rsid w:val="0038060E"/>
    <w:rsid w:val="003809B2"/>
    <w:rsid w:val="003809BE"/>
    <w:rsid w:val="00380EC4"/>
    <w:rsid w:val="0038112B"/>
    <w:rsid w:val="00381DCC"/>
    <w:rsid w:val="00381EBA"/>
    <w:rsid w:val="00383B53"/>
    <w:rsid w:val="00385E0E"/>
    <w:rsid w:val="00385F29"/>
    <w:rsid w:val="003904FC"/>
    <w:rsid w:val="0039071F"/>
    <w:rsid w:val="00391718"/>
    <w:rsid w:val="0039328C"/>
    <w:rsid w:val="003932CA"/>
    <w:rsid w:val="003933CE"/>
    <w:rsid w:val="0039408B"/>
    <w:rsid w:val="0039526E"/>
    <w:rsid w:val="00395586"/>
    <w:rsid w:val="00395DDE"/>
    <w:rsid w:val="00397396"/>
    <w:rsid w:val="003A17D8"/>
    <w:rsid w:val="003A2D9B"/>
    <w:rsid w:val="003A3429"/>
    <w:rsid w:val="003A499F"/>
    <w:rsid w:val="003A4C2E"/>
    <w:rsid w:val="003A553F"/>
    <w:rsid w:val="003A5DEF"/>
    <w:rsid w:val="003A6A32"/>
    <w:rsid w:val="003A6DC9"/>
    <w:rsid w:val="003B00CB"/>
    <w:rsid w:val="003B016E"/>
    <w:rsid w:val="003B0797"/>
    <w:rsid w:val="003B07E1"/>
    <w:rsid w:val="003B18AA"/>
    <w:rsid w:val="003B2562"/>
    <w:rsid w:val="003B290D"/>
    <w:rsid w:val="003B2D69"/>
    <w:rsid w:val="003B3E0D"/>
    <w:rsid w:val="003B5DA7"/>
    <w:rsid w:val="003B7381"/>
    <w:rsid w:val="003B7E3F"/>
    <w:rsid w:val="003C058B"/>
    <w:rsid w:val="003C0A5D"/>
    <w:rsid w:val="003C1002"/>
    <w:rsid w:val="003C1818"/>
    <w:rsid w:val="003C1922"/>
    <w:rsid w:val="003C2A2A"/>
    <w:rsid w:val="003C5C48"/>
    <w:rsid w:val="003C6D8C"/>
    <w:rsid w:val="003C73DC"/>
    <w:rsid w:val="003C7823"/>
    <w:rsid w:val="003D1974"/>
    <w:rsid w:val="003D19DD"/>
    <w:rsid w:val="003D248F"/>
    <w:rsid w:val="003D2FED"/>
    <w:rsid w:val="003D377F"/>
    <w:rsid w:val="003D464B"/>
    <w:rsid w:val="003D505E"/>
    <w:rsid w:val="003D5382"/>
    <w:rsid w:val="003D5F14"/>
    <w:rsid w:val="003D7082"/>
    <w:rsid w:val="003E1CAB"/>
    <w:rsid w:val="003E1E75"/>
    <w:rsid w:val="003E35BB"/>
    <w:rsid w:val="003E3865"/>
    <w:rsid w:val="003E4CC5"/>
    <w:rsid w:val="003E4D3B"/>
    <w:rsid w:val="003E5A8D"/>
    <w:rsid w:val="003E6FE9"/>
    <w:rsid w:val="003E7502"/>
    <w:rsid w:val="003F1136"/>
    <w:rsid w:val="003F13B3"/>
    <w:rsid w:val="003F1D52"/>
    <w:rsid w:val="003F2B06"/>
    <w:rsid w:val="003F3848"/>
    <w:rsid w:val="003F3A90"/>
    <w:rsid w:val="003F3C35"/>
    <w:rsid w:val="003F41DC"/>
    <w:rsid w:val="003F48CE"/>
    <w:rsid w:val="003F7C1A"/>
    <w:rsid w:val="00400EDA"/>
    <w:rsid w:val="00401669"/>
    <w:rsid w:val="004016EE"/>
    <w:rsid w:val="00403E2E"/>
    <w:rsid w:val="00403FDF"/>
    <w:rsid w:val="004053F0"/>
    <w:rsid w:val="0041364D"/>
    <w:rsid w:val="00413AE8"/>
    <w:rsid w:val="0041419E"/>
    <w:rsid w:val="004142BA"/>
    <w:rsid w:val="004143B0"/>
    <w:rsid w:val="00414782"/>
    <w:rsid w:val="004152FD"/>
    <w:rsid w:val="00416B58"/>
    <w:rsid w:val="00416C84"/>
    <w:rsid w:val="00417A78"/>
    <w:rsid w:val="00420AC1"/>
    <w:rsid w:val="00420B34"/>
    <w:rsid w:val="004210DF"/>
    <w:rsid w:val="004218E8"/>
    <w:rsid w:val="00422355"/>
    <w:rsid w:val="00422582"/>
    <w:rsid w:val="00422BB4"/>
    <w:rsid w:val="00423648"/>
    <w:rsid w:val="004238A6"/>
    <w:rsid w:val="0042467B"/>
    <w:rsid w:val="00425398"/>
    <w:rsid w:val="0042554A"/>
    <w:rsid w:val="00425712"/>
    <w:rsid w:val="0042585A"/>
    <w:rsid w:val="00425D53"/>
    <w:rsid w:val="00431087"/>
    <w:rsid w:val="00431CA5"/>
    <w:rsid w:val="00431F0B"/>
    <w:rsid w:val="00432E53"/>
    <w:rsid w:val="00434104"/>
    <w:rsid w:val="00434689"/>
    <w:rsid w:val="00436495"/>
    <w:rsid w:val="004369E9"/>
    <w:rsid w:val="00436D9A"/>
    <w:rsid w:val="004415EE"/>
    <w:rsid w:val="004426E2"/>
    <w:rsid w:val="00443076"/>
    <w:rsid w:val="00443125"/>
    <w:rsid w:val="004434A3"/>
    <w:rsid w:val="0044573D"/>
    <w:rsid w:val="004464EB"/>
    <w:rsid w:val="004472F1"/>
    <w:rsid w:val="0044776C"/>
    <w:rsid w:val="004503BD"/>
    <w:rsid w:val="00451ECB"/>
    <w:rsid w:val="00452A8C"/>
    <w:rsid w:val="00452FBB"/>
    <w:rsid w:val="00454B9D"/>
    <w:rsid w:val="0045595A"/>
    <w:rsid w:val="00455B9D"/>
    <w:rsid w:val="004563E3"/>
    <w:rsid w:val="00457E80"/>
    <w:rsid w:val="004620EB"/>
    <w:rsid w:val="00463504"/>
    <w:rsid w:val="0046362D"/>
    <w:rsid w:val="0046422B"/>
    <w:rsid w:val="00464AF7"/>
    <w:rsid w:val="004655BF"/>
    <w:rsid w:val="00465F23"/>
    <w:rsid w:val="0046606E"/>
    <w:rsid w:val="00467A99"/>
    <w:rsid w:val="00467FB8"/>
    <w:rsid w:val="00470491"/>
    <w:rsid w:val="00473E80"/>
    <w:rsid w:val="004747D2"/>
    <w:rsid w:val="00474F62"/>
    <w:rsid w:val="004750A1"/>
    <w:rsid w:val="00475840"/>
    <w:rsid w:val="00475BD1"/>
    <w:rsid w:val="00476DC6"/>
    <w:rsid w:val="00480E2F"/>
    <w:rsid w:val="0048121A"/>
    <w:rsid w:val="00481F4A"/>
    <w:rsid w:val="0048213D"/>
    <w:rsid w:val="00482F65"/>
    <w:rsid w:val="00484959"/>
    <w:rsid w:val="0049017A"/>
    <w:rsid w:val="00491DC8"/>
    <w:rsid w:val="00493603"/>
    <w:rsid w:val="00495CCE"/>
    <w:rsid w:val="00495EC8"/>
    <w:rsid w:val="00496429"/>
    <w:rsid w:val="00496A27"/>
    <w:rsid w:val="004A013F"/>
    <w:rsid w:val="004A0FFA"/>
    <w:rsid w:val="004A1062"/>
    <w:rsid w:val="004A32B2"/>
    <w:rsid w:val="004A3FBF"/>
    <w:rsid w:val="004A4692"/>
    <w:rsid w:val="004A4979"/>
    <w:rsid w:val="004A6191"/>
    <w:rsid w:val="004A6AF5"/>
    <w:rsid w:val="004A7F29"/>
    <w:rsid w:val="004B155A"/>
    <w:rsid w:val="004B1725"/>
    <w:rsid w:val="004B1A02"/>
    <w:rsid w:val="004B1D61"/>
    <w:rsid w:val="004B2B7A"/>
    <w:rsid w:val="004B48F8"/>
    <w:rsid w:val="004B4957"/>
    <w:rsid w:val="004B59D9"/>
    <w:rsid w:val="004B5AA6"/>
    <w:rsid w:val="004C005B"/>
    <w:rsid w:val="004C0C08"/>
    <w:rsid w:val="004C1A5E"/>
    <w:rsid w:val="004C381B"/>
    <w:rsid w:val="004C3AAF"/>
    <w:rsid w:val="004C4191"/>
    <w:rsid w:val="004C4D03"/>
    <w:rsid w:val="004C53FD"/>
    <w:rsid w:val="004C584C"/>
    <w:rsid w:val="004C65DC"/>
    <w:rsid w:val="004C6A80"/>
    <w:rsid w:val="004C718D"/>
    <w:rsid w:val="004D256E"/>
    <w:rsid w:val="004D2FF2"/>
    <w:rsid w:val="004D4307"/>
    <w:rsid w:val="004D45C8"/>
    <w:rsid w:val="004D68A4"/>
    <w:rsid w:val="004D79EC"/>
    <w:rsid w:val="004E08B3"/>
    <w:rsid w:val="004E2466"/>
    <w:rsid w:val="004E2FF7"/>
    <w:rsid w:val="004E4655"/>
    <w:rsid w:val="004E7327"/>
    <w:rsid w:val="004F0E94"/>
    <w:rsid w:val="004F15B2"/>
    <w:rsid w:val="004F2B7A"/>
    <w:rsid w:val="004F3C7B"/>
    <w:rsid w:val="004F44E4"/>
    <w:rsid w:val="004F4961"/>
    <w:rsid w:val="004F5BE3"/>
    <w:rsid w:val="004F5EA6"/>
    <w:rsid w:val="004F7012"/>
    <w:rsid w:val="00501717"/>
    <w:rsid w:val="00501B52"/>
    <w:rsid w:val="005024BD"/>
    <w:rsid w:val="005043C0"/>
    <w:rsid w:val="0050548A"/>
    <w:rsid w:val="00506976"/>
    <w:rsid w:val="00510570"/>
    <w:rsid w:val="00510941"/>
    <w:rsid w:val="00511304"/>
    <w:rsid w:val="0051154C"/>
    <w:rsid w:val="00511EB5"/>
    <w:rsid w:val="005125F5"/>
    <w:rsid w:val="00513132"/>
    <w:rsid w:val="00513770"/>
    <w:rsid w:val="00514060"/>
    <w:rsid w:val="0051574E"/>
    <w:rsid w:val="00516A7C"/>
    <w:rsid w:val="005173C7"/>
    <w:rsid w:val="005209C5"/>
    <w:rsid w:val="00520E44"/>
    <w:rsid w:val="00521B2F"/>
    <w:rsid w:val="00522397"/>
    <w:rsid w:val="0052305E"/>
    <w:rsid w:val="00524B74"/>
    <w:rsid w:val="005258B4"/>
    <w:rsid w:val="005270B7"/>
    <w:rsid w:val="00527A90"/>
    <w:rsid w:val="00527C2A"/>
    <w:rsid w:val="0053021E"/>
    <w:rsid w:val="005306E1"/>
    <w:rsid w:val="00530DA3"/>
    <w:rsid w:val="00532F4B"/>
    <w:rsid w:val="00536CA2"/>
    <w:rsid w:val="0053721D"/>
    <w:rsid w:val="00537603"/>
    <w:rsid w:val="00537EF2"/>
    <w:rsid w:val="005411D8"/>
    <w:rsid w:val="005427C5"/>
    <w:rsid w:val="00542BE7"/>
    <w:rsid w:val="00543C83"/>
    <w:rsid w:val="0054440B"/>
    <w:rsid w:val="0054469D"/>
    <w:rsid w:val="005452AF"/>
    <w:rsid w:val="005473CF"/>
    <w:rsid w:val="0054776A"/>
    <w:rsid w:val="00551730"/>
    <w:rsid w:val="00551A3B"/>
    <w:rsid w:val="00551E7D"/>
    <w:rsid w:val="00553310"/>
    <w:rsid w:val="00553CAD"/>
    <w:rsid w:val="00555633"/>
    <w:rsid w:val="00560A12"/>
    <w:rsid w:val="005617E1"/>
    <w:rsid w:val="00561D4E"/>
    <w:rsid w:val="00562490"/>
    <w:rsid w:val="00563240"/>
    <w:rsid w:val="005664E3"/>
    <w:rsid w:val="00566BC7"/>
    <w:rsid w:val="00567318"/>
    <w:rsid w:val="0056734B"/>
    <w:rsid w:val="00567F85"/>
    <w:rsid w:val="0057192F"/>
    <w:rsid w:val="005722D3"/>
    <w:rsid w:val="005738CD"/>
    <w:rsid w:val="0057439E"/>
    <w:rsid w:val="005763D8"/>
    <w:rsid w:val="005764D1"/>
    <w:rsid w:val="00577073"/>
    <w:rsid w:val="005811E4"/>
    <w:rsid w:val="0058161C"/>
    <w:rsid w:val="0058273F"/>
    <w:rsid w:val="00582AFC"/>
    <w:rsid w:val="005834C2"/>
    <w:rsid w:val="00584C8B"/>
    <w:rsid w:val="00585A7D"/>
    <w:rsid w:val="00585ADB"/>
    <w:rsid w:val="00585B1D"/>
    <w:rsid w:val="00585C11"/>
    <w:rsid w:val="00585ED5"/>
    <w:rsid w:val="005864F0"/>
    <w:rsid w:val="005868AF"/>
    <w:rsid w:val="00586CF3"/>
    <w:rsid w:val="0058744C"/>
    <w:rsid w:val="00587836"/>
    <w:rsid w:val="00590FDB"/>
    <w:rsid w:val="005912A3"/>
    <w:rsid w:val="00592D03"/>
    <w:rsid w:val="005939E9"/>
    <w:rsid w:val="00593E2B"/>
    <w:rsid w:val="00595180"/>
    <w:rsid w:val="00595377"/>
    <w:rsid w:val="00595FA0"/>
    <w:rsid w:val="00596AE5"/>
    <w:rsid w:val="00596F28"/>
    <w:rsid w:val="005A11B1"/>
    <w:rsid w:val="005A24BD"/>
    <w:rsid w:val="005A47F3"/>
    <w:rsid w:val="005A4B5E"/>
    <w:rsid w:val="005A53AB"/>
    <w:rsid w:val="005A72FA"/>
    <w:rsid w:val="005B20A4"/>
    <w:rsid w:val="005B221F"/>
    <w:rsid w:val="005B2980"/>
    <w:rsid w:val="005B3428"/>
    <w:rsid w:val="005B4B84"/>
    <w:rsid w:val="005B4D2B"/>
    <w:rsid w:val="005B570B"/>
    <w:rsid w:val="005B75D2"/>
    <w:rsid w:val="005B7704"/>
    <w:rsid w:val="005C1A46"/>
    <w:rsid w:val="005C2004"/>
    <w:rsid w:val="005C2CCE"/>
    <w:rsid w:val="005C2D6F"/>
    <w:rsid w:val="005C487D"/>
    <w:rsid w:val="005C691F"/>
    <w:rsid w:val="005C6ACE"/>
    <w:rsid w:val="005C6D0C"/>
    <w:rsid w:val="005C787D"/>
    <w:rsid w:val="005D1C2E"/>
    <w:rsid w:val="005D1CD3"/>
    <w:rsid w:val="005D3350"/>
    <w:rsid w:val="005D3FC2"/>
    <w:rsid w:val="005D4838"/>
    <w:rsid w:val="005D6DA1"/>
    <w:rsid w:val="005D7877"/>
    <w:rsid w:val="005E05B6"/>
    <w:rsid w:val="005E0631"/>
    <w:rsid w:val="005E3248"/>
    <w:rsid w:val="005E32BE"/>
    <w:rsid w:val="005E3FEA"/>
    <w:rsid w:val="005E58E3"/>
    <w:rsid w:val="005F0B31"/>
    <w:rsid w:val="005F17A9"/>
    <w:rsid w:val="005F277F"/>
    <w:rsid w:val="005F27DA"/>
    <w:rsid w:val="005F294F"/>
    <w:rsid w:val="005F3479"/>
    <w:rsid w:val="005F3BE8"/>
    <w:rsid w:val="005F4368"/>
    <w:rsid w:val="005F46D5"/>
    <w:rsid w:val="005F4D4A"/>
    <w:rsid w:val="005F56C9"/>
    <w:rsid w:val="005F6035"/>
    <w:rsid w:val="005F606D"/>
    <w:rsid w:val="005F6829"/>
    <w:rsid w:val="005F726B"/>
    <w:rsid w:val="005F7946"/>
    <w:rsid w:val="00600194"/>
    <w:rsid w:val="006003FE"/>
    <w:rsid w:val="00600447"/>
    <w:rsid w:val="00600B7D"/>
    <w:rsid w:val="00601A59"/>
    <w:rsid w:val="00601A95"/>
    <w:rsid w:val="00604B3F"/>
    <w:rsid w:val="006050AA"/>
    <w:rsid w:val="00605C02"/>
    <w:rsid w:val="00606A5B"/>
    <w:rsid w:val="00607863"/>
    <w:rsid w:val="0060797C"/>
    <w:rsid w:val="00607F68"/>
    <w:rsid w:val="00611313"/>
    <w:rsid w:val="00613777"/>
    <w:rsid w:val="00613C1A"/>
    <w:rsid w:val="0061424D"/>
    <w:rsid w:val="006146F8"/>
    <w:rsid w:val="00615B24"/>
    <w:rsid w:val="00616160"/>
    <w:rsid w:val="00620714"/>
    <w:rsid w:val="006226C4"/>
    <w:rsid w:val="0062325E"/>
    <w:rsid w:val="00623872"/>
    <w:rsid w:val="00624176"/>
    <w:rsid w:val="0062491C"/>
    <w:rsid w:val="00626236"/>
    <w:rsid w:val="0062674B"/>
    <w:rsid w:val="006307A4"/>
    <w:rsid w:val="00630B76"/>
    <w:rsid w:val="00631AA5"/>
    <w:rsid w:val="00632F7B"/>
    <w:rsid w:val="00636A8D"/>
    <w:rsid w:val="00636FC9"/>
    <w:rsid w:val="006405AE"/>
    <w:rsid w:val="00642CAA"/>
    <w:rsid w:val="00643139"/>
    <w:rsid w:val="00643830"/>
    <w:rsid w:val="00643E29"/>
    <w:rsid w:val="00644011"/>
    <w:rsid w:val="006442CD"/>
    <w:rsid w:val="00644A38"/>
    <w:rsid w:val="00645232"/>
    <w:rsid w:val="0064525E"/>
    <w:rsid w:val="00645DD0"/>
    <w:rsid w:val="00646866"/>
    <w:rsid w:val="00647561"/>
    <w:rsid w:val="00654FBD"/>
    <w:rsid w:val="006555D0"/>
    <w:rsid w:val="00656B37"/>
    <w:rsid w:val="00657873"/>
    <w:rsid w:val="00660C8F"/>
    <w:rsid w:val="00660D5B"/>
    <w:rsid w:val="00660D86"/>
    <w:rsid w:val="006620A8"/>
    <w:rsid w:val="0066371C"/>
    <w:rsid w:val="00664697"/>
    <w:rsid w:val="00666EF8"/>
    <w:rsid w:val="006673BE"/>
    <w:rsid w:val="00667846"/>
    <w:rsid w:val="006703AD"/>
    <w:rsid w:val="00672155"/>
    <w:rsid w:val="006738AB"/>
    <w:rsid w:val="006753A2"/>
    <w:rsid w:val="00675503"/>
    <w:rsid w:val="00677D95"/>
    <w:rsid w:val="00680A48"/>
    <w:rsid w:val="0068150C"/>
    <w:rsid w:val="00681B0E"/>
    <w:rsid w:val="00681BFC"/>
    <w:rsid w:val="006821F7"/>
    <w:rsid w:val="0068413E"/>
    <w:rsid w:val="00685246"/>
    <w:rsid w:val="00685E98"/>
    <w:rsid w:val="00687343"/>
    <w:rsid w:val="00687952"/>
    <w:rsid w:val="00690F5F"/>
    <w:rsid w:val="0069101F"/>
    <w:rsid w:val="00691870"/>
    <w:rsid w:val="00692099"/>
    <w:rsid w:val="006921F8"/>
    <w:rsid w:val="006921FD"/>
    <w:rsid w:val="0069230B"/>
    <w:rsid w:val="0069249D"/>
    <w:rsid w:val="0069405E"/>
    <w:rsid w:val="006946A3"/>
    <w:rsid w:val="00696023"/>
    <w:rsid w:val="006972B3"/>
    <w:rsid w:val="006974D3"/>
    <w:rsid w:val="006A1326"/>
    <w:rsid w:val="006A1959"/>
    <w:rsid w:val="006A22D7"/>
    <w:rsid w:val="006A2DE7"/>
    <w:rsid w:val="006A2E1F"/>
    <w:rsid w:val="006A401A"/>
    <w:rsid w:val="006A4279"/>
    <w:rsid w:val="006A4724"/>
    <w:rsid w:val="006A533D"/>
    <w:rsid w:val="006A5BC1"/>
    <w:rsid w:val="006A63AD"/>
    <w:rsid w:val="006A763A"/>
    <w:rsid w:val="006B31A5"/>
    <w:rsid w:val="006B4353"/>
    <w:rsid w:val="006B44D5"/>
    <w:rsid w:val="006B590B"/>
    <w:rsid w:val="006B5B18"/>
    <w:rsid w:val="006B6311"/>
    <w:rsid w:val="006B6B2A"/>
    <w:rsid w:val="006B6EA9"/>
    <w:rsid w:val="006B7BAF"/>
    <w:rsid w:val="006C042E"/>
    <w:rsid w:val="006C178A"/>
    <w:rsid w:val="006C1801"/>
    <w:rsid w:val="006C30F1"/>
    <w:rsid w:val="006C4BB8"/>
    <w:rsid w:val="006C4EB5"/>
    <w:rsid w:val="006C5AB8"/>
    <w:rsid w:val="006C6279"/>
    <w:rsid w:val="006C72D7"/>
    <w:rsid w:val="006C7638"/>
    <w:rsid w:val="006C78C2"/>
    <w:rsid w:val="006D00B6"/>
    <w:rsid w:val="006D0DEF"/>
    <w:rsid w:val="006D1158"/>
    <w:rsid w:val="006D48D4"/>
    <w:rsid w:val="006D50F8"/>
    <w:rsid w:val="006D57C5"/>
    <w:rsid w:val="006D7475"/>
    <w:rsid w:val="006E01A9"/>
    <w:rsid w:val="006E04AD"/>
    <w:rsid w:val="006E0B41"/>
    <w:rsid w:val="006E169C"/>
    <w:rsid w:val="006E2AB8"/>
    <w:rsid w:val="006E5473"/>
    <w:rsid w:val="006E651E"/>
    <w:rsid w:val="006E697B"/>
    <w:rsid w:val="006E723F"/>
    <w:rsid w:val="006E73D5"/>
    <w:rsid w:val="006F166C"/>
    <w:rsid w:val="006F2C74"/>
    <w:rsid w:val="006F3AF6"/>
    <w:rsid w:val="006F3B4C"/>
    <w:rsid w:val="006F3D97"/>
    <w:rsid w:val="006F4CBF"/>
    <w:rsid w:val="006F6CD2"/>
    <w:rsid w:val="006F77DC"/>
    <w:rsid w:val="00700270"/>
    <w:rsid w:val="0070108F"/>
    <w:rsid w:val="007018DD"/>
    <w:rsid w:val="007024E7"/>
    <w:rsid w:val="00702C4D"/>
    <w:rsid w:val="00703015"/>
    <w:rsid w:val="00704271"/>
    <w:rsid w:val="007044A2"/>
    <w:rsid w:val="007055D0"/>
    <w:rsid w:val="00706A74"/>
    <w:rsid w:val="00706FC7"/>
    <w:rsid w:val="007072FD"/>
    <w:rsid w:val="00711C29"/>
    <w:rsid w:val="0071261F"/>
    <w:rsid w:val="00712EDB"/>
    <w:rsid w:val="007130F0"/>
    <w:rsid w:val="0071310E"/>
    <w:rsid w:val="00713AE9"/>
    <w:rsid w:val="00714836"/>
    <w:rsid w:val="0071543B"/>
    <w:rsid w:val="0071650C"/>
    <w:rsid w:val="00716E18"/>
    <w:rsid w:val="0071759D"/>
    <w:rsid w:val="00717D4A"/>
    <w:rsid w:val="00720458"/>
    <w:rsid w:val="00720B02"/>
    <w:rsid w:val="00721E0A"/>
    <w:rsid w:val="007235E8"/>
    <w:rsid w:val="00724010"/>
    <w:rsid w:val="00725500"/>
    <w:rsid w:val="00725802"/>
    <w:rsid w:val="007259AC"/>
    <w:rsid w:val="007263AD"/>
    <w:rsid w:val="007263FB"/>
    <w:rsid w:val="007276F8"/>
    <w:rsid w:val="00727E4F"/>
    <w:rsid w:val="00730046"/>
    <w:rsid w:val="00730620"/>
    <w:rsid w:val="0073345C"/>
    <w:rsid w:val="00734C46"/>
    <w:rsid w:val="00737895"/>
    <w:rsid w:val="007401BE"/>
    <w:rsid w:val="00740E5F"/>
    <w:rsid w:val="00740FE0"/>
    <w:rsid w:val="0074168C"/>
    <w:rsid w:val="00741F68"/>
    <w:rsid w:val="0074228E"/>
    <w:rsid w:val="007424DA"/>
    <w:rsid w:val="007457E2"/>
    <w:rsid w:val="00745D76"/>
    <w:rsid w:val="00747093"/>
    <w:rsid w:val="00751F96"/>
    <w:rsid w:val="00752232"/>
    <w:rsid w:val="00754F14"/>
    <w:rsid w:val="007553C2"/>
    <w:rsid w:val="00757822"/>
    <w:rsid w:val="00757F05"/>
    <w:rsid w:val="007601E8"/>
    <w:rsid w:val="00760D15"/>
    <w:rsid w:val="007610D0"/>
    <w:rsid w:val="00761E2F"/>
    <w:rsid w:val="007623F9"/>
    <w:rsid w:val="007629F3"/>
    <w:rsid w:val="00762A55"/>
    <w:rsid w:val="007630CD"/>
    <w:rsid w:val="00763749"/>
    <w:rsid w:val="007659C9"/>
    <w:rsid w:val="00765D0A"/>
    <w:rsid w:val="00766494"/>
    <w:rsid w:val="00766DEE"/>
    <w:rsid w:val="00766F51"/>
    <w:rsid w:val="00766FEC"/>
    <w:rsid w:val="007707AB"/>
    <w:rsid w:val="00771597"/>
    <w:rsid w:val="007720AB"/>
    <w:rsid w:val="00772134"/>
    <w:rsid w:val="00772994"/>
    <w:rsid w:val="0077342E"/>
    <w:rsid w:val="0077351C"/>
    <w:rsid w:val="00773CF2"/>
    <w:rsid w:val="00774BFA"/>
    <w:rsid w:val="00774F5E"/>
    <w:rsid w:val="00776B0A"/>
    <w:rsid w:val="007772FD"/>
    <w:rsid w:val="00781CC1"/>
    <w:rsid w:val="00781D24"/>
    <w:rsid w:val="007830B8"/>
    <w:rsid w:val="00783AA1"/>
    <w:rsid w:val="00784C3D"/>
    <w:rsid w:val="0078533F"/>
    <w:rsid w:val="00786AB4"/>
    <w:rsid w:val="00786CC8"/>
    <w:rsid w:val="00787B77"/>
    <w:rsid w:val="00790E72"/>
    <w:rsid w:val="0079107B"/>
    <w:rsid w:val="00791CAC"/>
    <w:rsid w:val="007920F0"/>
    <w:rsid w:val="0079653F"/>
    <w:rsid w:val="00797F5F"/>
    <w:rsid w:val="007A0EAD"/>
    <w:rsid w:val="007A1240"/>
    <w:rsid w:val="007A12D0"/>
    <w:rsid w:val="007A366F"/>
    <w:rsid w:val="007A36D6"/>
    <w:rsid w:val="007A38AA"/>
    <w:rsid w:val="007A5DDF"/>
    <w:rsid w:val="007A73E4"/>
    <w:rsid w:val="007B0A5E"/>
    <w:rsid w:val="007B0FEF"/>
    <w:rsid w:val="007B395A"/>
    <w:rsid w:val="007B5514"/>
    <w:rsid w:val="007B5FDA"/>
    <w:rsid w:val="007C0BCF"/>
    <w:rsid w:val="007C3088"/>
    <w:rsid w:val="007C3CD5"/>
    <w:rsid w:val="007C55F7"/>
    <w:rsid w:val="007C596D"/>
    <w:rsid w:val="007C5CE3"/>
    <w:rsid w:val="007C6C36"/>
    <w:rsid w:val="007C6FE9"/>
    <w:rsid w:val="007C754A"/>
    <w:rsid w:val="007D02A5"/>
    <w:rsid w:val="007D02B7"/>
    <w:rsid w:val="007D188A"/>
    <w:rsid w:val="007D2378"/>
    <w:rsid w:val="007D34DC"/>
    <w:rsid w:val="007D4DE6"/>
    <w:rsid w:val="007D6813"/>
    <w:rsid w:val="007D788A"/>
    <w:rsid w:val="007E07C6"/>
    <w:rsid w:val="007E08BD"/>
    <w:rsid w:val="007E26D7"/>
    <w:rsid w:val="007E2946"/>
    <w:rsid w:val="007E2FFC"/>
    <w:rsid w:val="007E510A"/>
    <w:rsid w:val="007E636D"/>
    <w:rsid w:val="007F053F"/>
    <w:rsid w:val="007F38DF"/>
    <w:rsid w:val="007F4F8C"/>
    <w:rsid w:val="007F52D5"/>
    <w:rsid w:val="007F5B63"/>
    <w:rsid w:val="00801134"/>
    <w:rsid w:val="00801DF1"/>
    <w:rsid w:val="00804F55"/>
    <w:rsid w:val="00805D55"/>
    <w:rsid w:val="008103D0"/>
    <w:rsid w:val="00812920"/>
    <w:rsid w:val="00813163"/>
    <w:rsid w:val="00813CD6"/>
    <w:rsid w:val="008149B7"/>
    <w:rsid w:val="00814C46"/>
    <w:rsid w:val="00815706"/>
    <w:rsid w:val="0081698C"/>
    <w:rsid w:val="00816BBE"/>
    <w:rsid w:val="008174D1"/>
    <w:rsid w:val="00821729"/>
    <w:rsid w:val="00822FE7"/>
    <w:rsid w:val="008230DA"/>
    <w:rsid w:val="008247CF"/>
    <w:rsid w:val="00824C60"/>
    <w:rsid w:val="0082691C"/>
    <w:rsid w:val="00827AE6"/>
    <w:rsid w:val="00830DDC"/>
    <w:rsid w:val="008319A9"/>
    <w:rsid w:val="0083268A"/>
    <w:rsid w:val="00832B6A"/>
    <w:rsid w:val="00834DA5"/>
    <w:rsid w:val="008361A6"/>
    <w:rsid w:val="00836B76"/>
    <w:rsid w:val="00840985"/>
    <w:rsid w:val="00840FAD"/>
    <w:rsid w:val="008413D9"/>
    <w:rsid w:val="0084154D"/>
    <w:rsid w:val="00841B5F"/>
    <w:rsid w:val="0084306B"/>
    <w:rsid w:val="0084349A"/>
    <w:rsid w:val="00844F86"/>
    <w:rsid w:val="008457B0"/>
    <w:rsid w:val="00845865"/>
    <w:rsid w:val="00845A40"/>
    <w:rsid w:val="00846880"/>
    <w:rsid w:val="008478B8"/>
    <w:rsid w:val="00850595"/>
    <w:rsid w:val="0085167E"/>
    <w:rsid w:val="00852E8E"/>
    <w:rsid w:val="00854BD2"/>
    <w:rsid w:val="008552D5"/>
    <w:rsid w:val="00860A8D"/>
    <w:rsid w:val="00860AA6"/>
    <w:rsid w:val="008616E2"/>
    <w:rsid w:val="0086193A"/>
    <w:rsid w:val="00862AD8"/>
    <w:rsid w:val="00864958"/>
    <w:rsid w:val="00864ABA"/>
    <w:rsid w:val="00864B8E"/>
    <w:rsid w:val="00865142"/>
    <w:rsid w:val="0087099D"/>
    <w:rsid w:val="00873287"/>
    <w:rsid w:val="00874023"/>
    <w:rsid w:val="0087541E"/>
    <w:rsid w:val="00876AA8"/>
    <w:rsid w:val="00877382"/>
    <w:rsid w:val="008778BE"/>
    <w:rsid w:val="00877DD0"/>
    <w:rsid w:val="008814A7"/>
    <w:rsid w:val="00881DCC"/>
    <w:rsid w:val="00883BA1"/>
    <w:rsid w:val="00884037"/>
    <w:rsid w:val="00884A2B"/>
    <w:rsid w:val="00884F3C"/>
    <w:rsid w:val="008858DF"/>
    <w:rsid w:val="0088595E"/>
    <w:rsid w:val="00887695"/>
    <w:rsid w:val="00887D2F"/>
    <w:rsid w:val="00887F27"/>
    <w:rsid w:val="008906F6"/>
    <w:rsid w:val="00891556"/>
    <w:rsid w:val="00891930"/>
    <w:rsid w:val="008925E8"/>
    <w:rsid w:val="008926B4"/>
    <w:rsid w:val="00892BB1"/>
    <w:rsid w:val="008937AA"/>
    <w:rsid w:val="008958F9"/>
    <w:rsid w:val="0089675C"/>
    <w:rsid w:val="00897B07"/>
    <w:rsid w:val="00897FEC"/>
    <w:rsid w:val="008A074C"/>
    <w:rsid w:val="008A13DD"/>
    <w:rsid w:val="008A1CEB"/>
    <w:rsid w:val="008A2AF2"/>
    <w:rsid w:val="008A392B"/>
    <w:rsid w:val="008A4177"/>
    <w:rsid w:val="008A4643"/>
    <w:rsid w:val="008A4BEE"/>
    <w:rsid w:val="008A5C53"/>
    <w:rsid w:val="008A6AFD"/>
    <w:rsid w:val="008A703A"/>
    <w:rsid w:val="008A72BF"/>
    <w:rsid w:val="008B0578"/>
    <w:rsid w:val="008B08F1"/>
    <w:rsid w:val="008B44AC"/>
    <w:rsid w:val="008B4AC9"/>
    <w:rsid w:val="008B69A3"/>
    <w:rsid w:val="008B784A"/>
    <w:rsid w:val="008C0D75"/>
    <w:rsid w:val="008C1B25"/>
    <w:rsid w:val="008C4387"/>
    <w:rsid w:val="008C489C"/>
    <w:rsid w:val="008C5770"/>
    <w:rsid w:val="008C7F72"/>
    <w:rsid w:val="008D0E58"/>
    <w:rsid w:val="008D147B"/>
    <w:rsid w:val="008D243C"/>
    <w:rsid w:val="008D4BA9"/>
    <w:rsid w:val="008D730D"/>
    <w:rsid w:val="008E0013"/>
    <w:rsid w:val="008E2012"/>
    <w:rsid w:val="008E294B"/>
    <w:rsid w:val="008E31DC"/>
    <w:rsid w:val="008E76B9"/>
    <w:rsid w:val="008F0FF2"/>
    <w:rsid w:val="008F118D"/>
    <w:rsid w:val="008F1203"/>
    <w:rsid w:val="008F1C34"/>
    <w:rsid w:val="008F23CC"/>
    <w:rsid w:val="008F33E3"/>
    <w:rsid w:val="008F3B11"/>
    <w:rsid w:val="008F5CC7"/>
    <w:rsid w:val="008F696F"/>
    <w:rsid w:val="008F765B"/>
    <w:rsid w:val="009007B8"/>
    <w:rsid w:val="00900C6A"/>
    <w:rsid w:val="00901705"/>
    <w:rsid w:val="00901B94"/>
    <w:rsid w:val="0090349C"/>
    <w:rsid w:val="0090530E"/>
    <w:rsid w:val="0090602A"/>
    <w:rsid w:val="00907111"/>
    <w:rsid w:val="00910141"/>
    <w:rsid w:val="009116A1"/>
    <w:rsid w:val="009116E2"/>
    <w:rsid w:val="00911B37"/>
    <w:rsid w:val="009128FA"/>
    <w:rsid w:val="0091311E"/>
    <w:rsid w:val="00913268"/>
    <w:rsid w:val="009159C7"/>
    <w:rsid w:val="0091680D"/>
    <w:rsid w:val="00917F27"/>
    <w:rsid w:val="00922582"/>
    <w:rsid w:val="00922E21"/>
    <w:rsid w:val="00931AE7"/>
    <w:rsid w:val="009325BF"/>
    <w:rsid w:val="009346E8"/>
    <w:rsid w:val="00937B66"/>
    <w:rsid w:val="009402D8"/>
    <w:rsid w:val="00940353"/>
    <w:rsid w:val="009418C0"/>
    <w:rsid w:val="00942BED"/>
    <w:rsid w:val="00943BB4"/>
    <w:rsid w:val="009447A5"/>
    <w:rsid w:val="009471D9"/>
    <w:rsid w:val="0094759F"/>
    <w:rsid w:val="009506D4"/>
    <w:rsid w:val="00951692"/>
    <w:rsid w:val="00951A01"/>
    <w:rsid w:val="00953D1F"/>
    <w:rsid w:val="00954106"/>
    <w:rsid w:val="00954792"/>
    <w:rsid w:val="00957E15"/>
    <w:rsid w:val="00961886"/>
    <w:rsid w:val="00962668"/>
    <w:rsid w:val="00963445"/>
    <w:rsid w:val="00963F2B"/>
    <w:rsid w:val="00964C3A"/>
    <w:rsid w:val="009651D9"/>
    <w:rsid w:val="00965F22"/>
    <w:rsid w:val="009678BC"/>
    <w:rsid w:val="00967B0E"/>
    <w:rsid w:val="00967F98"/>
    <w:rsid w:val="00971813"/>
    <w:rsid w:val="00972408"/>
    <w:rsid w:val="00974997"/>
    <w:rsid w:val="00974BCF"/>
    <w:rsid w:val="00977195"/>
    <w:rsid w:val="00980FD3"/>
    <w:rsid w:val="00981606"/>
    <w:rsid w:val="0098163F"/>
    <w:rsid w:val="0098260E"/>
    <w:rsid w:val="00982F81"/>
    <w:rsid w:val="009855AF"/>
    <w:rsid w:val="009868B1"/>
    <w:rsid w:val="00986D13"/>
    <w:rsid w:val="00987615"/>
    <w:rsid w:val="00990AE0"/>
    <w:rsid w:val="00990BAE"/>
    <w:rsid w:val="00991816"/>
    <w:rsid w:val="00991E66"/>
    <w:rsid w:val="009922EF"/>
    <w:rsid w:val="0099323B"/>
    <w:rsid w:val="00993469"/>
    <w:rsid w:val="00994025"/>
    <w:rsid w:val="009949F4"/>
    <w:rsid w:val="009950B3"/>
    <w:rsid w:val="009952AD"/>
    <w:rsid w:val="00995531"/>
    <w:rsid w:val="0099645E"/>
    <w:rsid w:val="0099768F"/>
    <w:rsid w:val="009A1DF5"/>
    <w:rsid w:val="009A1F08"/>
    <w:rsid w:val="009A2689"/>
    <w:rsid w:val="009A350C"/>
    <w:rsid w:val="009A4CAD"/>
    <w:rsid w:val="009A648B"/>
    <w:rsid w:val="009A6CE3"/>
    <w:rsid w:val="009B30C5"/>
    <w:rsid w:val="009B6BEF"/>
    <w:rsid w:val="009B6D7B"/>
    <w:rsid w:val="009B74D4"/>
    <w:rsid w:val="009B7B8C"/>
    <w:rsid w:val="009C006D"/>
    <w:rsid w:val="009C0B8D"/>
    <w:rsid w:val="009C224A"/>
    <w:rsid w:val="009C228D"/>
    <w:rsid w:val="009C339C"/>
    <w:rsid w:val="009C3B1A"/>
    <w:rsid w:val="009C7137"/>
    <w:rsid w:val="009C76B9"/>
    <w:rsid w:val="009C7991"/>
    <w:rsid w:val="009C7FC0"/>
    <w:rsid w:val="009D0036"/>
    <w:rsid w:val="009D0AF6"/>
    <w:rsid w:val="009D1841"/>
    <w:rsid w:val="009D2A6D"/>
    <w:rsid w:val="009D2EFB"/>
    <w:rsid w:val="009D3276"/>
    <w:rsid w:val="009D329F"/>
    <w:rsid w:val="009D364C"/>
    <w:rsid w:val="009D3B3F"/>
    <w:rsid w:val="009D41B6"/>
    <w:rsid w:val="009D473F"/>
    <w:rsid w:val="009D476B"/>
    <w:rsid w:val="009D6ED1"/>
    <w:rsid w:val="009D72CF"/>
    <w:rsid w:val="009D7C46"/>
    <w:rsid w:val="009D7CDC"/>
    <w:rsid w:val="009E05D6"/>
    <w:rsid w:val="009E07E1"/>
    <w:rsid w:val="009E1094"/>
    <w:rsid w:val="009E5801"/>
    <w:rsid w:val="009E6321"/>
    <w:rsid w:val="009E6666"/>
    <w:rsid w:val="009E6FC9"/>
    <w:rsid w:val="009F0AA9"/>
    <w:rsid w:val="009F0AE6"/>
    <w:rsid w:val="009F3EB2"/>
    <w:rsid w:val="009F5906"/>
    <w:rsid w:val="009F6B70"/>
    <w:rsid w:val="009F78E6"/>
    <w:rsid w:val="009F7E3F"/>
    <w:rsid w:val="00A000B6"/>
    <w:rsid w:val="00A0013F"/>
    <w:rsid w:val="00A006DB"/>
    <w:rsid w:val="00A016DA"/>
    <w:rsid w:val="00A016F7"/>
    <w:rsid w:val="00A01E78"/>
    <w:rsid w:val="00A020F3"/>
    <w:rsid w:val="00A0305A"/>
    <w:rsid w:val="00A03227"/>
    <w:rsid w:val="00A03D72"/>
    <w:rsid w:val="00A04438"/>
    <w:rsid w:val="00A052B1"/>
    <w:rsid w:val="00A06709"/>
    <w:rsid w:val="00A06A91"/>
    <w:rsid w:val="00A06A9F"/>
    <w:rsid w:val="00A06C75"/>
    <w:rsid w:val="00A10784"/>
    <w:rsid w:val="00A10A4D"/>
    <w:rsid w:val="00A1149E"/>
    <w:rsid w:val="00A11A96"/>
    <w:rsid w:val="00A11B89"/>
    <w:rsid w:val="00A11E59"/>
    <w:rsid w:val="00A1211C"/>
    <w:rsid w:val="00A13494"/>
    <w:rsid w:val="00A14A14"/>
    <w:rsid w:val="00A162F8"/>
    <w:rsid w:val="00A21CD2"/>
    <w:rsid w:val="00A220EF"/>
    <w:rsid w:val="00A23395"/>
    <w:rsid w:val="00A235AC"/>
    <w:rsid w:val="00A23E9D"/>
    <w:rsid w:val="00A24D69"/>
    <w:rsid w:val="00A24EC0"/>
    <w:rsid w:val="00A25298"/>
    <w:rsid w:val="00A26931"/>
    <w:rsid w:val="00A273B4"/>
    <w:rsid w:val="00A27499"/>
    <w:rsid w:val="00A30561"/>
    <w:rsid w:val="00A318D9"/>
    <w:rsid w:val="00A32ECE"/>
    <w:rsid w:val="00A33B2A"/>
    <w:rsid w:val="00A3554E"/>
    <w:rsid w:val="00A35AE5"/>
    <w:rsid w:val="00A35BB1"/>
    <w:rsid w:val="00A365C4"/>
    <w:rsid w:val="00A36805"/>
    <w:rsid w:val="00A36C5C"/>
    <w:rsid w:val="00A36DDA"/>
    <w:rsid w:val="00A37A63"/>
    <w:rsid w:val="00A37E73"/>
    <w:rsid w:val="00A37FF5"/>
    <w:rsid w:val="00A40445"/>
    <w:rsid w:val="00A404EA"/>
    <w:rsid w:val="00A40A7F"/>
    <w:rsid w:val="00A40FAF"/>
    <w:rsid w:val="00A423C2"/>
    <w:rsid w:val="00A431B9"/>
    <w:rsid w:val="00A47287"/>
    <w:rsid w:val="00A4755B"/>
    <w:rsid w:val="00A47B1C"/>
    <w:rsid w:val="00A51722"/>
    <w:rsid w:val="00A53501"/>
    <w:rsid w:val="00A547B8"/>
    <w:rsid w:val="00A54E6F"/>
    <w:rsid w:val="00A56F15"/>
    <w:rsid w:val="00A57F47"/>
    <w:rsid w:val="00A6142A"/>
    <w:rsid w:val="00A61B60"/>
    <w:rsid w:val="00A61D81"/>
    <w:rsid w:val="00A61FD8"/>
    <w:rsid w:val="00A65656"/>
    <w:rsid w:val="00A658F6"/>
    <w:rsid w:val="00A67603"/>
    <w:rsid w:val="00A67D15"/>
    <w:rsid w:val="00A7014A"/>
    <w:rsid w:val="00A71C05"/>
    <w:rsid w:val="00A728C7"/>
    <w:rsid w:val="00A72BDB"/>
    <w:rsid w:val="00A7395C"/>
    <w:rsid w:val="00A758B9"/>
    <w:rsid w:val="00A75F3F"/>
    <w:rsid w:val="00A77868"/>
    <w:rsid w:val="00A8077E"/>
    <w:rsid w:val="00A808A5"/>
    <w:rsid w:val="00A80FBC"/>
    <w:rsid w:val="00A81026"/>
    <w:rsid w:val="00A81350"/>
    <w:rsid w:val="00A81CAB"/>
    <w:rsid w:val="00A84198"/>
    <w:rsid w:val="00A844FF"/>
    <w:rsid w:val="00A90048"/>
    <w:rsid w:val="00A91661"/>
    <w:rsid w:val="00A91841"/>
    <w:rsid w:val="00A91B08"/>
    <w:rsid w:val="00A94C66"/>
    <w:rsid w:val="00A94EBB"/>
    <w:rsid w:val="00A952A9"/>
    <w:rsid w:val="00A96954"/>
    <w:rsid w:val="00A974A9"/>
    <w:rsid w:val="00AA1934"/>
    <w:rsid w:val="00AA1BA9"/>
    <w:rsid w:val="00AA1FDE"/>
    <w:rsid w:val="00AA2B62"/>
    <w:rsid w:val="00AA3331"/>
    <w:rsid w:val="00AA3C60"/>
    <w:rsid w:val="00AA5397"/>
    <w:rsid w:val="00AA59A9"/>
    <w:rsid w:val="00AB03CE"/>
    <w:rsid w:val="00AB29E8"/>
    <w:rsid w:val="00AB39BF"/>
    <w:rsid w:val="00AB3CC1"/>
    <w:rsid w:val="00AB48EF"/>
    <w:rsid w:val="00AB534D"/>
    <w:rsid w:val="00AB54E6"/>
    <w:rsid w:val="00AC03C6"/>
    <w:rsid w:val="00AC157E"/>
    <w:rsid w:val="00AC2292"/>
    <w:rsid w:val="00AC256D"/>
    <w:rsid w:val="00AC3998"/>
    <w:rsid w:val="00AC4BBD"/>
    <w:rsid w:val="00AC5478"/>
    <w:rsid w:val="00AC5682"/>
    <w:rsid w:val="00AC6A85"/>
    <w:rsid w:val="00AC7D8B"/>
    <w:rsid w:val="00AD1C04"/>
    <w:rsid w:val="00AD2CB1"/>
    <w:rsid w:val="00AD3C6E"/>
    <w:rsid w:val="00AD40A2"/>
    <w:rsid w:val="00AD5D1B"/>
    <w:rsid w:val="00AD6A30"/>
    <w:rsid w:val="00AD6B44"/>
    <w:rsid w:val="00AD752F"/>
    <w:rsid w:val="00AE05E2"/>
    <w:rsid w:val="00AE0E57"/>
    <w:rsid w:val="00AE2DDA"/>
    <w:rsid w:val="00AE4287"/>
    <w:rsid w:val="00AE50A1"/>
    <w:rsid w:val="00AE712D"/>
    <w:rsid w:val="00AE7262"/>
    <w:rsid w:val="00AE77FC"/>
    <w:rsid w:val="00AF0A11"/>
    <w:rsid w:val="00AF1DE8"/>
    <w:rsid w:val="00AF217D"/>
    <w:rsid w:val="00AF2F38"/>
    <w:rsid w:val="00AF3263"/>
    <w:rsid w:val="00AF337D"/>
    <w:rsid w:val="00AF3BC2"/>
    <w:rsid w:val="00AF4F63"/>
    <w:rsid w:val="00AF534A"/>
    <w:rsid w:val="00AF7053"/>
    <w:rsid w:val="00B008DA"/>
    <w:rsid w:val="00B0104F"/>
    <w:rsid w:val="00B01C00"/>
    <w:rsid w:val="00B0215E"/>
    <w:rsid w:val="00B02591"/>
    <w:rsid w:val="00B03198"/>
    <w:rsid w:val="00B04309"/>
    <w:rsid w:val="00B05FF5"/>
    <w:rsid w:val="00B07A9C"/>
    <w:rsid w:val="00B1043B"/>
    <w:rsid w:val="00B11E07"/>
    <w:rsid w:val="00B145CA"/>
    <w:rsid w:val="00B15C1C"/>
    <w:rsid w:val="00B16F9A"/>
    <w:rsid w:val="00B21244"/>
    <w:rsid w:val="00B22B18"/>
    <w:rsid w:val="00B25F0B"/>
    <w:rsid w:val="00B2751B"/>
    <w:rsid w:val="00B27990"/>
    <w:rsid w:val="00B27BF5"/>
    <w:rsid w:val="00B30895"/>
    <w:rsid w:val="00B32B40"/>
    <w:rsid w:val="00B33DAF"/>
    <w:rsid w:val="00B357B0"/>
    <w:rsid w:val="00B35CAF"/>
    <w:rsid w:val="00B3657B"/>
    <w:rsid w:val="00B36741"/>
    <w:rsid w:val="00B374F5"/>
    <w:rsid w:val="00B379BB"/>
    <w:rsid w:val="00B37CC0"/>
    <w:rsid w:val="00B37E97"/>
    <w:rsid w:val="00B414AA"/>
    <w:rsid w:val="00B455B1"/>
    <w:rsid w:val="00B45BC7"/>
    <w:rsid w:val="00B47FC2"/>
    <w:rsid w:val="00B50084"/>
    <w:rsid w:val="00B516EC"/>
    <w:rsid w:val="00B51C0A"/>
    <w:rsid w:val="00B52B89"/>
    <w:rsid w:val="00B52D22"/>
    <w:rsid w:val="00B5423D"/>
    <w:rsid w:val="00B54EAD"/>
    <w:rsid w:val="00B55300"/>
    <w:rsid w:val="00B55414"/>
    <w:rsid w:val="00B55533"/>
    <w:rsid w:val="00B55F72"/>
    <w:rsid w:val="00B57207"/>
    <w:rsid w:val="00B576EB"/>
    <w:rsid w:val="00B60413"/>
    <w:rsid w:val="00B60605"/>
    <w:rsid w:val="00B60A48"/>
    <w:rsid w:val="00B60AC2"/>
    <w:rsid w:val="00B61137"/>
    <w:rsid w:val="00B62C20"/>
    <w:rsid w:val="00B6311B"/>
    <w:rsid w:val="00B63207"/>
    <w:rsid w:val="00B653F2"/>
    <w:rsid w:val="00B65488"/>
    <w:rsid w:val="00B659AB"/>
    <w:rsid w:val="00B6645D"/>
    <w:rsid w:val="00B70870"/>
    <w:rsid w:val="00B708AE"/>
    <w:rsid w:val="00B71179"/>
    <w:rsid w:val="00B71AA0"/>
    <w:rsid w:val="00B71C13"/>
    <w:rsid w:val="00B722E4"/>
    <w:rsid w:val="00B7430D"/>
    <w:rsid w:val="00B76CBE"/>
    <w:rsid w:val="00B77415"/>
    <w:rsid w:val="00B77CB8"/>
    <w:rsid w:val="00B80D77"/>
    <w:rsid w:val="00B81D5A"/>
    <w:rsid w:val="00B824A3"/>
    <w:rsid w:val="00B82BC4"/>
    <w:rsid w:val="00B83490"/>
    <w:rsid w:val="00B83A6C"/>
    <w:rsid w:val="00B84A59"/>
    <w:rsid w:val="00B8552A"/>
    <w:rsid w:val="00B85631"/>
    <w:rsid w:val="00B85832"/>
    <w:rsid w:val="00B8647E"/>
    <w:rsid w:val="00B87410"/>
    <w:rsid w:val="00B8762C"/>
    <w:rsid w:val="00B92D19"/>
    <w:rsid w:val="00B93D2B"/>
    <w:rsid w:val="00B9411D"/>
    <w:rsid w:val="00B95277"/>
    <w:rsid w:val="00B95E93"/>
    <w:rsid w:val="00B961CA"/>
    <w:rsid w:val="00B96CC3"/>
    <w:rsid w:val="00B974D0"/>
    <w:rsid w:val="00B9791D"/>
    <w:rsid w:val="00BA076D"/>
    <w:rsid w:val="00BA0B41"/>
    <w:rsid w:val="00BA11DA"/>
    <w:rsid w:val="00BA1CD1"/>
    <w:rsid w:val="00BA206E"/>
    <w:rsid w:val="00BA2D85"/>
    <w:rsid w:val="00BA31A6"/>
    <w:rsid w:val="00BA3FB6"/>
    <w:rsid w:val="00BA40BF"/>
    <w:rsid w:val="00BA52A2"/>
    <w:rsid w:val="00BA5C3E"/>
    <w:rsid w:val="00BA65C0"/>
    <w:rsid w:val="00BB053D"/>
    <w:rsid w:val="00BB1AB8"/>
    <w:rsid w:val="00BB23B6"/>
    <w:rsid w:val="00BB2E82"/>
    <w:rsid w:val="00BB320C"/>
    <w:rsid w:val="00BB3632"/>
    <w:rsid w:val="00BB7E2C"/>
    <w:rsid w:val="00BC11BF"/>
    <w:rsid w:val="00BC140D"/>
    <w:rsid w:val="00BC20A7"/>
    <w:rsid w:val="00BC4E1B"/>
    <w:rsid w:val="00BC5567"/>
    <w:rsid w:val="00BC5AFD"/>
    <w:rsid w:val="00BC6D74"/>
    <w:rsid w:val="00BD0FDA"/>
    <w:rsid w:val="00BD199C"/>
    <w:rsid w:val="00BD24C0"/>
    <w:rsid w:val="00BD258A"/>
    <w:rsid w:val="00BD2677"/>
    <w:rsid w:val="00BD3676"/>
    <w:rsid w:val="00BD455A"/>
    <w:rsid w:val="00BD5014"/>
    <w:rsid w:val="00BD6CBB"/>
    <w:rsid w:val="00BE0438"/>
    <w:rsid w:val="00BE066C"/>
    <w:rsid w:val="00BE36B3"/>
    <w:rsid w:val="00BE3757"/>
    <w:rsid w:val="00BE3E47"/>
    <w:rsid w:val="00BE4686"/>
    <w:rsid w:val="00BE5ED1"/>
    <w:rsid w:val="00BE6643"/>
    <w:rsid w:val="00BE7FE8"/>
    <w:rsid w:val="00BF07A8"/>
    <w:rsid w:val="00BF1FB1"/>
    <w:rsid w:val="00BF26D9"/>
    <w:rsid w:val="00BF31B3"/>
    <w:rsid w:val="00BF3386"/>
    <w:rsid w:val="00BF3771"/>
    <w:rsid w:val="00BF6DC2"/>
    <w:rsid w:val="00C00572"/>
    <w:rsid w:val="00C01C52"/>
    <w:rsid w:val="00C02312"/>
    <w:rsid w:val="00C039AA"/>
    <w:rsid w:val="00C03C12"/>
    <w:rsid w:val="00C03EAB"/>
    <w:rsid w:val="00C048F1"/>
    <w:rsid w:val="00C059D3"/>
    <w:rsid w:val="00C05DE1"/>
    <w:rsid w:val="00C05E91"/>
    <w:rsid w:val="00C06344"/>
    <w:rsid w:val="00C10314"/>
    <w:rsid w:val="00C10B49"/>
    <w:rsid w:val="00C10C8C"/>
    <w:rsid w:val="00C11B04"/>
    <w:rsid w:val="00C12969"/>
    <w:rsid w:val="00C12C50"/>
    <w:rsid w:val="00C13354"/>
    <w:rsid w:val="00C145C3"/>
    <w:rsid w:val="00C1603D"/>
    <w:rsid w:val="00C166E6"/>
    <w:rsid w:val="00C2305A"/>
    <w:rsid w:val="00C24B9F"/>
    <w:rsid w:val="00C2713A"/>
    <w:rsid w:val="00C3220E"/>
    <w:rsid w:val="00C32674"/>
    <w:rsid w:val="00C34C22"/>
    <w:rsid w:val="00C370E8"/>
    <w:rsid w:val="00C415E4"/>
    <w:rsid w:val="00C437AE"/>
    <w:rsid w:val="00C44D94"/>
    <w:rsid w:val="00C45638"/>
    <w:rsid w:val="00C45BD4"/>
    <w:rsid w:val="00C4635F"/>
    <w:rsid w:val="00C4756E"/>
    <w:rsid w:val="00C507B7"/>
    <w:rsid w:val="00C50A47"/>
    <w:rsid w:val="00C51C20"/>
    <w:rsid w:val="00C51C51"/>
    <w:rsid w:val="00C524A8"/>
    <w:rsid w:val="00C52CDC"/>
    <w:rsid w:val="00C567DB"/>
    <w:rsid w:val="00C5778E"/>
    <w:rsid w:val="00C60FB6"/>
    <w:rsid w:val="00C6136A"/>
    <w:rsid w:val="00C62D48"/>
    <w:rsid w:val="00C62D78"/>
    <w:rsid w:val="00C635AF"/>
    <w:rsid w:val="00C63810"/>
    <w:rsid w:val="00C63BE8"/>
    <w:rsid w:val="00C6769D"/>
    <w:rsid w:val="00C70FEE"/>
    <w:rsid w:val="00C72238"/>
    <w:rsid w:val="00C7296C"/>
    <w:rsid w:val="00C738E1"/>
    <w:rsid w:val="00C73EDA"/>
    <w:rsid w:val="00C75E2E"/>
    <w:rsid w:val="00C767C2"/>
    <w:rsid w:val="00C769FD"/>
    <w:rsid w:val="00C774AE"/>
    <w:rsid w:val="00C77FD9"/>
    <w:rsid w:val="00C804F6"/>
    <w:rsid w:val="00C80F3A"/>
    <w:rsid w:val="00C8170D"/>
    <w:rsid w:val="00C81DCE"/>
    <w:rsid w:val="00C824F7"/>
    <w:rsid w:val="00C84C8E"/>
    <w:rsid w:val="00C86AFD"/>
    <w:rsid w:val="00C87E95"/>
    <w:rsid w:val="00C92FA2"/>
    <w:rsid w:val="00C93526"/>
    <w:rsid w:val="00C938BD"/>
    <w:rsid w:val="00C9765E"/>
    <w:rsid w:val="00C977EC"/>
    <w:rsid w:val="00C97F0E"/>
    <w:rsid w:val="00CA0E02"/>
    <w:rsid w:val="00CA1B94"/>
    <w:rsid w:val="00CA1C5B"/>
    <w:rsid w:val="00CA2821"/>
    <w:rsid w:val="00CA441D"/>
    <w:rsid w:val="00CA49BC"/>
    <w:rsid w:val="00CA563D"/>
    <w:rsid w:val="00CA5C80"/>
    <w:rsid w:val="00CA6204"/>
    <w:rsid w:val="00CA7132"/>
    <w:rsid w:val="00CA770C"/>
    <w:rsid w:val="00CA77A6"/>
    <w:rsid w:val="00CA7A2E"/>
    <w:rsid w:val="00CB0C05"/>
    <w:rsid w:val="00CB0F62"/>
    <w:rsid w:val="00CB1286"/>
    <w:rsid w:val="00CB2CF6"/>
    <w:rsid w:val="00CB3915"/>
    <w:rsid w:val="00CB4314"/>
    <w:rsid w:val="00CB5DD0"/>
    <w:rsid w:val="00CB5E69"/>
    <w:rsid w:val="00CB647F"/>
    <w:rsid w:val="00CB66BC"/>
    <w:rsid w:val="00CC002E"/>
    <w:rsid w:val="00CC0DAF"/>
    <w:rsid w:val="00CC261C"/>
    <w:rsid w:val="00CC488F"/>
    <w:rsid w:val="00CC4B71"/>
    <w:rsid w:val="00CC4F9C"/>
    <w:rsid w:val="00CC5569"/>
    <w:rsid w:val="00CC5F7F"/>
    <w:rsid w:val="00CD0CA5"/>
    <w:rsid w:val="00CD13D4"/>
    <w:rsid w:val="00CD1448"/>
    <w:rsid w:val="00CD299F"/>
    <w:rsid w:val="00CD42FB"/>
    <w:rsid w:val="00CD463D"/>
    <w:rsid w:val="00CD754A"/>
    <w:rsid w:val="00CE08ED"/>
    <w:rsid w:val="00CE0DB3"/>
    <w:rsid w:val="00CE19B5"/>
    <w:rsid w:val="00CE1C82"/>
    <w:rsid w:val="00CE38D3"/>
    <w:rsid w:val="00CF0C1D"/>
    <w:rsid w:val="00CF26EA"/>
    <w:rsid w:val="00CF28F6"/>
    <w:rsid w:val="00CF32E8"/>
    <w:rsid w:val="00CF400B"/>
    <w:rsid w:val="00CF45C5"/>
    <w:rsid w:val="00CF4EEC"/>
    <w:rsid w:val="00CF4FC3"/>
    <w:rsid w:val="00CF51B4"/>
    <w:rsid w:val="00CF5AD0"/>
    <w:rsid w:val="00CF5B2A"/>
    <w:rsid w:val="00CF684E"/>
    <w:rsid w:val="00CF7351"/>
    <w:rsid w:val="00CF7E6F"/>
    <w:rsid w:val="00D0173A"/>
    <w:rsid w:val="00D022FF"/>
    <w:rsid w:val="00D03E8B"/>
    <w:rsid w:val="00D0556F"/>
    <w:rsid w:val="00D06061"/>
    <w:rsid w:val="00D06408"/>
    <w:rsid w:val="00D078CF"/>
    <w:rsid w:val="00D1155B"/>
    <w:rsid w:val="00D12112"/>
    <w:rsid w:val="00D129E7"/>
    <w:rsid w:val="00D12DE5"/>
    <w:rsid w:val="00D13179"/>
    <w:rsid w:val="00D13EF4"/>
    <w:rsid w:val="00D14552"/>
    <w:rsid w:val="00D15D80"/>
    <w:rsid w:val="00D163C7"/>
    <w:rsid w:val="00D210AC"/>
    <w:rsid w:val="00D2245A"/>
    <w:rsid w:val="00D246A1"/>
    <w:rsid w:val="00D25618"/>
    <w:rsid w:val="00D259AB"/>
    <w:rsid w:val="00D2642A"/>
    <w:rsid w:val="00D26C9D"/>
    <w:rsid w:val="00D270C1"/>
    <w:rsid w:val="00D27537"/>
    <w:rsid w:val="00D30BE0"/>
    <w:rsid w:val="00D33FB1"/>
    <w:rsid w:val="00D34414"/>
    <w:rsid w:val="00D34475"/>
    <w:rsid w:val="00D35462"/>
    <w:rsid w:val="00D36EDC"/>
    <w:rsid w:val="00D377C3"/>
    <w:rsid w:val="00D4039F"/>
    <w:rsid w:val="00D40E60"/>
    <w:rsid w:val="00D422D7"/>
    <w:rsid w:val="00D44644"/>
    <w:rsid w:val="00D453B9"/>
    <w:rsid w:val="00D45E8A"/>
    <w:rsid w:val="00D47693"/>
    <w:rsid w:val="00D47FD3"/>
    <w:rsid w:val="00D5095D"/>
    <w:rsid w:val="00D50F58"/>
    <w:rsid w:val="00D5367E"/>
    <w:rsid w:val="00D53C7B"/>
    <w:rsid w:val="00D53F6E"/>
    <w:rsid w:val="00D55221"/>
    <w:rsid w:val="00D557CF"/>
    <w:rsid w:val="00D55AF6"/>
    <w:rsid w:val="00D564F0"/>
    <w:rsid w:val="00D57B8D"/>
    <w:rsid w:val="00D625A7"/>
    <w:rsid w:val="00D62C55"/>
    <w:rsid w:val="00D630E0"/>
    <w:rsid w:val="00D631B4"/>
    <w:rsid w:val="00D63AE7"/>
    <w:rsid w:val="00D64339"/>
    <w:rsid w:val="00D649C6"/>
    <w:rsid w:val="00D65424"/>
    <w:rsid w:val="00D6766C"/>
    <w:rsid w:val="00D678D5"/>
    <w:rsid w:val="00D70C63"/>
    <w:rsid w:val="00D718EA"/>
    <w:rsid w:val="00D72AC8"/>
    <w:rsid w:val="00D72C20"/>
    <w:rsid w:val="00D74122"/>
    <w:rsid w:val="00D75B06"/>
    <w:rsid w:val="00D75D9E"/>
    <w:rsid w:val="00D76553"/>
    <w:rsid w:val="00D76882"/>
    <w:rsid w:val="00D825B9"/>
    <w:rsid w:val="00D82D50"/>
    <w:rsid w:val="00D8602E"/>
    <w:rsid w:val="00D910BC"/>
    <w:rsid w:val="00D91555"/>
    <w:rsid w:val="00D9187A"/>
    <w:rsid w:val="00D9250A"/>
    <w:rsid w:val="00D9422A"/>
    <w:rsid w:val="00D94541"/>
    <w:rsid w:val="00D97977"/>
    <w:rsid w:val="00DA16BD"/>
    <w:rsid w:val="00DA180F"/>
    <w:rsid w:val="00DA250A"/>
    <w:rsid w:val="00DA38BD"/>
    <w:rsid w:val="00DA406C"/>
    <w:rsid w:val="00DA5E4A"/>
    <w:rsid w:val="00DA64BE"/>
    <w:rsid w:val="00DA7AA3"/>
    <w:rsid w:val="00DA7E5F"/>
    <w:rsid w:val="00DB010E"/>
    <w:rsid w:val="00DB17BA"/>
    <w:rsid w:val="00DB3306"/>
    <w:rsid w:val="00DB34BF"/>
    <w:rsid w:val="00DB3CEA"/>
    <w:rsid w:val="00DB40DC"/>
    <w:rsid w:val="00DB4D58"/>
    <w:rsid w:val="00DB4EC8"/>
    <w:rsid w:val="00DB5215"/>
    <w:rsid w:val="00DB5EA6"/>
    <w:rsid w:val="00DB5FAE"/>
    <w:rsid w:val="00DB69E7"/>
    <w:rsid w:val="00DB7EA2"/>
    <w:rsid w:val="00DC09AB"/>
    <w:rsid w:val="00DC26B6"/>
    <w:rsid w:val="00DC27A0"/>
    <w:rsid w:val="00DC2F11"/>
    <w:rsid w:val="00DC3267"/>
    <w:rsid w:val="00DC5D3B"/>
    <w:rsid w:val="00DC64BC"/>
    <w:rsid w:val="00DC77AD"/>
    <w:rsid w:val="00DC7989"/>
    <w:rsid w:val="00DD12FA"/>
    <w:rsid w:val="00DD1ACB"/>
    <w:rsid w:val="00DE0890"/>
    <w:rsid w:val="00DE137D"/>
    <w:rsid w:val="00DE36B9"/>
    <w:rsid w:val="00DE3C6E"/>
    <w:rsid w:val="00DE6854"/>
    <w:rsid w:val="00DF0873"/>
    <w:rsid w:val="00DF0BCF"/>
    <w:rsid w:val="00DF3490"/>
    <w:rsid w:val="00DF5DF3"/>
    <w:rsid w:val="00DF6F48"/>
    <w:rsid w:val="00E01620"/>
    <w:rsid w:val="00E027E8"/>
    <w:rsid w:val="00E03238"/>
    <w:rsid w:val="00E03EC2"/>
    <w:rsid w:val="00E047CA"/>
    <w:rsid w:val="00E04AF4"/>
    <w:rsid w:val="00E073A4"/>
    <w:rsid w:val="00E11609"/>
    <w:rsid w:val="00E11F84"/>
    <w:rsid w:val="00E14048"/>
    <w:rsid w:val="00E20FAA"/>
    <w:rsid w:val="00E212AE"/>
    <w:rsid w:val="00E218D5"/>
    <w:rsid w:val="00E2404D"/>
    <w:rsid w:val="00E241D0"/>
    <w:rsid w:val="00E24390"/>
    <w:rsid w:val="00E2588F"/>
    <w:rsid w:val="00E26D4E"/>
    <w:rsid w:val="00E30C1F"/>
    <w:rsid w:val="00E31251"/>
    <w:rsid w:val="00E31C75"/>
    <w:rsid w:val="00E324D8"/>
    <w:rsid w:val="00E344F7"/>
    <w:rsid w:val="00E34B72"/>
    <w:rsid w:val="00E372DF"/>
    <w:rsid w:val="00E37684"/>
    <w:rsid w:val="00E378B9"/>
    <w:rsid w:val="00E37933"/>
    <w:rsid w:val="00E37CA6"/>
    <w:rsid w:val="00E4007F"/>
    <w:rsid w:val="00E415B1"/>
    <w:rsid w:val="00E419F9"/>
    <w:rsid w:val="00E41B8D"/>
    <w:rsid w:val="00E41F4A"/>
    <w:rsid w:val="00E42457"/>
    <w:rsid w:val="00E4253B"/>
    <w:rsid w:val="00E42902"/>
    <w:rsid w:val="00E42FC1"/>
    <w:rsid w:val="00E430FE"/>
    <w:rsid w:val="00E5084C"/>
    <w:rsid w:val="00E50F29"/>
    <w:rsid w:val="00E5229A"/>
    <w:rsid w:val="00E53FBB"/>
    <w:rsid w:val="00E549D1"/>
    <w:rsid w:val="00E553A2"/>
    <w:rsid w:val="00E55418"/>
    <w:rsid w:val="00E56819"/>
    <w:rsid w:val="00E617D5"/>
    <w:rsid w:val="00E61B47"/>
    <w:rsid w:val="00E639D2"/>
    <w:rsid w:val="00E63B75"/>
    <w:rsid w:val="00E63DB1"/>
    <w:rsid w:val="00E64A21"/>
    <w:rsid w:val="00E652A0"/>
    <w:rsid w:val="00E652BB"/>
    <w:rsid w:val="00E65676"/>
    <w:rsid w:val="00E65766"/>
    <w:rsid w:val="00E72EDC"/>
    <w:rsid w:val="00E7372E"/>
    <w:rsid w:val="00E7548E"/>
    <w:rsid w:val="00E774C0"/>
    <w:rsid w:val="00E77C6E"/>
    <w:rsid w:val="00E80844"/>
    <w:rsid w:val="00E81E80"/>
    <w:rsid w:val="00E83A2B"/>
    <w:rsid w:val="00E83B36"/>
    <w:rsid w:val="00E83EFB"/>
    <w:rsid w:val="00E8484D"/>
    <w:rsid w:val="00E851AE"/>
    <w:rsid w:val="00E852C6"/>
    <w:rsid w:val="00E8560D"/>
    <w:rsid w:val="00E85D07"/>
    <w:rsid w:val="00E8777B"/>
    <w:rsid w:val="00E87FA0"/>
    <w:rsid w:val="00E909EB"/>
    <w:rsid w:val="00E9242F"/>
    <w:rsid w:val="00E92D30"/>
    <w:rsid w:val="00E94207"/>
    <w:rsid w:val="00E95002"/>
    <w:rsid w:val="00E951FE"/>
    <w:rsid w:val="00E9567B"/>
    <w:rsid w:val="00E95717"/>
    <w:rsid w:val="00E9582E"/>
    <w:rsid w:val="00E95FC3"/>
    <w:rsid w:val="00E96282"/>
    <w:rsid w:val="00E9631B"/>
    <w:rsid w:val="00E963A2"/>
    <w:rsid w:val="00EA0AC9"/>
    <w:rsid w:val="00EA2B2E"/>
    <w:rsid w:val="00EA3A3D"/>
    <w:rsid w:val="00EA3A89"/>
    <w:rsid w:val="00EA52E3"/>
    <w:rsid w:val="00EA5420"/>
    <w:rsid w:val="00EA553F"/>
    <w:rsid w:val="00EA55E8"/>
    <w:rsid w:val="00EA5C06"/>
    <w:rsid w:val="00EA5D1E"/>
    <w:rsid w:val="00EA6051"/>
    <w:rsid w:val="00EA624E"/>
    <w:rsid w:val="00EA73F1"/>
    <w:rsid w:val="00EA7EEE"/>
    <w:rsid w:val="00EB0182"/>
    <w:rsid w:val="00EB076A"/>
    <w:rsid w:val="00EB101D"/>
    <w:rsid w:val="00EB241F"/>
    <w:rsid w:val="00EB2C3B"/>
    <w:rsid w:val="00EB5BAE"/>
    <w:rsid w:val="00EB5EE3"/>
    <w:rsid w:val="00EB6E53"/>
    <w:rsid w:val="00EB6FFD"/>
    <w:rsid w:val="00EB7ADF"/>
    <w:rsid w:val="00EC052F"/>
    <w:rsid w:val="00EC142D"/>
    <w:rsid w:val="00EC366D"/>
    <w:rsid w:val="00EC3F56"/>
    <w:rsid w:val="00EC423A"/>
    <w:rsid w:val="00EC4252"/>
    <w:rsid w:val="00EC59F5"/>
    <w:rsid w:val="00EC6E8C"/>
    <w:rsid w:val="00EC6F49"/>
    <w:rsid w:val="00EC7086"/>
    <w:rsid w:val="00EC7D6B"/>
    <w:rsid w:val="00ED00DA"/>
    <w:rsid w:val="00ED19EB"/>
    <w:rsid w:val="00ED1A6B"/>
    <w:rsid w:val="00ED1F76"/>
    <w:rsid w:val="00ED2052"/>
    <w:rsid w:val="00ED41E3"/>
    <w:rsid w:val="00ED6F5B"/>
    <w:rsid w:val="00ED7A91"/>
    <w:rsid w:val="00EE0A16"/>
    <w:rsid w:val="00EE1A2E"/>
    <w:rsid w:val="00EE1C68"/>
    <w:rsid w:val="00EE24A9"/>
    <w:rsid w:val="00EE3876"/>
    <w:rsid w:val="00EE3881"/>
    <w:rsid w:val="00EE3C37"/>
    <w:rsid w:val="00EE3F03"/>
    <w:rsid w:val="00EE4455"/>
    <w:rsid w:val="00EE5CCD"/>
    <w:rsid w:val="00EE625C"/>
    <w:rsid w:val="00EE7292"/>
    <w:rsid w:val="00EF03BA"/>
    <w:rsid w:val="00EF0C0D"/>
    <w:rsid w:val="00EF1153"/>
    <w:rsid w:val="00EF45E8"/>
    <w:rsid w:val="00EF5E5A"/>
    <w:rsid w:val="00EF6177"/>
    <w:rsid w:val="00EF6196"/>
    <w:rsid w:val="00EF666C"/>
    <w:rsid w:val="00EF683D"/>
    <w:rsid w:val="00EF72E6"/>
    <w:rsid w:val="00F01502"/>
    <w:rsid w:val="00F02481"/>
    <w:rsid w:val="00F02D2A"/>
    <w:rsid w:val="00F06DB5"/>
    <w:rsid w:val="00F10474"/>
    <w:rsid w:val="00F10C30"/>
    <w:rsid w:val="00F1144A"/>
    <w:rsid w:val="00F11F6E"/>
    <w:rsid w:val="00F1203D"/>
    <w:rsid w:val="00F139FF"/>
    <w:rsid w:val="00F145C7"/>
    <w:rsid w:val="00F15A52"/>
    <w:rsid w:val="00F169FE"/>
    <w:rsid w:val="00F16A5F"/>
    <w:rsid w:val="00F2042C"/>
    <w:rsid w:val="00F21080"/>
    <w:rsid w:val="00F22C67"/>
    <w:rsid w:val="00F23CC9"/>
    <w:rsid w:val="00F23CE5"/>
    <w:rsid w:val="00F25E9B"/>
    <w:rsid w:val="00F27045"/>
    <w:rsid w:val="00F272E5"/>
    <w:rsid w:val="00F273CC"/>
    <w:rsid w:val="00F303AA"/>
    <w:rsid w:val="00F31E3F"/>
    <w:rsid w:val="00F335FE"/>
    <w:rsid w:val="00F343D6"/>
    <w:rsid w:val="00F3442B"/>
    <w:rsid w:val="00F344A9"/>
    <w:rsid w:val="00F37850"/>
    <w:rsid w:val="00F3790E"/>
    <w:rsid w:val="00F37F9F"/>
    <w:rsid w:val="00F40B61"/>
    <w:rsid w:val="00F43228"/>
    <w:rsid w:val="00F4503D"/>
    <w:rsid w:val="00F45BD8"/>
    <w:rsid w:val="00F45BE2"/>
    <w:rsid w:val="00F4642E"/>
    <w:rsid w:val="00F51A99"/>
    <w:rsid w:val="00F52DCA"/>
    <w:rsid w:val="00F53589"/>
    <w:rsid w:val="00F53A8B"/>
    <w:rsid w:val="00F53C16"/>
    <w:rsid w:val="00F547DB"/>
    <w:rsid w:val="00F54BCE"/>
    <w:rsid w:val="00F561C5"/>
    <w:rsid w:val="00F61309"/>
    <w:rsid w:val="00F61EDC"/>
    <w:rsid w:val="00F63A79"/>
    <w:rsid w:val="00F63B18"/>
    <w:rsid w:val="00F63DDE"/>
    <w:rsid w:val="00F644EA"/>
    <w:rsid w:val="00F647AA"/>
    <w:rsid w:val="00F6540E"/>
    <w:rsid w:val="00F67738"/>
    <w:rsid w:val="00F67884"/>
    <w:rsid w:val="00F67BFD"/>
    <w:rsid w:val="00F70EAF"/>
    <w:rsid w:val="00F71176"/>
    <w:rsid w:val="00F711B4"/>
    <w:rsid w:val="00F715D0"/>
    <w:rsid w:val="00F71F10"/>
    <w:rsid w:val="00F7264A"/>
    <w:rsid w:val="00F731E9"/>
    <w:rsid w:val="00F74CB8"/>
    <w:rsid w:val="00F75699"/>
    <w:rsid w:val="00F75D6A"/>
    <w:rsid w:val="00F75DA6"/>
    <w:rsid w:val="00F77523"/>
    <w:rsid w:val="00F8089B"/>
    <w:rsid w:val="00F82607"/>
    <w:rsid w:val="00F82649"/>
    <w:rsid w:val="00F83224"/>
    <w:rsid w:val="00F83C43"/>
    <w:rsid w:val="00F841B0"/>
    <w:rsid w:val="00F845FC"/>
    <w:rsid w:val="00F84A3E"/>
    <w:rsid w:val="00F84CDD"/>
    <w:rsid w:val="00F85039"/>
    <w:rsid w:val="00F866FB"/>
    <w:rsid w:val="00F8677E"/>
    <w:rsid w:val="00F86E04"/>
    <w:rsid w:val="00F8752C"/>
    <w:rsid w:val="00F87C9B"/>
    <w:rsid w:val="00F9057C"/>
    <w:rsid w:val="00F9058A"/>
    <w:rsid w:val="00F90975"/>
    <w:rsid w:val="00F91458"/>
    <w:rsid w:val="00F919DB"/>
    <w:rsid w:val="00F91ED9"/>
    <w:rsid w:val="00F93A54"/>
    <w:rsid w:val="00F94804"/>
    <w:rsid w:val="00F9573C"/>
    <w:rsid w:val="00F95D0C"/>
    <w:rsid w:val="00F96592"/>
    <w:rsid w:val="00FA18EE"/>
    <w:rsid w:val="00FA29A7"/>
    <w:rsid w:val="00FA2E4D"/>
    <w:rsid w:val="00FA3940"/>
    <w:rsid w:val="00FA3C68"/>
    <w:rsid w:val="00FA5120"/>
    <w:rsid w:val="00FA54C7"/>
    <w:rsid w:val="00FA5D1A"/>
    <w:rsid w:val="00FA5F8F"/>
    <w:rsid w:val="00FB2E40"/>
    <w:rsid w:val="00FB2E4C"/>
    <w:rsid w:val="00FB2E54"/>
    <w:rsid w:val="00FB2E87"/>
    <w:rsid w:val="00FB342C"/>
    <w:rsid w:val="00FB3F03"/>
    <w:rsid w:val="00FB6479"/>
    <w:rsid w:val="00FB6480"/>
    <w:rsid w:val="00FB7757"/>
    <w:rsid w:val="00FC20D4"/>
    <w:rsid w:val="00FC2F13"/>
    <w:rsid w:val="00FC50CE"/>
    <w:rsid w:val="00FC7048"/>
    <w:rsid w:val="00FD2A5E"/>
    <w:rsid w:val="00FD2E27"/>
    <w:rsid w:val="00FD37A0"/>
    <w:rsid w:val="00FD37B8"/>
    <w:rsid w:val="00FD4B9D"/>
    <w:rsid w:val="00FD53A6"/>
    <w:rsid w:val="00FD544B"/>
    <w:rsid w:val="00FD666B"/>
    <w:rsid w:val="00FD6E8A"/>
    <w:rsid w:val="00FD7352"/>
    <w:rsid w:val="00FE08B5"/>
    <w:rsid w:val="00FE1124"/>
    <w:rsid w:val="00FE1E01"/>
    <w:rsid w:val="00FE2A1B"/>
    <w:rsid w:val="00FE2DE9"/>
    <w:rsid w:val="00FE3881"/>
    <w:rsid w:val="00FE3CF7"/>
    <w:rsid w:val="00FE4D91"/>
    <w:rsid w:val="00FE5421"/>
    <w:rsid w:val="00FE751A"/>
    <w:rsid w:val="00FE7E75"/>
    <w:rsid w:val="00FF07A3"/>
    <w:rsid w:val="00FF0CEA"/>
    <w:rsid w:val="00FF2709"/>
    <w:rsid w:val="00FF3103"/>
    <w:rsid w:val="00FF59CC"/>
    <w:rsid w:val="00FF7118"/>
    <w:rsid w:val="00FF75EA"/>
    <w:rsid w:val="00FF7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51B"/>
    <w:rPr>
      <w:sz w:val="24"/>
      <w:szCs w:val="24"/>
    </w:rPr>
  </w:style>
  <w:style w:type="paragraph" w:styleId="Heading1">
    <w:name w:val="heading 1"/>
    <w:basedOn w:val="Normal"/>
    <w:link w:val="Heading1Char"/>
    <w:uiPriority w:val="9"/>
    <w:qFormat/>
    <w:rsid w:val="00FF0CEA"/>
    <w:pPr>
      <w:numPr>
        <w:numId w:val="6"/>
      </w:numPr>
      <w:spacing w:before="240" w:after="240"/>
      <w:outlineLvl w:val="0"/>
    </w:pPr>
    <w:rPr>
      <w:b/>
      <w:bCs/>
      <w:caps/>
      <w:color w:val="333333"/>
      <w:kern w:val="36"/>
      <w:szCs w:val="43"/>
    </w:rPr>
  </w:style>
  <w:style w:type="paragraph" w:styleId="Heading2">
    <w:name w:val="heading 2"/>
    <w:basedOn w:val="Normal"/>
    <w:next w:val="Normal"/>
    <w:link w:val="Heading2Char"/>
    <w:unhideWhenUsed/>
    <w:qFormat/>
    <w:rsid w:val="00B2751B"/>
    <w:pPr>
      <w:keepNext/>
      <w:spacing w:before="240" w:after="120"/>
      <w:outlineLvl w:val="1"/>
    </w:pPr>
    <w:rPr>
      <w:b/>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21F8"/>
    <w:rPr>
      <w:rFonts w:ascii="Tahoma" w:hAnsi="Tahoma" w:cs="Tahoma"/>
      <w:sz w:val="16"/>
      <w:szCs w:val="16"/>
    </w:rPr>
  </w:style>
  <w:style w:type="character" w:styleId="CommentReference">
    <w:name w:val="annotation reference"/>
    <w:basedOn w:val="DefaultParagraphFont"/>
    <w:uiPriority w:val="99"/>
    <w:semiHidden/>
    <w:rsid w:val="00BC5AFD"/>
    <w:rPr>
      <w:sz w:val="16"/>
      <w:szCs w:val="16"/>
    </w:rPr>
  </w:style>
  <w:style w:type="paragraph" w:styleId="CommentText">
    <w:name w:val="annotation text"/>
    <w:basedOn w:val="Normal"/>
    <w:semiHidden/>
    <w:rsid w:val="00BC5AFD"/>
    <w:rPr>
      <w:sz w:val="20"/>
      <w:szCs w:val="20"/>
    </w:rPr>
  </w:style>
  <w:style w:type="paragraph" w:styleId="CommentSubject">
    <w:name w:val="annotation subject"/>
    <w:basedOn w:val="CommentText"/>
    <w:next w:val="CommentText"/>
    <w:semiHidden/>
    <w:rsid w:val="00BC5AFD"/>
    <w:rPr>
      <w:b/>
      <w:bCs/>
    </w:rPr>
  </w:style>
  <w:style w:type="character" w:customStyle="1" w:styleId="Heading1Char">
    <w:name w:val="Heading 1 Char"/>
    <w:basedOn w:val="DefaultParagraphFont"/>
    <w:link w:val="Heading1"/>
    <w:uiPriority w:val="9"/>
    <w:rsid w:val="00FF0CEA"/>
    <w:rPr>
      <w:b/>
      <w:bCs/>
      <w:caps/>
      <w:color w:val="333333"/>
      <w:kern w:val="36"/>
      <w:sz w:val="24"/>
      <w:szCs w:val="43"/>
    </w:rPr>
  </w:style>
  <w:style w:type="paragraph" w:styleId="ListParagraph">
    <w:name w:val="List Paragraph"/>
    <w:basedOn w:val="Normal"/>
    <w:uiPriority w:val="34"/>
    <w:qFormat/>
    <w:rsid w:val="007A0EAD"/>
    <w:pPr>
      <w:ind w:left="720"/>
    </w:pPr>
  </w:style>
  <w:style w:type="paragraph" w:styleId="NormalIndent">
    <w:name w:val="Normal Indent"/>
    <w:basedOn w:val="Normal"/>
    <w:rsid w:val="00EE1C68"/>
    <w:pPr>
      <w:ind w:left="720"/>
      <w:jc w:val="both"/>
    </w:pPr>
  </w:style>
  <w:style w:type="paragraph" w:customStyle="1" w:styleId="Clause">
    <w:name w:val="Clause"/>
    <w:basedOn w:val="Normal"/>
    <w:qFormat/>
    <w:rsid w:val="00EE1C68"/>
    <w:pPr>
      <w:numPr>
        <w:numId w:val="3"/>
      </w:numPr>
      <w:tabs>
        <w:tab w:val="left" w:pos="360"/>
        <w:tab w:val="left" w:pos="720"/>
        <w:tab w:val="left" w:pos="1080"/>
        <w:tab w:val="left" w:pos="1440"/>
      </w:tabs>
      <w:jc w:val="both"/>
    </w:pPr>
  </w:style>
  <w:style w:type="paragraph" w:styleId="Revision">
    <w:name w:val="Revision"/>
    <w:hidden/>
    <w:uiPriority w:val="99"/>
    <w:semiHidden/>
    <w:rsid w:val="00B85631"/>
    <w:rPr>
      <w:sz w:val="24"/>
      <w:szCs w:val="24"/>
    </w:rPr>
  </w:style>
  <w:style w:type="character" w:customStyle="1" w:styleId="Heading2Char">
    <w:name w:val="Heading 2 Char"/>
    <w:basedOn w:val="DefaultParagraphFont"/>
    <w:link w:val="Heading2"/>
    <w:rsid w:val="00B2751B"/>
    <w:rPr>
      <w:rFonts w:eastAsia="Times New Roman" w:cs="Times New Roman"/>
      <w:b/>
      <w:bCs/>
      <w:iCs/>
      <w:sz w:val="24"/>
      <w:szCs w:val="28"/>
      <w:u w:val="single"/>
    </w:rPr>
  </w:style>
  <w:style w:type="paragraph" w:styleId="Footer">
    <w:name w:val="footer"/>
    <w:basedOn w:val="Normal"/>
    <w:link w:val="FooterChar"/>
    <w:uiPriority w:val="99"/>
    <w:rsid w:val="009C76B9"/>
    <w:pPr>
      <w:tabs>
        <w:tab w:val="center" w:pos="4320"/>
        <w:tab w:val="right" w:pos="8640"/>
      </w:tabs>
    </w:pPr>
  </w:style>
  <w:style w:type="character" w:customStyle="1" w:styleId="FooterChar">
    <w:name w:val="Footer Char"/>
    <w:basedOn w:val="DefaultParagraphFont"/>
    <w:link w:val="Footer"/>
    <w:uiPriority w:val="99"/>
    <w:rsid w:val="009C76B9"/>
    <w:rPr>
      <w:sz w:val="24"/>
      <w:szCs w:val="24"/>
    </w:rPr>
  </w:style>
  <w:style w:type="character" w:styleId="PageNumber">
    <w:name w:val="page number"/>
    <w:basedOn w:val="DefaultParagraphFont"/>
    <w:rsid w:val="009C76B9"/>
  </w:style>
  <w:style w:type="paragraph" w:styleId="Header">
    <w:name w:val="header"/>
    <w:basedOn w:val="Normal"/>
    <w:link w:val="HeaderChar"/>
    <w:uiPriority w:val="99"/>
    <w:rsid w:val="00C567DB"/>
    <w:pPr>
      <w:tabs>
        <w:tab w:val="center" w:pos="4680"/>
        <w:tab w:val="right" w:pos="9360"/>
      </w:tabs>
    </w:pPr>
  </w:style>
  <w:style w:type="character" w:customStyle="1" w:styleId="HeaderChar">
    <w:name w:val="Header Char"/>
    <w:basedOn w:val="DefaultParagraphFont"/>
    <w:link w:val="Header"/>
    <w:uiPriority w:val="99"/>
    <w:rsid w:val="00C567DB"/>
    <w:rPr>
      <w:sz w:val="24"/>
      <w:szCs w:val="24"/>
    </w:rPr>
  </w:style>
  <w:style w:type="paragraph" w:styleId="NoSpacing">
    <w:name w:val="No Spacing"/>
    <w:link w:val="NoSpacingChar"/>
    <w:uiPriority w:val="1"/>
    <w:qFormat/>
    <w:rsid w:val="00C567D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567DB"/>
    <w:rPr>
      <w:rFonts w:asciiTheme="minorHAnsi" w:eastAsiaTheme="minorEastAsia" w:hAnsiTheme="minorHAnsi" w:cstheme="minorBidi"/>
      <w:sz w:val="22"/>
      <w:szCs w:val="22"/>
    </w:rPr>
  </w:style>
  <w:style w:type="character" w:customStyle="1" w:styleId="apple-style-span">
    <w:name w:val="apple-style-span"/>
    <w:basedOn w:val="DefaultParagraphFont"/>
    <w:rsid w:val="004A3FBF"/>
  </w:style>
  <w:style w:type="table" w:styleId="TableGrid">
    <w:name w:val="Table Grid"/>
    <w:basedOn w:val="TableNormal"/>
    <w:rsid w:val="004A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2D03"/>
    <w:pPr>
      <w:autoSpaceDE w:val="0"/>
      <w:autoSpaceDN w:val="0"/>
      <w:adjustRightInd w:val="0"/>
    </w:pPr>
    <w:rPr>
      <w:rFonts w:ascii="LJMNFN+TimesNewRoman" w:hAnsi="LJMNFN+TimesNewRoman" w:cs="LJMNFN+TimesNewRoman"/>
      <w:color w:val="000000"/>
      <w:sz w:val="24"/>
      <w:szCs w:val="24"/>
    </w:rPr>
  </w:style>
  <w:style w:type="character" w:styleId="Hyperlink">
    <w:name w:val="Hyperlink"/>
    <w:basedOn w:val="DefaultParagraphFont"/>
    <w:rsid w:val="00300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6997348">
      <w:bodyDiv w:val="1"/>
      <w:marLeft w:val="0"/>
      <w:marRight w:val="0"/>
      <w:marTop w:val="0"/>
      <w:marBottom w:val="0"/>
      <w:divBdr>
        <w:top w:val="none" w:sz="0" w:space="0" w:color="auto"/>
        <w:left w:val="none" w:sz="0" w:space="0" w:color="auto"/>
        <w:bottom w:val="none" w:sz="0" w:space="0" w:color="auto"/>
        <w:right w:val="none" w:sz="0" w:space="0" w:color="auto"/>
      </w:divBdr>
    </w:div>
    <w:div w:id="998850831">
      <w:bodyDiv w:val="1"/>
      <w:marLeft w:val="0"/>
      <w:marRight w:val="0"/>
      <w:marTop w:val="0"/>
      <w:marBottom w:val="0"/>
      <w:divBdr>
        <w:top w:val="none" w:sz="0" w:space="0" w:color="auto"/>
        <w:left w:val="none" w:sz="0" w:space="0" w:color="auto"/>
        <w:bottom w:val="none" w:sz="0" w:space="0" w:color="auto"/>
        <w:right w:val="none" w:sz="0" w:space="0" w:color="auto"/>
      </w:divBdr>
      <w:divsChild>
        <w:div w:id="1467242280">
          <w:marLeft w:val="0"/>
          <w:marRight w:val="0"/>
          <w:marTop w:val="0"/>
          <w:marBottom w:val="0"/>
          <w:divBdr>
            <w:top w:val="none" w:sz="0" w:space="0" w:color="auto"/>
            <w:left w:val="none" w:sz="0" w:space="0" w:color="auto"/>
            <w:bottom w:val="none" w:sz="0" w:space="0" w:color="auto"/>
            <w:right w:val="none" w:sz="0" w:space="0" w:color="auto"/>
          </w:divBdr>
          <w:divsChild>
            <w:div w:id="526456402">
              <w:marLeft w:val="0"/>
              <w:marRight w:val="0"/>
              <w:marTop w:val="0"/>
              <w:marBottom w:val="0"/>
              <w:divBdr>
                <w:top w:val="none" w:sz="0" w:space="0" w:color="auto"/>
                <w:left w:val="none" w:sz="0" w:space="0" w:color="auto"/>
                <w:bottom w:val="none" w:sz="0" w:space="0" w:color="auto"/>
                <w:right w:val="none" w:sz="0" w:space="0" w:color="auto"/>
              </w:divBdr>
              <w:divsChild>
                <w:div w:id="459567613">
                  <w:marLeft w:val="0"/>
                  <w:marRight w:val="0"/>
                  <w:marTop w:val="0"/>
                  <w:marBottom w:val="0"/>
                  <w:divBdr>
                    <w:top w:val="none" w:sz="0" w:space="0" w:color="auto"/>
                    <w:left w:val="none" w:sz="0" w:space="0" w:color="auto"/>
                    <w:bottom w:val="none" w:sz="0" w:space="0" w:color="auto"/>
                    <w:right w:val="none" w:sz="0" w:space="0" w:color="auto"/>
                  </w:divBdr>
                  <w:divsChild>
                    <w:div w:id="1280913949">
                      <w:marLeft w:val="0"/>
                      <w:marRight w:val="0"/>
                      <w:marTop w:val="0"/>
                      <w:marBottom w:val="0"/>
                      <w:divBdr>
                        <w:top w:val="none" w:sz="0" w:space="0" w:color="auto"/>
                        <w:left w:val="none" w:sz="0" w:space="0" w:color="auto"/>
                        <w:bottom w:val="none" w:sz="0" w:space="0" w:color="auto"/>
                        <w:right w:val="none" w:sz="0" w:space="0" w:color="auto"/>
                      </w:divBdr>
                      <w:divsChild>
                        <w:div w:id="1476681570">
                          <w:marLeft w:val="0"/>
                          <w:marRight w:val="0"/>
                          <w:marTop w:val="0"/>
                          <w:marBottom w:val="0"/>
                          <w:divBdr>
                            <w:top w:val="none" w:sz="0" w:space="0" w:color="auto"/>
                            <w:left w:val="none" w:sz="0" w:space="0" w:color="auto"/>
                            <w:bottom w:val="none" w:sz="0" w:space="0" w:color="auto"/>
                            <w:right w:val="none" w:sz="0" w:space="0" w:color="auto"/>
                          </w:divBdr>
                          <w:divsChild>
                            <w:div w:id="379136125">
                              <w:marLeft w:val="0"/>
                              <w:marRight w:val="0"/>
                              <w:marTop w:val="0"/>
                              <w:marBottom w:val="0"/>
                              <w:divBdr>
                                <w:top w:val="none" w:sz="0" w:space="0" w:color="auto"/>
                                <w:left w:val="none" w:sz="0" w:space="0" w:color="auto"/>
                                <w:bottom w:val="none" w:sz="0" w:space="0" w:color="auto"/>
                                <w:right w:val="none" w:sz="0" w:space="0" w:color="auto"/>
                              </w:divBdr>
                              <w:divsChild>
                                <w:div w:id="6617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974730">
      <w:bodyDiv w:val="1"/>
      <w:marLeft w:val="0"/>
      <w:marRight w:val="0"/>
      <w:marTop w:val="0"/>
      <w:marBottom w:val="0"/>
      <w:divBdr>
        <w:top w:val="none" w:sz="0" w:space="0" w:color="auto"/>
        <w:left w:val="none" w:sz="0" w:space="0" w:color="auto"/>
        <w:bottom w:val="none" w:sz="0" w:space="0" w:color="auto"/>
        <w:right w:val="none" w:sz="0" w:space="0" w:color="auto"/>
      </w:divBdr>
    </w:div>
    <w:div w:id="1721631771">
      <w:bodyDiv w:val="1"/>
      <w:marLeft w:val="0"/>
      <w:marRight w:val="0"/>
      <w:marTop w:val="0"/>
      <w:marBottom w:val="0"/>
      <w:divBdr>
        <w:top w:val="none" w:sz="0" w:space="0" w:color="auto"/>
        <w:left w:val="none" w:sz="0" w:space="0" w:color="auto"/>
        <w:bottom w:val="none" w:sz="0" w:space="0" w:color="auto"/>
        <w:right w:val="none" w:sz="0" w:space="0" w:color="auto"/>
      </w:divBdr>
    </w:div>
    <w:div w:id="1766683494">
      <w:bodyDiv w:val="1"/>
      <w:marLeft w:val="0"/>
      <w:marRight w:val="0"/>
      <w:marTop w:val="0"/>
      <w:marBottom w:val="0"/>
      <w:divBdr>
        <w:top w:val="none" w:sz="0" w:space="0" w:color="auto"/>
        <w:left w:val="none" w:sz="0" w:space="0" w:color="auto"/>
        <w:bottom w:val="none" w:sz="0" w:space="0" w:color="auto"/>
        <w:right w:val="none" w:sz="0" w:space="0" w:color="auto"/>
      </w:divBdr>
    </w:div>
    <w:div w:id="1835488581">
      <w:bodyDiv w:val="1"/>
      <w:marLeft w:val="0"/>
      <w:marRight w:val="0"/>
      <w:marTop w:val="0"/>
      <w:marBottom w:val="0"/>
      <w:divBdr>
        <w:top w:val="none" w:sz="0" w:space="0" w:color="auto"/>
        <w:left w:val="none" w:sz="0" w:space="0" w:color="auto"/>
        <w:bottom w:val="none" w:sz="0" w:space="0" w:color="auto"/>
        <w:right w:val="none" w:sz="0" w:space="0" w:color="auto"/>
      </w:divBdr>
      <w:divsChild>
        <w:div w:id="328753288">
          <w:marLeft w:val="0"/>
          <w:marRight w:val="0"/>
          <w:marTop w:val="0"/>
          <w:marBottom w:val="0"/>
          <w:divBdr>
            <w:top w:val="none" w:sz="0" w:space="0" w:color="auto"/>
            <w:left w:val="none" w:sz="0" w:space="0" w:color="auto"/>
            <w:bottom w:val="none" w:sz="0" w:space="0" w:color="auto"/>
            <w:right w:val="none" w:sz="0" w:space="0" w:color="auto"/>
          </w:divBdr>
          <w:divsChild>
            <w:div w:id="1594900014">
              <w:marLeft w:val="0"/>
              <w:marRight w:val="0"/>
              <w:marTop w:val="0"/>
              <w:marBottom w:val="0"/>
              <w:divBdr>
                <w:top w:val="none" w:sz="0" w:space="0" w:color="auto"/>
                <w:left w:val="none" w:sz="0" w:space="0" w:color="auto"/>
                <w:bottom w:val="none" w:sz="0" w:space="0" w:color="auto"/>
                <w:right w:val="none" w:sz="0" w:space="0" w:color="auto"/>
              </w:divBdr>
              <w:divsChild>
                <w:div w:id="1320768977">
                  <w:marLeft w:val="0"/>
                  <w:marRight w:val="0"/>
                  <w:marTop w:val="0"/>
                  <w:marBottom w:val="0"/>
                  <w:divBdr>
                    <w:top w:val="none" w:sz="0" w:space="0" w:color="auto"/>
                    <w:left w:val="none" w:sz="0" w:space="0" w:color="auto"/>
                    <w:bottom w:val="none" w:sz="0" w:space="0" w:color="auto"/>
                    <w:right w:val="none" w:sz="0" w:space="0" w:color="auto"/>
                  </w:divBdr>
                  <w:divsChild>
                    <w:div w:id="386340757">
                      <w:marLeft w:val="0"/>
                      <w:marRight w:val="0"/>
                      <w:marTop w:val="0"/>
                      <w:marBottom w:val="0"/>
                      <w:divBdr>
                        <w:top w:val="none" w:sz="0" w:space="0" w:color="auto"/>
                        <w:left w:val="none" w:sz="0" w:space="0" w:color="auto"/>
                        <w:bottom w:val="none" w:sz="0" w:space="0" w:color="auto"/>
                        <w:right w:val="none" w:sz="0" w:space="0" w:color="auto"/>
                      </w:divBdr>
                      <w:divsChild>
                        <w:div w:id="1098914979">
                          <w:marLeft w:val="0"/>
                          <w:marRight w:val="0"/>
                          <w:marTop w:val="0"/>
                          <w:marBottom w:val="0"/>
                          <w:divBdr>
                            <w:top w:val="none" w:sz="0" w:space="0" w:color="auto"/>
                            <w:left w:val="none" w:sz="0" w:space="0" w:color="auto"/>
                            <w:bottom w:val="none" w:sz="0" w:space="0" w:color="auto"/>
                            <w:right w:val="none" w:sz="0" w:space="0" w:color="auto"/>
                          </w:divBdr>
                          <w:divsChild>
                            <w:div w:id="1932621717">
                              <w:marLeft w:val="0"/>
                              <w:marRight w:val="0"/>
                              <w:marTop w:val="0"/>
                              <w:marBottom w:val="0"/>
                              <w:divBdr>
                                <w:top w:val="none" w:sz="0" w:space="0" w:color="auto"/>
                                <w:left w:val="none" w:sz="0" w:space="0" w:color="auto"/>
                                <w:bottom w:val="none" w:sz="0" w:space="0" w:color="auto"/>
                                <w:right w:val="none" w:sz="0" w:space="0" w:color="auto"/>
                              </w:divBdr>
                              <w:divsChild>
                                <w:div w:id="820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726725">
      <w:bodyDiv w:val="1"/>
      <w:marLeft w:val="0"/>
      <w:marRight w:val="0"/>
      <w:marTop w:val="0"/>
      <w:marBottom w:val="0"/>
      <w:divBdr>
        <w:top w:val="none" w:sz="0" w:space="0" w:color="auto"/>
        <w:left w:val="none" w:sz="0" w:space="0" w:color="auto"/>
        <w:bottom w:val="none" w:sz="0" w:space="0" w:color="auto"/>
        <w:right w:val="none" w:sz="0" w:space="0" w:color="auto"/>
      </w:divBdr>
    </w:div>
    <w:div w:id="2037462878">
      <w:bodyDiv w:val="1"/>
      <w:marLeft w:val="0"/>
      <w:marRight w:val="0"/>
      <w:marTop w:val="0"/>
      <w:marBottom w:val="0"/>
      <w:divBdr>
        <w:top w:val="none" w:sz="0" w:space="0" w:color="auto"/>
        <w:left w:val="none" w:sz="0" w:space="0" w:color="auto"/>
        <w:bottom w:val="none" w:sz="0" w:space="0" w:color="auto"/>
        <w:right w:val="none" w:sz="0" w:space="0" w:color="auto"/>
      </w:divBdr>
      <w:divsChild>
        <w:div w:id="214584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49328">
              <w:marLeft w:val="0"/>
              <w:marRight w:val="0"/>
              <w:marTop w:val="0"/>
              <w:marBottom w:val="0"/>
              <w:divBdr>
                <w:top w:val="none" w:sz="0" w:space="0" w:color="auto"/>
                <w:left w:val="none" w:sz="0" w:space="0" w:color="auto"/>
                <w:bottom w:val="none" w:sz="0" w:space="0" w:color="auto"/>
                <w:right w:val="none" w:sz="0" w:space="0" w:color="auto"/>
              </w:divBdr>
              <w:divsChild>
                <w:div w:id="7743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cdenr.org/web/jordanlak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F6F07-5DE5-47C2-983B-99F049B1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5153</Words>
  <Characters>27265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RIPARIAN BUFFER AND NUTRIENT MITIGATION</vt:lpstr>
    </vt:vector>
  </TitlesOfParts>
  <Company>The John R. McAdams Company</Company>
  <LinksUpToDate>false</LinksUpToDate>
  <CharactersWithSpaces>32354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RIPARIAN BUFFER AND NUTRIENT MITIGATION</dc:title>
  <dc:subject/>
  <dc:creator>Katie Y Merritt</dc:creator>
  <cp:keywords/>
  <cp:lastModifiedBy>Katie Y Merritt</cp:lastModifiedBy>
  <cp:revision>4</cp:revision>
  <cp:lastPrinted>2012-02-06T20:31:00Z</cp:lastPrinted>
  <dcterms:created xsi:type="dcterms:W3CDTF">2013-04-18T18:31:00Z</dcterms:created>
  <dcterms:modified xsi:type="dcterms:W3CDTF">2013-08-08T17:22:00Z</dcterms:modified>
</cp:coreProperties>
</file>