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C0" w:rsidRDefault="009F79C0" w:rsidP="009F79C0">
      <w:pPr>
        <w:pStyle w:val="Base"/>
      </w:pPr>
      <w:r>
        <w:t xml:space="preserve">10A NCAC 63C .0203 is proposed for readoption </w:t>
      </w:r>
      <w:r>
        <w:rPr>
          <w:u w:val="single"/>
        </w:rPr>
        <w:t>with substantive changes</w:t>
      </w:r>
      <w:r>
        <w:t xml:space="preserve"> as follows:</w:t>
      </w:r>
    </w:p>
    <w:p w:rsidR="009F79C0" w:rsidRPr="009F79C0" w:rsidRDefault="009F79C0" w:rsidP="009F79C0">
      <w:pPr>
        <w:pStyle w:val="Base"/>
      </w:pPr>
    </w:p>
    <w:p w:rsidR="00BC2E8E" w:rsidRDefault="00BC2E8E" w:rsidP="00BC2E8E">
      <w:pPr>
        <w:pStyle w:val="Rule"/>
      </w:pPr>
      <w:r>
        <w:t>10A ncac 63c .0203</w:t>
      </w:r>
      <w:r>
        <w:tab/>
      </w:r>
      <w:r w:rsidRPr="009C319D">
        <w:rPr>
          <w:strike/>
        </w:rPr>
        <w:t>SUSPEND: TERMINATE</w:t>
      </w:r>
      <w:r w:rsidR="00BE79B3">
        <w:rPr>
          <w:strike/>
        </w:rPr>
        <w:t xml:space="preserve"> LINCENSE:</w:t>
      </w:r>
      <w:r w:rsidRPr="00BE79B3">
        <w:t xml:space="preserve"> </w:t>
      </w:r>
      <w:r>
        <w:rPr>
          <w:u w:val="single"/>
        </w:rPr>
        <w:t xml:space="preserve">suspension or termination of </w:t>
      </w:r>
      <w:r w:rsidRPr="00BE79B3">
        <w:rPr>
          <w:u w:val="single"/>
        </w:rPr>
        <w:t>LICENSE</w:t>
      </w:r>
      <w:r w:rsidR="00BE79B3" w:rsidRPr="00BE79B3">
        <w:rPr>
          <w:u w:val="single"/>
        </w:rPr>
        <w:t xml:space="preserve"> </w:t>
      </w:r>
      <w:r>
        <w:rPr>
          <w:u w:val="single"/>
        </w:rPr>
        <w:t>and</w:t>
      </w:r>
      <w:r>
        <w:t xml:space="preserve"> REMOVAL FROM business enterprises facility</w:t>
      </w:r>
    </w:p>
    <w:p w:rsidR="00BC2E8E" w:rsidRPr="009C319D" w:rsidRDefault="00BC2E8E" w:rsidP="00BC2E8E">
      <w:pPr>
        <w:pStyle w:val="Paragraph"/>
        <w:rPr>
          <w:strike/>
        </w:rPr>
      </w:pPr>
      <w:r>
        <w:rPr>
          <w:rFonts w:ascii="CG Times" w:hAnsi="CG Times"/>
        </w:rPr>
        <w:t xml:space="preserve">(a)  The Division may suspend or terminate the license of an operator, after affording the operator an opportunity </w:t>
      </w:r>
      <w:r w:rsidRPr="009C319D">
        <w:rPr>
          <w:strike/>
        </w:rPr>
        <w:t>for</w:t>
      </w:r>
      <w:r>
        <w:rPr>
          <w:strike/>
        </w:rPr>
        <w:t xml:space="preserve"> </w:t>
      </w:r>
      <w:r>
        <w:rPr>
          <w:u w:val="single"/>
        </w:rPr>
        <w:t>to appeal the decision as set forth in Section.0400.</w:t>
      </w:r>
      <w:r w:rsidRPr="009C319D">
        <w:t xml:space="preserve"> </w:t>
      </w:r>
      <w:r>
        <w:rPr>
          <w:rFonts w:ascii="CG Times" w:hAnsi="CG Times"/>
        </w:rPr>
        <w:t xml:space="preserve"> </w:t>
      </w:r>
      <w:r w:rsidRPr="009C319D">
        <w:rPr>
          <w:strike/>
        </w:rPr>
        <w:t xml:space="preserve">a full evidentiary hearing, when it finds that his facility is not being operated in accordance with the rules and regulations; with the terms and conditions of the agreement, contract, or permit between the Division and the sponsor of the building or site upon which the Business Enterprises facility is located; or with the terms of the contract between the operator and the Division relating to the </w:t>
      </w:r>
      <w:proofErr w:type="gramStart"/>
      <w:r w:rsidRPr="009C319D">
        <w:rPr>
          <w:strike/>
        </w:rPr>
        <w:t>particular assignment</w:t>
      </w:r>
      <w:proofErr w:type="gramEnd"/>
      <w:r w:rsidRPr="009C319D">
        <w:rPr>
          <w:strike/>
        </w:rPr>
        <w:t>.</w:t>
      </w:r>
    </w:p>
    <w:p w:rsidR="00BC2E8E" w:rsidRDefault="00BC2E8E" w:rsidP="00BC2E8E">
      <w:pPr>
        <w:pStyle w:val="Paragraph"/>
        <w:rPr>
          <w:strike/>
        </w:rPr>
      </w:pPr>
      <w:r w:rsidRPr="009C319D">
        <w:rPr>
          <w:strike/>
        </w:rPr>
        <w:t xml:space="preserve">(b)  An operator may be warned prior to suspension or termination of a license, particularly in situations where lack of compliance is not determined by the Division to pose an immediate threat to the </w:t>
      </w:r>
      <w:proofErr w:type="gramStart"/>
      <w:r w:rsidRPr="009C319D">
        <w:rPr>
          <w:strike/>
        </w:rPr>
        <w:t>general public</w:t>
      </w:r>
      <w:proofErr w:type="gramEnd"/>
      <w:r w:rsidRPr="009C319D">
        <w:rPr>
          <w:strike/>
        </w:rPr>
        <w:t xml:space="preserve"> or to bring discredit or irreparable damage to the Business Enterprises Program.</w:t>
      </w:r>
    </w:p>
    <w:p w:rsidR="00BC2E8E" w:rsidRDefault="00BC2E8E" w:rsidP="00BC2E8E">
      <w:pPr>
        <w:pStyle w:val="Paragraph"/>
        <w:rPr>
          <w:u w:val="single"/>
        </w:rPr>
      </w:pPr>
      <w:r>
        <w:rPr>
          <w:u w:val="single"/>
        </w:rPr>
        <w:t>(b)  The license of a licensee shall be terminated if the licensee’s vision is improved by conventional means to the point at which the licensee is not legally blind.</w:t>
      </w:r>
    </w:p>
    <w:p w:rsidR="00BC2E8E" w:rsidRPr="001112B5" w:rsidRDefault="00BC2E8E" w:rsidP="00BC2E8E">
      <w:pPr>
        <w:pStyle w:val="Item"/>
        <w:ind w:left="0" w:firstLine="0"/>
        <w:rPr>
          <w:u w:val="single"/>
        </w:rPr>
      </w:pPr>
      <w:r>
        <w:rPr>
          <w:u w:val="single"/>
        </w:rPr>
        <w:t>(c)  The license of an operator shall be terminated if the operator’s vision is improved by conventional means to the point at which the operator is not legally blind.</w:t>
      </w:r>
    </w:p>
    <w:p w:rsidR="00BC2E8E" w:rsidRDefault="00BC2E8E" w:rsidP="00BC2E8E">
      <w:pPr>
        <w:pStyle w:val="Paragraph"/>
        <w:rPr>
          <w:rFonts w:ascii="CG Times" w:hAnsi="CG Times"/>
        </w:rPr>
      </w:pPr>
      <w:r w:rsidRPr="009C319D">
        <w:rPr>
          <w:strike/>
        </w:rPr>
        <w:t>(c)</w:t>
      </w:r>
      <w:r>
        <w:rPr>
          <w:u w:val="single"/>
        </w:rPr>
        <w:t>(d)</w:t>
      </w:r>
      <w:r>
        <w:rPr>
          <w:rFonts w:ascii="CG Times" w:hAnsi="CG Times"/>
        </w:rPr>
        <w:t xml:space="preserve"> Licenses to operators may also be suspended or terminated for any of the following reasons:</w:t>
      </w:r>
    </w:p>
    <w:p w:rsidR="00BC2E8E" w:rsidRPr="001112B5" w:rsidRDefault="00BC2E8E" w:rsidP="00BC2E8E">
      <w:pPr>
        <w:pStyle w:val="SubParagraph"/>
        <w:rPr>
          <w:strike/>
        </w:rPr>
      </w:pPr>
      <w:r w:rsidRPr="001112B5">
        <w:rPr>
          <w:strike/>
        </w:rPr>
        <w:t>(1)</w:t>
      </w:r>
      <w:r w:rsidRPr="001112B5">
        <w:rPr>
          <w:strike/>
        </w:rPr>
        <w:tab/>
        <w:t>Vision improves so that the operator is no longer eligible for licensing;</w:t>
      </w:r>
    </w:p>
    <w:p w:rsidR="00BC2E8E" w:rsidRDefault="00BC2E8E" w:rsidP="00BC2E8E">
      <w:pPr>
        <w:pStyle w:val="SubParagraph"/>
        <w:rPr>
          <w:rFonts w:ascii="CG Times" w:hAnsi="CG Times"/>
        </w:rPr>
      </w:pPr>
      <w:r w:rsidRPr="00A634D6">
        <w:rPr>
          <w:strike/>
        </w:rPr>
        <w:t>(2)</w:t>
      </w:r>
      <w:r>
        <w:rPr>
          <w:u w:val="single"/>
        </w:rPr>
        <w:t>(1)</w:t>
      </w:r>
      <w:r>
        <w:rPr>
          <w:rFonts w:ascii="CG Times" w:hAnsi="CG Times"/>
        </w:rPr>
        <w:tab/>
      </w:r>
      <w:r w:rsidR="00BE79B3">
        <w:rPr>
          <w:rFonts w:ascii="CG Times" w:hAnsi="CG Times"/>
          <w:strike/>
        </w:rPr>
        <w:t>Extended</w:t>
      </w:r>
      <w:r w:rsidR="00BE79B3" w:rsidRPr="00BE79B3">
        <w:rPr>
          <w:rFonts w:ascii="CG Times" w:hAnsi="CG Times"/>
          <w:strike/>
        </w:rPr>
        <w:t xml:space="preserve"> illness</w:t>
      </w:r>
      <w:r w:rsidR="00BE79B3">
        <w:rPr>
          <w:rFonts w:ascii="CG Times" w:hAnsi="CG Times"/>
        </w:rPr>
        <w:t xml:space="preserve"> </w:t>
      </w:r>
      <w:r w:rsidRPr="00BE79B3">
        <w:rPr>
          <w:rFonts w:ascii="CG Times" w:hAnsi="CG Times"/>
          <w:u w:val="single"/>
        </w:rPr>
        <w:t>extended illness</w:t>
      </w:r>
      <w:r w:rsidRPr="00A634D6">
        <w:rPr>
          <w:u w:val="single"/>
        </w:rPr>
        <w:t xml:space="preserve">, </w:t>
      </w:r>
      <w:r>
        <w:rPr>
          <w:u w:val="single"/>
        </w:rPr>
        <w:t>defined as lasting at least three months,</w:t>
      </w:r>
      <w:r w:rsidRPr="00A634D6">
        <w:t xml:space="preserve"> </w:t>
      </w:r>
      <w:r>
        <w:rPr>
          <w:rFonts w:ascii="CG Times" w:hAnsi="CG Times"/>
        </w:rPr>
        <w:t>occurs with medically documented diagnosis of prolonged incapacity of the operator to manage the Business Enterprises facility in a manner consistent with the needs of the location or other available locations in the Business Enterprises Program;</w:t>
      </w:r>
    </w:p>
    <w:p w:rsidR="00BC2E8E" w:rsidRDefault="00BC2E8E" w:rsidP="00BC2E8E">
      <w:pPr>
        <w:pStyle w:val="SubParagraph"/>
        <w:rPr>
          <w:rFonts w:ascii="CG Times" w:hAnsi="CG Times"/>
        </w:rPr>
      </w:pPr>
      <w:r w:rsidRPr="00A634D6">
        <w:rPr>
          <w:strike/>
        </w:rPr>
        <w:t>(3)</w:t>
      </w:r>
      <w:r>
        <w:rPr>
          <w:u w:val="single"/>
        </w:rPr>
        <w:t>(2)</w:t>
      </w:r>
      <w:r>
        <w:rPr>
          <w:rFonts w:ascii="CG Times" w:hAnsi="CG Times"/>
        </w:rPr>
        <w:tab/>
      </w:r>
      <w:r w:rsidR="00BE79B3" w:rsidRPr="00BE79B3">
        <w:rPr>
          <w:rFonts w:ascii="CG Times" w:hAnsi="CG Times"/>
          <w:strike/>
        </w:rPr>
        <w:t>Withdrawal</w:t>
      </w:r>
      <w:r w:rsidR="00BE79B3" w:rsidRPr="00BE79B3">
        <w:rPr>
          <w:rFonts w:ascii="CG Times" w:hAnsi="CG Times"/>
        </w:rPr>
        <w:t xml:space="preserve"> </w:t>
      </w:r>
      <w:proofErr w:type="spellStart"/>
      <w:r w:rsidRPr="00BE79B3">
        <w:rPr>
          <w:rFonts w:ascii="CG Times" w:hAnsi="CG Times"/>
          <w:u w:val="single"/>
        </w:rPr>
        <w:t>withdrawal</w:t>
      </w:r>
      <w:proofErr w:type="spellEnd"/>
      <w:r>
        <w:rPr>
          <w:rFonts w:ascii="CG Times" w:hAnsi="CG Times"/>
        </w:rPr>
        <w:t xml:space="preserve"> of the operator from the program upon his written notification to the Division;</w:t>
      </w:r>
    </w:p>
    <w:p w:rsidR="00BC2E8E" w:rsidRDefault="00BC2E8E" w:rsidP="00BC2E8E">
      <w:pPr>
        <w:pStyle w:val="SubParagraph"/>
        <w:rPr>
          <w:rFonts w:ascii="CG Times" w:hAnsi="CG Times"/>
        </w:rPr>
      </w:pPr>
      <w:r w:rsidRPr="00A45CFD">
        <w:rPr>
          <w:strike/>
        </w:rPr>
        <w:t>(4)</w:t>
      </w:r>
      <w:r w:rsidRPr="00A45CFD">
        <w:rPr>
          <w:strike/>
        </w:rPr>
        <w:tab/>
        <w:t>Gross misconduct or conduct so reprehensible as to bring discredit to the program;</w:t>
      </w:r>
    </w:p>
    <w:p w:rsidR="00BC2E8E" w:rsidRDefault="00BC2E8E" w:rsidP="00BC2E8E">
      <w:pPr>
        <w:pStyle w:val="SubParagraph"/>
        <w:rPr>
          <w:rFonts w:ascii="CG Times" w:hAnsi="CG Times"/>
        </w:rPr>
      </w:pPr>
      <w:r w:rsidRPr="00A45CFD">
        <w:rPr>
          <w:strike/>
        </w:rPr>
        <w:t>(5)</w:t>
      </w:r>
      <w:r>
        <w:rPr>
          <w:u w:val="single"/>
        </w:rPr>
        <w:t>(3)</w:t>
      </w:r>
      <w:r>
        <w:rPr>
          <w:rFonts w:ascii="CG Times" w:hAnsi="CG Times"/>
        </w:rPr>
        <w:tab/>
      </w:r>
      <w:r w:rsidR="00BE79B3">
        <w:rPr>
          <w:rFonts w:ascii="CG Times" w:hAnsi="CG Times"/>
          <w:strike/>
        </w:rPr>
        <w:t>Conviction</w:t>
      </w:r>
      <w:r w:rsidR="00BE79B3">
        <w:rPr>
          <w:rFonts w:ascii="CG Times" w:hAnsi="CG Times"/>
        </w:rPr>
        <w:t xml:space="preserve"> </w:t>
      </w:r>
      <w:proofErr w:type="spellStart"/>
      <w:r w:rsidRPr="00BE79B3">
        <w:rPr>
          <w:rFonts w:ascii="CG Times" w:hAnsi="CG Times"/>
          <w:u w:val="single"/>
        </w:rPr>
        <w:t>conviction</w:t>
      </w:r>
      <w:proofErr w:type="spellEnd"/>
      <w:r>
        <w:rPr>
          <w:rFonts w:ascii="CG Times" w:hAnsi="CG Times"/>
        </w:rPr>
        <w:t xml:space="preserve"> of a </w:t>
      </w:r>
      <w:r w:rsidRPr="00A634D6">
        <w:rPr>
          <w:strike/>
        </w:rPr>
        <w:t>felony (Class A through E)</w:t>
      </w:r>
      <w:r w:rsidR="00BE79B3">
        <w:rPr>
          <w:strike/>
        </w:rPr>
        <w:t>;</w:t>
      </w:r>
      <w:r w:rsidRPr="00F436EE">
        <w:t xml:space="preserve"> </w:t>
      </w:r>
      <w:r>
        <w:rPr>
          <w:u w:val="single"/>
        </w:rPr>
        <w:t>misdemeanor involving crimes of dishonesty or any felony</w:t>
      </w:r>
      <w:r>
        <w:rPr>
          <w:rFonts w:ascii="CG Times" w:hAnsi="CG Times"/>
        </w:rPr>
        <w:t>;</w:t>
      </w:r>
    </w:p>
    <w:p w:rsidR="00BC2E8E" w:rsidRDefault="00BC2E8E" w:rsidP="00BC2E8E">
      <w:pPr>
        <w:pStyle w:val="SubParagraph"/>
        <w:rPr>
          <w:rFonts w:ascii="CG Times" w:hAnsi="CG Times"/>
        </w:rPr>
      </w:pPr>
      <w:r w:rsidRPr="00A45CFD">
        <w:rPr>
          <w:strike/>
        </w:rPr>
        <w:t>(6)</w:t>
      </w:r>
      <w:r>
        <w:rPr>
          <w:u w:val="single"/>
        </w:rPr>
        <w:t>(4)</w:t>
      </w:r>
      <w:r>
        <w:rPr>
          <w:rFonts w:ascii="CG Times" w:hAnsi="CG Times"/>
        </w:rPr>
        <w:tab/>
      </w:r>
      <w:r w:rsidR="00BE79B3">
        <w:rPr>
          <w:rFonts w:ascii="CG Times" w:hAnsi="CG Times"/>
          <w:strike/>
        </w:rPr>
        <w:t>Falsified</w:t>
      </w:r>
      <w:r w:rsidR="00BE79B3">
        <w:rPr>
          <w:rFonts w:ascii="CG Times" w:hAnsi="CG Times"/>
        </w:rPr>
        <w:t xml:space="preserve"> </w:t>
      </w:r>
      <w:r w:rsidRPr="00BE79B3">
        <w:rPr>
          <w:rFonts w:ascii="CG Times" w:hAnsi="CG Times"/>
          <w:u w:val="single"/>
        </w:rPr>
        <w:t>falsified</w:t>
      </w:r>
      <w:r>
        <w:rPr>
          <w:rFonts w:ascii="CG Times" w:hAnsi="CG Times"/>
        </w:rPr>
        <w:t xml:space="preserve"> information pertaining to eligibility requirements;</w:t>
      </w:r>
    </w:p>
    <w:p w:rsidR="00BC2E8E" w:rsidRDefault="00BC2E8E" w:rsidP="00BC2E8E">
      <w:pPr>
        <w:pStyle w:val="SubParagraph"/>
        <w:rPr>
          <w:rFonts w:ascii="CG Times" w:hAnsi="CG Times"/>
        </w:rPr>
      </w:pPr>
      <w:r w:rsidRPr="00A45CFD">
        <w:rPr>
          <w:strike/>
        </w:rPr>
        <w:t>(7)</w:t>
      </w:r>
      <w:r>
        <w:rPr>
          <w:u w:val="single"/>
        </w:rPr>
        <w:t>(5)</w:t>
      </w:r>
      <w:r>
        <w:rPr>
          <w:rFonts w:ascii="CG Times" w:hAnsi="CG Times"/>
        </w:rPr>
        <w:tab/>
      </w:r>
      <w:r w:rsidR="00BE79B3">
        <w:rPr>
          <w:rFonts w:ascii="CG Times" w:hAnsi="CG Times"/>
          <w:strike/>
        </w:rPr>
        <w:t>Willful</w:t>
      </w:r>
      <w:r w:rsidR="00BE79B3" w:rsidRPr="00BE79B3">
        <w:rPr>
          <w:rFonts w:ascii="CG Times" w:hAnsi="CG Times"/>
        </w:rPr>
        <w:t xml:space="preserve"> </w:t>
      </w:r>
      <w:proofErr w:type="spellStart"/>
      <w:r w:rsidRPr="00BE79B3">
        <w:rPr>
          <w:rFonts w:ascii="CG Times" w:hAnsi="CG Times"/>
          <w:u w:val="single"/>
        </w:rPr>
        <w:t>willful</w:t>
      </w:r>
      <w:proofErr w:type="spellEnd"/>
      <w:r>
        <w:rPr>
          <w:rFonts w:ascii="CG Times" w:hAnsi="CG Times"/>
        </w:rPr>
        <w:t xml:space="preserve"> acts that would endanger the lives and property of others;</w:t>
      </w:r>
    </w:p>
    <w:p w:rsidR="00BC2E8E" w:rsidRDefault="00BC2E8E" w:rsidP="00BC2E8E">
      <w:pPr>
        <w:pStyle w:val="SubParagraph"/>
        <w:rPr>
          <w:rFonts w:ascii="CG Times" w:hAnsi="CG Times"/>
        </w:rPr>
      </w:pPr>
      <w:r w:rsidRPr="00A45CFD">
        <w:rPr>
          <w:strike/>
        </w:rPr>
        <w:t>(8)</w:t>
      </w:r>
      <w:r>
        <w:rPr>
          <w:u w:val="single"/>
        </w:rPr>
        <w:t>(6)</w:t>
      </w:r>
      <w:r>
        <w:rPr>
          <w:rFonts w:ascii="CG Times" w:hAnsi="CG Times"/>
        </w:rPr>
        <w:tab/>
      </w:r>
      <w:r w:rsidRPr="00145A3D">
        <w:rPr>
          <w:rFonts w:ascii="CG Times" w:hAnsi="CG Times"/>
        </w:rPr>
        <w:t xml:space="preserve">Possession of firearms or lethal weapons on </w:t>
      </w:r>
      <w:r w:rsidRPr="000044C3">
        <w:rPr>
          <w:strike/>
        </w:rPr>
        <w:t>the job</w:t>
      </w:r>
      <w:r w:rsidR="00BE79B3">
        <w:rPr>
          <w:strike/>
        </w:rPr>
        <w:t>;</w:t>
      </w:r>
      <w:r w:rsidRPr="000044C3">
        <w:t xml:space="preserve"> </w:t>
      </w:r>
      <w:r>
        <w:rPr>
          <w:u w:val="single"/>
        </w:rPr>
        <w:t>site at a Business Enterprises facility</w:t>
      </w:r>
      <w:r w:rsidRPr="00145A3D">
        <w:rPr>
          <w:rFonts w:ascii="CG Times" w:hAnsi="CG Times"/>
        </w:rPr>
        <w:t>;</w:t>
      </w:r>
    </w:p>
    <w:p w:rsidR="00BC2E8E" w:rsidRDefault="00BC2E8E" w:rsidP="00BC2E8E">
      <w:pPr>
        <w:pStyle w:val="SubParagraph"/>
        <w:rPr>
          <w:u w:val="single"/>
        </w:rPr>
      </w:pPr>
      <w:r w:rsidRPr="00A45CFD">
        <w:rPr>
          <w:strike/>
        </w:rPr>
        <w:t>(9)</w:t>
      </w:r>
      <w:r>
        <w:rPr>
          <w:u w:val="single"/>
        </w:rPr>
        <w:t>(7)</w:t>
      </w:r>
      <w:r>
        <w:rPr>
          <w:rFonts w:ascii="CG Times" w:hAnsi="CG Times"/>
        </w:rPr>
        <w:tab/>
      </w:r>
      <w:r w:rsidR="00BE79B3">
        <w:rPr>
          <w:rFonts w:ascii="CG Times" w:hAnsi="CG Times"/>
          <w:strike/>
        </w:rPr>
        <w:t>Reporting</w:t>
      </w:r>
      <w:r w:rsidR="00BE79B3">
        <w:rPr>
          <w:rFonts w:ascii="CG Times" w:hAnsi="CG Times"/>
        </w:rPr>
        <w:t xml:space="preserve"> </w:t>
      </w:r>
      <w:bookmarkStart w:id="0" w:name="_GoBack"/>
      <w:r w:rsidRPr="00BE79B3">
        <w:rPr>
          <w:rFonts w:ascii="CG Times" w:hAnsi="CG Times"/>
          <w:u w:val="single"/>
        </w:rPr>
        <w:t>reporting</w:t>
      </w:r>
      <w:bookmarkEnd w:id="0"/>
      <w:r>
        <w:rPr>
          <w:rFonts w:ascii="CG Times" w:hAnsi="CG Times"/>
        </w:rPr>
        <w:t xml:space="preserve"> to Business Enterprises assignment under the influence of alcohol or any controlled substance or partaking of such on the job</w:t>
      </w:r>
      <w:r w:rsidRPr="00A45CFD">
        <w:rPr>
          <w:strike/>
        </w:rPr>
        <w:t>.</w:t>
      </w:r>
      <w:r>
        <w:rPr>
          <w:u w:val="single"/>
        </w:rPr>
        <w:t>;</w:t>
      </w:r>
    </w:p>
    <w:p w:rsidR="00BC2E8E" w:rsidRDefault="00BC2E8E" w:rsidP="00BC2E8E">
      <w:pPr>
        <w:pStyle w:val="SubParagraph"/>
        <w:rPr>
          <w:u w:val="single"/>
        </w:rPr>
      </w:pPr>
      <w:r>
        <w:rPr>
          <w:u w:val="single"/>
        </w:rPr>
        <w:t>(8)</w:t>
      </w:r>
      <w:r>
        <w:rPr>
          <w:u w:val="single"/>
        </w:rPr>
        <w:tab/>
        <w:t>failing to personally operate the awarded facility as set forth in the operator agreement and permit or contract with the host facility unless prior written approval to operate the facility in another manner has been obtained from the Division;</w:t>
      </w:r>
    </w:p>
    <w:p w:rsidR="00BC2E8E" w:rsidRDefault="00BC2E8E" w:rsidP="00BC2E8E">
      <w:pPr>
        <w:pStyle w:val="SubParagraph"/>
        <w:rPr>
          <w:u w:val="single"/>
        </w:rPr>
      </w:pPr>
      <w:r>
        <w:rPr>
          <w:u w:val="single"/>
        </w:rPr>
        <w:t>(9)</w:t>
      </w:r>
      <w:r>
        <w:rPr>
          <w:u w:val="single"/>
        </w:rPr>
        <w:tab/>
        <w:t>failing to pay fees to the Controller’s Office by the 15</w:t>
      </w:r>
      <w:r w:rsidRPr="00114E20">
        <w:rPr>
          <w:u w:val="single"/>
          <w:vertAlign w:val="superscript"/>
        </w:rPr>
        <w:t>th</w:t>
      </w:r>
      <w:r>
        <w:rPr>
          <w:u w:val="single"/>
        </w:rPr>
        <w:t xml:space="preserve"> day of the month following the month in which the business was transacted three times during the calendar year;</w:t>
      </w:r>
    </w:p>
    <w:p w:rsidR="00BC2E8E" w:rsidRDefault="00BC2E8E" w:rsidP="00BC2E8E">
      <w:pPr>
        <w:pStyle w:val="SubParagraph"/>
        <w:rPr>
          <w:u w:val="single"/>
        </w:rPr>
      </w:pPr>
      <w:r>
        <w:rPr>
          <w:u w:val="single"/>
        </w:rPr>
        <w:lastRenderedPageBreak/>
        <w:t>(10)</w:t>
      </w:r>
      <w:r>
        <w:rPr>
          <w:u w:val="single"/>
        </w:rPr>
        <w:tab/>
        <w:t>failing to preserve required financial and other records with the Division as required by this Subchapter;</w:t>
      </w:r>
    </w:p>
    <w:p w:rsidR="00BC2E8E" w:rsidRDefault="00BC2E8E" w:rsidP="00BC2E8E">
      <w:pPr>
        <w:pStyle w:val="SubParagraph"/>
        <w:rPr>
          <w:u w:val="single"/>
        </w:rPr>
      </w:pPr>
      <w:r>
        <w:rPr>
          <w:u w:val="single"/>
        </w:rPr>
        <w:t>(11)</w:t>
      </w:r>
      <w:r>
        <w:rPr>
          <w:u w:val="single"/>
        </w:rPr>
        <w:tab/>
        <w:t>failing to cooperate with record keeping reviews conducted by the Division;</w:t>
      </w:r>
    </w:p>
    <w:p w:rsidR="00BC2E8E" w:rsidRDefault="00BC2E8E" w:rsidP="00BC2E8E">
      <w:pPr>
        <w:pStyle w:val="SubParagraph"/>
        <w:rPr>
          <w:u w:val="single"/>
        </w:rPr>
      </w:pPr>
      <w:r>
        <w:rPr>
          <w:u w:val="single"/>
        </w:rPr>
        <w:t>(12)</w:t>
      </w:r>
      <w:r>
        <w:rPr>
          <w:u w:val="single"/>
        </w:rPr>
        <w:tab/>
        <w:t>failing to cooperate with audits conducted by state or federal agencies;</w:t>
      </w:r>
    </w:p>
    <w:p w:rsidR="00BC2E8E" w:rsidRDefault="00BC2E8E" w:rsidP="00BC2E8E">
      <w:pPr>
        <w:pStyle w:val="SubParagraph"/>
        <w:rPr>
          <w:u w:val="single"/>
        </w:rPr>
      </w:pPr>
      <w:r>
        <w:rPr>
          <w:u w:val="single"/>
        </w:rPr>
        <w:t>(13)</w:t>
      </w:r>
      <w:r>
        <w:rPr>
          <w:u w:val="single"/>
        </w:rPr>
        <w:tab/>
        <w:t>failing to maintain bonding, liability and workers compensation insurance coverage as required by law or policy;</w:t>
      </w:r>
    </w:p>
    <w:p w:rsidR="00BC2E8E" w:rsidRDefault="00BC2E8E" w:rsidP="00BC2E8E">
      <w:pPr>
        <w:pStyle w:val="SubParagraph"/>
        <w:rPr>
          <w:u w:val="single"/>
        </w:rPr>
      </w:pPr>
      <w:r>
        <w:rPr>
          <w:u w:val="single"/>
        </w:rPr>
        <w:t>(14)</w:t>
      </w:r>
      <w:r>
        <w:rPr>
          <w:u w:val="single"/>
        </w:rPr>
        <w:tab/>
        <w:t>using Business Enterprises equipment and or facility to operate another business;</w:t>
      </w:r>
    </w:p>
    <w:p w:rsidR="00BC2E8E" w:rsidRDefault="00BC2E8E" w:rsidP="00BC2E8E">
      <w:pPr>
        <w:pStyle w:val="SubParagraph"/>
        <w:rPr>
          <w:u w:val="single"/>
        </w:rPr>
      </w:pPr>
      <w:r>
        <w:rPr>
          <w:u w:val="single"/>
        </w:rPr>
        <w:t>(15)</w:t>
      </w:r>
      <w:r>
        <w:rPr>
          <w:u w:val="single"/>
        </w:rPr>
        <w:tab/>
        <w:t>failing to maintain facility equipment in a sanitary and operable condition within the scope of the operator’s level of maintenance authorization;</w:t>
      </w:r>
    </w:p>
    <w:p w:rsidR="00BC2E8E" w:rsidRDefault="00BC2E8E" w:rsidP="00BC2E8E">
      <w:pPr>
        <w:pStyle w:val="SubParagraph"/>
        <w:rPr>
          <w:u w:val="single"/>
        </w:rPr>
      </w:pPr>
      <w:r>
        <w:rPr>
          <w:u w:val="single"/>
        </w:rPr>
        <w:t>(16)</w:t>
      </w:r>
      <w:r>
        <w:rPr>
          <w:u w:val="single"/>
        </w:rPr>
        <w:tab/>
        <w:t>removing facility equipment without written authorization from the Division;</w:t>
      </w:r>
    </w:p>
    <w:p w:rsidR="00BC2E8E" w:rsidRDefault="00BC2E8E" w:rsidP="00BC2E8E">
      <w:pPr>
        <w:pStyle w:val="SubParagraph"/>
        <w:rPr>
          <w:u w:val="single"/>
        </w:rPr>
      </w:pPr>
      <w:r>
        <w:rPr>
          <w:u w:val="single"/>
        </w:rPr>
        <w:t>(17)</w:t>
      </w:r>
      <w:r>
        <w:rPr>
          <w:u w:val="single"/>
        </w:rPr>
        <w:tab/>
        <w:t>failing to comply with federal or state law prohibiting discrimination in hiring and service to customers; and</w:t>
      </w:r>
    </w:p>
    <w:p w:rsidR="00BC2E8E" w:rsidRPr="00A45CFD" w:rsidRDefault="00BC2E8E" w:rsidP="00BC2E8E">
      <w:pPr>
        <w:pStyle w:val="SubParagraph"/>
        <w:rPr>
          <w:u w:val="single"/>
        </w:rPr>
      </w:pPr>
      <w:r>
        <w:rPr>
          <w:u w:val="single"/>
        </w:rPr>
        <w:t>(18)</w:t>
      </w:r>
      <w:r>
        <w:rPr>
          <w:u w:val="single"/>
        </w:rPr>
        <w:tab/>
        <w:t xml:space="preserve">failing to comply with the operator’s responsibilities in this Subchapter or the operator’s agreement. </w:t>
      </w:r>
    </w:p>
    <w:p w:rsidR="00BC2E8E" w:rsidRDefault="00BC2E8E" w:rsidP="00BC2E8E">
      <w:pPr>
        <w:pStyle w:val="Paragraph"/>
        <w:rPr>
          <w:rFonts w:ascii="CG Times" w:hAnsi="CG Times"/>
        </w:rPr>
      </w:pPr>
      <w:r>
        <w:rPr>
          <w:rFonts w:ascii="CG Times" w:hAnsi="CG Times"/>
        </w:rPr>
        <w:t>(d)  Suspension may be used when an apparent action or lack of action by an operator is not serious enough in the opinion of the Division to warrant termination of the license.  The length of the suspension shall vary with the seriousness of the situation, but shall not exceed a maximum of 60 days.</w:t>
      </w:r>
    </w:p>
    <w:p w:rsidR="00BC2E8E" w:rsidRDefault="00BC2E8E" w:rsidP="00BC2E8E">
      <w:pPr>
        <w:pStyle w:val="Base"/>
      </w:pPr>
    </w:p>
    <w:p w:rsidR="00BC2E8E" w:rsidRDefault="00BC2E8E" w:rsidP="00BC2E8E">
      <w:pPr>
        <w:pStyle w:val="History"/>
      </w:pPr>
      <w:r>
        <w:t>History Note:</w:t>
      </w:r>
      <w:r>
        <w:tab/>
        <w:t>Authority G.S. 111</w:t>
      </w:r>
      <w:r>
        <w:noBreakHyphen/>
        <w:t>27; 34 C.F.R. 395.7; 20 U.S.C. Sec. 107;</w:t>
      </w:r>
    </w:p>
    <w:p w:rsidR="00BC2E8E" w:rsidRDefault="00BC2E8E" w:rsidP="00BC2E8E">
      <w:pPr>
        <w:pStyle w:val="HistoryAfter"/>
      </w:pPr>
      <w:r>
        <w:t xml:space="preserve">Eff. </w:t>
      </w:r>
      <w:smartTag w:uri="urn:schemas-microsoft-com:office:smarttags" w:element="date">
        <w:smartTagPr>
          <w:attr w:name="Month" w:val="10"/>
          <w:attr w:name="Day" w:val="1"/>
          <w:attr w:name="Year" w:val="1978"/>
        </w:smartTagPr>
        <w:r>
          <w:t>October 1, 1978</w:t>
        </w:r>
      </w:smartTag>
      <w:r>
        <w:t>;</w:t>
      </w:r>
    </w:p>
    <w:p w:rsidR="00BC2E8E" w:rsidRPr="00F436EE" w:rsidRDefault="00BC2E8E" w:rsidP="00BC2E8E">
      <w:pPr>
        <w:pStyle w:val="HistoryAfter"/>
      </w:pPr>
      <w:r>
        <w:t xml:space="preserve">Amended Eff. </w:t>
      </w:r>
      <w:smartTag w:uri="urn:schemas-microsoft-com:office:smarttags" w:element="date">
        <w:smartTagPr>
          <w:attr w:name="Month" w:val="8"/>
          <w:attr w:name="Day" w:val="1"/>
          <w:attr w:name="Year" w:val="2002"/>
        </w:smartTagPr>
        <w:r>
          <w:t>August 1, 2002</w:t>
        </w:r>
      </w:smartTag>
      <w:r>
        <w:t xml:space="preserve">; </w:t>
      </w:r>
      <w:smartTag w:uri="urn:schemas-microsoft-com:office:smarttags" w:element="date">
        <w:smartTagPr>
          <w:attr w:name="Month" w:val="2"/>
          <w:attr w:name="Day" w:val="1"/>
          <w:attr w:name="Year" w:val="1986"/>
        </w:smartTagPr>
        <w:r>
          <w:t xml:space="preserve">February 1, </w:t>
        </w:r>
        <w:r w:rsidRPr="00F436EE">
          <w:rPr>
            <w:strike/>
          </w:rPr>
          <w:t>1986</w:t>
        </w:r>
      </w:smartTag>
      <w:r w:rsidRPr="00F436EE">
        <w:rPr>
          <w:strike/>
        </w:rPr>
        <w:t>.</w:t>
      </w:r>
      <w:r w:rsidR="00F436EE">
        <w:t xml:space="preserve"> </w:t>
      </w:r>
      <w:r w:rsidR="00F436EE" w:rsidRPr="00F436EE">
        <w:rPr>
          <w:u w:val="single"/>
        </w:rPr>
        <w:t>1986;</w:t>
      </w:r>
    </w:p>
    <w:p w:rsidR="00BC2E8E" w:rsidRDefault="00BC2E8E" w:rsidP="00F436EE">
      <w:pPr>
        <w:pStyle w:val="HistoryAfter"/>
      </w:pPr>
      <w:r w:rsidRPr="00F436EE">
        <w:rPr>
          <w:u w:val="single"/>
        </w:rPr>
        <w:t xml:space="preserve">Readopted Eff. </w:t>
      </w:r>
      <w:r>
        <w:t>________________.</w:t>
      </w:r>
    </w:p>
    <w:sectPr w:rsidR="00BC2E8E" w:rsidSect="00BD2800">
      <w:footerReference w:type="default" r:id="rId8"/>
      <w:footerReference w:type="first" r:id="rId9"/>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E18" w:rsidRDefault="00027E18" w:rsidP="00A60E47">
      <w:r>
        <w:separator/>
      </w:r>
    </w:p>
  </w:endnote>
  <w:endnote w:type="continuationSeparator" w:id="0">
    <w:p w:rsidR="00027E18" w:rsidRDefault="00027E18"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8F" w:rsidRDefault="008B3E8F" w:rsidP="002532C4">
    <w:pPr>
      <w:jc w:val="center"/>
    </w:pPr>
    <w:r>
      <w:fldChar w:fldCharType="begin"/>
    </w:r>
    <w:r>
      <w:instrText>PAGE</w:instrText>
    </w:r>
    <w:r>
      <w:fldChar w:fldCharType="separate"/>
    </w:r>
    <w:r w:rsidR="00BE79B3">
      <w:rPr>
        <w:noProof/>
      </w:rPr>
      <w:t>2</w:t>
    </w:r>
    <w:r>
      <w:fldChar w:fldCharType="end"/>
    </w:r>
    <w:r>
      <w:t xml:space="preserve"> of </w:t>
    </w:r>
    <w:fldSimple w:instr=" NUMPAGES  \* Arabic ">
      <w:r w:rsidR="00BE79B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E8F" w:rsidRDefault="008B3E8F" w:rsidP="00A60E47">
    <w:r>
      <w:fldChar w:fldCharType="begin"/>
    </w:r>
    <w:r>
      <w:fldChar w:fldCharType="begin"/>
    </w:r>
    <w:r>
      <w:instrText>NUMPAGES</w:instrText>
    </w:r>
    <w:r>
      <w:fldChar w:fldCharType="separate"/>
    </w:r>
    <w:r>
      <w:rPr>
        <w:noProof/>
      </w:rPr>
      <w:instrText>27</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E18" w:rsidRDefault="00027E18" w:rsidP="00A60E47">
      <w:r>
        <w:separator/>
      </w:r>
    </w:p>
  </w:footnote>
  <w:footnote w:type="continuationSeparator" w:id="0">
    <w:p w:rsidR="00027E18" w:rsidRDefault="00027E18"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E0"/>
    <w:rsid w:val="00005A49"/>
    <w:rsid w:val="00011BA3"/>
    <w:rsid w:val="00025103"/>
    <w:rsid w:val="00027E18"/>
    <w:rsid w:val="00037311"/>
    <w:rsid w:val="0005731A"/>
    <w:rsid w:val="00081174"/>
    <w:rsid w:val="000860F3"/>
    <w:rsid w:val="00093A22"/>
    <w:rsid w:val="000A7F3D"/>
    <w:rsid w:val="000B009F"/>
    <w:rsid w:val="000B56A3"/>
    <w:rsid w:val="000D00BA"/>
    <w:rsid w:val="000E2FEF"/>
    <w:rsid w:val="0010124D"/>
    <w:rsid w:val="00102212"/>
    <w:rsid w:val="00106744"/>
    <w:rsid w:val="001112B5"/>
    <w:rsid w:val="00114E20"/>
    <w:rsid w:val="0011650F"/>
    <w:rsid w:val="00140463"/>
    <w:rsid w:val="00145A3D"/>
    <w:rsid w:val="00145BC8"/>
    <w:rsid w:val="001503AB"/>
    <w:rsid w:val="00171AF5"/>
    <w:rsid w:val="00172523"/>
    <w:rsid w:val="00177DC5"/>
    <w:rsid w:val="001A5232"/>
    <w:rsid w:val="001B0231"/>
    <w:rsid w:val="001C3275"/>
    <w:rsid w:val="001C3CA6"/>
    <w:rsid w:val="001E0D7D"/>
    <w:rsid w:val="001F08D6"/>
    <w:rsid w:val="001F4CB9"/>
    <w:rsid w:val="00200674"/>
    <w:rsid w:val="002038B6"/>
    <w:rsid w:val="0020390E"/>
    <w:rsid w:val="002262FF"/>
    <w:rsid w:val="00235C1F"/>
    <w:rsid w:val="00236B9D"/>
    <w:rsid w:val="002412EC"/>
    <w:rsid w:val="002532C4"/>
    <w:rsid w:val="002734FC"/>
    <w:rsid w:val="0029025D"/>
    <w:rsid w:val="002927FE"/>
    <w:rsid w:val="00295388"/>
    <w:rsid w:val="002B0F89"/>
    <w:rsid w:val="002C2D37"/>
    <w:rsid w:val="002C4E3C"/>
    <w:rsid w:val="002C6772"/>
    <w:rsid w:val="002D46CC"/>
    <w:rsid w:val="002D6D8F"/>
    <w:rsid w:val="002E749B"/>
    <w:rsid w:val="002F0E6B"/>
    <w:rsid w:val="002F13FA"/>
    <w:rsid w:val="002F4BB1"/>
    <w:rsid w:val="00303964"/>
    <w:rsid w:val="00326FDC"/>
    <w:rsid w:val="003344B3"/>
    <w:rsid w:val="003513F4"/>
    <w:rsid w:val="003549DA"/>
    <w:rsid w:val="00355359"/>
    <w:rsid w:val="0037090C"/>
    <w:rsid w:val="00371877"/>
    <w:rsid w:val="00375918"/>
    <w:rsid w:val="003815A3"/>
    <w:rsid w:val="00382004"/>
    <w:rsid w:val="00387ABB"/>
    <w:rsid w:val="00393847"/>
    <w:rsid w:val="003950F4"/>
    <w:rsid w:val="003A1D04"/>
    <w:rsid w:val="003A3FC2"/>
    <w:rsid w:val="003A4C57"/>
    <w:rsid w:val="003B557C"/>
    <w:rsid w:val="003D7B56"/>
    <w:rsid w:val="003E3AA6"/>
    <w:rsid w:val="003E3FDA"/>
    <w:rsid w:val="003E6ADE"/>
    <w:rsid w:val="00402A01"/>
    <w:rsid w:val="00402BD0"/>
    <w:rsid w:val="00443812"/>
    <w:rsid w:val="00450BEA"/>
    <w:rsid w:val="00450F93"/>
    <w:rsid w:val="00470BA0"/>
    <w:rsid w:val="00471DCC"/>
    <w:rsid w:val="004726E0"/>
    <w:rsid w:val="00494958"/>
    <w:rsid w:val="0049583D"/>
    <w:rsid w:val="00495F3C"/>
    <w:rsid w:val="004D1647"/>
    <w:rsid w:val="004F2E90"/>
    <w:rsid w:val="004F3722"/>
    <w:rsid w:val="004F5F45"/>
    <w:rsid w:val="00511FB7"/>
    <w:rsid w:val="005215BD"/>
    <w:rsid w:val="005238BB"/>
    <w:rsid w:val="0053598B"/>
    <w:rsid w:val="00540145"/>
    <w:rsid w:val="005445FD"/>
    <w:rsid w:val="00547398"/>
    <w:rsid w:val="00550846"/>
    <w:rsid w:val="00550B8D"/>
    <w:rsid w:val="00570428"/>
    <w:rsid w:val="0057666D"/>
    <w:rsid w:val="0059296B"/>
    <w:rsid w:val="005A35C7"/>
    <w:rsid w:val="005C4925"/>
    <w:rsid w:val="005D0AE3"/>
    <w:rsid w:val="005E2283"/>
    <w:rsid w:val="005F0F1A"/>
    <w:rsid w:val="00603D8A"/>
    <w:rsid w:val="006514D3"/>
    <w:rsid w:val="00661091"/>
    <w:rsid w:val="00674C70"/>
    <w:rsid w:val="00675F27"/>
    <w:rsid w:val="00683684"/>
    <w:rsid w:val="0069111A"/>
    <w:rsid w:val="006920A4"/>
    <w:rsid w:val="0069220D"/>
    <w:rsid w:val="00696F6A"/>
    <w:rsid w:val="006A3DE0"/>
    <w:rsid w:val="006B1C59"/>
    <w:rsid w:val="006B7044"/>
    <w:rsid w:val="006C2082"/>
    <w:rsid w:val="006D0465"/>
    <w:rsid w:val="006D0F4B"/>
    <w:rsid w:val="006D3E0E"/>
    <w:rsid w:val="006E04AC"/>
    <w:rsid w:val="006E428C"/>
    <w:rsid w:val="006F05BA"/>
    <w:rsid w:val="00716A08"/>
    <w:rsid w:val="00726A2C"/>
    <w:rsid w:val="007315B4"/>
    <w:rsid w:val="00751542"/>
    <w:rsid w:val="00770BAF"/>
    <w:rsid w:val="0079075E"/>
    <w:rsid w:val="007A7EA8"/>
    <w:rsid w:val="007B4FF5"/>
    <w:rsid w:val="007B698D"/>
    <w:rsid w:val="007C0D0E"/>
    <w:rsid w:val="007D3B51"/>
    <w:rsid w:val="007D4CE1"/>
    <w:rsid w:val="007D55E7"/>
    <w:rsid w:val="007E4374"/>
    <w:rsid w:val="007E5F94"/>
    <w:rsid w:val="007E657F"/>
    <w:rsid w:val="007F347A"/>
    <w:rsid w:val="007F62E0"/>
    <w:rsid w:val="00803B32"/>
    <w:rsid w:val="0080532A"/>
    <w:rsid w:val="008072C8"/>
    <w:rsid w:val="00814D2F"/>
    <w:rsid w:val="008161AB"/>
    <w:rsid w:val="00845A9B"/>
    <w:rsid w:val="008627DA"/>
    <w:rsid w:val="00867D80"/>
    <w:rsid w:val="0087037E"/>
    <w:rsid w:val="00884AA9"/>
    <w:rsid w:val="00884D30"/>
    <w:rsid w:val="00886A39"/>
    <w:rsid w:val="0089104A"/>
    <w:rsid w:val="008962B1"/>
    <w:rsid w:val="008A222D"/>
    <w:rsid w:val="008B3671"/>
    <w:rsid w:val="008B3E8F"/>
    <w:rsid w:val="008D0049"/>
    <w:rsid w:val="008D7F85"/>
    <w:rsid w:val="008E3A8E"/>
    <w:rsid w:val="00905245"/>
    <w:rsid w:val="00907F8E"/>
    <w:rsid w:val="00941A8C"/>
    <w:rsid w:val="00942265"/>
    <w:rsid w:val="009538D0"/>
    <w:rsid w:val="00953DE4"/>
    <w:rsid w:val="0095460F"/>
    <w:rsid w:val="00963E3A"/>
    <w:rsid w:val="00964506"/>
    <w:rsid w:val="00976CC0"/>
    <w:rsid w:val="00983D35"/>
    <w:rsid w:val="009A4E70"/>
    <w:rsid w:val="009B12B8"/>
    <w:rsid w:val="009C319D"/>
    <w:rsid w:val="009D692A"/>
    <w:rsid w:val="009D7C39"/>
    <w:rsid w:val="009F3BC9"/>
    <w:rsid w:val="009F60EF"/>
    <w:rsid w:val="009F79C0"/>
    <w:rsid w:val="00A16D81"/>
    <w:rsid w:val="00A1701F"/>
    <w:rsid w:val="00A24C53"/>
    <w:rsid w:val="00A350CD"/>
    <w:rsid w:val="00A37F6B"/>
    <w:rsid w:val="00A45CFD"/>
    <w:rsid w:val="00A46B92"/>
    <w:rsid w:val="00A60E47"/>
    <w:rsid w:val="00A634D6"/>
    <w:rsid w:val="00A66C37"/>
    <w:rsid w:val="00A675EB"/>
    <w:rsid w:val="00A77887"/>
    <w:rsid w:val="00A90DB7"/>
    <w:rsid w:val="00A936F3"/>
    <w:rsid w:val="00AB27B9"/>
    <w:rsid w:val="00AC1163"/>
    <w:rsid w:val="00AD3CC3"/>
    <w:rsid w:val="00AD739B"/>
    <w:rsid w:val="00AE3533"/>
    <w:rsid w:val="00B01ABD"/>
    <w:rsid w:val="00B43795"/>
    <w:rsid w:val="00B56F84"/>
    <w:rsid w:val="00B62E0E"/>
    <w:rsid w:val="00B643D6"/>
    <w:rsid w:val="00B85B2C"/>
    <w:rsid w:val="00B92ED4"/>
    <w:rsid w:val="00B933CB"/>
    <w:rsid w:val="00BA33C6"/>
    <w:rsid w:val="00BA5406"/>
    <w:rsid w:val="00BC2E8E"/>
    <w:rsid w:val="00BC43C9"/>
    <w:rsid w:val="00BD0461"/>
    <w:rsid w:val="00BD2800"/>
    <w:rsid w:val="00BE5E58"/>
    <w:rsid w:val="00BE62E3"/>
    <w:rsid w:val="00BE7900"/>
    <w:rsid w:val="00BE79B3"/>
    <w:rsid w:val="00C0266C"/>
    <w:rsid w:val="00C10A74"/>
    <w:rsid w:val="00C2227D"/>
    <w:rsid w:val="00C24199"/>
    <w:rsid w:val="00C44D97"/>
    <w:rsid w:val="00C6034F"/>
    <w:rsid w:val="00C6286C"/>
    <w:rsid w:val="00C638AB"/>
    <w:rsid w:val="00C64F17"/>
    <w:rsid w:val="00C66159"/>
    <w:rsid w:val="00C7719B"/>
    <w:rsid w:val="00C77950"/>
    <w:rsid w:val="00C913A0"/>
    <w:rsid w:val="00C95221"/>
    <w:rsid w:val="00CA265E"/>
    <w:rsid w:val="00CB2F32"/>
    <w:rsid w:val="00CB4DFA"/>
    <w:rsid w:val="00CC7E05"/>
    <w:rsid w:val="00CD7BB0"/>
    <w:rsid w:val="00CF5B8D"/>
    <w:rsid w:val="00D0325A"/>
    <w:rsid w:val="00D04E4C"/>
    <w:rsid w:val="00D07C6E"/>
    <w:rsid w:val="00D1687E"/>
    <w:rsid w:val="00D17419"/>
    <w:rsid w:val="00D42B8B"/>
    <w:rsid w:val="00D45A1E"/>
    <w:rsid w:val="00D6447C"/>
    <w:rsid w:val="00D772F5"/>
    <w:rsid w:val="00D84C11"/>
    <w:rsid w:val="00D932D9"/>
    <w:rsid w:val="00DA23E2"/>
    <w:rsid w:val="00DB5B5C"/>
    <w:rsid w:val="00DC0592"/>
    <w:rsid w:val="00DE3739"/>
    <w:rsid w:val="00DE5308"/>
    <w:rsid w:val="00DE53F7"/>
    <w:rsid w:val="00DF7F02"/>
    <w:rsid w:val="00E13D82"/>
    <w:rsid w:val="00E208DC"/>
    <w:rsid w:val="00E22809"/>
    <w:rsid w:val="00E26783"/>
    <w:rsid w:val="00E37A0A"/>
    <w:rsid w:val="00E37CAC"/>
    <w:rsid w:val="00E435B5"/>
    <w:rsid w:val="00E65699"/>
    <w:rsid w:val="00E809C9"/>
    <w:rsid w:val="00E8351B"/>
    <w:rsid w:val="00E862CD"/>
    <w:rsid w:val="00EA31A3"/>
    <w:rsid w:val="00EA5DB0"/>
    <w:rsid w:val="00EB5EBC"/>
    <w:rsid w:val="00EC1F1E"/>
    <w:rsid w:val="00EC7EA7"/>
    <w:rsid w:val="00EF0931"/>
    <w:rsid w:val="00F04092"/>
    <w:rsid w:val="00F2155B"/>
    <w:rsid w:val="00F30218"/>
    <w:rsid w:val="00F4150E"/>
    <w:rsid w:val="00F42C47"/>
    <w:rsid w:val="00F436EE"/>
    <w:rsid w:val="00F63948"/>
    <w:rsid w:val="00F64ADB"/>
    <w:rsid w:val="00F7101F"/>
    <w:rsid w:val="00F833B8"/>
    <w:rsid w:val="00F84228"/>
    <w:rsid w:val="00FA5B22"/>
    <w:rsid w:val="00FC7441"/>
    <w:rsid w:val="00FF2C19"/>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22856E86"/>
  <w15:chartTrackingRefBased/>
  <w15:docId w15:val="{DA676840-A94F-4A3E-9C09-D9C09A81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2E8E"/>
    <w:rPr>
      <w:rFonts w:ascii="Calibri" w:eastAsiaTheme="minorHAnsi" w:hAnsi="Calibri" w:cs="Calibri"/>
      <w:sz w:val="22"/>
      <w:szCs w:val="2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qFormat/>
    <w:rsid w:val="00450BEA"/>
    <w:pPr>
      <w:spacing w:line="360" w:lineRule="auto"/>
      <w:jc w:val="both"/>
    </w:pPr>
  </w:style>
  <w:style w:type="paragraph" w:customStyle="1" w:styleId="History">
    <w:name w:val="History"/>
    <w:basedOn w:val="Base"/>
    <w:next w:val="HistoryAfter"/>
    <w:qFormat/>
    <w:rsid w:val="001F4CB9"/>
    <w:pPr>
      <w:ind w:left="1440" w:hanging="1440"/>
    </w:pPr>
    <w:rPr>
      <w:i/>
    </w:rPr>
  </w:style>
  <w:style w:type="paragraph" w:customStyle="1" w:styleId="Paragraph">
    <w:name w:val="Paragraph"/>
    <w:basedOn w:val="Base"/>
    <w:qFormat/>
    <w:rsid w:val="003A4C57"/>
    <w:pPr>
      <w:outlineLvl w:val="4"/>
    </w:pPr>
  </w:style>
  <w:style w:type="character" w:customStyle="1" w:styleId="P">
    <w:name w:val="P"/>
    <w:rsid w:val="009A4E70"/>
  </w:style>
  <w:style w:type="paragraph" w:styleId="BalloonText">
    <w:name w:val="Balloon Text"/>
    <w:basedOn w:val="Normal"/>
    <w:link w:val="BalloonTextChar"/>
    <w:semiHidden/>
    <w:unhideWhenUsed/>
    <w:rsid w:val="001503AB"/>
    <w:rPr>
      <w:rFonts w:ascii="Segoe UI" w:hAnsi="Segoe UI" w:cs="Segoe UI"/>
      <w:sz w:val="18"/>
      <w:szCs w:val="18"/>
    </w:rPr>
  </w:style>
  <w:style w:type="character" w:customStyle="1" w:styleId="BalloonTextChar">
    <w:name w:val="Balloon Text Char"/>
    <w:basedOn w:val="DefaultParagraphFont"/>
    <w:link w:val="BalloonText"/>
    <w:semiHidden/>
    <w:rsid w:val="001503AB"/>
    <w:rPr>
      <w:rFonts w:ascii="Segoe UI" w:hAnsi="Segoe UI" w:cs="Segoe UI"/>
      <w:kern w:val="2"/>
      <w:sz w:val="18"/>
      <w:szCs w:val="18"/>
    </w:rPr>
  </w:style>
  <w:style w:type="paragraph" w:customStyle="1" w:styleId="Default">
    <w:name w:val="Default"/>
    <w:rsid w:val="00AC116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179805850">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eight\Desktop\OAH%20Agency%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51B9-9710-422E-BA1F-F2A3D3AB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Agency Rules Template</Template>
  <TotalTime>7</TotalTime>
  <Pages>2</Pages>
  <Words>707</Words>
  <Characters>3822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Speight</dc:creator>
  <cp:keywords/>
  <cp:lastModifiedBy>Speight, Cynthia</cp:lastModifiedBy>
  <cp:revision>3</cp:revision>
  <cp:lastPrinted>2018-03-06T22:37:00Z</cp:lastPrinted>
  <dcterms:created xsi:type="dcterms:W3CDTF">2018-05-01T17:40:00Z</dcterms:created>
  <dcterms:modified xsi:type="dcterms:W3CDTF">2018-05-09T22:27:00Z</dcterms:modified>
</cp:coreProperties>
</file>