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BD51" w14:textId="77777777" w:rsidR="00C010C6" w:rsidRPr="004E2E4E" w:rsidRDefault="00C010C6" w:rsidP="00C010C6">
      <w:pPr>
        <w:spacing w:after="0" w:line="240" w:lineRule="auto"/>
        <w:jc w:val="both"/>
        <w:rPr>
          <w:b/>
          <w:smallCaps/>
          <w:sz w:val="36"/>
          <w:u w:val="single"/>
        </w:rPr>
      </w:pPr>
      <w:r>
        <w:rPr>
          <w:b/>
          <w:smallCaps/>
          <w:sz w:val="36"/>
          <w:u w:val="single"/>
        </w:rPr>
        <w:t>NC Medicaid</w:t>
      </w:r>
    </w:p>
    <w:p w14:paraId="175A667E" w14:textId="4A1B7B69" w:rsidR="00D25CEE" w:rsidRPr="00741F57" w:rsidRDefault="00D25CEE" w:rsidP="00A259D0">
      <w:pPr>
        <w:spacing w:after="0" w:line="240" w:lineRule="auto"/>
        <w:rPr>
          <w:b/>
          <w:smallCaps/>
          <w:sz w:val="20"/>
          <w:szCs w:val="20"/>
          <w:u w:val="single"/>
        </w:rPr>
      </w:pPr>
      <w:r w:rsidRPr="00741F57">
        <w:rPr>
          <w:b/>
          <w:smallCaps/>
          <w:sz w:val="20"/>
          <w:szCs w:val="20"/>
          <w:u w:val="single"/>
        </w:rPr>
        <w:t>Report Information</w:t>
      </w:r>
    </w:p>
    <w:p w14:paraId="12D1CEDB" w14:textId="1F364B6C" w:rsidR="00F7475E" w:rsidRDefault="00C010C6" w:rsidP="009B485A">
      <w:pPr>
        <w:spacing w:after="0" w:line="240" w:lineRule="auto"/>
        <w:rPr>
          <w:sz w:val="20"/>
          <w:szCs w:val="20"/>
        </w:rPr>
      </w:pPr>
      <w:r>
        <w:rPr>
          <w:sz w:val="20"/>
          <w:szCs w:val="20"/>
        </w:rPr>
        <w:t>Report</w:t>
      </w:r>
      <w:r w:rsidR="00A259D0" w:rsidRPr="004A5660">
        <w:rPr>
          <w:sz w:val="20"/>
          <w:szCs w:val="20"/>
        </w:rPr>
        <w:t xml:space="preserve"> Name:</w:t>
      </w:r>
      <w:r w:rsidR="003D67B8" w:rsidRPr="004A5660">
        <w:rPr>
          <w:sz w:val="20"/>
          <w:szCs w:val="20"/>
        </w:rPr>
        <w:tab/>
      </w:r>
      <w:r w:rsidR="004A5660">
        <w:rPr>
          <w:sz w:val="20"/>
          <w:szCs w:val="20"/>
        </w:rPr>
        <w:tab/>
      </w:r>
      <w:r w:rsidR="00D20C7C">
        <w:rPr>
          <w:sz w:val="20"/>
          <w:szCs w:val="20"/>
        </w:rPr>
        <w:t>Provider Network Geographical Ma</w:t>
      </w:r>
      <w:bookmarkStart w:id="0" w:name="_GoBack"/>
      <w:bookmarkEnd w:id="0"/>
      <w:r w:rsidR="00D20C7C">
        <w:rPr>
          <w:sz w:val="20"/>
          <w:szCs w:val="20"/>
        </w:rPr>
        <w:t>pping Report</w:t>
      </w:r>
    </w:p>
    <w:p w14:paraId="627D8D24" w14:textId="0D09910E" w:rsidR="00C010C6" w:rsidRDefault="00C010C6" w:rsidP="00CC7B9F">
      <w:pPr>
        <w:spacing w:after="0" w:line="240" w:lineRule="auto"/>
        <w:ind w:left="2160" w:hanging="2160"/>
        <w:rPr>
          <w:sz w:val="20"/>
          <w:szCs w:val="20"/>
        </w:rPr>
      </w:pPr>
      <w:r>
        <w:rPr>
          <w:sz w:val="20"/>
          <w:szCs w:val="20"/>
        </w:rPr>
        <w:t>Report Description:</w:t>
      </w:r>
      <w:r>
        <w:rPr>
          <w:sz w:val="20"/>
          <w:szCs w:val="20"/>
        </w:rPr>
        <w:tab/>
      </w:r>
      <w:r w:rsidR="00D20C7C" w:rsidRPr="00D20C7C">
        <w:rPr>
          <w:sz w:val="20"/>
          <w:szCs w:val="20"/>
        </w:rPr>
        <w:t>Periodic report demonstrating the geographical location of providers in the Provider Network in relationship to where Medicaid Members live.</w:t>
      </w:r>
    </w:p>
    <w:p w14:paraId="15AB905A" w14:textId="4DC7113C" w:rsidR="00C010C6" w:rsidRDefault="00C010C6" w:rsidP="009B485A">
      <w:pPr>
        <w:spacing w:after="0" w:line="240" w:lineRule="auto"/>
        <w:rPr>
          <w:sz w:val="20"/>
          <w:szCs w:val="20"/>
        </w:rPr>
      </w:pPr>
      <w:r>
        <w:rPr>
          <w:sz w:val="20"/>
          <w:szCs w:val="20"/>
        </w:rPr>
        <w:t>Report</w:t>
      </w:r>
      <w:r w:rsidRPr="004A5660">
        <w:rPr>
          <w:sz w:val="20"/>
          <w:szCs w:val="20"/>
        </w:rPr>
        <w:t xml:space="preserve"> ID:</w:t>
      </w:r>
      <w:r w:rsidRPr="004A5660">
        <w:rPr>
          <w:sz w:val="20"/>
          <w:szCs w:val="20"/>
        </w:rPr>
        <w:tab/>
      </w:r>
      <w:r w:rsidRPr="004A5660">
        <w:rPr>
          <w:sz w:val="20"/>
          <w:szCs w:val="20"/>
        </w:rPr>
        <w:tab/>
      </w:r>
      <w:r w:rsidR="00D20C7C">
        <w:rPr>
          <w:sz w:val="20"/>
          <w:szCs w:val="20"/>
        </w:rPr>
        <w:t>PRV005-J</w:t>
      </w:r>
    </w:p>
    <w:p w14:paraId="3C786584" w14:textId="513CC316" w:rsidR="00C010C6" w:rsidRDefault="00C010C6" w:rsidP="009B485A">
      <w:pPr>
        <w:spacing w:after="0" w:line="240" w:lineRule="auto"/>
        <w:rPr>
          <w:sz w:val="20"/>
          <w:szCs w:val="20"/>
        </w:rPr>
      </w:pPr>
      <w:r w:rsidRPr="004A5660">
        <w:rPr>
          <w:sz w:val="20"/>
          <w:szCs w:val="20"/>
        </w:rPr>
        <w:t>Subject Matter:</w:t>
      </w:r>
      <w:r w:rsidRPr="004A5660">
        <w:rPr>
          <w:sz w:val="20"/>
          <w:szCs w:val="20"/>
        </w:rPr>
        <w:tab/>
      </w:r>
      <w:r w:rsidRPr="004A5660">
        <w:rPr>
          <w:sz w:val="20"/>
          <w:szCs w:val="20"/>
        </w:rPr>
        <w:tab/>
      </w:r>
      <w:r w:rsidR="00D20C7C">
        <w:rPr>
          <w:sz w:val="20"/>
          <w:szCs w:val="20"/>
        </w:rPr>
        <w:t>Provider</w:t>
      </w:r>
    </w:p>
    <w:p w14:paraId="175A6682" w14:textId="05C73F90" w:rsidR="00A259D0" w:rsidRPr="004A5660" w:rsidRDefault="00A259D0" w:rsidP="00A259D0">
      <w:pPr>
        <w:spacing w:after="0" w:line="240" w:lineRule="auto"/>
        <w:rPr>
          <w:sz w:val="20"/>
          <w:szCs w:val="20"/>
        </w:rPr>
      </w:pPr>
      <w:r w:rsidRPr="004A5660">
        <w:rPr>
          <w:sz w:val="20"/>
          <w:szCs w:val="20"/>
        </w:rPr>
        <w:t>Reporting Frequency:</w:t>
      </w:r>
      <w:r w:rsidR="00DA3323" w:rsidRPr="004A5660">
        <w:rPr>
          <w:sz w:val="20"/>
          <w:szCs w:val="20"/>
        </w:rPr>
        <w:tab/>
      </w:r>
      <w:r w:rsidR="00366B9C">
        <w:rPr>
          <w:sz w:val="20"/>
          <w:szCs w:val="20"/>
        </w:rPr>
        <w:t>Quarterly</w:t>
      </w:r>
      <w:r w:rsidR="00057CD7">
        <w:rPr>
          <w:sz w:val="20"/>
          <w:szCs w:val="20"/>
        </w:rPr>
        <w:t xml:space="preserve"> &amp; </w:t>
      </w:r>
      <w:r w:rsidR="004239D4">
        <w:rPr>
          <w:sz w:val="20"/>
          <w:szCs w:val="20"/>
        </w:rPr>
        <w:t>Annually</w:t>
      </w:r>
    </w:p>
    <w:p w14:paraId="7B5DB29F" w14:textId="51E0E9D3" w:rsidR="00C010C6" w:rsidRDefault="00A259D0" w:rsidP="00C010C6">
      <w:pPr>
        <w:spacing w:after="0" w:line="240" w:lineRule="auto"/>
        <w:ind w:left="2160" w:hanging="2160"/>
        <w:rPr>
          <w:sz w:val="20"/>
          <w:szCs w:val="20"/>
        </w:rPr>
      </w:pPr>
      <w:r w:rsidRPr="004A5660">
        <w:rPr>
          <w:sz w:val="20"/>
          <w:szCs w:val="20"/>
        </w:rPr>
        <w:t>Report Due Date:</w:t>
      </w:r>
      <w:r w:rsidR="003D67B8" w:rsidRPr="004A5660">
        <w:rPr>
          <w:sz w:val="20"/>
          <w:szCs w:val="20"/>
        </w:rPr>
        <w:tab/>
      </w:r>
      <w:r w:rsidR="00D20C7C" w:rsidRPr="00D20C7C">
        <w:rPr>
          <w:sz w:val="20"/>
          <w:szCs w:val="20"/>
        </w:rPr>
        <w:t xml:space="preserve">Annually on July 30th to report on the previous state fiscal year (July 1 – June 30) (or on the next business day if that day falls on a holiday and/or a weekend) or as otherwise required by DHHS </w:t>
      </w:r>
    </w:p>
    <w:p w14:paraId="549A6D1B" w14:textId="161A63D5" w:rsidR="00C010C6" w:rsidRDefault="00C010C6" w:rsidP="00C010C6">
      <w:pPr>
        <w:spacing w:after="0" w:line="240" w:lineRule="auto"/>
        <w:rPr>
          <w:sz w:val="20"/>
          <w:szCs w:val="20"/>
        </w:rPr>
      </w:pPr>
      <w:r w:rsidRPr="00E62015">
        <w:rPr>
          <w:sz w:val="20"/>
          <w:szCs w:val="20"/>
        </w:rPr>
        <w:t xml:space="preserve">File </w:t>
      </w:r>
      <w:r>
        <w:rPr>
          <w:sz w:val="20"/>
          <w:szCs w:val="20"/>
        </w:rPr>
        <w:t>N</w:t>
      </w:r>
      <w:r w:rsidRPr="00E62015">
        <w:rPr>
          <w:sz w:val="20"/>
          <w:szCs w:val="20"/>
        </w:rPr>
        <w:t xml:space="preserve">aming </w:t>
      </w:r>
      <w:r>
        <w:rPr>
          <w:sz w:val="20"/>
          <w:szCs w:val="20"/>
        </w:rPr>
        <w:t>C</w:t>
      </w:r>
      <w:r w:rsidRPr="00E62015">
        <w:rPr>
          <w:sz w:val="20"/>
          <w:szCs w:val="20"/>
        </w:rPr>
        <w:t xml:space="preserve">onvention: </w:t>
      </w:r>
      <w:r>
        <w:rPr>
          <w:sz w:val="20"/>
          <w:szCs w:val="20"/>
        </w:rPr>
        <w:t xml:space="preserve">   </w:t>
      </w:r>
      <w:r w:rsidR="00646EF0" w:rsidRPr="00646EF0">
        <w:rPr>
          <w:sz w:val="20"/>
          <w:szCs w:val="20"/>
        </w:rPr>
        <w:t>PHPID_ PRV005-J-##_</w:t>
      </w:r>
      <w:proofErr w:type="spellStart"/>
      <w:r w:rsidR="00646EF0" w:rsidRPr="00646EF0">
        <w:rPr>
          <w:sz w:val="20"/>
          <w:szCs w:val="20"/>
        </w:rPr>
        <w:t>Prvdr</w:t>
      </w:r>
      <w:proofErr w:type="spellEnd"/>
      <w:r w:rsidR="00646EF0" w:rsidRPr="00646EF0">
        <w:rPr>
          <w:sz w:val="20"/>
          <w:szCs w:val="20"/>
        </w:rPr>
        <w:t xml:space="preserve"> Network Geo Map Rpt YYYY_MMDD</w:t>
      </w:r>
    </w:p>
    <w:p w14:paraId="175A6684" w14:textId="662B964E" w:rsidR="00A259D0" w:rsidRDefault="00C010C6" w:rsidP="00C010C6">
      <w:pPr>
        <w:spacing w:after="0" w:line="240" w:lineRule="auto"/>
        <w:rPr>
          <w:sz w:val="20"/>
          <w:szCs w:val="20"/>
        </w:rPr>
      </w:pPr>
      <w:r>
        <w:rPr>
          <w:sz w:val="20"/>
          <w:szCs w:val="20"/>
        </w:rPr>
        <w:t>File Format</w:t>
      </w:r>
      <w:r w:rsidRPr="004A5660">
        <w:rPr>
          <w:sz w:val="20"/>
          <w:szCs w:val="20"/>
        </w:rPr>
        <w:t xml:space="preserve">: </w:t>
      </w:r>
      <w:r w:rsidRPr="004A5660">
        <w:rPr>
          <w:sz w:val="20"/>
          <w:szCs w:val="20"/>
        </w:rPr>
        <w:tab/>
      </w:r>
      <w:r>
        <w:rPr>
          <w:sz w:val="20"/>
          <w:szCs w:val="20"/>
        </w:rPr>
        <w:tab/>
        <w:t>Text Document</w:t>
      </w:r>
    </w:p>
    <w:p w14:paraId="38AE2784" w14:textId="77777777" w:rsidR="00C010C6" w:rsidRPr="004A5660" w:rsidRDefault="00C010C6" w:rsidP="006221EB">
      <w:pPr>
        <w:spacing w:after="0" w:line="240" w:lineRule="auto"/>
        <w:ind w:left="2160" w:hanging="2160"/>
        <w:rPr>
          <w:sz w:val="20"/>
          <w:szCs w:val="20"/>
        </w:rPr>
      </w:pPr>
    </w:p>
    <w:p w14:paraId="175A6687" w14:textId="77777777" w:rsidR="005F71C6" w:rsidRPr="004A5660" w:rsidRDefault="005F71C6" w:rsidP="00A259D0">
      <w:pPr>
        <w:spacing w:after="0" w:line="240" w:lineRule="auto"/>
        <w:rPr>
          <w:sz w:val="20"/>
          <w:szCs w:val="20"/>
        </w:rPr>
      </w:pPr>
    </w:p>
    <w:p w14:paraId="3FF64740" w14:textId="77777777" w:rsidR="00C010C6" w:rsidRDefault="005F71C6" w:rsidP="00A259D0">
      <w:pPr>
        <w:spacing w:after="0" w:line="240" w:lineRule="auto"/>
        <w:rPr>
          <w:smallCaps/>
          <w:sz w:val="20"/>
          <w:szCs w:val="20"/>
          <w:u w:val="single"/>
        </w:rPr>
      </w:pPr>
      <w:r w:rsidRPr="004A5660">
        <w:rPr>
          <w:smallCaps/>
          <w:sz w:val="20"/>
          <w:szCs w:val="20"/>
          <w:u w:val="single"/>
        </w:rPr>
        <w:br w:type="column"/>
      </w:r>
    </w:p>
    <w:p w14:paraId="12D08FDC" w14:textId="77777777" w:rsidR="00C010C6" w:rsidRDefault="00C010C6" w:rsidP="00A259D0">
      <w:pPr>
        <w:spacing w:after="0" w:line="240" w:lineRule="auto"/>
        <w:rPr>
          <w:b/>
          <w:smallCaps/>
          <w:sz w:val="20"/>
          <w:szCs w:val="20"/>
          <w:u w:val="single"/>
        </w:rPr>
      </w:pPr>
    </w:p>
    <w:p w14:paraId="175A668B" w14:textId="7B1C96C2" w:rsidR="00A259D0" w:rsidRPr="00E210BC" w:rsidRDefault="00C010C6" w:rsidP="00A259D0">
      <w:pPr>
        <w:spacing w:after="0" w:line="240" w:lineRule="auto"/>
        <w:rPr>
          <w:smallCaps/>
          <w:sz w:val="20"/>
          <w:szCs w:val="20"/>
          <w:u w:val="single"/>
        </w:rPr>
      </w:pPr>
      <w:r>
        <w:rPr>
          <w:b/>
          <w:smallCaps/>
          <w:sz w:val="20"/>
          <w:szCs w:val="20"/>
          <w:u w:val="single"/>
        </w:rPr>
        <w:t xml:space="preserve">PHP Information </w:t>
      </w:r>
    </w:p>
    <w:p w14:paraId="175A668C" w14:textId="578FAD32" w:rsidR="00A259D0" w:rsidRPr="004A5660" w:rsidRDefault="00C010C6" w:rsidP="00A259D0">
      <w:pPr>
        <w:spacing w:after="0" w:line="240" w:lineRule="auto"/>
        <w:rPr>
          <w:sz w:val="20"/>
          <w:szCs w:val="20"/>
        </w:rPr>
      </w:pPr>
      <w:r>
        <w:rPr>
          <w:sz w:val="20"/>
          <w:szCs w:val="20"/>
        </w:rPr>
        <w:t xml:space="preserve">PHP </w:t>
      </w:r>
      <w:r w:rsidR="00A259D0" w:rsidRPr="004A5660">
        <w:rPr>
          <w:sz w:val="20"/>
          <w:szCs w:val="20"/>
        </w:rPr>
        <w:t>ID:</w:t>
      </w:r>
      <w:r w:rsidR="00BC04D1" w:rsidRPr="004A5660">
        <w:rPr>
          <w:sz w:val="20"/>
          <w:szCs w:val="20"/>
        </w:rPr>
        <w:t xml:space="preserve"> </w:t>
      </w:r>
      <w:r w:rsidR="001A34EC">
        <w:rPr>
          <w:sz w:val="20"/>
          <w:szCs w:val="20"/>
        </w:rPr>
        <w:tab/>
      </w:r>
      <w:r w:rsidR="001A34EC">
        <w:rPr>
          <w:sz w:val="20"/>
          <w:szCs w:val="20"/>
        </w:rPr>
        <w:tab/>
      </w:r>
      <w:r w:rsidR="00BC04D1" w:rsidRPr="004A5660">
        <w:rPr>
          <w:sz w:val="20"/>
          <w:szCs w:val="20"/>
        </w:rPr>
        <w:tab/>
      </w:r>
      <w:r w:rsidR="00BC04D1" w:rsidRPr="004A5660">
        <w:rPr>
          <w:sz w:val="20"/>
          <w:szCs w:val="20"/>
        </w:rPr>
        <w:tab/>
      </w:r>
    </w:p>
    <w:p w14:paraId="175A668D" w14:textId="62746155" w:rsidR="00A259D0" w:rsidRPr="004A5660" w:rsidRDefault="00C010C6" w:rsidP="00A259D0">
      <w:pPr>
        <w:spacing w:after="0" w:line="240" w:lineRule="auto"/>
        <w:rPr>
          <w:sz w:val="20"/>
          <w:szCs w:val="20"/>
        </w:rPr>
      </w:pPr>
      <w:r>
        <w:rPr>
          <w:sz w:val="20"/>
          <w:szCs w:val="20"/>
        </w:rPr>
        <w:t xml:space="preserve">PHP </w:t>
      </w:r>
      <w:r w:rsidR="00A259D0" w:rsidRPr="004A5660">
        <w:rPr>
          <w:sz w:val="20"/>
          <w:szCs w:val="20"/>
        </w:rPr>
        <w:t>Name:</w:t>
      </w:r>
      <w:r w:rsidR="001A34EC">
        <w:rPr>
          <w:sz w:val="20"/>
          <w:szCs w:val="20"/>
        </w:rPr>
        <w:tab/>
      </w:r>
    </w:p>
    <w:p w14:paraId="175A668E" w14:textId="25C6D2BF" w:rsidR="00A259D0" w:rsidRPr="004A5660" w:rsidRDefault="00C010C6" w:rsidP="00A259D0">
      <w:pPr>
        <w:spacing w:after="0" w:line="240" w:lineRule="auto"/>
        <w:rPr>
          <w:sz w:val="20"/>
          <w:szCs w:val="20"/>
        </w:rPr>
      </w:pPr>
      <w:r>
        <w:rPr>
          <w:sz w:val="20"/>
          <w:szCs w:val="20"/>
        </w:rPr>
        <w:t xml:space="preserve">PHP </w:t>
      </w:r>
      <w:r w:rsidR="00A259D0" w:rsidRPr="004A5660">
        <w:rPr>
          <w:sz w:val="20"/>
          <w:szCs w:val="20"/>
        </w:rPr>
        <w:t>Contact:</w:t>
      </w:r>
      <w:r w:rsidR="001A34EC">
        <w:rPr>
          <w:sz w:val="20"/>
          <w:szCs w:val="20"/>
        </w:rPr>
        <w:tab/>
      </w:r>
    </w:p>
    <w:p w14:paraId="175A668F" w14:textId="3DF43FC4" w:rsidR="00BC04D1" w:rsidRPr="004A5660" w:rsidRDefault="00C010C6" w:rsidP="00A259D0">
      <w:pPr>
        <w:spacing w:after="0" w:line="240" w:lineRule="auto"/>
        <w:rPr>
          <w:sz w:val="20"/>
          <w:szCs w:val="20"/>
        </w:rPr>
      </w:pPr>
      <w:r>
        <w:rPr>
          <w:sz w:val="20"/>
          <w:szCs w:val="20"/>
        </w:rPr>
        <w:t xml:space="preserve">PHP </w:t>
      </w:r>
      <w:r w:rsidR="00BC04D1" w:rsidRPr="004A5660">
        <w:rPr>
          <w:sz w:val="20"/>
          <w:szCs w:val="20"/>
        </w:rPr>
        <w:t>Contact Email:</w:t>
      </w:r>
      <w:r w:rsidR="001A34EC">
        <w:rPr>
          <w:sz w:val="20"/>
          <w:szCs w:val="20"/>
        </w:rPr>
        <w:tab/>
      </w:r>
    </w:p>
    <w:p w14:paraId="175A6690" w14:textId="5E3F0B8E" w:rsidR="00A259D0" w:rsidRPr="004A5660" w:rsidRDefault="00A259D0" w:rsidP="00A259D0">
      <w:pPr>
        <w:spacing w:after="0" w:line="240" w:lineRule="auto"/>
        <w:rPr>
          <w:sz w:val="20"/>
          <w:szCs w:val="20"/>
        </w:rPr>
      </w:pPr>
      <w:r w:rsidRPr="004A5660">
        <w:rPr>
          <w:sz w:val="20"/>
          <w:szCs w:val="20"/>
        </w:rPr>
        <w:t>Report Period Start Date:</w:t>
      </w:r>
      <w:r w:rsidR="001A34EC">
        <w:rPr>
          <w:sz w:val="20"/>
          <w:szCs w:val="20"/>
        </w:rPr>
        <w:tab/>
      </w:r>
    </w:p>
    <w:p w14:paraId="175A6691" w14:textId="6C59652A" w:rsidR="00BC04D1" w:rsidRPr="004A5660" w:rsidRDefault="00A259D0" w:rsidP="000141B6">
      <w:pPr>
        <w:tabs>
          <w:tab w:val="left" w:pos="5160"/>
        </w:tabs>
        <w:spacing w:after="0" w:line="240" w:lineRule="auto"/>
        <w:rPr>
          <w:sz w:val="20"/>
          <w:szCs w:val="20"/>
        </w:rPr>
      </w:pPr>
      <w:r w:rsidRPr="004A5660">
        <w:rPr>
          <w:sz w:val="20"/>
          <w:szCs w:val="20"/>
        </w:rPr>
        <w:t>Report Period End Date:</w:t>
      </w:r>
      <w:r w:rsidR="001A34EC">
        <w:rPr>
          <w:sz w:val="20"/>
          <w:szCs w:val="20"/>
        </w:rPr>
        <w:t xml:space="preserve">    </w:t>
      </w:r>
      <w:r w:rsidR="001A34EC">
        <w:rPr>
          <w:sz w:val="20"/>
          <w:szCs w:val="20"/>
        </w:rPr>
        <w:tab/>
      </w:r>
    </w:p>
    <w:p w14:paraId="175A6692" w14:textId="4BC7B090" w:rsidR="00BC04D1" w:rsidRPr="004A5660" w:rsidRDefault="00BC04D1" w:rsidP="000141B6">
      <w:pPr>
        <w:tabs>
          <w:tab w:val="left" w:pos="5160"/>
        </w:tabs>
        <w:spacing w:after="0" w:line="240" w:lineRule="auto"/>
        <w:rPr>
          <w:sz w:val="20"/>
          <w:szCs w:val="20"/>
        </w:rPr>
        <w:sectPr w:rsidR="00BC04D1" w:rsidRPr="004A5660" w:rsidSect="009C4988">
          <w:headerReference w:type="default" r:id="rId10"/>
          <w:footerReference w:type="default" r:id="rId11"/>
          <w:pgSz w:w="15840" w:h="12240" w:orient="landscape"/>
          <w:pgMar w:top="1008" w:right="1008" w:bottom="1008" w:left="1008" w:header="720" w:footer="432" w:gutter="0"/>
          <w:cols w:num="2" w:space="288" w:equalWidth="0">
            <w:col w:w="7920" w:space="288"/>
            <w:col w:w="5616"/>
          </w:cols>
          <w:docGrid w:linePitch="360"/>
        </w:sectPr>
      </w:pPr>
      <w:r w:rsidRPr="004A5660">
        <w:rPr>
          <w:sz w:val="20"/>
          <w:szCs w:val="20"/>
        </w:rPr>
        <w:t>Date Completed:</w:t>
      </w:r>
      <w:r w:rsidR="001A34EC">
        <w:rPr>
          <w:sz w:val="20"/>
          <w:szCs w:val="20"/>
        </w:rPr>
        <w:t xml:space="preserve">                 </w:t>
      </w:r>
    </w:p>
    <w:p w14:paraId="43C9FC52" w14:textId="018C47E1" w:rsidR="007A6390" w:rsidRDefault="00D20C7C" w:rsidP="007A6390">
      <w:pPr>
        <w:tabs>
          <w:tab w:val="left" w:pos="5160"/>
        </w:tabs>
        <w:spacing w:after="0" w:line="240" w:lineRule="auto"/>
        <w:rPr>
          <w:i/>
          <w:sz w:val="20"/>
          <w:szCs w:val="20"/>
        </w:rPr>
      </w:pPr>
      <w:r w:rsidRPr="00D20C7C">
        <w:rPr>
          <w:i/>
          <w:sz w:val="20"/>
          <w:szCs w:val="20"/>
        </w:rPr>
        <w:t>(This plan can be submitted in any format, but the report must have the maps and tables specified in Section XX – Geo Mapping imbedded in the report.  See instructions in Appendix XX – Report Attestation and Files.)</w:t>
      </w:r>
    </w:p>
    <w:p w14:paraId="7DAE3F21" w14:textId="77777777" w:rsidR="00D20C7C" w:rsidRDefault="00D20C7C" w:rsidP="007A6390">
      <w:pPr>
        <w:tabs>
          <w:tab w:val="left" w:pos="5160"/>
        </w:tabs>
        <w:spacing w:after="0" w:line="240" w:lineRule="auto"/>
        <w:rPr>
          <w:b/>
          <w:sz w:val="20"/>
          <w:szCs w:val="20"/>
          <w:u w:val="single"/>
        </w:rPr>
      </w:pPr>
    </w:p>
    <w:p w14:paraId="4E9AB201" w14:textId="77777777" w:rsidR="00D20C7C" w:rsidRPr="00022822" w:rsidRDefault="00D20C7C" w:rsidP="00D20C7C">
      <w:pPr>
        <w:spacing w:after="0" w:line="240" w:lineRule="auto"/>
        <w:rPr>
          <w:rFonts w:ascii="Arial" w:hAnsi="Arial" w:cs="Arial"/>
          <w:b/>
          <w:u w:val="single"/>
        </w:rPr>
      </w:pPr>
      <w:r w:rsidRPr="00022822">
        <w:rPr>
          <w:rFonts w:ascii="Arial" w:hAnsi="Arial" w:cs="Arial"/>
          <w:b/>
          <w:u w:val="single"/>
        </w:rPr>
        <w:t>Section I - Definitions and Instructions:</w:t>
      </w:r>
    </w:p>
    <w:p w14:paraId="1FABBECF" w14:textId="77777777" w:rsidR="00D20C7C" w:rsidRPr="00022822" w:rsidRDefault="00D20C7C" w:rsidP="00D20C7C">
      <w:pPr>
        <w:spacing w:after="0" w:line="240" w:lineRule="auto"/>
        <w:rPr>
          <w:rFonts w:ascii="Arial" w:eastAsia="Calibri" w:hAnsi="Arial" w:cs="Arial"/>
          <w:lang w:eastAsia="x-none"/>
        </w:rPr>
      </w:pPr>
    </w:p>
    <w:p w14:paraId="1AC3DB00" w14:textId="77777777" w:rsidR="00D20C7C" w:rsidRPr="00022822" w:rsidRDefault="00D20C7C" w:rsidP="00D20C7C">
      <w:pPr>
        <w:spacing w:after="0" w:line="259" w:lineRule="auto"/>
        <w:rPr>
          <w:rFonts w:ascii="Arial" w:eastAsia="Calibri" w:hAnsi="Arial" w:cs="Arial"/>
          <w:b/>
          <w:lang w:val="x-none" w:eastAsia="x-none"/>
        </w:rPr>
      </w:pPr>
      <w:r w:rsidRPr="00022822">
        <w:rPr>
          <w:rFonts w:ascii="Arial" w:eastAsia="Calibri" w:hAnsi="Arial" w:cs="Arial"/>
          <w:b/>
          <w:lang w:val="x-none" w:eastAsia="x-none"/>
        </w:rPr>
        <w:t>Please review the following instructions prior to creating report</w:t>
      </w:r>
    </w:p>
    <w:p w14:paraId="66B553A2" w14:textId="77777777" w:rsidR="00D20C7C" w:rsidRPr="00022822" w:rsidRDefault="00D20C7C" w:rsidP="00D20C7C">
      <w:pPr>
        <w:spacing w:after="160" w:line="259" w:lineRule="auto"/>
        <w:rPr>
          <w:rFonts w:ascii="Arial" w:eastAsia="Calibri" w:hAnsi="Arial" w:cs="Arial"/>
          <w:b/>
          <w:lang w:val="x-none" w:eastAsia="x-none"/>
        </w:rPr>
      </w:pPr>
      <w:r w:rsidRPr="00022822">
        <w:rPr>
          <w:rFonts w:ascii="Arial" w:eastAsia="Calibri" w:hAnsi="Arial" w:cs="Arial"/>
          <w:b/>
          <w:lang w:val="x-none" w:eastAsia="x-none"/>
        </w:rPr>
        <w:t>(For detailed instructions refer to the PHP reporting guide.)</w:t>
      </w:r>
    </w:p>
    <w:p w14:paraId="5814BCFA" w14:textId="46873C09" w:rsidR="5C23402D" w:rsidRDefault="5C23402D" w:rsidP="5C23402D">
      <w:pPr>
        <w:pStyle w:val="ListParagraph"/>
        <w:numPr>
          <w:ilvl w:val="0"/>
          <w:numId w:val="29"/>
        </w:numPr>
        <w:spacing w:after="120"/>
      </w:pPr>
      <w:r w:rsidRPr="5C23402D">
        <w:rPr>
          <w:rFonts w:ascii="Arial" w:eastAsia="Calibri" w:hAnsi="Arial" w:cs="Arial"/>
        </w:rPr>
        <w:t xml:space="preserve">File naming convention: </w:t>
      </w:r>
      <w:r w:rsidRPr="5C23402D">
        <w:rPr>
          <w:rFonts w:ascii="Arial" w:eastAsia="Arial" w:hAnsi="Arial" w:cs="Arial"/>
        </w:rPr>
        <w:t>&lt; PHPID_ PRV005-J-##_</w:t>
      </w:r>
      <w:proofErr w:type="spellStart"/>
      <w:r w:rsidRPr="5C23402D">
        <w:rPr>
          <w:rFonts w:ascii="Arial" w:eastAsia="Arial" w:hAnsi="Arial" w:cs="Arial"/>
        </w:rPr>
        <w:t>Prvdr</w:t>
      </w:r>
      <w:proofErr w:type="spellEnd"/>
      <w:r w:rsidRPr="5C23402D">
        <w:rPr>
          <w:rFonts w:ascii="Arial" w:eastAsia="Arial" w:hAnsi="Arial" w:cs="Arial"/>
        </w:rPr>
        <w:t xml:space="preserve"> Network Geo Map </w:t>
      </w:r>
      <w:proofErr w:type="spellStart"/>
      <w:r w:rsidRPr="5C23402D">
        <w:rPr>
          <w:rFonts w:ascii="Arial" w:eastAsia="Arial" w:hAnsi="Arial" w:cs="Arial"/>
        </w:rPr>
        <w:t>Rpt</w:t>
      </w:r>
      <w:proofErr w:type="spellEnd"/>
      <w:r w:rsidRPr="5C23402D">
        <w:rPr>
          <w:rFonts w:ascii="Arial" w:eastAsia="Arial" w:hAnsi="Arial" w:cs="Arial"/>
        </w:rPr>
        <w:t xml:space="preserve"> YYYY_MMDD &gt;</w:t>
      </w:r>
    </w:p>
    <w:p w14:paraId="6C3C899F"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Report file must be submitted electronically using the NCMT_Interim Document Submission Process_20190204_v1.0</w:t>
      </w:r>
    </w:p>
    <w:p w14:paraId="6978966A"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 xml:space="preserve">Follow the instructions for each section and refer to the Resource Appendices when completing the items for this report.  </w:t>
      </w:r>
    </w:p>
    <w:p w14:paraId="522F51E0"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Prepare geographical network reports addressing all Provider types listed in Section II – Geo-</w:t>
      </w:r>
      <w:proofErr w:type="gramStart"/>
      <w:r w:rsidRPr="5C23402D">
        <w:rPr>
          <w:rFonts w:ascii="Arial" w:eastAsia="Calibri" w:hAnsi="Arial" w:cs="Arial"/>
        </w:rPr>
        <w:t>Mapping  according</w:t>
      </w:r>
      <w:proofErr w:type="gramEnd"/>
      <w:r w:rsidRPr="5C23402D">
        <w:rPr>
          <w:rFonts w:ascii="Arial" w:eastAsia="Calibri" w:hAnsi="Arial" w:cs="Arial"/>
        </w:rPr>
        <w:t xml:space="preserve"> to instructions.</w:t>
      </w:r>
    </w:p>
    <w:p w14:paraId="7C64D164"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Attach clearly labeled maps and tables related to the number and distribution of Network Providers to meet the contractual requirements summarized in Appendix B – Network Time/Distance Standards</w:t>
      </w:r>
    </w:p>
    <w:p w14:paraId="42C1F36C"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lastRenderedPageBreak/>
        <w:t>Produce the required maps and associated County tables utilizing the most recent version of a geo-mapping software program and updated periodically as appropriate.</w:t>
      </w:r>
    </w:p>
    <w:p w14:paraId="25A44715"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Do not alter/tamper the format of the report in any way.</w:t>
      </w:r>
    </w:p>
    <w:p w14:paraId="2A47CA18"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Any instructions or definitions not followed will result in rejected reports.</w:t>
      </w:r>
    </w:p>
    <w:p w14:paraId="1F20CFEA" w14:textId="77777777" w:rsidR="00D20C7C" w:rsidRPr="00022822" w:rsidRDefault="5C23402D" w:rsidP="00D20C7C">
      <w:pPr>
        <w:pStyle w:val="ListParagraph"/>
        <w:numPr>
          <w:ilvl w:val="0"/>
          <w:numId w:val="29"/>
        </w:numPr>
        <w:spacing w:after="120"/>
        <w:contextualSpacing w:val="0"/>
        <w:rPr>
          <w:rFonts w:ascii="Arial" w:eastAsia="Calibri" w:hAnsi="Arial" w:cs="Arial"/>
          <w:lang w:eastAsia="x-none"/>
        </w:rPr>
      </w:pPr>
      <w:r w:rsidRPr="5C23402D">
        <w:rPr>
          <w:rFonts w:ascii="Arial" w:eastAsia="Calibri" w:hAnsi="Arial" w:cs="Arial"/>
        </w:rPr>
        <w:t xml:space="preserve">The report requires the submission of a signed attestation and related files under Section III. </w:t>
      </w:r>
    </w:p>
    <w:p w14:paraId="48D50BA4" w14:textId="77777777" w:rsidR="00D20C7C" w:rsidRPr="00022822" w:rsidRDefault="5C23402D" w:rsidP="00D20C7C">
      <w:pPr>
        <w:pStyle w:val="ListParagraph"/>
        <w:numPr>
          <w:ilvl w:val="0"/>
          <w:numId w:val="29"/>
        </w:numPr>
        <w:spacing w:after="120"/>
        <w:contextualSpacing w:val="0"/>
        <w:rPr>
          <w:rFonts w:ascii="Arial" w:eastAsia="Calibri" w:hAnsi="Arial" w:cs="Arial"/>
          <w:lang w:eastAsia="x-none"/>
        </w:rPr>
      </w:pPr>
      <w:r w:rsidRPr="5C23402D">
        <w:rPr>
          <w:rFonts w:ascii="Arial" w:eastAsia="Calibri" w:hAnsi="Arial" w:cs="Arial"/>
        </w:rPr>
        <w:t>The report has four (4) appendices found in Section IV</w:t>
      </w:r>
    </w:p>
    <w:p w14:paraId="302C5EEE" w14:textId="77777777" w:rsidR="00D20C7C" w:rsidRPr="00022822" w:rsidRDefault="5C23402D" w:rsidP="00D20C7C">
      <w:pPr>
        <w:pStyle w:val="ListParagraph"/>
        <w:numPr>
          <w:ilvl w:val="1"/>
          <w:numId w:val="29"/>
        </w:numPr>
        <w:spacing w:after="120"/>
        <w:contextualSpacing w:val="0"/>
        <w:rPr>
          <w:rFonts w:ascii="Arial" w:eastAsia="Calibri" w:hAnsi="Arial" w:cs="Arial"/>
          <w:lang w:eastAsia="x-none"/>
        </w:rPr>
      </w:pPr>
      <w:r w:rsidRPr="5C23402D">
        <w:rPr>
          <w:rFonts w:ascii="Arial" w:eastAsia="Calibri" w:hAnsi="Arial" w:cs="Arial"/>
        </w:rPr>
        <w:t>Appendix A – Network Time/Distance Standards</w:t>
      </w:r>
    </w:p>
    <w:p w14:paraId="3142ADD3" w14:textId="77777777" w:rsidR="00D20C7C" w:rsidRPr="00022822" w:rsidRDefault="5C23402D" w:rsidP="00D20C7C">
      <w:pPr>
        <w:pStyle w:val="ListParagraph"/>
        <w:numPr>
          <w:ilvl w:val="1"/>
          <w:numId w:val="29"/>
        </w:numPr>
        <w:spacing w:after="120"/>
        <w:contextualSpacing w:val="0"/>
        <w:rPr>
          <w:rFonts w:ascii="Arial" w:eastAsia="Calibri" w:hAnsi="Arial" w:cs="Arial"/>
          <w:lang w:eastAsia="x-none"/>
        </w:rPr>
      </w:pPr>
      <w:r w:rsidRPr="5C23402D">
        <w:rPr>
          <w:rFonts w:ascii="Arial" w:eastAsia="Calibri" w:hAnsi="Arial" w:cs="Arial"/>
        </w:rPr>
        <w:t>Appendix B – Definitions</w:t>
      </w:r>
    </w:p>
    <w:p w14:paraId="66133790" w14:textId="77777777" w:rsidR="00D20C7C" w:rsidRPr="00022822" w:rsidRDefault="5C23402D" w:rsidP="00D20C7C">
      <w:pPr>
        <w:pStyle w:val="ListParagraph"/>
        <w:numPr>
          <w:ilvl w:val="1"/>
          <w:numId w:val="29"/>
        </w:numPr>
        <w:spacing w:after="120"/>
        <w:contextualSpacing w:val="0"/>
        <w:rPr>
          <w:rFonts w:ascii="Arial" w:eastAsia="Calibri" w:hAnsi="Arial" w:cs="Arial"/>
          <w:lang w:eastAsia="x-none"/>
        </w:rPr>
      </w:pPr>
      <w:r w:rsidRPr="5C23402D">
        <w:rPr>
          <w:rFonts w:ascii="Arial" w:eastAsia="Calibri" w:hAnsi="Arial" w:cs="Arial"/>
        </w:rPr>
        <w:t>Appendix C – NC Medicaid Managed Care PHP Regions</w:t>
      </w:r>
    </w:p>
    <w:p w14:paraId="0A478D32" w14:textId="77777777" w:rsidR="00D20C7C" w:rsidRPr="00022822" w:rsidRDefault="5C23402D" w:rsidP="00D20C7C">
      <w:pPr>
        <w:pStyle w:val="ListParagraph"/>
        <w:numPr>
          <w:ilvl w:val="1"/>
          <w:numId w:val="29"/>
        </w:numPr>
        <w:spacing w:after="120"/>
        <w:contextualSpacing w:val="0"/>
        <w:rPr>
          <w:rFonts w:ascii="Arial" w:eastAsia="Calibri" w:hAnsi="Arial" w:cs="Arial"/>
          <w:lang w:eastAsia="x-none"/>
        </w:rPr>
      </w:pPr>
      <w:r w:rsidRPr="5C23402D">
        <w:rPr>
          <w:rFonts w:ascii="Arial" w:eastAsia="Calibri" w:hAnsi="Arial" w:cs="Arial"/>
        </w:rPr>
        <w:t>Appendix D – NC Counties with Region and Urban/Rural Designation</w:t>
      </w:r>
    </w:p>
    <w:p w14:paraId="760070A2" w14:textId="77777777" w:rsidR="00D20C7C" w:rsidRPr="00022822" w:rsidRDefault="00D20C7C" w:rsidP="00D20C7C">
      <w:pPr>
        <w:spacing w:after="120"/>
        <w:ind w:left="360"/>
        <w:rPr>
          <w:rFonts w:ascii="Arial" w:eastAsia="Calibri" w:hAnsi="Arial" w:cs="Arial"/>
          <w:b/>
          <w:i/>
          <w:lang w:eastAsia="x-none"/>
        </w:rPr>
      </w:pPr>
      <w:r w:rsidRPr="00022822">
        <w:rPr>
          <w:rFonts w:ascii="Arial" w:eastAsia="Calibri" w:hAnsi="Arial" w:cs="Arial"/>
          <w:b/>
          <w:i/>
          <w:lang w:eastAsia="x-none"/>
        </w:rPr>
        <w:t>DELETE ALL APPENDICES (A, B, C, AND D) BEFORE SUBMITTING THE REPORT</w:t>
      </w:r>
    </w:p>
    <w:p w14:paraId="09EDDCE8"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Use the specified definitions of adult/pediatric age ranges, PCP provider, access to OB/GYN providers, and BH services the applicable section of the PHP Contract, including but not limited to Section VII - Attachment F Network Adequacy Standards. Such definitions are also summarized in Appendix XX – Definitions of this report.</w:t>
      </w:r>
    </w:p>
    <w:p w14:paraId="0540730C" w14:textId="77777777" w:rsidR="00D20C7C" w:rsidRPr="00022822" w:rsidRDefault="5C23402D" w:rsidP="00D20C7C">
      <w:pPr>
        <w:pStyle w:val="ListParagraph"/>
        <w:numPr>
          <w:ilvl w:val="0"/>
          <w:numId w:val="29"/>
        </w:numPr>
        <w:spacing w:after="120"/>
        <w:contextualSpacing w:val="0"/>
        <w:rPr>
          <w:rFonts w:ascii="Arial" w:eastAsia="Calibri" w:hAnsi="Arial" w:cs="Arial"/>
          <w:lang w:val="x-none" w:eastAsia="x-none"/>
        </w:rPr>
      </w:pPr>
      <w:r w:rsidRPr="5C23402D">
        <w:rPr>
          <w:rFonts w:ascii="Arial" w:eastAsia="Calibri" w:hAnsi="Arial" w:cs="Arial"/>
        </w:rPr>
        <w:t>Any provider with a single case agreement cannot and should not be included in any of the PHP's network related reports.</w:t>
      </w:r>
    </w:p>
    <w:p w14:paraId="148A40C5" w14:textId="77777777" w:rsidR="00D20C7C" w:rsidRPr="00022822" w:rsidRDefault="5C23402D" w:rsidP="00D20C7C">
      <w:pPr>
        <w:pStyle w:val="ListParagraph"/>
        <w:numPr>
          <w:ilvl w:val="0"/>
          <w:numId w:val="29"/>
        </w:numPr>
        <w:spacing w:after="160" w:line="259" w:lineRule="auto"/>
        <w:contextualSpacing w:val="0"/>
        <w:rPr>
          <w:rFonts w:ascii="Arial" w:eastAsia="Calibri" w:hAnsi="Arial" w:cs="Arial"/>
          <w:lang w:eastAsia="x-none"/>
        </w:rPr>
      </w:pPr>
      <w:r w:rsidRPr="5C23402D">
        <w:rPr>
          <w:rFonts w:ascii="Arial" w:eastAsia="Calibri" w:hAnsi="Arial" w:cs="Arial"/>
        </w:rPr>
        <w:t xml:space="preserve">Submit as a companion to the annual Access Plan or as otherwise </w:t>
      </w:r>
      <w:proofErr w:type="gramStart"/>
      <w:r w:rsidRPr="5C23402D">
        <w:rPr>
          <w:rFonts w:ascii="Arial" w:eastAsia="Calibri" w:hAnsi="Arial" w:cs="Arial"/>
        </w:rPr>
        <w:t>required, and</w:t>
      </w:r>
      <w:proofErr w:type="gramEnd"/>
      <w:r w:rsidRPr="5C23402D">
        <w:rPr>
          <w:rFonts w:ascii="Arial" w:eastAsia="Calibri" w:hAnsi="Arial" w:cs="Arial"/>
        </w:rPr>
        <w:t xml:space="preserve"> should be accompanied by the Provider Network Data File used to calculate this report and maps demonstrating access per instructions in the PHP Provider Network Instructions.</w:t>
      </w:r>
      <w:bookmarkStart w:id="1" w:name="_Hlk350872"/>
    </w:p>
    <w:p w14:paraId="16E37BE4" w14:textId="77777777" w:rsidR="00D20C7C" w:rsidRPr="00022822" w:rsidRDefault="00D20C7C" w:rsidP="00D20C7C">
      <w:pPr>
        <w:pStyle w:val="ListParagraph"/>
        <w:numPr>
          <w:ilvl w:val="0"/>
          <w:numId w:val="29"/>
        </w:numPr>
        <w:spacing w:after="160" w:line="259" w:lineRule="auto"/>
        <w:contextualSpacing w:val="0"/>
        <w:rPr>
          <w:rFonts w:ascii="Arial" w:eastAsia="Calibri" w:hAnsi="Arial" w:cs="Arial"/>
          <w:lang w:eastAsia="x-none"/>
        </w:rPr>
      </w:pPr>
      <w:r w:rsidRPr="5C23402D">
        <w:rPr>
          <w:rFonts w:ascii="Arial" w:eastAsia="Calibri" w:hAnsi="Arial" w:cs="Arial"/>
        </w:rPr>
        <w:br w:type="page"/>
      </w:r>
    </w:p>
    <w:p w14:paraId="3014A7C1" w14:textId="77777777" w:rsidR="00D20C7C" w:rsidRPr="00022822" w:rsidRDefault="00D20C7C" w:rsidP="00D20C7C">
      <w:pPr>
        <w:spacing w:after="0" w:line="240" w:lineRule="auto"/>
        <w:rPr>
          <w:rFonts w:ascii="Arial" w:hAnsi="Arial" w:cs="Arial"/>
          <w:b/>
          <w:u w:val="single"/>
        </w:rPr>
      </w:pPr>
      <w:r w:rsidRPr="00022822">
        <w:rPr>
          <w:rFonts w:ascii="Arial" w:hAnsi="Arial" w:cs="Arial"/>
          <w:b/>
          <w:u w:val="single"/>
        </w:rPr>
        <w:lastRenderedPageBreak/>
        <w:t>Section II – Geo Mapping</w:t>
      </w:r>
    </w:p>
    <w:p w14:paraId="23746D5C" w14:textId="77777777" w:rsidR="00D20C7C" w:rsidRPr="00022822" w:rsidRDefault="00D20C7C" w:rsidP="00D20C7C">
      <w:pPr>
        <w:spacing w:after="0" w:line="259" w:lineRule="auto"/>
        <w:rPr>
          <w:rFonts w:ascii="Arial" w:eastAsia="Calibri" w:hAnsi="Arial" w:cs="Arial"/>
          <w:lang w:eastAsia="x-none"/>
        </w:rPr>
      </w:pPr>
    </w:p>
    <w:p w14:paraId="44941885" w14:textId="77777777" w:rsidR="00D20C7C" w:rsidRPr="00022822" w:rsidRDefault="00D20C7C" w:rsidP="00D20C7C">
      <w:pPr>
        <w:pStyle w:val="ListParagraph"/>
        <w:numPr>
          <w:ilvl w:val="0"/>
          <w:numId w:val="32"/>
        </w:numPr>
        <w:spacing w:after="120"/>
        <w:contextualSpacing w:val="0"/>
        <w:rPr>
          <w:rFonts w:ascii="Arial" w:eastAsia="Calibri" w:hAnsi="Arial" w:cs="Arial"/>
          <w:lang w:eastAsia="x-none"/>
        </w:rPr>
      </w:pPr>
      <w:r w:rsidRPr="00022822">
        <w:rPr>
          <w:rFonts w:ascii="Arial" w:eastAsia="Calibri" w:hAnsi="Arial" w:cs="Arial"/>
          <w:b/>
          <w:lang w:eastAsia="x-none"/>
        </w:rPr>
        <w:t>GEO Mapping</w:t>
      </w:r>
      <w:r w:rsidRPr="00022822">
        <w:rPr>
          <w:rFonts w:ascii="Arial" w:eastAsia="Calibri" w:hAnsi="Arial" w:cs="Arial"/>
          <w:lang w:eastAsia="x-none"/>
        </w:rPr>
        <w:t>:  The process of finding associated geographic coordinates (often expressed as latitude and longitude) from other geographic data, such as street addresses or zip codes (postal codes).  With geographic coordinates the features can be mapped and entered into Geographic Information Systems or coordinates can be embedded into media. The PHP shall submit GEO mapping reports annually to identify compliance with urban and rural access standards and to demonstrate geographic network capacity.  GEO mapping and coding shall additionally be provided upon significant change of the network or upon request by DHHS.</w:t>
      </w:r>
    </w:p>
    <w:p w14:paraId="007D85B4"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Produce the required maps and associated County tables utilizing the most recent version of a geo-mapping software program and updated periodically as appropriate.</w:t>
      </w:r>
    </w:p>
    <w:p w14:paraId="6A7F06A1"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 xml:space="preserve">Use the most recent eligibility files provided by DHHS and most recent enrollee data to geocode each Member by street address. </w:t>
      </w:r>
    </w:p>
    <w:p w14:paraId="262E5031"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 xml:space="preserve">Geocode provider network street addresses. Identifying providers at zip code centroids or randomly within zip codes is not acceptable. </w:t>
      </w:r>
    </w:p>
    <w:p w14:paraId="59C736D9"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 xml:space="preserve">If more than one Provider is located at the same address, all Providers at that address should have the same geographic coordinates.  </w:t>
      </w:r>
    </w:p>
    <w:p w14:paraId="4A9014DF"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 xml:space="preserve">Physicians should be classified based on their primary specialty only.  For example, a pediatric cardiologist should be classified as a cardiologist, not a pediatrician. </w:t>
      </w:r>
    </w:p>
    <w:p w14:paraId="147D9A63"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For PCPs, only include providers that operate as a Full-Time PCP.</w:t>
      </w:r>
    </w:p>
    <w:p w14:paraId="3198869B"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 xml:space="preserve">For calculating distance (miles) the PHP must use the maximums </w:t>
      </w:r>
      <w:proofErr w:type="gramStart"/>
      <w:r w:rsidRPr="00022822">
        <w:rPr>
          <w:rFonts w:ascii="Arial" w:eastAsia="Calibri" w:hAnsi="Arial" w:cs="Arial"/>
          <w:lang w:eastAsia="x-none"/>
        </w:rPr>
        <w:t>for the amount of</w:t>
      </w:r>
      <w:proofErr w:type="gramEnd"/>
      <w:r w:rsidRPr="00022822">
        <w:rPr>
          <w:rFonts w:ascii="Arial" w:eastAsia="Calibri" w:hAnsi="Arial" w:cs="Arial"/>
          <w:lang w:eastAsia="x-none"/>
        </w:rPr>
        <w:t xml:space="preserve"> time it takes a Member using usual travel means in a direct route to travel from their home to the Provider.  </w:t>
      </w:r>
    </w:p>
    <w:p w14:paraId="4370BC74"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 xml:space="preserve">For calculating time (minutes) the PHP must use the times estimated in the geo-mapping software program as the amount of time it takes a Member using usual travel means in a direct route to travel from their home to the Provider.  </w:t>
      </w:r>
    </w:p>
    <w:p w14:paraId="56FA874E" w14:textId="77777777" w:rsidR="00D20C7C" w:rsidRPr="00022822" w:rsidRDefault="00D20C7C" w:rsidP="00D20C7C">
      <w:pPr>
        <w:pStyle w:val="ListParagraph"/>
        <w:numPr>
          <w:ilvl w:val="1"/>
          <w:numId w:val="33"/>
        </w:numPr>
        <w:spacing w:after="120"/>
        <w:contextualSpacing w:val="0"/>
        <w:rPr>
          <w:rFonts w:ascii="Arial" w:eastAsia="Calibri" w:hAnsi="Arial" w:cs="Arial"/>
          <w:lang w:eastAsia="x-none"/>
        </w:rPr>
      </w:pPr>
      <w:r w:rsidRPr="00022822">
        <w:rPr>
          <w:rFonts w:ascii="Arial" w:eastAsia="Calibri" w:hAnsi="Arial" w:cs="Arial"/>
          <w:lang w:eastAsia="x-none"/>
        </w:rPr>
        <w:t>DHHS recognizes that transportation with vendors may not always follow direct routes due to multiple passengers.</w:t>
      </w:r>
    </w:p>
    <w:p w14:paraId="64259B04" w14:textId="77777777"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br w:type="page"/>
      </w:r>
    </w:p>
    <w:p w14:paraId="11B8E6EF" w14:textId="77777777" w:rsidR="00D20C7C" w:rsidRPr="00022822" w:rsidRDefault="00D20C7C" w:rsidP="00D20C7C">
      <w:pPr>
        <w:pStyle w:val="ListParagraph"/>
        <w:numPr>
          <w:ilvl w:val="0"/>
          <w:numId w:val="32"/>
        </w:numPr>
        <w:spacing w:after="120"/>
        <w:contextualSpacing w:val="0"/>
        <w:rPr>
          <w:rFonts w:ascii="Arial" w:eastAsia="Calibri" w:hAnsi="Arial" w:cs="Arial"/>
          <w:lang w:eastAsia="x-none"/>
        </w:rPr>
      </w:pPr>
      <w:r w:rsidRPr="00022822">
        <w:rPr>
          <w:rFonts w:ascii="Arial" w:eastAsia="Calibri" w:hAnsi="Arial" w:cs="Arial"/>
          <w:b/>
          <w:lang w:eastAsia="x-none"/>
        </w:rPr>
        <w:lastRenderedPageBreak/>
        <w:t>Maps</w:t>
      </w:r>
      <w:r w:rsidRPr="00022822">
        <w:rPr>
          <w:rFonts w:ascii="Arial" w:eastAsia="Calibri" w:hAnsi="Arial" w:cs="Arial"/>
          <w:lang w:eastAsia="x-none"/>
        </w:rPr>
        <w:t xml:space="preserve">: For each type of service with a designated time/distance standard in Appendix A – Network Time/Distance Standards, the PHP must include two statewide maps of providers.  The first </w:t>
      </w:r>
      <w:r w:rsidRPr="00022822">
        <w:rPr>
          <w:rFonts w:ascii="Arial" w:eastAsia="Calibri" w:hAnsi="Arial" w:cs="Arial"/>
          <w:b/>
          <w:lang w:eastAsia="x-none"/>
        </w:rPr>
        <w:t>Map</w:t>
      </w:r>
      <w:r w:rsidRPr="00022822">
        <w:rPr>
          <w:rFonts w:ascii="Arial" w:eastAsia="Calibri" w:hAnsi="Arial" w:cs="Arial"/>
          <w:lang w:eastAsia="x-none"/>
        </w:rPr>
        <w:t xml:space="preserve"> (#1) must include all applicable providers within the time and distance standards for enrollees residing in Urban Counties and the second </w:t>
      </w:r>
      <w:r w:rsidRPr="00022822">
        <w:rPr>
          <w:rFonts w:ascii="Arial" w:eastAsia="Calibri" w:hAnsi="Arial" w:cs="Arial"/>
          <w:b/>
          <w:lang w:eastAsia="x-none"/>
        </w:rPr>
        <w:t>Map</w:t>
      </w:r>
      <w:r w:rsidRPr="00022822">
        <w:rPr>
          <w:rFonts w:ascii="Arial" w:eastAsia="Calibri" w:hAnsi="Arial" w:cs="Arial"/>
          <w:lang w:eastAsia="x-none"/>
        </w:rPr>
        <w:t xml:space="preserve"> (#2) must include all applicable providers within the time and distance standards for enrollees residing in Rural Counties.</w:t>
      </w:r>
    </w:p>
    <w:p w14:paraId="7D8029AD" w14:textId="77777777" w:rsidR="00D20C7C" w:rsidRPr="00022822" w:rsidRDefault="00D20C7C" w:rsidP="00D20C7C">
      <w:pPr>
        <w:pStyle w:val="ListParagraph"/>
        <w:numPr>
          <w:ilvl w:val="0"/>
          <w:numId w:val="34"/>
        </w:numPr>
        <w:spacing w:after="120"/>
        <w:contextualSpacing w:val="0"/>
        <w:rPr>
          <w:rFonts w:ascii="Arial" w:eastAsia="Calibri" w:hAnsi="Arial" w:cs="Arial"/>
          <w:lang w:eastAsia="x-none"/>
        </w:rPr>
      </w:pPr>
      <w:r w:rsidRPr="00022822">
        <w:rPr>
          <w:rFonts w:ascii="Arial" w:eastAsia="Calibri" w:hAnsi="Arial" w:cs="Arial"/>
          <w:lang w:eastAsia="x-none"/>
        </w:rPr>
        <w:t xml:space="preserve">The PHP shall utilize radius (circle) plot formatting to depict providers within required access ranges as opposed to dot plotting.  </w:t>
      </w:r>
    </w:p>
    <w:p w14:paraId="38CBBD4C" w14:textId="77777777" w:rsidR="00D20C7C" w:rsidRPr="00022822" w:rsidRDefault="00D20C7C" w:rsidP="00D20C7C">
      <w:pPr>
        <w:pStyle w:val="ListParagraph"/>
        <w:numPr>
          <w:ilvl w:val="0"/>
          <w:numId w:val="34"/>
        </w:numPr>
        <w:spacing w:after="120"/>
        <w:contextualSpacing w:val="0"/>
        <w:rPr>
          <w:rFonts w:ascii="Arial" w:eastAsia="Calibri" w:hAnsi="Arial" w:cs="Arial"/>
          <w:lang w:eastAsia="x-none"/>
        </w:rPr>
      </w:pPr>
      <w:r w:rsidRPr="00022822">
        <w:rPr>
          <w:rFonts w:ascii="Arial" w:eastAsia="Calibri" w:hAnsi="Arial" w:cs="Arial"/>
          <w:lang w:eastAsia="x-none"/>
        </w:rPr>
        <w:t xml:space="preserve">The statewide </w:t>
      </w:r>
      <w:r w:rsidRPr="00022822">
        <w:rPr>
          <w:rFonts w:ascii="Arial" w:eastAsia="Calibri" w:hAnsi="Arial" w:cs="Arial"/>
          <w:b/>
          <w:lang w:eastAsia="x-none"/>
        </w:rPr>
        <w:t>Maps</w:t>
      </w:r>
      <w:r w:rsidRPr="00022822">
        <w:rPr>
          <w:rFonts w:ascii="Arial" w:eastAsia="Calibri" w:hAnsi="Arial" w:cs="Arial"/>
          <w:lang w:eastAsia="x-none"/>
        </w:rPr>
        <w:t xml:space="preserve"> should be clearly labeled according to the format described here.  For example: </w:t>
      </w:r>
    </w:p>
    <w:p w14:paraId="7B29D25D" w14:textId="77777777" w:rsidR="00D20C7C" w:rsidRPr="00022822" w:rsidRDefault="00D20C7C" w:rsidP="00D20C7C">
      <w:pPr>
        <w:pStyle w:val="ListParagraph"/>
        <w:numPr>
          <w:ilvl w:val="1"/>
          <w:numId w:val="34"/>
        </w:numPr>
        <w:spacing w:after="0"/>
        <w:contextualSpacing w:val="0"/>
        <w:rPr>
          <w:rFonts w:ascii="Arial" w:eastAsia="Calibri" w:hAnsi="Arial" w:cs="Arial"/>
          <w:lang w:eastAsia="x-none"/>
        </w:rPr>
      </w:pPr>
      <w:r w:rsidRPr="00022822">
        <w:rPr>
          <w:rFonts w:ascii="Arial" w:eastAsia="Calibri" w:hAnsi="Arial" w:cs="Arial"/>
          <w:lang w:eastAsia="x-none"/>
        </w:rPr>
        <w:t>Map A1 = Adult Primary Care access for enrollees age 21 and over in Urban Counties</w:t>
      </w:r>
    </w:p>
    <w:p w14:paraId="0E783E1D" w14:textId="77777777" w:rsidR="00D20C7C" w:rsidRPr="00022822" w:rsidRDefault="00D20C7C" w:rsidP="00D20C7C">
      <w:pPr>
        <w:pStyle w:val="ListParagraph"/>
        <w:numPr>
          <w:ilvl w:val="1"/>
          <w:numId w:val="34"/>
        </w:numPr>
        <w:spacing w:after="120"/>
        <w:contextualSpacing w:val="0"/>
        <w:rPr>
          <w:rFonts w:ascii="Arial" w:eastAsia="Calibri" w:hAnsi="Arial" w:cs="Arial"/>
          <w:lang w:eastAsia="x-none"/>
        </w:rPr>
      </w:pPr>
      <w:r w:rsidRPr="00022822">
        <w:rPr>
          <w:rFonts w:ascii="Arial" w:eastAsia="Calibri" w:hAnsi="Arial" w:cs="Arial"/>
          <w:lang w:eastAsia="x-none"/>
        </w:rPr>
        <w:t>Map A2 = Adult Primary Care access for enrollees age 21 and over in Rural Counties</w:t>
      </w:r>
    </w:p>
    <w:p w14:paraId="35F3899F" w14:textId="77777777" w:rsidR="00D20C7C" w:rsidRPr="00022822" w:rsidRDefault="00D20C7C" w:rsidP="00D20C7C">
      <w:pPr>
        <w:pStyle w:val="ListParagraph"/>
        <w:numPr>
          <w:ilvl w:val="0"/>
          <w:numId w:val="34"/>
        </w:numPr>
        <w:spacing w:after="120"/>
        <w:contextualSpacing w:val="0"/>
        <w:rPr>
          <w:rFonts w:ascii="Arial" w:eastAsia="Calibri" w:hAnsi="Arial" w:cs="Arial"/>
          <w:b/>
          <w:lang w:eastAsia="x-none"/>
        </w:rPr>
      </w:pPr>
      <w:r w:rsidRPr="00022822">
        <w:rPr>
          <w:rFonts w:ascii="Arial" w:eastAsia="Calibri" w:hAnsi="Arial" w:cs="Arial"/>
          <w:b/>
          <w:lang w:eastAsia="x-none"/>
        </w:rPr>
        <w:t>All provider/ancillary maps/tables should be reported in a comparable format.</w:t>
      </w:r>
    </w:p>
    <w:p w14:paraId="5AF35D3F" w14:textId="77777777" w:rsidR="00D20C7C" w:rsidRPr="00022822" w:rsidRDefault="00D20C7C" w:rsidP="00D20C7C">
      <w:pPr>
        <w:pStyle w:val="ListParagraph"/>
        <w:numPr>
          <w:ilvl w:val="0"/>
          <w:numId w:val="32"/>
        </w:numPr>
        <w:spacing w:after="120"/>
        <w:contextualSpacing w:val="0"/>
        <w:rPr>
          <w:rFonts w:ascii="Arial" w:eastAsia="Calibri" w:hAnsi="Arial" w:cs="Arial"/>
          <w:lang w:eastAsia="x-none"/>
        </w:rPr>
      </w:pPr>
      <w:r w:rsidRPr="00022822">
        <w:rPr>
          <w:rFonts w:ascii="Arial" w:eastAsia="Calibri" w:hAnsi="Arial" w:cs="Arial"/>
          <w:b/>
          <w:lang w:eastAsia="x-none"/>
        </w:rPr>
        <w:t>Tables</w:t>
      </w:r>
      <w:r w:rsidRPr="00022822">
        <w:rPr>
          <w:rFonts w:ascii="Arial" w:eastAsia="Calibri" w:hAnsi="Arial" w:cs="Arial"/>
          <w:lang w:eastAsia="x-none"/>
        </w:rPr>
        <w:t>: For each County, the PHP must report the time and distance from the Members’ residences that the 95th percentile of their total applicable enrolled membership must travel to reach a contracted provider for each of the applicable services. For each County with less than 95% of Members with access according to the standards, the PHP must submit a Network Adequacy Exception Request.</w:t>
      </w:r>
    </w:p>
    <w:p w14:paraId="454D147A" w14:textId="77777777" w:rsidR="00D20C7C" w:rsidRPr="00022822" w:rsidRDefault="00D20C7C" w:rsidP="00D20C7C">
      <w:pPr>
        <w:pStyle w:val="ListParagraph"/>
        <w:numPr>
          <w:ilvl w:val="0"/>
          <w:numId w:val="35"/>
        </w:numPr>
        <w:spacing w:after="120"/>
        <w:contextualSpacing w:val="0"/>
        <w:rPr>
          <w:rFonts w:ascii="Arial" w:eastAsia="Calibri" w:hAnsi="Arial" w:cs="Arial"/>
          <w:lang w:eastAsia="x-none"/>
        </w:rPr>
      </w:pPr>
      <w:r w:rsidRPr="00022822">
        <w:rPr>
          <w:rFonts w:ascii="Arial" w:eastAsia="Calibri" w:hAnsi="Arial" w:cs="Arial"/>
          <w:lang w:eastAsia="x-none"/>
        </w:rPr>
        <w:t xml:space="preserve">The </w:t>
      </w:r>
      <w:r w:rsidRPr="00022822">
        <w:rPr>
          <w:rFonts w:ascii="Arial" w:eastAsia="Calibri" w:hAnsi="Arial" w:cs="Arial"/>
          <w:b/>
          <w:lang w:eastAsia="x-none"/>
        </w:rPr>
        <w:t>Tables</w:t>
      </w:r>
      <w:r w:rsidRPr="00022822">
        <w:rPr>
          <w:rFonts w:ascii="Arial" w:eastAsia="Calibri" w:hAnsi="Arial" w:cs="Arial"/>
          <w:lang w:eastAsia="x-none"/>
        </w:rPr>
        <w:t xml:space="preserve"> should be compiled and labeled according to the following format:</w:t>
      </w:r>
    </w:p>
    <w:p w14:paraId="391756F3" w14:textId="77777777" w:rsidR="00D20C7C" w:rsidRPr="00022822" w:rsidRDefault="00D20C7C" w:rsidP="00D20C7C">
      <w:pPr>
        <w:pStyle w:val="ListParagraph"/>
        <w:numPr>
          <w:ilvl w:val="1"/>
          <w:numId w:val="35"/>
        </w:numPr>
        <w:spacing w:after="0"/>
        <w:contextualSpacing w:val="0"/>
        <w:rPr>
          <w:rFonts w:ascii="Arial" w:eastAsia="Calibri" w:hAnsi="Arial" w:cs="Arial"/>
          <w:lang w:eastAsia="x-none"/>
        </w:rPr>
      </w:pPr>
      <w:r w:rsidRPr="00022822">
        <w:rPr>
          <w:rFonts w:ascii="Arial" w:eastAsia="Calibri" w:hAnsi="Arial" w:cs="Arial"/>
          <w:lang w:eastAsia="x-none"/>
        </w:rPr>
        <w:t>Table A1 = % of adult enrollees age 21 and over in each Urban County with access to 2 or more Adult Primary Care providers within the time and distance standards summarized in Appendix A – Network Time/Distance Standards.</w:t>
      </w:r>
    </w:p>
    <w:p w14:paraId="4F6F7ED2" w14:textId="77777777" w:rsidR="00D20C7C" w:rsidRPr="00022822" w:rsidRDefault="00D20C7C" w:rsidP="00D20C7C">
      <w:pPr>
        <w:pStyle w:val="ListParagraph"/>
        <w:numPr>
          <w:ilvl w:val="1"/>
          <w:numId w:val="35"/>
        </w:numPr>
        <w:spacing w:after="0"/>
        <w:contextualSpacing w:val="0"/>
        <w:rPr>
          <w:rFonts w:ascii="Arial" w:eastAsia="Calibri" w:hAnsi="Arial" w:cs="Arial"/>
          <w:lang w:eastAsia="x-none"/>
        </w:rPr>
      </w:pPr>
      <w:r w:rsidRPr="00022822">
        <w:rPr>
          <w:rFonts w:ascii="Arial" w:eastAsia="Calibri" w:hAnsi="Arial" w:cs="Arial"/>
          <w:lang w:eastAsia="x-none"/>
        </w:rPr>
        <w:t>Table A2 = % of adult enrollees age 21 and over in each Rural County with access to 2 or more Adult Primary Care providers within the time and distance standards summarized in Appendix A – Network Time/Distance Standards.</w:t>
      </w:r>
    </w:p>
    <w:p w14:paraId="03611044" w14:textId="77777777" w:rsidR="00D20C7C" w:rsidRPr="00022822" w:rsidRDefault="00D20C7C" w:rsidP="00D20C7C">
      <w:pPr>
        <w:pStyle w:val="ListParagraph"/>
        <w:numPr>
          <w:ilvl w:val="1"/>
          <w:numId w:val="35"/>
        </w:numPr>
        <w:spacing w:after="0"/>
        <w:contextualSpacing w:val="0"/>
        <w:rPr>
          <w:rFonts w:ascii="Arial" w:eastAsia="Calibri" w:hAnsi="Arial" w:cs="Arial"/>
          <w:lang w:eastAsia="x-none"/>
        </w:rPr>
      </w:pPr>
      <w:r w:rsidRPr="00022822">
        <w:rPr>
          <w:rFonts w:ascii="Arial" w:eastAsia="Calibri" w:hAnsi="Arial" w:cs="Arial"/>
          <w:lang w:eastAsia="x-none"/>
        </w:rPr>
        <w:t>Table B1 = % of pediatric enrollees in each Urban County with access to 2 or more pediatric Primary Care providers within the time and distance standards summarized in Appendix A – Network Time/Distance Standards.</w:t>
      </w:r>
    </w:p>
    <w:p w14:paraId="3DB9A93D" w14:textId="77777777" w:rsidR="00D20C7C" w:rsidRPr="00022822" w:rsidRDefault="00D20C7C" w:rsidP="00D20C7C">
      <w:pPr>
        <w:pStyle w:val="ListParagraph"/>
        <w:numPr>
          <w:ilvl w:val="1"/>
          <w:numId w:val="35"/>
        </w:numPr>
        <w:spacing w:after="120"/>
        <w:contextualSpacing w:val="0"/>
        <w:rPr>
          <w:rFonts w:ascii="Arial" w:eastAsia="Calibri" w:hAnsi="Arial" w:cs="Arial"/>
          <w:lang w:eastAsia="x-none"/>
        </w:rPr>
      </w:pPr>
      <w:r w:rsidRPr="00022822">
        <w:rPr>
          <w:rFonts w:ascii="Arial" w:eastAsia="Calibri" w:hAnsi="Arial" w:cs="Arial"/>
          <w:lang w:eastAsia="x-none"/>
        </w:rPr>
        <w:t>Table B2 = % of pediatric enrollees in each Rural County with access to 2 or more pediatric Primary Care providers within the time and distance standards summarized in Appendix A – Network Time/Distance Standards.</w:t>
      </w:r>
    </w:p>
    <w:p w14:paraId="169E6D44" w14:textId="77777777" w:rsidR="00D20C7C" w:rsidRPr="00022822" w:rsidRDefault="00D20C7C" w:rsidP="00D20C7C">
      <w:pPr>
        <w:pStyle w:val="ListParagraph"/>
        <w:numPr>
          <w:ilvl w:val="0"/>
          <w:numId w:val="35"/>
        </w:numPr>
        <w:spacing w:after="120"/>
        <w:contextualSpacing w:val="0"/>
        <w:rPr>
          <w:rFonts w:ascii="Arial" w:eastAsia="Calibri" w:hAnsi="Arial" w:cs="Arial"/>
          <w:b/>
          <w:lang w:eastAsia="x-none"/>
        </w:rPr>
      </w:pPr>
      <w:r w:rsidRPr="00022822">
        <w:rPr>
          <w:rFonts w:ascii="Arial" w:eastAsia="Calibri" w:hAnsi="Arial" w:cs="Arial"/>
          <w:b/>
          <w:lang w:eastAsia="x-none"/>
        </w:rPr>
        <w:t>All provider/ancillary maps/tables should be reported in a comparable format.</w:t>
      </w:r>
    </w:p>
    <w:p w14:paraId="56D296F4" w14:textId="77777777"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br w:type="page"/>
      </w:r>
    </w:p>
    <w:p w14:paraId="67F5F2E4" w14:textId="77777777" w:rsidR="00D20C7C" w:rsidRPr="00022822" w:rsidRDefault="00D20C7C" w:rsidP="00D20C7C">
      <w:pPr>
        <w:pStyle w:val="ListParagraph"/>
        <w:numPr>
          <w:ilvl w:val="0"/>
          <w:numId w:val="32"/>
        </w:numPr>
        <w:spacing w:after="120"/>
        <w:contextualSpacing w:val="0"/>
        <w:rPr>
          <w:rFonts w:ascii="Arial" w:eastAsia="Calibri" w:hAnsi="Arial" w:cs="Arial"/>
          <w:lang w:eastAsia="x-none"/>
        </w:rPr>
      </w:pPr>
      <w:r w:rsidRPr="00022822">
        <w:rPr>
          <w:rFonts w:ascii="Arial" w:eastAsia="Calibri" w:hAnsi="Arial" w:cs="Arial"/>
          <w:b/>
          <w:lang w:eastAsia="x-none"/>
        </w:rPr>
        <w:lastRenderedPageBreak/>
        <w:t>Specifications</w:t>
      </w:r>
    </w:p>
    <w:p w14:paraId="61741661"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Adult Primary Care access (for members age 21 or older)</w:t>
      </w:r>
      <w:r w:rsidRPr="00022822">
        <w:rPr>
          <w:rFonts w:ascii="Arial" w:eastAsia="Calibri" w:hAnsi="Arial" w:cs="Arial"/>
          <w:lang w:eastAsia="x-none"/>
        </w:rPr>
        <w:t xml:space="preserve"> – see definitions appendix and include only the following types of providers in developing the maps and tables. If a provider has an age range that does not include individuals age 21 and older, do not include the provider in these maps and tables.</w:t>
      </w:r>
    </w:p>
    <w:p w14:paraId="3D8B6340"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Family/General Practice</w:t>
      </w:r>
    </w:p>
    <w:p w14:paraId="276B6A30"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Internal Medicine PCP</w:t>
      </w:r>
    </w:p>
    <w:p w14:paraId="5ED58868"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Federally Qualified Health Center (FQHC)</w:t>
      </w:r>
    </w:p>
    <w:p w14:paraId="40DED6DF"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Rural Health Center (RHC)</w:t>
      </w:r>
    </w:p>
    <w:p w14:paraId="3FE601BA"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Local Health Department (LHD)</w:t>
      </w:r>
    </w:p>
    <w:p w14:paraId="75DD18CE"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OB/GYN PCP (including Certified Nurse Midwife)</w:t>
      </w:r>
    </w:p>
    <w:p w14:paraId="3E0D87AE"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Physician Assistant</w:t>
      </w:r>
    </w:p>
    <w:p w14:paraId="281AE6F8"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eastAsia="Calibri" w:hAnsi="Arial" w:cs="Arial"/>
          <w:lang w:eastAsia="x-none"/>
        </w:rPr>
        <w:t>Nurse Practitioner</w:t>
      </w:r>
    </w:p>
    <w:p w14:paraId="2B1B79E2"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Pediatric Primary Care access (for members less than age 21)</w:t>
      </w:r>
      <w:r w:rsidRPr="00022822">
        <w:rPr>
          <w:rFonts w:ascii="Arial" w:eastAsia="Calibri" w:hAnsi="Arial" w:cs="Arial"/>
          <w:lang w:eastAsia="x-none"/>
        </w:rPr>
        <w:t xml:space="preserve"> – see definitions appendix and include only the following types of providers in developing the maps and tables. If a provider has an age range that does not include individuals less than age 21, do not include the provider in these maps and tables.</w:t>
      </w:r>
    </w:p>
    <w:p w14:paraId="581F9902"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Pediatrician</w:t>
      </w:r>
    </w:p>
    <w:p w14:paraId="4F3DCD9F"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Family/General Practice</w:t>
      </w:r>
    </w:p>
    <w:p w14:paraId="11063C2F"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Internal Medicine PCP</w:t>
      </w:r>
    </w:p>
    <w:p w14:paraId="373F8E5F"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Federally Qualified Health Center (FQHC)</w:t>
      </w:r>
    </w:p>
    <w:p w14:paraId="1C45AE4D"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Rural Health Center (RHC)</w:t>
      </w:r>
    </w:p>
    <w:p w14:paraId="383C8701"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Local Health Department (LHD)</w:t>
      </w:r>
    </w:p>
    <w:p w14:paraId="051412B3" w14:textId="77777777" w:rsidR="00D20C7C" w:rsidRPr="00022822" w:rsidRDefault="00D20C7C" w:rsidP="00D20C7C">
      <w:pPr>
        <w:pStyle w:val="ListParagraph"/>
        <w:numPr>
          <w:ilvl w:val="1"/>
          <w:numId w:val="37"/>
        </w:numPr>
        <w:spacing w:after="0"/>
        <w:contextualSpacing w:val="0"/>
        <w:rPr>
          <w:rFonts w:ascii="Arial" w:eastAsia="Calibri" w:hAnsi="Arial" w:cs="Arial"/>
          <w:lang w:eastAsia="x-none"/>
        </w:rPr>
      </w:pPr>
      <w:r w:rsidRPr="00022822">
        <w:rPr>
          <w:rFonts w:ascii="Arial" w:eastAsia="Calibri" w:hAnsi="Arial" w:cs="Arial"/>
          <w:lang w:eastAsia="x-none"/>
        </w:rPr>
        <w:t>Physician Assistant</w:t>
      </w:r>
    </w:p>
    <w:p w14:paraId="6E1E0EA1"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eastAsia="Calibri" w:hAnsi="Arial" w:cs="Arial"/>
          <w:lang w:eastAsia="x-none"/>
        </w:rPr>
        <w:t>Nurse Practitioner</w:t>
      </w:r>
    </w:p>
    <w:p w14:paraId="122419C5"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 xml:space="preserve">Specialty Care access </w:t>
      </w:r>
      <w:r w:rsidRPr="00022822">
        <w:rPr>
          <w:rFonts w:ascii="Arial" w:eastAsia="Calibri" w:hAnsi="Arial" w:cs="Arial"/>
          <w:lang w:eastAsia="x-none"/>
        </w:rPr>
        <w:t xml:space="preserve">– </w:t>
      </w:r>
      <w:r w:rsidRPr="00022822">
        <w:rPr>
          <w:rFonts w:ascii="Arial" w:eastAsia="Calibri" w:hAnsi="Arial" w:cs="Arial"/>
          <w:u w:val="single"/>
          <w:lang w:eastAsia="x-none"/>
        </w:rPr>
        <w:t>must demonstrate separately</w:t>
      </w:r>
      <w:r w:rsidRPr="00022822">
        <w:rPr>
          <w:rFonts w:ascii="Arial" w:eastAsia="Calibri" w:hAnsi="Arial" w:cs="Arial"/>
          <w:lang w:eastAsia="x-none"/>
        </w:rPr>
        <w:t xml:space="preserve"> for both adult members (members age 21 or older) and pediatric members (for members less than age 21) for each of the </w:t>
      </w:r>
      <w:proofErr w:type="spellStart"/>
      <w:r w:rsidRPr="00022822">
        <w:rPr>
          <w:rFonts w:ascii="Arial" w:eastAsia="Calibri" w:hAnsi="Arial" w:cs="Arial"/>
          <w:lang w:eastAsia="x-none"/>
        </w:rPr>
        <w:t>the</w:t>
      </w:r>
      <w:proofErr w:type="spellEnd"/>
      <w:r w:rsidRPr="00022822">
        <w:rPr>
          <w:rFonts w:ascii="Arial" w:eastAsia="Calibri" w:hAnsi="Arial" w:cs="Arial"/>
          <w:lang w:eastAsia="x-none"/>
        </w:rPr>
        <w:t xml:space="preserve"> following types of providers in developing the maps and tables.</w:t>
      </w:r>
    </w:p>
    <w:p w14:paraId="0DFD67F9"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Allergy/Immunology</w:t>
      </w:r>
    </w:p>
    <w:p w14:paraId="4D8A60EC"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lastRenderedPageBreak/>
        <w:t>Anesthesiology</w:t>
      </w:r>
    </w:p>
    <w:p w14:paraId="50B510AE"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Cardiology</w:t>
      </w:r>
    </w:p>
    <w:p w14:paraId="4D4DBFF9"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Dermatology</w:t>
      </w:r>
    </w:p>
    <w:p w14:paraId="3ACA885A"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Endocrinology</w:t>
      </w:r>
    </w:p>
    <w:p w14:paraId="06DDB6D2"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ENT/Otolaryngology</w:t>
      </w:r>
    </w:p>
    <w:p w14:paraId="02BB4CC4"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Gastroenterology</w:t>
      </w:r>
    </w:p>
    <w:p w14:paraId="667CB0B3"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General Surgery</w:t>
      </w:r>
    </w:p>
    <w:p w14:paraId="5893B764"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Infectious Disease</w:t>
      </w:r>
      <w:r w:rsidRPr="00022822">
        <w:rPr>
          <w:rFonts w:ascii="Arial" w:hAnsi="Arial" w:cs="Arial"/>
        </w:rPr>
        <w:tab/>
      </w:r>
    </w:p>
    <w:p w14:paraId="35EF6B8B"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Hematology</w:t>
      </w:r>
    </w:p>
    <w:p w14:paraId="3CFD82C5"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Nephrology</w:t>
      </w:r>
    </w:p>
    <w:p w14:paraId="648EA026"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Neurology</w:t>
      </w:r>
    </w:p>
    <w:p w14:paraId="4EA2B0D0"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Oncology</w:t>
      </w:r>
    </w:p>
    <w:p w14:paraId="526601B0"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Ophthalmology</w:t>
      </w:r>
    </w:p>
    <w:p w14:paraId="2E5BACE2"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Optometry</w:t>
      </w:r>
    </w:p>
    <w:p w14:paraId="0E041BD1"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Orthopedic Surgery</w:t>
      </w:r>
    </w:p>
    <w:p w14:paraId="4EABDFDD"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Pain Management (Board Certified)</w:t>
      </w:r>
    </w:p>
    <w:p w14:paraId="32B8114E"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Psychiatry</w:t>
      </w:r>
    </w:p>
    <w:p w14:paraId="5A7CA604"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Pulmonology</w:t>
      </w:r>
    </w:p>
    <w:p w14:paraId="7AF9C8A2"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Radiology</w:t>
      </w:r>
    </w:p>
    <w:p w14:paraId="5B92DF3E"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Rheumatology</w:t>
      </w:r>
    </w:p>
    <w:p w14:paraId="2C8B390C"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hAnsi="Arial" w:cs="Arial"/>
        </w:rPr>
        <w:t>Urology</w:t>
      </w:r>
    </w:p>
    <w:p w14:paraId="74184DEF"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Hospital access</w:t>
      </w:r>
      <w:r w:rsidRPr="00022822">
        <w:rPr>
          <w:rFonts w:ascii="Arial" w:eastAsia="Calibri" w:hAnsi="Arial" w:cs="Arial"/>
          <w:lang w:eastAsia="x-none"/>
        </w:rPr>
        <w:t xml:space="preserve">– </w:t>
      </w:r>
      <w:r w:rsidRPr="00022822">
        <w:rPr>
          <w:rFonts w:ascii="Arial" w:eastAsia="Calibri" w:hAnsi="Arial" w:cs="Arial"/>
          <w:u w:val="single"/>
          <w:lang w:eastAsia="x-none"/>
        </w:rPr>
        <w:t>must demonstrate separately</w:t>
      </w:r>
      <w:r w:rsidRPr="00022822">
        <w:rPr>
          <w:rFonts w:ascii="Arial" w:eastAsia="Calibri" w:hAnsi="Arial" w:cs="Arial"/>
          <w:lang w:eastAsia="x-none"/>
        </w:rPr>
        <w:t xml:space="preserve"> for both adult members (members age 21 or older) and pediatric members (for members less than age 21) and include only the following types of providers in developing the maps and tables.</w:t>
      </w:r>
    </w:p>
    <w:p w14:paraId="6372BC17"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General Acute Care</w:t>
      </w:r>
    </w:p>
    <w:p w14:paraId="43A69858"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hAnsi="Arial" w:cs="Arial"/>
        </w:rPr>
        <w:t>Children’s hospital</w:t>
      </w:r>
    </w:p>
    <w:p w14:paraId="692F4793"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Pharmacy access</w:t>
      </w:r>
      <w:r w:rsidRPr="00022822">
        <w:rPr>
          <w:rFonts w:ascii="Arial" w:eastAsia="Calibri" w:hAnsi="Arial" w:cs="Arial"/>
          <w:lang w:eastAsia="x-none"/>
        </w:rPr>
        <w:t xml:space="preserve"> include only the following types of providers in developing the maps and tables. </w:t>
      </w:r>
    </w:p>
    <w:p w14:paraId="55D9C9E9"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hAnsi="Arial" w:cs="Arial"/>
        </w:rPr>
        <w:t>Pharmacies</w:t>
      </w:r>
    </w:p>
    <w:p w14:paraId="1F23E4FC"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lastRenderedPageBreak/>
        <w:t>OB/GYN access (female members age 21 or over only)</w:t>
      </w:r>
      <w:r w:rsidRPr="00022822">
        <w:rPr>
          <w:rFonts w:ascii="Arial" w:eastAsia="Calibri" w:hAnsi="Arial" w:cs="Arial"/>
          <w:lang w:eastAsia="x-none"/>
        </w:rPr>
        <w:t xml:space="preserve"> – see definitions appendix and include only the following types of providers in developing the maps and tables. </w:t>
      </w:r>
    </w:p>
    <w:p w14:paraId="3F145C42"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OB/GYN</w:t>
      </w:r>
    </w:p>
    <w:p w14:paraId="0B24191C"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hAnsi="Arial" w:cs="Arial"/>
        </w:rPr>
        <w:t>Certified Nurse Midwife</w:t>
      </w:r>
    </w:p>
    <w:p w14:paraId="02E40571"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Mid-level Provider access</w:t>
      </w:r>
      <w:r w:rsidRPr="00022822">
        <w:rPr>
          <w:rFonts w:ascii="Arial" w:eastAsia="Calibri" w:hAnsi="Arial" w:cs="Arial"/>
          <w:lang w:eastAsia="x-none"/>
        </w:rPr>
        <w:t xml:space="preserve"> – </w:t>
      </w:r>
      <w:r w:rsidRPr="00022822">
        <w:rPr>
          <w:rFonts w:ascii="Arial" w:eastAsia="Calibri" w:hAnsi="Arial" w:cs="Arial"/>
          <w:u w:val="single"/>
          <w:lang w:eastAsia="x-none"/>
        </w:rPr>
        <w:t>must demonstrate separately</w:t>
      </w:r>
      <w:r w:rsidRPr="00022822">
        <w:rPr>
          <w:rFonts w:ascii="Arial" w:eastAsia="Calibri" w:hAnsi="Arial" w:cs="Arial"/>
          <w:lang w:eastAsia="x-none"/>
        </w:rPr>
        <w:t xml:space="preserve"> for each of the following types of providers and include only the following types of providers in developing the maps and tables.</w:t>
      </w:r>
    </w:p>
    <w:p w14:paraId="00B1715C"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Occupational Therapy</w:t>
      </w:r>
    </w:p>
    <w:p w14:paraId="32567778"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Physical Therapy</w:t>
      </w:r>
    </w:p>
    <w:p w14:paraId="2BF81E26" w14:textId="2C1CAEF6" w:rsidR="00D20C7C" w:rsidRPr="00022822" w:rsidRDefault="00D20C7C" w:rsidP="00184C34">
      <w:pPr>
        <w:pStyle w:val="ListParagraph"/>
        <w:numPr>
          <w:ilvl w:val="1"/>
          <w:numId w:val="37"/>
        </w:numPr>
        <w:spacing w:after="160" w:line="259" w:lineRule="auto"/>
        <w:contextualSpacing w:val="0"/>
        <w:rPr>
          <w:rFonts w:ascii="Arial" w:eastAsia="Calibri" w:hAnsi="Arial" w:cs="Arial"/>
          <w:b/>
          <w:lang w:eastAsia="x-none"/>
        </w:rPr>
      </w:pPr>
      <w:r w:rsidRPr="00022822">
        <w:rPr>
          <w:rFonts w:ascii="Arial" w:hAnsi="Arial" w:cs="Arial"/>
        </w:rPr>
        <w:t>Speech Therapy</w:t>
      </w:r>
    </w:p>
    <w:p w14:paraId="68A95AF0"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Behavioral Health Services access</w:t>
      </w:r>
      <w:r w:rsidRPr="00022822">
        <w:rPr>
          <w:rFonts w:ascii="Arial" w:eastAsia="Calibri" w:hAnsi="Arial" w:cs="Arial"/>
          <w:lang w:eastAsia="x-none"/>
        </w:rPr>
        <w:t xml:space="preserve"> – refer to the definitions appendix and </w:t>
      </w:r>
      <w:r w:rsidRPr="00022822">
        <w:rPr>
          <w:rFonts w:ascii="Arial" w:eastAsia="Calibri" w:hAnsi="Arial" w:cs="Arial"/>
          <w:u w:val="single"/>
          <w:lang w:eastAsia="x-none"/>
        </w:rPr>
        <w:t>demonstrate separately</w:t>
      </w:r>
      <w:r w:rsidRPr="00022822">
        <w:rPr>
          <w:rFonts w:ascii="Arial" w:eastAsia="Calibri" w:hAnsi="Arial" w:cs="Arial"/>
          <w:lang w:eastAsia="x-none"/>
        </w:rPr>
        <w:t xml:space="preserve"> for both adult members (members age 21 or older) and pediatric members (for members less than age 21) for each of the following types of services in the maps and tables. For all Behavioral Health related maps and tables, specify/list the types of providers included in the analysis for each service type.</w:t>
      </w:r>
    </w:p>
    <w:p w14:paraId="44129FCD"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Outpatient Behavioral Health Services</w:t>
      </w:r>
    </w:p>
    <w:p w14:paraId="1989438E"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Location-Based Services (Behavioral Health)</w:t>
      </w:r>
    </w:p>
    <w:p w14:paraId="41F16E63"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Crisis Services (Behavioral Health)</w:t>
      </w:r>
    </w:p>
    <w:p w14:paraId="66249099"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Inpatient Behavioral Health Services</w:t>
      </w:r>
    </w:p>
    <w:p w14:paraId="23CC261C"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Partial Hospitalization (Behavioral Health)</w:t>
      </w:r>
    </w:p>
    <w:p w14:paraId="69DEC28E"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Clinically Managed Low-Intensity Residential Treatment Services (Behavioral Health)</w:t>
      </w:r>
    </w:p>
    <w:p w14:paraId="21DABF3E"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hAnsi="Arial" w:cs="Arial"/>
        </w:rPr>
        <w:t>Speech Therapy</w:t>
      </w:r>
    </w:p>
    <w:p w14:paraId="5FE77873"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All State Plan LTSS (except nursing facilities)</w:t>
      </w:r>
      <w:r w:rsidRPr="00022822">
        <w:rPr>
          <w:rFonts w:ascii="Arial" w:eastAsia="Calibri" w:hAnsi="Arial" w:cs="Arial"/>
          <w:lang w:eastAsia="x-none"/>
        </w:rPr>
        <w:t xml:space="preserve"> – see definitions appendix and include only the following service types in developing the maps and tables.</w:t>
      </w:r>
    </w:p>
    <w:p w14:paraId="4E04C631" w14:textId="77777777" w:rsidR="00D20C7C" w:rsidRPr="00022822" w:rsidRDefault="00D20C7C" w:rsidP="00D20C7C">
      <w:pPr>
        <w:pStyle w:val="ListParagraph"/>
        <w:numPr>
          <w:ilvl w:val="1"/>
          <w:numId w:val="37"/>
        </w:numPr>
        <w:rPr>
          <w:rFonts w:ascii="Arial" w:hAnsi="Arial" w:cs="Arial"/>
        </w:rPr>
      </w:pPr>
      <w:r w:rsidRPr="00022822">
        <w:rPr>
          <w:rFonts w:ascii="Arial" w:hAnsi="Arial" w:cs="Arial"/>
        </w:rPr>
        <w:t>Home Care providers</w:t>
      </w:r>
    </w:p>
    <w:p w14:paraId="28342DA7" w14:textId="77777777" w:rsidR="00D20C7C" w:rsidRPr="00022822" w:rsidRDefault="00D20C7C" w:rsidP="00D20C7C">
      <w:pPr>
        <w:pStyle w:val="ListParagraph"/>
        <w:numPr>
          <w:ilvl w:val="1"/>
          <w:numId w:val="37"/>
        </w:numPr>
        <w:spacing w:after="120"/>
        <w:contextualSpacing w:val="0"/>
        <w:rPr>
          <w:rFonts w:ascii="Arial" w:eastAsia="Calibri" w:hAnsi="Arial" w:cs="Arial"/>
          <w:lang w:eastAsia="x-none"/>
        </w:rPr>
      </w:pPr>
      <w:r w:rsidRPr="00022822">
        <w:rPr>
          <w:rFonts w:ascii="Arial" w:hAnsi="Arial" w:cs="Arial"/>
        </w:rPr>
        <w:t>Home Health providers</w:t>
      </w:r>
    </w:p>
    <w:p w14:paraId="74C83010" w14:textId="77777777" w:rsidR="00D20C7C" w:rsidRPr="00022822" w:rsidRDefault="00D20C7C" w:rsidP="00D20C7C">
      <w:pPr>
        <w:pStyle w:val="ListParagraph"/>
        <w:numPr>
          <w:ilvl w:val="0"/>
          <w:numId w:val="37"/>
        </w:numPr>
        <w:spacing w:after="120"/>
        <w:contextualSpacing w:val="0"/>
        <w:rPr>
          <w:rFonts w:ascii="Arial" w:eastAsia="Calibri" w:hAnsi="Arial" w:cs="Arial"/>
          <w:lang w:eastAsia="x-none"/>
        </w:rPr>
      </w:pPr>
      <w:r w:rsidRPr="00022822">
        <w:rPr>
          <w:rFonts w:ascii="Arial" w:eastAsia="Calibri" w:hAnsi="Arial" w:cs="Arial"/>
          <w:b/>
          <w:lang w:eastAsia="x-none"/>
        </w:rPr>
        <w:t>Nursing Facility access</w:t>
      </w:r>
      <w:r w:rsidRPr="00022822">
        <w:rPr>
          <w:rFonts w:ascii="Arial" w:eastAsia="Calibri" w:hAnsi="Arial" w:cs="Arial"/>
          <w:lang w:eastAsia="x-none"/>
        </w:rPr>
        <w:t xml:space="preserve"> –include only the following provider type in developing the maps and tables.</w:t>
      </w:r>
    </w:p>
    <w:p w14:paraId="04D48FB9" w14:textId="2551ADB4" w:rsidR="00D20C7C" w:rsidRPr="00022822" w:rsidRDefault="00D20C7C" w:rsidP="00E1704F">
      <w:pPr>
        <w:pStyle w:val="ListParagraph"/>
        <w:numPr>
          <w:ilvl w:val="0"/>
          <w:numId w:val="37"/>
        </w:numPr>
        <w:spacing w:after="160" w:line="259" w:lineRule="auto"/>
        <w:rPr>
          <w:rFonts w:ascii="Arial" w:eastAsia="Calibri" w:hAnsi="Arial" w:cs="Arial"/>
          <w:lang w:eastAsia="x-none"/>
        </w:rPr>
      </w:pPr>
      <w:r w:rsidRPr="00022822">
        <w:rPr>
          <w:rFonts w:ascii="Arial" w:hAnsi="Arial" w:cs="Arial"/>
        </w:rPr>
        <w:lastRenderedPageBreak/>
        <w:t>Skilled Nursing Facility</w:t>
      </w:r>
    </w:p>
    <w:p w14:paraId="699A7197" w14:textId="77777777" w:rsidR="00D20C7C" w:rsidRPr="00022822" w:rsidRDefault="00D20C7C" w:rsidP="00D20C7C">
      <w:pPr>
        <w:spacing w:after="0" w:line="240" w:lineRule="auto"/>
        <w:rPr>
          <w:rFonts w:ascii="Arial" w:hAnsi="Arial" w:cs="Arial"/>
          <w:b/>
          <w:u w:val="single"/>
        </w:rPr>
      </w:pPr>
      <w:r w:rsidRPr="00022822">
        <w:rPr>
          <w:rFonts w:ascii="Arial" w:hAnsi="Arial" w:cs="Arial"/>
          <w:b/>
          <w:u w:val="single"/>
        </w:rPr>
        <w:t>Section III – Attestation and Related Files</w:t>
      </w:r>
    </w:p>
    <w:p w14:paraId="65048F56" w14:textId="77777777" w:rsidR="00D20C7C" w:rsidRPr="00022822" w:rsidRDefault="00D20C7C" w:rsidP="00D20C7C">
      <w:pPr>
        <w:spacing w:after="0" w:line="240" w:lineRule="auto"/>
        <w:rPr>
          <w:rFonts w:ascii="Arial" w:hAnsi="Arial" w:cs="Arial"/>
          <w:b/>
          <w:u w:val="single"/>
        </w:rPr>
      </w:pPr>
    </w:p>
    <w:p w14:paraId="7AFBBC24" w14:textId="77777777" w:rsidR="00D20C7C" w:rsidRPr="00022822" w:rsidRDefault="00D20C7C" w:rsidP="00D20C7C">
      <w:pPr>
        <w:spacing w:after="160" w:line="259" w:lineRule="auto"/>
        <w:rPr>
          <w:rFonts w:ascii="Arial" w:eastAsia="Calibri" w:hAnsi="Arial" w:cs="Arial"/>
          <w:lang w:eastAsia="x-none"/>
        </w:rPr>
      </w:pPr>
      <w:r w:rsidRPr="00022822">
        <w:rPr>
          <w:rFonts w:ascii="Arial" w:eastAsia="Calibri" w:hAnsi="Arial" w:cs="Arial"/>
          <w:lang w:eastAsia="x-none"/>
        </w:rPr>
        <w:t>In this appendix, embed</w:t>
      </w:r>
      <w:r w:rsidRPr="00022822">
        <w:rPr>
          <w:rStyle w:val="FootnoteReference"/>
          <w:rFonts w:ascii="Arial" w:eastAsia="Calibri" w:hAnsi="Arial" w:cs="Arial"/>
          <w:lang w:eastAsia="x-none"/>
        </w:rPr>
        <w:footnoteReference w:id="1"/>
      </w:r>
      <w:r w:rsidRPr="00022822">
        <w:rPr>
          <w:rFonts w:ascii="Arial" w:eastAsia="Calibri" w:hAnsi="Arial" w:cs="Arial"/>
          <w:lang w:eastAsia="x-none"/>
        </w:rPr>
        <w:t xml:space="preserve"> a copy of the signed attestation and any other related files.  Use the provided space to include any notes regarding this submission.</w:t>
      </w:r>
    </w:p>
    <w:tbl>
      <w:tblPr>
        <w:tblStyle w:val="TableGrid"/>
        <w:tblW w:w="0" w:type="auto"/>
        <w:tblLook w:val="04A0" w:firstRow="1" w:lastRow="0" w:firstColumn="1" w:lastColumn="0" w:noHBand="0" w:noVBand="1"/>
      </w:tblPr>
      <w:tblGrid>
        <w:gridCol w:w="2065"/>
        <w:gridCol w:w="4230"/>
        <w:gridCol w:w="3919"/>
      </w:tblGrid>
      <w:tr w:rsidR="00D20C7C" w14:paraId="6A355F24" w14:textId="77777777" w:rsidTr="000E06D3">
        <w:trPr>
          <w:trHeight w:val="350"/>
        </w:trPr>
        <w:tc>
          <w:tcPr>
            <w:tcW w:w="2065" w:type="dxa"/>
            <w:shd w:val="clear" w:color="auto" w:fill="B8CCE4" w:themeFill="accent1" w:themeFillTint="66"/>
          </w:tcPr>
          <w:p w14:paraId="266DB27B" w14:textId="77777777" w:rsidR="00D20C7C" w:rsidRPr="00494028" w:rsidRDefault="00D20C7C" w:rsidP="000E06D3">
            <w:pPr>
              <w:rPr>
                <w:b/>
              </w:rPr>
            </w:pPr>
            <w:r w:rsidRPr="00494028">
              <w:rPr>
                <w:b/>
              </w:rPr>
              <w:t>Attestation</w:t>
            </w:r>
          </w:p>
        </w:tc>
        <w:tc>
          <w:tcPr>
            <w:tcW w:w="4230" w:type="dxa"/>
            <w:shd w:val="clear" w:color="auto" w:fill="B8CCE4" w:themeFill="accent1" w:themeFillTint="66"/>
          </w:tcPr>
          <w:p w14:paraId="5964E6D5" w14:textId="77777777" w:rsidR="00D20C7C" w:rsidRPr="00494028" w:rsidRDefault="00D20C7C" w:rsidP="000E06D3">
            <w:pPr>
              <w:rPr>
                <w:b/>
              </w:rPr>
            </w:pPr>
            <w:r w:rsidRPr="00494028">
              <w:rPr>
                <w:b/>
              </w:rPr>
              <w:t>Related Files</w:t>
            </w:r>
          </w:p>
        </w:tc>
        <w:tc>
          <w:tcPr>
            <w:tcW w:w="3919" w:type="dxa"/>
            <w:shd w:val="clear" w:color="auto" w:fill="B8CCE4" w:themeFill="accent1" w:themeFillTint="66"/>
          </w:tcPr>
          <w:p w14:paraId="0EF86488" w14:textId="77777777" w:rsidR="00D20C7C" w:rsidRPr="00494028" w:rsidRDefault="00D20C7C" w:rsidP="000E06D3">
            <w:pPr>
              <w:rPr>
                <w:b/>
              </w:rPr>
            </w:pPr>
            <w:r w:rsidRPr="00494028">
              <w:rPr>
                <w:b/>
              </w:rPr>
              <w:t>Notes regarding this submission</w:t>
            </w:r>
            <w:r w:rsidRPr="00494028">
              <w:rPr>
                <w:rStyle w:val="FootnoteReference"/>
              </w:rPr>
              <w:footnoteReference w:id="2"/>
            </w:r>
          </w:p>
        </w:tc>
      </w:tr>
      <w:tr w:rsidR="00D20C7C" w14:paraId="32B47F3D" w14:textId="77777777" w:rsidTr="000E06D3">
        <w:trPr>
          <w:trHeight w:val="1296"/>
        </w:trPr>
        <w:tc>
          <w:tcPr>
            <w:tcW w:w="2065" w:type="dxa"/>
            <w:vMerge w:val="restart"/>
          </w:tcPr>
          <w:p w14:paraId="1C8FC897" w14:textId="77777777" w:rsidR="00D20C7C" w:rsidRPr="00494028" w:rsidRDefault="00D20C7C" w:rsidP="000E06D3"/>
        </w:tc>
        <w:tc>
          <w:tcPr>
            <w:tcW w:w="4230" w:type="dxa"/>
          </w:tcPr>
          <w:p w14:paraId="530EFA88" w14:textId="77777777" w:rsidR="00D20C7C" w:rsidRPr="00494028" w:rsidRDefault="00D20C7C" w:rsidP="000E06D3"/>
        </w:tc>
        <w:tc>
          <w:tcPr>
            <w:tcW w:w="3919" w:type="dxa"/>
            <w:vMerge w:val="restart"/>
          </w:tcPr>
          <w:p w14:paraId="00AE1DA9" w14:textId="77777777" w:rsidR="00D20C7C" w:rsidRPr="00494028" w:rsidRDefault="00D20C7C" w:rsidP="000E06D3"/>
        </w:tc>
      </w:tr>
      <w:tr w:rsidR="00D20C7C" w14:paraId="5EBFA6FD" w14:textId="77777777" w:rsidTr="000E06D3">
        <w:trPr>
          <w:trHeight w:val="1296"/>
        </w:trPr>
        <w:tc>
          <w:tcPr>
            <w:tcW w:w="2065" w:type="dxa"/>
            <w:vMerge/>
          </w:tcPr>
          <w:p w14:paraId="51820C65" w14:textId="77777777" w:rsidR="00D20C7C" w:rsidRDefault="00D20C7C" w:rsidP="000E06D3"/>
        </w:tc>
        <w:tc>
          <w:tcPr>
            <w:tcW w:w="4230" w:type="dxa"/>
          </w:tcPr>
          <w:p w14:paraId="05225DBE" w14:textId="77777777" w:rsidR="00D20C7C" w:rsidRDefault="00D20C7C" w:rsidP="000E06D3"/>
        </w:tc>
        <w:tc>
          <w:tcPr>
            <w:tcW w:w="3919" w:type="dxa"/>
            <w:vMerge/>
          </w:tcPr>
          <w:p w14:paraId="1272F221" w14:textId="77777777" w:rsidR="00D20C7C" w:rsidRDefault="00D20C7C" w:rsidP="000E06D3"/>
        </w:tc>
      </w:tr>
      <w:tr w:rsidR="00D20C7C" w14:paraId="011C5997" w14:textId="77777777" w:rsidTr="000E06D3">
        <w:trPr>
          <w:trHeight w:val="1296"/>
        </w:trPr>
        <w:tc>
          <w:tcPr>
            <w:tcW w:w="2065" w:type="dxa"/>
            <w:vMerge/>
          </w:tcPr>
          <w:p w14:paraId="7976314A" w14:textId="77777777" w:rsidR="00D20C7C" w:rsidRDefault="00D20C7C" w:rsidP="000E06D3"/>
        </w:tc>
        <w:tc>
          <w:tcPr>
            <w:tcW w:w="4230" w:type="dxa"/>
          </w:tcPr>
          <w:p w14:paraId="464DEDFA" w14:textId="77777777" w:rsidR="00D20C7C" w:rsidRDefault="00D20C7C" w:rsidP="000E06D3"/>
        </w:tc>
        <w:tc>
          <w:tcPr>
            <w:tcW w:w="3919" w:type="dxa"/>
            <w:vMerge/>
          </w:tcPr>
          <w:p w14:paraId="36AF60AB" w14:textId="77777777" w:rsidR="00D20C7C" w:rsidRDefault="00D20C7C" w:rsidP="000E06D3"/>
        </w:tc>
      </w:tr>
      <w:tr w:rsidR="00D20C7C" w14:paraId="1AFF51E8" w14:textId="77777777" w:rsidTr="000E06D3">
        <w:trPr>
          <w:trHeight w:val="1296"/>
        </w:trPr>
        <w:tc>
          <w:tcPr>
            <w:tcW w:w="2065" w:type="dxa"/>
            <w:vMerge/>
          </w:tcPr>
          <w:p w14:paraId="37A5A4B0" w14:textId="77777777" w:rsidR="00D20C7C" w:rsidRDefault="00D20C7C" w:rsidP="000E06D3"/>
        </w:tc>
        <w:tc>
          <w:tcPr>
            <w:tcW w:w="4230" w:type="dxa"/>
          </w:tcPr>
          <w:p w14:paraId="68ABBB91" w14:textId="77777777" w:rsidR="00D20C7C" w:rsidRDefault="00D20C7C" w:rsidP="000E06D3"/>
        </w:tc>
        <w:tc>
          <w:tcPr>
            <w:tcW w:w="3919" w:type="dxa"/>
            <w:vMerge/>
          </w:tcPr>
          <w:p w14:paraId="1F47A7DB" w14:textId="77777777" w:rsidR="00D20C7C" w:rsidRDefault="00D20C7C" w:rsidP="000E06D3"/>
        </w:tc>
      </w:tr>
      <w:tr w:rsidR="00D20C7C" w14:paraId="689A67D4" w14:textId="77777777" w:rsidTr="000E06D3">
        <w:trPr>
          <w:trHeight w:val="1296"/>
        </w:trPr>
        <w:tc>
          <w:tcPr>
            <w:tcW w:w="2065" w:type="dxa"/>
            <w:vMerge/>
          </w:tcPr>
          <w:p w14:paraId="4FF5E07C" w14:textId="77777777" w:rsidR="00D20C7C" w:rsidRDefault="00D20C7C" w:rsidP="000E06D3"/>
        </w:tc>
        <w:tc>
          <w:tcPr>
            <w:tcW w:w="4230" w:type="dxa"/>
          </w:tcPr>
          <w:p w14:paraId="26B1DF86" w14:textId="77777777" w:rsidR="00D20C7C" w:rsidRDefault="00D20C7C" w:rsidP="000E06D3"/>
        </w:tc>
        <w:tc>
          <w:tcPr>
            <w:tcW w:w="3919" w:type="dxa"/>
            <w:vMerge/>
          </w:tcPr>
          <w:p w14:paraId="10D8CF6E" w14:textId="77777777" w:rsidR="00D20C7C" w:rsidRDefault="00D20C7C" w:rsidP="000E06D3"/>
        </w:tc>
      </w:tr>
      <w:tr w:rsidR="00D20C7C" w14:paraId="07364EB5" w14:textId="77777777" w:rsidTr="000E06D3">
        <w:trPr>
          <w:trHeight w:val="1296"/>
        </w:trPr>
        <w:tc>
          <w:tcPr>
            <w:tcW w:w="2065" w:type="dxa"/>
            <w:vMerge/>
          </w:tcPr>
          <w:p w14:paraId="068E2B0D" w14:textId="77777777" w:rsidR="00D20C7C" w:rsidRDefault="00D20C7C" w:rsidP="000E06D3"/>
        </w:tc>
        <w:tc>
          <w:tcPr>
            <w:tcW w:w="4230" w:type="dxa"/>
          </w:tcPr>
          <w:p w14:paraId="17164EF1" w14:textId="77777777" w:rsidR="00D20C7C" w:rsidRDefault="00D20C7C" w:rsidP="000E06D3"/>
        </w:tc>
        <w:tc>
          <w:tcPr>
            <w:tcW w:w="3919" w:type="dxa"/>
            <w:vMerge/>
          </w:tcPr>
          <w:p w14:paraId="4DDF3663" w14:textId="77777777" w:rsidR="00D20C7C" w:rsidRDefault="00D20C7C" w:rsidP="000E06D3"/>
        </w:tc>
      </w:tr>
    </w:tbl>
    <w:p w14:paraId="497627F5" w14:textId="77777777" w:rsidR="00D20C7C" w:rsidRDefault="00D20C7C" w:rsidP="00D20C7C">
      <w:pPr>
        <w:spacing w:after="160" w:line="259" w:lineRule="auto"/>
        <w:rPr>
          <w:rFonts w:eastAsia="Calibri" w:cstheme="minorHAnsi"/>
          <w:lang w:eastAsia="x-none"/>
        </w:rPr>
      </w:pPr>
      <w:r>
        <w:rPr>
          <w:rFonts w:eastAsia="Calibri" w:cstheme="minorHAnsi"/>
          <w:lang w:eastAsia="x-none"/>
        </w:rPr>
        <w:br w:type="page"/>
      </w:r>
    </w:p>
    <w:p w14:paraId="54E7B04E" w14:textId="77777777"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lastRenderedPageBreak/>
        <w:t>Section IV – Appendices</w:t>
      </w:r>
    </w:p>
    <w:p w14:paraId="5763730E" w14:textId="77777777"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t>Appendix A – Network Time/Distance Standards – Summary</w:t>
      </w:r>
    </w:p>
    <w:p w14:paraId="1D41CE4F" w14:textId="77777777" w:rsidR="00D20C7C" w:rsidRPr="00022822" w:rsidRDefault="00D20C7C" w:rsidP="00D20C7C">
      <w:pPr>
        <w:spacing w:after="160" w:line="259" w:lineRule="auto"/>
        <w:rPr>
          <w:rFonts w:ascii="Arial" w:eastAsia="Calibri" w:hAnsi="Arial" w:cs="Arial"/>
          <w:i/>
          <w:lang w:eastAsia="x-none"/>
        </w:rPr>
      </w:pPr>
      <w:r w:rsidRPr="00022822">
        <w:rPr>
          <w:rFonts w:ascii="Arial" w:eastAsia="Calibri" w:hAnsi="Arial" w:cs="Arial"/>
          <w:i/>
          <w:lang w:eastAsia="x-none"/>
        </w:rPr>
        <w:t>Refer to PHP Contract Section VII – Attachment F for the full requirements.</w:t>
      </w:r>
    </w:p>
    <w:tbl>
      <w:tblPr>
        <w:tblStyle w:val="TableGrid"/>
        <w:tblW w:w="9769" w:type="dxa"/>
        <w:tblInd w:w="445" w:type="dxa"/>
        <w:tblLook w:val="04A0" w:firstRow="1" w:lastRow="0" w:firstColumn="1" w:lastColumn="0" w:noHBand="0" w:noVBand="1"/>
      </w:tblPr>
      <w:tblGrid>
        <w:gridCol w:w="1962"/>
        <w:gridCol w:w="2693"/>
        <w:gridCol w:w="2783"/>
        <w:gridCol w:w="2331"/>
      </w:tblGrid>
      <w:tr w:rsidR="00D20C7C" w:rsidRPr="00022822" w14:paraId="3234042E" w14:textId="77777777" w:rsidTr="000E06D3">
        <w:trPr>
          <w:tblHeader/>
        </w:trPr>
        <w:tc>
          <w:tcPr>
            <w:tcW w:w="1962" w:type="dxa"/>
            <w:shd w:val="clear" w:color="auto" w:fill="B8CCE4" w:themeFill="accent1" w:themeFillTint="66"/>
          </w:tcPr>
          <w:p w14:paraId="00946799" w14:textId="77777777" w:rsidR="00D20C7C" w:rsidRPr="00022822" w:rsidRDefault="00D20C7C" w:rsidP="000E06D3">
            <w:pPr>
              <w:jc w:val="center"/>
              <w:rPr>
                <w:b/>
                <w:sz w:val="22"/>
                <w:szCs w:val="22"/>
              </w:rPr>
            </w:pPr>
            <w:r w:rsidRPr="00022822">
              <w:rPr>
                <w:b/>
                <w:sz w:val="22"/>
                <w:szCs w:val="22"/>
              </w:rPr>
              <w:br w:type="page"/>
              <w:t>Service Type</w:t>
            </w:r>
          </w:p>
        </w:tc>
        <w:tc>
          <w:tcPr>
            <w:tcW w:w="2693" w:type="dxa"/>
            <w:shd w:val="clear" w:color="auto" w:fill="B8CCE4" w:themeFill="accent1" w:themeFillTint="66"/>
          </w:tcPr>
          <w:p w14:paraId="58570337" w14:textId="77777777" w:rsidR="00D20C7C" w:rsidRPr="00022822" w:rsidRDefault="00D20C7C" w:rsidP="000E06D3">
            <w:pPr>
              <w:jc w:val="center"/>
              <w:rPr>
                <w:b/>
                <w:sz w:val="22"/>
                <w:szCs w:val="22"/>
              </w:rPr>
            </w:pPr>
            <w:r w:rsidRPr="00022822">
              <w:rPr>
                <w:b/>
                <w:sz w:val="22"/>
                <w:szCs w:val="22"/>
              </w:rPr>
              <w:t>Urban Standard</w:t>
            </w:r>
          </w:p>
        </w:tc>
        <w:tc>
          <w:tcPr>
            <w:tcW w:w="2783" w:type="dxa"/>
            <w:shd w:val="clear" w:color="auto" w:fill="B8CCE4" w:themeFill="accent1" w:themeFillTint="66"/>
          </w:tcPr>
          <w:p w14:paraId="1D233C63" w14:textId="77777777" w:rsidR="00D20C7C" w:rsidRPr="00022822" w:rsidRDefault="00D20C7C" w:rsidP="000E06D3">
            <w:pPr>
              <w:jc w:val="center"/>
              <w:rPr>
                <w:b/>
                <w:sz w:val="22"/>
                <w:szCs w:val="22"/>
              </w:rPr>
            </w:pPr>
            <w:r w:rsidRPr="00022822">
              <w:rPr>
                <w:b/>
                <w:sz w:val="22"/>
                <w:szCs w:val="22"/>
              </w:rPr>
              <w:t>Rural Standard</w:t>
            </w:r>
          </w:p>
        </w:tc>
        <w:tc>
          <w:tcPr>
            <w:tcW w:w="2331" w:type="dxa"/>
            <w:shd w:val="clear" w:color="auto" w:fill="B8CCE4" w:themeFill="accent1" w:themeFillTint="66"/>
          </w:tcPr>
          <w:p w14:paraId="6BD05404" w14:textId="77777777" w:rsidR="00D20C7C" w:rsidRPr="00022822" w:rsidRDefault="00D20C7C" w:rsidP="000E06D3">
            <w:pPr>
              <w:jc w:val="center"/>
              <w:rPr>
                <w:b/>
                <w:sz w:val="22"/>
                <w:szCs w:val="22"/>
              </w:rPr>
            </w:pPr>
            <w:r w:rsidRPr="00022822">
              <w:rPr>
                <w:b/>
                <w:sz w:val="22"/>
                <w:szCs w:val="22"/>
              </w:rPr>
              <w:t>Notes</w:t>
            </w:r>
          </w:p>
        </w:tc>
      </w:tr>
      <w:tr w:rsidR="00D20C7C" w:rsidRPr="00022822" w14:paraId="04217C0C" w14:textId="77777777" w:rsidTr="000E06D3">
        <w:tc>
          <w:tcPr>
            <w:tcW w:w="1962" w:type="dxa"/>
          </w:tcPr>
          <w:p w14:paraId="109133C1" w14:textId="77777777" w:rsidR="00D20C7C" w:rsidRPr="00022822" w:rsidRDefault="00D20C7C" w:rsidP="000E06D3">
            <w:pPr>
              <w:rPr>
                <w:b/>
                <w:sz w:val="22"/>
                <w:szCs w:val="22"/>
              </w:rPr>
            </w:pPr>
            <w:r w:rsidRPr="00022822">
              <w:rPr>
                <w:b/>
                <w:sz w:val="22"/>
                <w:szCs w:val="22"/>
              </w:rPr>
              <w:t xml:space="preserve">Primary Care </w:t>
            </w:r>
          </w:p>
        </w:tc>
        <w:tc>
          <w:tcPr>
            <w:tcW w:w="2693" w:type="dxa"/>
          </w:tcPr>
          <w:p w14:paraId="2D7B1AD4" w14:textId="77777777" w:rsidR="00D20C7C" w:rsidRPr="00022822" w:rsidRDefault="00D20C7C" w:rsidP="000E06D3">
            <w:pPr>
              <w:rPr>
                <w:sz w:val="22"/>
                <w:szCs w:val="22"/>
              </w:rPr>
            </w:pPr>
            <w:r w:rsidRPr="00022822">
              <w:rPr>
                <w:sz w:val="22"/>
                <w:szCs w:val="22"/>
              </w:rPr>
              <w:t>≥ 2 providers within 30 minutes or 10 miles for at least 95% of Members</w:t>
            </w:r>
          </w:p>
        </w:tc>
        <w:tc>
          <w:tcPr>
            <w:tcW w:w="2783" w:type="dxa"/>
          </w:tcPr>
          <w:p w14:paraId="66C0F4D4" w14:textId="77777777" w:rsidR="00D20C7C" w:rsidRPr="00022822" w:rsidRDefault="00D20C7C" w:rsidP="000E06D3">
            <w:pPr>
              <w:rPr>
                <w:sz w:val="22"/>
                <w:szCs w:val="22"/>
              </w:rPr>
            </w:pPr>
            <w:r w:rsidRPr="00022822">
              <w:rPr>
                <w:sz w:val="22"/>
                <w:szCs w:val="22"/>
              </w:rPr>
              <w:t>≥ 2 providers within 30 minutes or 30 miles for at least 95% of Members</w:t>
            </w:r>
          </w:p>
        </w:tc>
        <w:tc>
          <w:tcPr>
            <w:tcW w:w="2331" w:type="dxa"/>
            <w:shd w:val="clear" w:color="auto" w:fill="DBE5F1" w:themeFill="accent1" w:themeFillTint="33"/>
          </w:tcPr>
          <w:p w14:paraId="137D639A" w14:textId="77777777" w:rsidR="00D20C7C" w:rsidRPr="00022822" w:rsidRDefault="00D20C7C" w:rsidP="000E06D3">
            <w:pPr>
              <w:rPr>
                <w:sz w:val="22"/>
                <w:szCs w:val="22"/>
              </w:rPr>
            </w:pPr>
            <w:r w:rsidRPr="00022822">
              <w:rPr>
                <w:sz w:val="22"/>
                <w:szCs w:val="22"/>
              </w:rPr>
              <w:t>Primary care time/distance standards are applied across the specified provider types collectively for adult and pediatric members separately.</w:t>
            </w:r>
          </w:p>
          <w:p w14:paraId="4C62C4B7" w14:textId="77777777" w:rsidR="00D20C7C" w:rsidRPr="00022822" w:rsidRDefault="00D20C7C" w:rsidP="000E06D3">
            <w:pPr>
              <w:rPr>
                <w:sz w:val="22"/>
                <w:szCs w:val="22"/>
              </w:rPr>
            </w:pPr>
            <w:r w:rsidRPr="00022822">
              <w:rPr>
                <w:sz w:val="22"/>
                <w:szCs w:val="22"/>
              </w:rPr>
              <w:t>Only include providers that have agreed to accept full PCP requirements.</w:t>
            </w:r>
          </w:p>
        </w:tc>
      </w:tr>
      <w:tr w:rsidR="00D20C7C" w:rsidRPr="00022822" w14:paraId="3D1A6DC4" w14:textId="77777777" w:rsidTr="000E06D3">
        <w:tc>
          <w:tcPr>
            <w:tcW w:w="1962" w:type="dxa"/>
          </w:tcPr>
          <w:p w14:paraId="13A08A7D" w14:textId="77777777" w:rsidR="00D20C7C" w:rsidRPr="00022822" w:rsidRDefault="00D20C7C" w:rsidP="000E06D3">
            <w:pPr>
              <w:rPr>
                <w:b/>
                <w:sz w:val="22"/>
                <w:szCs w:val="22"/>
              </w:rPr>
            </w:pPr>
            <w:r w:rsidRPr="00022822">
              <w:rPr>
                <w:b/>
                <w:sz w:val="22"/>
                <w:szCs w:val="22"/>
              </w:rPr>
              <w:t>Specialty Care</w:t>
            </w:r>
          </w:p>
        </w:tc>
        <w:tc>
          <w:tcPr>
            <w:tcW w:w="2693" w:type="dxa"/>
          </w:tcPr>
          <w:p w14:paraId="10EDA4BF" w14:textId="77777777" w:rsidR="00D20C7C" w:rsidRPr="00022822" w:rsidRDefault="00D20C7C" w:rsidP="000E06D3">
            <w:pPr>
              <w:rPr>
                <w:sz w:val="22"/>
                <w:szCs w:val="22"/>
              </w:rPr>
            </w:pPr>
            <w:r w:rsidRPr="00022822">
              <w:rPr>
                <w:sz w:val="22"/>
                <w:szCs w:val="22"/>
              </w:rPr>
              <w:t>≥ 2 providers (per specialty type) within 30 minutes or 15 miles for at least 95% of Members</w:t>
            </w:r>
          </w:p>
        </w:tc>
        <w:tc>
          <w:tcPr>
            <w:tcW w:w="2783" w:type="dxa"/>
          </w:tcPr>
          <w:p w14:paraId="07D5E3DE" w14:textId="77777777" w:rsidR="00D20C7C" w:rsidRPr="00022822" w:rsidRDefault="00D20C7C" w:rsidP="000E06D3">
            <w:pPr>
              <w:rPr>
                <w:sz w:val="22"/>
                <w:szCs w:val="22"/>
              </w:rPr>
            </w:pPr>
            <w:r w:rsidRPr="00022822">
              <w:rPr>
                <w:sz w:val="22"/>
                <w:szCs w:val="22"/>
              </w:rPr>
              <w:t>≥ 2 providers (per specialty type) within 60 minutes or 60 miles for at least 95% of Members</w:t>
            </w:r>
          </w:p>
        </w:tc>
        <w:tc>
          <w:tcPr>
            <w:tcW w:w="2331" w:type="dxa"/>
            <w:shd w:val="clear" w:color="auto" w:fill="DBE5F1" w:themeFill="accent1" w:themeFillTint="33"/>
          </w:tcPr>
          <w:p w14:paraId="33938322" w14:textId="77777777" w:rsidR="00D20C7C" w:rsidRPr="00022822" w:rsidRDefault="00D20C7C" w:rsidP="000E06D3">
            <w:pPr>
              <w:rPr>
                <w:sz w:val="22"/>
                <w:szCs w:val="22"/>
              </w:rPr>
            </w:pPr>
            <w:r w:rsidRPr="00022822">
              <w:rPr>
                <w:sz w:val="22"/>
                <w:szCs w:val="22"/>
              </w:rPr>
              <w:t>Specialty care time/distance standards are applied to each specialty type listed in Section II.D.3. of this report for adult and pediatric members separately.</w:t>
            </w:r>
          </w:p>
        </w:tc>
      </w:tr>
      <w:tr w:rsidR="00D20C7C" w:rsidRPr="00022822" w14:paraId="19C74BB0" w14:textId="77777777" w:rsidTr="000E06D3">
        <w:tc>
          <w:tcPr>
            <w:tcW w:w="1962" w:type="dxa"/>
          </w:tcPr>
          <w:p w14:paraId="39F1DDCE" w14:textId="77777777" w:rsidR="00D20C7C" w:rsidRPr="00022822" w:rsidRDefault="00D20C7C" w:rsidP="000E06D3">
            <w:pPr>
              <w:rPr>
                <w:b/>
                <w:sz w:val="22"/>
                <w:szCs w:val="22"/>
              </w:rPr>
            </w:pPr>
            <w:r w:rsidRPr="00022822">
              <w:rPr>
                <w:b/>
                <w:sz w:val="22"/>
                <w:szCs w:val="22"/>
              </w:rPr>
              <w:t>Hospitals</w:t>
            </w:r>
          </w:p>
        </w:tc>
        <w:tc>
          <w:tcPr>
            <w:tcW w:w="2693" w:type="dxa"/>
          </w:tcPr>
          <w:p w14:paraId="0ED70D5E" w14:textId="77777777" w:rsidR="00D20C7C" w:rsidRPr="00022822" w:rsidRDefault="00D20C7C" w:rsidP="000E06D3">
            <w:pPr>
              <w:rPr>
                <w:sz w:val="22"/>
                <w:szCs w:val="22"/>
              </w:rPr>
            </w:pPr>
            <w:r w:rsidRPr="00022822">
              <w:rPr>
                <w:sz w:val="22"/>
                <w:szCs w:val="22"/>
              </w:rPr>
              <w:t xml:space="preserve">≥ 1 </w:t>
            </w:r>
            <w:proofErr w:type="gramStart"/>
            <w:r w:rsidRPr="00022822">
              <w:rPr>
                <w:sz w:val="22"/>
                <w:szCs w:val="22"/>
              </w:rPr>
              <w:t>hospitals</w:t>
            </w:r>
            <w:proofErr w:type="gramEnd"/>
            <w:r w:rsidRPr="00022822">
              <w:rPr>
                <w:sz w:val="22"/>
                <w:szCs w:val="22"/>
              </w:rPr>
              <w:t xml:space="preserve"> within 30 minutes or 15 miles for at least 95% of Members</w:t>
            </w:r>
          </w:p>
        </w:tc>
        <w:tc>
          <w:tcPr>
            <w:tcW w:w="2783" w:type="dxa"/>
          </w:tcPr>
          <w:p w14:paraId="6B288758" w14:textId="77777777" w:rsidR="00D20C7C" w:rsidRPr="00022822" w:rsidRDefault="00D20C7C" w:rsidP="000E06D3">
            <w:pPr>
              <w:rPr>
                <w:sz w:val="22"/>
                <w:szCs w:val="22"/>
              </w:rPr>
            </w:pPr>
            <w:r w:rsidRPr="00022822">
              <w:rPr>
                <w:sz w:val="22"/>
                <w:szCs w:val="22"/>
              </w:rPr>
              <w:t xml:space="preserve">≥ 1 </w:t>
            </w:r>
            <w:proofErr w:type="gramStart"/>
            <w:r w:rsidRPr="00022822">
              <w:rPr>
                <w:sz w:val="22"/>
                <w:szCs w:val="22"/>
              </w:rPr>
              <w:t>hospitals</w:t>
            </w:r>
            <w:proofErr w:type="gramEnd"/>
            <w:r w:rsidRPr="00022822">
              <w:rPr>
                <w:sz w:val="22"/>
                <w:szCs w:val="22"/>
              </w:rPr>
              <w:t xml:space="preserve"> within 30 minutes or 30 miles for at least 95% of Members</w:t>
            </w:r>
          </w:p>
        </w:tc>
        <w:tc>
          <w:tcPr>
            <w:tcW w:w="2331" w:type="dxa"/>
            <w:shd w:val="clear" w:color="auto" w:fill="DBE5F1" w:themeFill="accent1" w:themeFillTint="33"/>
          </w:tcPr>
          <w:p w14:paraId="0CDD1DA7"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55D41597" w14:textId="77777777" w:rsidTr="000E06D3">
        <w:tc>
          <w:tcPr>
            <w:tcW w:w="1962" w:type="dxa"/>
          </w:tcPr>
          <w:p w14:paraId="0DAF6560" w14:textId="77777777" w:rsidR="00D20C7C" w:rsidRPr="00022822" w:rsidRDefault="00D20C7C" w:rsidP="000E06D3">
            <w:pPr>
              <w:rPr>
                <w:b/>
                <w:sz w:val="22"/>
                <w:szCs w:val="22"/>
              </w:rPr>
            </w:pPr>
            <w:r w:rsidRPr="00022822">
              <w:rPr>
                <w:b/>
                <w:sz w:val="22"/>
                <w:szCs w:val="22"/>
              </w:rPr>
              <w:lastRenderedPageBreak/>
              <w:t>Pharmacies</w:t>
            </w:r>
          </w:p>
        </w:tc>
        <w:tc>
          <w:tcPr>
            <w:tcW w:w="2693" w:type="dxa"/>
          </w:tcPr>
          <w:p w14:paraId="1CD0BD76" w14:textId="77777777" w:rsidR="00D20C7C" w:rsidRPr="00022822" w:rsidRDefault="00D20C7C" w:rsidP="000E06D3">
            <w:pPr>
              <w:rPr>
                <w:sz w:val="22"/>
                <w:szCs w:val="22"/>
              </w:rPr>
            </w:pPr>
            <w:r w:rsidRPr="00022822">
              <w:rPr>
                <w:sz w:val="22"/>
                <w:szCs w:val="22"/>
              </w:rPr>
              <w:t>≥ 2 pharmacies within 30 minutes or 10 miles for at least 95% of Members</w:t>
            </w:r>
          </w:p>
        </w:tc>
        <w:tc>
          <w:tcPr>
            <w:tcW w:w="2783" w:type="dxa"/>
          </w:tcPr>
          <w:p w14:paraId="0F012A71" w14:textId="77777777" w:rsidR="00D20C7C" w:rsidRPr="00022822" w:rsidRDefault="00D20C7C" w:rsidP="000E06D3">
            <w:pPr>
              <w:rPr>
                <w:sz w:val="22"/>
                <w:szCs w:val="22"/>
              </w:rPr>
            </w:pPr>
            <w:r w:rsidRPr="00022822">
              <w:rPr>
                <w:sz w:val="22"/>
                <w:szCs w:val="22"/>
              </w:rPr>
              <w:t>≥ 2 pharmacies within 30 minutes or 30 miles for at least 95% of Members</w:t>
            </w:r>
          </w:p>
        </w:tc>
        <w:tc>
          <w:tcPr>
            <w:tcW w:w="2331" w:type="dxa"/>
            <w:shd w:val="clear" w:color="auto" w:fill="DBE5F1" w:themeFill="accent1" w:themeFillTint="33"/>
          </w:tcPr>
          <w:p w14:paraId="3AC5EAF9" w14:textId="77777777" w:rsidR="00D20C7C" w:rsidRPr="00022822" w:rsidRDefault="00D20C7C" w:rsidP="000E06D3">
            <w:pPr>
              <w:rPr>
                <w:sz w:val="22"/>
                <w:szCs w:val="22"/>
              </w:rPr>
            </w:pPr>
          </w:p>
        </w:tc>
      </w:tr>
      <w:tr w:rsidR="00D20C7C" w:rsidRPr="00022822" w14:paraId="59EF96B6" w14:textId="77777777" w:rsidTr="000E06D3">
        <w:tc>
          <w:tcPr>
            <w:tcW w:w="1962" w:type="dxa"/>
          </w:tcPr>
          <w:p w14:paraId="444D3878" w14:textId="77777777" w:rsidR="00D20C7C" w:rsidRPr="00022822" w:rsidRDefault="00D20C7C" w:rsidP="000E06D3">
            <w:pPr>
              <w:rPr>
                <w:b/>
                <w:sz w:val="22"/>
                <w:szCs w:val="22"/>
              </w:rPr>
            </w:pPr>
            <w:r w:rsidRPr="00022822">
              <w:rPr>
                <w:b/>
                <w:sz w:val="22"/>
                <w:szCs w:val="22"/>
              </w:rPr>
              <w:t xml:space="preserve">OB/GYN, including certified nurse midwives </w:t>
            </w:r>
          </w:p>
        </w:tc>
        <w:tc>
          <w:tcPr>
            <w:tcW w:w="2693" w:type="dxa"/>
          </w:tcPr>
          <w:p w14:paraId="617C1BAC" w14:textId="77777777" w:rsidR="00D20C7C" w:rsidRPr="00022822" w:rsidRDefault="00D20C7C" w:rsidP="000E06D3">
            <w:pPr>
              <w:rPr>
                <w:sz w:val="22"/>
                <w:szCs w:val="22"/>
              </w:rPr>
            </w:pPr>
            <w:r w:rsidRPr="00022822">
              <w:rPr>
                <w:sz w:val="22"/>
                <w:szCs w:val="22"/>
              </w:rPr>
              <w:t>≥ 2 providers within 30 minutes or 10 miles for at least 95% of Members</w:t>
            </w:r>
          </w:p>
        </w:tc>
        <w:tc>
          <w:tcPr>
            <w:tcW w:w="2783" w:type="dxa"/>
          </w:tcPr>
          <w:p w14:paraId="713E8BA5" w14:textId="77777777" w:rsidR="00D20C7C" w:rsidRPr="00022822" w:rsidRDefault="00D20C7C" w:rsidP="000E06D3">
            <w:pPr>
              <w:rPr>
                <w:sz w:val="22"/>
                <w:szCs w:val="22"/>
              </w:rPr>
            </w:pPr>
            <w:r w:rsidRPr="00022822">
              <w:rPr>
                <w:sz w:val="22"/>
                <w:szCs w:val="22"/>
              </w:rPr>
              <w:t>≥ 2 providers within 30 minutes or 30 miles for at least 95% of Members</w:t>
            </w:r>
          </w:p>
        </w:tc>
        <w:tc>
          <w:tcPr>
            <w:tcW w:w="2331" w:type="dxa"/>
            <w:shd w:val="clear" w:color="auto" w:fill="DBE5F1" w:themeFill="accent1" w:themeFillTint="33"/>
          </w:tcPr>
          <w:p w14:paraId="078023F1" w14:textId="77777777" w:rsidR="00D20C7C" w:rsidRPr="00022822" w:rsidRDefault="00D20C7C" w:rsidP="000E06D3">
            <w:pPr>
              <w:rPr>
                <w:sz w:val="22"/>
                <w:szCs w:val="22"/>
              </w:rPr>
            </w:pPr>
          </w:p>
        </w:tc>
      </w:tr>
      <w:tr w:rsidR="00D20C7C" w:rsidRPr="00022822" w14:paraId="0CC651A2" w14:textId="77777777" w:rsidTr="000E06D3">
        <w:tc>
          <w:tcPr>
            <w:tcW w:w="1962" w:type="dxa"/>
          </w:tcPr>
          <w:p w14:paraId="31AD7547" w14:textId="77777777" w:rsidR="00D20C7C" w:rsidRPr="00022822" w:rsidRDefault="00D20C7C" w:rsidP="000E06D3">
            <w:pPr>
              <w:rPr>
                <w:b/>
                <w:sz w:val="22"/>
                <w:szCs w:val="22"/>
              </w:rPr>
            </w:pPr>
            <w:r w:rsidRPr="00022822">
              <w:rPr>
                <w:b/>
                <w:sz w:val="22"/>
                <w:szCs w:val="22"/>
              </w:rPr>
              <w:t>Occupational, Physical, or Speech Therapists</w:t>
            </w:r>
          </w:p>
        </w:tc>
        <w:tc>
          <w:tcPr>
            <w:tcW w:w="2693" w:type="dxa"/>
          </w:tcPr>
          <w:p w14:paraId="6678DFE9" w14:textId="77777777" w:rsidR="00D20C7C" w:rsidRPr="00022822" w:rsidRDefault="00D20C7C" w:rsidP="000E06D3">
            <w:pPr>
              <w:pStyle w:val="TableParagraph"/>
              <w:spacing w:before="1"/>
              <w:rPr>
                <w:rFonts w:ascii="Arial" w:hAnsi="Arial" w:cs="Arial"/>
                <w:sz w:val="22"/>
                <w:szCs w:val="22"/>
              </w:rPr>
            </w:pPr>
            <w:r w:rsidRPr="00022822">
              <w:rPr>
                <w:rFonts w:ascii="Arial" w:hAnsi="Arial" w:cs="Arial"/>
                <w:sz w:val="22"/>
                <w:szCs w:val="22"/>
              </w:rPr>
              <w:t xml:space="preserve">≥ 2 providers </w:t>
            </w:r>
            <w:r w:rsidRPr="00022822">
              <w:rPr>
                <w:rFonts w:ascii="Arial" w:hAnsi="Arial" w:cs="Arial"/>
                <w:sz w:val="22"/>
                <w:szCs w:val="22"/>
                <w:u w:val="single"/>
              </w:rPr>
              <w:t>(of each provider type)</w:t>
            </w:r>
            <w:r w:rsidRPr="00022822">
              <w:rPr>
                <w:rFonts w:ascii="Arial" w:hAnsi="Arial" w:cs="Arial"/>
                <w:sz w:val="22"/>
                <w:szCs w:val="22"/>
              </w:rPr>
              <w:t xml:space="preserve"> within 30 minutes or 10 miles for at least 95% of Members</w:t>
            </w:r>
          </w:p>
        </w:tc>
        <w:tc>
          <w:tcPr>
            <w:tcW w:w="2783" w:type="dxa"/>
          </w:tcPr>
          <w:p w14:paraId="4632D38C" w14:textId="77777777" w:rsidR="00D20C7C" w:rsidRPr="00022822" w:rsidRDefault="00D20C7C" w:rsidP="000E06D3">
            <w:pPr>
              <w:pStyle w:val="TableParagraph"/>
              <w:spacing w:before="1"/>
              <w:rPr>
                <w:rFonts w:ascii="Arial" w:hAnsi="Arial" w:cs="Arial"/>
                <w:sz w:val="22"/>
                <w:szCs w:val="22"/>
              </w:rPr>
            </w:pPr>
            <w:r w:rsidRPr="00022822">
              <w:rPr>
                <w:rFonts w:ascii="Arial" w:hAnsi="Arial" w:cs="Arial"/>
                <w:sz w:val="22"/>
                <w:szCs w:val="22"/>
              </w:rPr>
              <w:t xml:space="preserve">≥ 2 providers </w:t>
            </w:r>
            <w:r w:rsidRPr="00022822">
              <w:rPr>
                <w:rFonts w:ascii="Arial" w:hAnsi="Arial" w:cs="Arial"/>
                <w:sz w:val="22"/>
                <w:szCs w:val="22"/>
                <w:u w:val="single"/>
              </w:rPr>
              <w:t>(of each provider type)</w:t>
            </w:r>
            <w:r w:rsidRPr="00022822">
              <w:rPr>
                <w:rFonts w:ascii="Arial" w:hAnsi="Arial" w:cs="Arial"/>
                <w:sz w:val="22"/>
                <w:szCs w:val="22"/>
              </w:rPr>
              <w:t xml:space="preserve"> within 30 minutes or 30 miles for at least 95% of Members</w:t>
            </w:r>
          </w:p>
        </w:tc>
        <w:tc>
          <w:tcPr>
            <w:tcW w:w="2331" w:type="dxa"/>
            <w:shd w:val="clear" w:color="auto" w:fill="DBE5F1" w:themeFill="accent1" w:themeFillTint="33"/>
          </w:tcPr>
          <w:p w14:paraId="26EA7CE6" w14:textId="77777777" w:rsidR="00D20C7C" w:rsidRPr="00022822" w:rsidRDefault="00D20C7C" w:rsidP="000E06D3">
            <w:pPr>
              <w:pStyle w:val="TableParagraph"/>
              <w:spacing w:before="1"/>
              <w:rPr>
                <w:rFonts w:ascii="Arial" w:hAnsi="Arial" w:cs="Arial"/>
                <w:sz w:val="22"/>
                <w:szCs w:val="22"/>
              </w:rPr>
            </w:pPr>
            <w:r w:rsidRPr="00022822">
              <w:rPr>
                <w:rFonts w:ascii="Arial" w:hAnsi="Arial" w:cs="Arial"/>
                <w:sz w:val="22"/>
                <w:szCs w:val="22"/>
              </w:rPr>
              <w:t>Mid-level provider time/distance standards are applied to each provider type listed in Section II.D.7. of this report.</w:t>
            </w:r>
          </w:p>
        </w:tc>
      </w:tr>
      <w:tr w:rsidR="00D20C7C" w:rsidRPr="00022822" w14:paraId="16858F33" w14:textId="77777777" w:rsidTr="000E06D3">
        <w:tc>
          <w:tcPr>
            <w:tcW w:w="1962" w:type="dxa"/>
          </w:tcPr>
          <w:p w14:paraId="2F3671AB" w14:textId="77777777" w:rsidR="00D20C7C" w:rsidRPr="00022822" w:rsidRDefault="00D20C7C" w:rsidP="000E06D3">
            <w:pPr>
              <w:rPr>
                <w:b/>
                <w:sz w:val="22"/>
                <w:szCs w:val="22"/>
              </w:rPr>
            </w:pPr>
            <w:r w:rsidRPr="00022822">
              <w:rPr>
                <w:b/>
                <w:sz w:val="22"/>
                <w:szCs w:val="22"/>
              </w:rPr>
              <w:t>Outpatient Behavioral Health Services</w:t>
            </w:r>
          </w:p>
        </w:tc>
        <w:tc>
          <w:tcPr>
            <w:tcW w:w="2693" w:type="dxa"/>
          </w:tcPr>
          <w:p w14:paraId="56B38157" w14:textId="77777777" w:rsidR="00D20C7C" w:rsidRPr="00022822" w:rsidRDefault="00D20C7C" w:rsidP="000E06D3">
            <w:pPr>
              <w:rPr>
                <w:sz w:val="22"/>
                <w:szCs w:val="22"/>
              </w:rPr>
            </w:pPr>
            <w:r w:rsidRPr="00022822">
              <w:rPr>
                <w:sz w:val="22"/>
                <w:szCs w:val="22"/>
              </w:rPr>
              <w:t>≥ 2 providers of each outpatient behavioral health service within 30 minutes or 30 miles of residence for at least 95% of Members</w:t>
            </w:r>
          </w:p>
        </w:tc>
        <w:tc>
          <w:tcPr>
            <w:tcW w:w="2783" w:type="dxa"/>
          </w:tcPr>
          <w:p w14:paraId="3F75C6BD" w14:textId="77777777" w:rsidR="00D20C7C" w:rsidRPr="00022822" w:rsidRDefault="00D20C7C" w:rsidP="000E06D3">
            <w:pPr>
              <w:rPr>
                <w:sz w:val="22"/>
                <w:szCs w:val="22"/>
              </w:rPr>
            </w:pPr>
            <w:r w:rsidRPr="00022822">
              <w:rPr>
                <w:sz w:val="22"/>
                <w:szCs w:val="22"/>
              </w:rPr>
              <w:t>≥ 2 providers of each outpatient behavioral health service within 45 minutes or 45 miles of residence for at least 95% of Members</w:t>
            </w:r>
          </w:p>
        </w:tc>
        <w:tc>
          <w:tcPr>
            <w:tcW w:w="2331" w:type="dxa"/>
            <w:shd w:val="clear" w:color="auto" w:fill="DBE5F1" w:themeFill="accent1" w:themeFillTint="33"/>
          </w:tcPr>
          <w:p w14:paraId="24561C39"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0126A20B" w14:textId="77777777" w:rsidTr="000E06D3">
        <w:tc>
          <w:tcPr>
            <w:tcW w:w="1962" w:type="dxa"/>
          </w:tcPr>
          <w:p w14:paraId="1CD35EDD" w14:textId="77777777" w:rsidR="00D20C7C" w:rsidRPr="00022822" w:rsidRDefault="00D20C7C" w:rsidP="000E06D3">
            <w:pPr>
              <w:rPr>
                <w:b/>
                <w:sz w:val="22"/>
                <w:szCs w:val="22"/>
              </w:rPr>
            </w:pPr>
            <w:r w:rsidRPr="00022822">
              <w:rPr>
                <w:b/>
                <w:sz w:val="22"/>
                <w:szCs w:val="22"/>
              </w:rPr>
              <w:t>Location-Based Services (Behavioral Health)</w:t>
            </w:r>
          </w:p>
        </w:tc>
        <w:tc>
          <w:tcPr>
            <w:tcW w:w="2693" w:type="dxa"/>
          </w:tcPr>
          <w:p w14:paraId="73EAF4C3" w14:textId="77777777" w:rsidR="00D20C7C" w:rsidRPr="00022822" w:rsidRDefault="00D20C7C" w:rsidP="000E06D3">
            <w:pPr>
              <w:rPr>
                <w:sz w:val="22"/>
                <w:szCs w:val="22"/>
              </w:rPr>
            </w:pPr>
            <w:r w:rsidRPr="00022822">
              <w:rPr>
                <w:sz w:val="22"/>
                <w:szCs w:val="22"/>
              </w:rPr>
              <w:t>≥ 2 providers of each service within 30 minutes or 30 miles of residence for at least 95% of Members</w:t>
            </w:r>
          </w:p>
        </w:tc>
        <w:tc>
          <w:tcPr>
            <w:tcW w:w="2783" w:type="dxa"/>
          </w:tcPr>
          <w:p w14:paraId="17BCCAB0" w14:textId="77777777" w:rsidR="00D20C7C" w:rsidRPr="00022822" w:rsidRDefault="00D20C7C" w:rsidP="000E06D3">
            <w:pPr>
              <w:rPr>
                <w:sz w:val="22"/>
                <w:szCs w:val="22"/>
              </w:rPr>
            </w:pPr>
            <w:r w:rsidRPr="00022822">
              <w:rPr>
                <w:sz w:val="22"/>
                <w:szCs w:val="22"/>
              </w:rPr>
              <w:t>≥ 2 providers of each service within 45 minutes or 45 miles of residence for at least 95% of Members</w:t>
            </w:r>
          </w:p>
        </w:tc>
        <w:tc>
          <w:tcPr>
            <w:tcW w:w="2331" w:type="dxa"/>
            <w:shd w:val="clear" w:color="auto" w:fill="DBE5F1" w:themeFill="accent1" w:themeFillTint="33"/>
          </w:tcPr>
          <w:p w14:paraId="40B88081"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533CFA81" w14:textId="77777777" w:rsidTr="000E06D3">
        <w:tc>
          <w:tcPr>
            <w:tcW w:w="1962" w:type="dxa"/>
          </w:tcPr>
          <w:p w14:paraId="422336EB" w14:textId="77777777" w:rsidR="00D20C7C" w:rsidRPr="00022822" w:rsidRDefault="00D20C7C" w:rsidP="000E06D3">
            <w:pPr>
              <w:rPr>
                <w:b/>
                <w:sz w:val="22"/>
                <w:szCs w:val="22"/>
              </w:rPr>
            </w:pPr>
            <w:r w:rsidRPr="00022822">
              <w:rPr>
                <w:b/>
                <w:sz w:val="22"/>
                <w:szCs w:val="22"/>
              </w:rPr>
              <w:t>Crisis Services (Behavioral Health)</w:t>
            </w:r>
          </w:p>
        </w:tc>
        <w:tc>
          <w:tcPr>
            <w:tcW w:w="5476" w:type="dxa"/>
            <w:gridSpan w:val="2"/>
          </w:tcPr>
          <w:p w14:paraId="5BFEB4AE" w14:textId="77777777" w:rsidR="00D20C7C" w:rsidRPr="00022822" w:rsidRDefault="00D20C7C" w:rsidP="000E06D3">
            <w:pPr>
              <w:rPr>
                <w:sz w:val="22"/>
                <w:szCs w:val="22"/>
              </w:rPr>
            </w:pPr>
            <w:r w:rsidRPr="00022822">
              <w:rPr>
                <w:sz w:val="22"/>
                <w:szCs w:val="22"/>
              </w:rPr>
              <w:t>≥ 1 provider of each crisis service within each PHP Region</w:t>
            </w:r>
          </w:p>
        </w:tc>
        <w:tc>
          <w:tcPr>
            <w:tcW w:w="2331" w:type="dxa"/>
            <w:shd w:val="clear" w:color="auto" w:fill="DBE5F1" w:themeFill="accent1" w:themeFillTint="33"/>
          </w:tcPr>
          <w:p w14:paraId="55665E50"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0324CC7C" w14:textId="77777777" w:rsidTr="000E06D3">
        <w:tc>
          <w:tcPr>
            <w:tcW w:w="1962" w:type="dxa"/>
          </w:tcPr>
          <w:p w14:paraId="6562FFBA" w14:textId="77777777" w:rsidR="00D20C7C" w:rsidRPr="00022822" w:rsidRDefault="00D20C7C" w:rsidP="000E06D3">
            <w:pPr>
              <w:rPr>
                <w:b/>
                <w:sz w:val="22"/>
                <w:szCs w:val="22"/>
              </w:rPr>
            </w:pPr>
            <w:r w:rsidRPr="00022822">
              <w:rPr>
                <w:b/>
                <w:sz w:val="22"/>
                <w:szCs w:val="22"/>
              </w:rPr>
              <w:t>Inpatient Behavioral Health Services</w:t>
            </w:r>
          </w:p>
        </w:tc>
        <w:tc>
          <w:tcPr>
            <w:tcW w:w="5476" w:type="dxa"/>
            <w:gridSpan w:val="2"/>
          </w:tcPr>
          <w:p w14:paraId="21F96CBF" w14:textId="77777777" w:rsidR="00D20C7C" w:rsidRPr="00022822" w:rsidRDefault="00D20C7C" w:rsidP="000E06D3">
            <w:pPr>
              <w:rPr>
                <w:sz w:val="22"/>
                <w:szCs w:val="22"/>
              </w:rPr>
            </w:pPr>
            <w:r w:rsidRPr="00022822">
              <w:rPr>
                <w:sz w:val="22"/>
                <w:szCs w:val="22"/>
              </w:rPr>
              <w:t>≥ 1 provider of each inpatient BH service within each PHP Region</w:t>
            </w:r>
          </w:p>
        </w:tc>
        <w:tc>
          <w:tcPr>
            <w:tcW w:w="2331" w:type="dxa"/>
            <w:shd w:val="clear" w:color="auto" w:fill="DBE5F1" w:themeFill="accent1" w:themeFillTint="33"/>
          </w:tcPr>
          <w:p w14:paraId="78CD9D9F"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4CD43E22" w14:textId="77777777" w:rsidTr="000E06D3">
        <w:tc>
          <w:tcPr>
            <w:tcW w:w="1962" w:type="dxa"/>
          </w:tcPr>
          <w:p w14:paraId="35C55DEE" w14:textId="77777777" w:rsidR="00D20C7C" w:rsidRPr="00022822" w:rsidRDefault="00D20C7C" w:rsidP="000E06D3">
            <w:pPr>
              <w:rPr>
                <w:b/>
                <w:sz w:val="22"/>
                <w:szCs w:val="22"/>
              </w:rPr>
            </w:pPr>
            <w:r w:rsidRPr="00022822">
              <w:rPr>
                <w:b/>
                <w:sz w:val="22"/>
                <w:szCs w:val="22"/>
              </w:rPr>
              <w:lastRenderedPageBreak/>
              <w:t>Partial Hospitalization (Behavioral Health)</w:t>
            </w:r>
          </w:p>
        </w:tc>
        <w:tc>
          <w:tcPr>
            <w:tcW w:w="2693" w:type="dxa"/>
          </w:tcPr>
          <w:p w14:paraId="6FB145BB" w14:textId="77777777" w:rsidR="00D20C7C" w:rsidRPr="00022822" w:rsidRDefault="00D20C7C" w:rsidP="000E06D3">
            <w:pPr>
              <w:rPr>
                <w:sz w:val="22"/>
                <w:szCs w:val="22"/>
              </w:rPr>
            </w:pPr>
            <w:r w:rsidRPr="00022822">
              <w:rPr>
                <w:sz w:val="22"/>
                <w:szCs w:val="22"/>
              </w:rPr>
              <w:t>≥ 1 provider of partial hospitalization within 30 minutes or 30 miles for at least 95% of Members</w:t>
            </w:r>
          </w:p>
        </w:tc>
        <w:tc>
          <w:tcPr>
            <w:tcW w:w="2783" w:type="dxa"/>
          </w:tcPr>
          <w:p w14:paraId="7ECD18B5" w14:textId="77777777" w:rsidR="00D20C7C" w:rsidRPr="00022822" w:rsidRDefault="00D20C7C" w:rsidP="000E06D3">
            <w:pPr>
              <w:rPr>
                <w:sz w:val="22"/>
                <w:szCs w:val="22"/>
              </w:rPr>
            </w:pPr>
            <w:r w:rsidRPr="00022822">
              <w:rPr>
                <w:sz w:val="22"/>
                <w:szCs w:val="22"/>
              </w:rPr>
              <w:t>≥ 1 provider of specialized services partial hospitalization within 60 minutes or 60 miles for at least 95% of Members</w:t>
            </w:r>
          </w:p>
        </w:tc>
        <w:tc>
          <w:tcPr>
            <w:tcW w:w="2331" w:type="dxa"/>
            <w:shd w:val="clear" w:color="auto" w:fill="DBE5F1" w:themeFill="accent1" w:themeFillTint="33"/>
          </w:tcPr>
          <w:p w14:paraId="1D39C8AC"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392A5547" w14:textId="77777777" w:rsidTr="000E06D3">
        <w:tc>
          <w:tcPr>
            <w:tcW w:w="1962" w:type="dxa"/>
          </w:tcPr>
          <w:p w14:paraId="05607B6B" w14:textId="77777777" w:rsidR="00D20C7C" w:rsidRPr="00022822" w:rsidRDefault="00D20C7C" w:rsidP="000E06D3">
            <w:pPr>
              <w:rPr>
                <w:b/>
                <w:sz w:val="22"/>
                <w:szCs w:val="22"/>
              </w:rPr>
            </w:pPr>
            <w:r w:rsidRPr="00022822">
              <w:rPr>
                <w:b/>
                <w:sz w:val="22"/>
                <w:szCs w:val="22"/>
              </w:rPr>
              <w:t>Clinically Managed Low-Intensity Residential Treatment Services (Behavioral Health)</w:t>
            </w:r>
          </w:p>
        </w:tc>
        <w:tc>
          <w:tcPr>
            <w:tcW w:w="5476" w:type="dxa"/>
            <w:gridSpan w:val="2"/>
          </w:tcPr>
          <w:p w14:paraId="616B5BE9" w14:textId="77777777" w:rsidR="00D20C7C" w:rsidRPr="00022822" w:rsidRDefault="00D20C7C" w:rsidP="000E06D3">
            <w:pPr>
              <w:rPr>
                <w:sz w:val="22"/>
                <w:szCs w:val="22"/>
              </w:rPr>
            </w:pPr>
            <w:r w:rsidRPr="00022822">
              <w:rPr>
                <w:sz w:val="22"/>
                <w:szCs w:val="22"/>
              </w:rPr>
              <w:t>≥ 2 providers of clinically managed low-intensity residential treatment services within each PHP Region.</w:t>
            </w:r>
          </w:p>
        </w:tc>
        <w:tc>
          <w:tcPr>
            <w:tcW w:w="2331" w:type="dxa"/>
            <w:shd w:val="clear" w:color="auto" w:fill="DBE5F1" w:themeFill="accent1" w:themeFillTint="33"/>
          </w:tcPr>
          <w:p w14:paraId="6EB1E1A4"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745879CC" w14:textId="77777777" w:rsidTr="000E06D3">
        <w:trPr>
          <w:cantSplit/>
        </w:trPr>
        <w:tc>
          <w:tcPr>
            <w:tcW w:w="1962" w:type="dxa"/>
          </w:tcPr>
          <w:p w14:paraId="6ACEB25D" w14:textId="77777777" w:rsidR="00D20C7C" w:rsidRPr="00022822" w:rsidRDefault="00D20C7C" w:rsidP="000E06D3">
            <w:pPr>
              <w:rPr>
                <w:b/>
                <w:sz w:val="22"/>
                <w:szCs w:val="22"/>
              </w:rPr>
            </w:pPr>
            <w:r w:rsidRPr="00022822">
              <w:rPr>
                <w:b/>
                <w:sz w:val="22"/>
                <w:szCs w:val="22"/>
              </w:rPr>
              <w:t>All State Plan LTSS (except nursing facilities)</w:t>
            </w:r>
          </w:p>
        </w:tc>
        <w:tc>
          <w:tcPr>
            <w:tcW w:w="2693" w:type="dxa"/>
          </w:tcPr>
          <w:p w14:paraId="169D9B90" w14:textId="77777777" w:rsidR="00D20C7C" w:rsidRPr="00022822" w:rsidRDefault="00D20C7C" w:rsidP="000E06D3">
            <w:pPr>
              <w:rPr>
                <w:sz w:val="22"/>
                <w:szCs w:val="22"/>
              </w:rPr>
            </w:pPr>
            <w:r w:rsidRPr="00022822">
              <w:rPr>
                <w:sz w:val="22"/>
                <w:szCs w:val="22"/>
              </w:rPr>
              <w:t>PHP must have at least 2 LTSS provider types (Home Care providers and Home Health providers</w:t>
            </w:r>
            <w:r w:rsidRPr="00022822">
              <w:rPr>
                <w:color w:val="000000"/>
                <w:sz w:val="22"/>
                <w:szCs w:val="22"/>
              </w:rPr>
              <w:t>, including h</w:t>
            </w:r>
            <w:r w:rsidRPr="00022822">
              <w:rPr>
                <w:sz w:val="22"/>
                <w:szCs w:val="22"/>
              </w:rPr>
              <w:t>ome health services, private duty nursing services, personal care services, and hospice services), identified by distinct NPI, accepting new patients available to deliver each State Plan LTSS in every county.</w:t>
            </w:r>
          </w:p>
        </w:tc>
        <w:tc>
          <w:tcPr>
            <w:tcW w:w="2783" w:type="dxa"/>
          </w:tcPr>
          <w:p w14:paraId="3765ADDE" w14:textId="77777777" w:rsidR="00D20C7C" w:rsidRPr="00022822" w:rsidRDefault="00D20C7C" w:rsidP="000E06D3">
            <w:pPr>
              <w:rPr>
                <w:sz w:val="22"/>
                <w:szCs w:val="22"/>
              </w:rPr>
            </w:pPr>
            <w:r w:rsidRPr="00022822">
              <w:rPr>
                <w:sz w:val="22"/>
                <w:szCs w:val="22"/>
              </w:rPr>
              <w:t>PHP must have at least 2 providers accepting new patients available to deliver each State Plan LTSS in every county; providers are not required to live in the same county in which they provide services.</w:t>
            </w:r>
          </w:p>
        </w:tc>
        <w:tc>
          <w:tcPr>
            <w:tcW w:w="2331" w:type="dxa"/>
            <w:shd w:val="clear" w:color="auto" w:fill="DBE5F1" w:themeFill="accent1" w:themeFillTint="33"/>
          </w:tcPr>
          <w:p w14:paraId="52CBED39" w14:textId="77777777" w:rsidR="00D20C7C" w:rsidRPr="00022822" w:rsidRDefault="00D20C7C" w:rsidP="000E06D3">
            <w:pPr>
              <w:rPr>
                <w:sz w:val="22"/>
                <w:szCs w:val="22"/>
              </w:rPr>
            </w:pPr>
            <w:r w:rsidRPr="00022822">
              <w:rPr>
                <w:sz w:val="22"/>
                <w:szCs w:val="22"/>
              </w:rPr>
              <w:t>Applied for adult and pediatric members separately</w:t>
            </w:r>
          </w:p>
        </w:tc>
      </w:tr>
      <w:tr w:rsidR="00D20C7C" w:rsidRPr="00022822" w14:paraId="4E61BA81" w14:textId="77777777" w:rsidTr="000E06D3">
        <w:tc>
          <w:tcPr>
            <w:tcW w:w="1962" w:type="dxa"/>
          </w:tcPr>
          <w:p w14:paraId="01457C00" w14:textId="77777777" w:rsidR="00D20C7C" w:rsidRPr="00022822" w:rsidRDefault="00D20C7C" w:rsidP="000E06D3">
            <w:pPr>
              <w:rPr>
                <w:b/>
                <w:sz w:val="22"/>
                <w:szCs w:val="22"/>
              </w:rPr>
            </w:pPr>
            <w:r w:rsidRPr="00022822">
              <w:rPr>
                <w:b/>
                <w:sz w:val="22"/>
                <w:szCs w:val="22"/>
              </w:rPr>
              <w:t>Nursing Facilities</w:t>
            </w:r>
          </w:p>
        </w:tc>
        <w:tc>
          <w:tcPr>
            <w:tcW w:w="2693" w:type="dxa"/>
          </w:tcPr>
          <w:p w14:paraId="61B2CD43" w14:textId="77777777" w:rsidR="00D20C7C" w:rsidRPr="00022822" w:rsidRDefault="00D20C7C" w:rsidP="000E06D3">
            <w:pPr>
              <w:rPr>
                <w:sz w:val="22"/>
                <w:szCs w:val="22"/>
              </w:rPr>
            </w:pPr>
            <w:r w:rsidRPr="00022822">
              <w:rPr>
                <w:sz w:val="22"/>
                <w:szCs w:val="22"/>
              </w:rPr>
              <w:t>PHP must have at least 1 nursing facility accepting new patients in every county.</w:t>
            </w:r>
          </w:p>
        </w:tc>
        <w:tc>
          <w:tcPr>
            <w:tcW w:w="2783" w:type="dxa"/>
          </w:tcPr>
          <w:p w14:paraId="23796533" w14:textId="77777777" w:rsidR="00D20C7C" w:rsidRPr="00022822" w:rsidRDefault="00D20C7C" w:rsidP="000E06D3">
            <w:pPr>
              <w:rPr>
                <w:sz w:val="22"/>
                <w:szCs w:val="22"/>
              </w:rPr>
            </w:pPr>
            <w:r w:rsidRPr="00022822">
              <w:rPr>
                <w:sz w:val="22"/>
                <w:szCs w:val="22"/>
              </w:rPr>
              <w:t>PHP must have at least 1 nursing facility accepting new patients in every county.</w:t>
            </w:r>
          </w:p>
        </w:tc>
        <w:tc>
          <w:tcPr>
            <w:tcW w:w="2331" w:type="dxa"/>
            <w:shd w:val="clear" w:color="auto" w:fill="DBE5F1" w:themeFill="accent1" w:themeFillTint="33"/>
          </w:tcPr>
          <w:p w14:paraId="032C1D03" w14:textId="77777777" w:rsidR="00D20C7C" w:rsidRPr="00022822" w:rsidRDefault="00D20C7C" w:rsidP="000E06D3">
            <w:pPr>
              <w:rPr>
                <w:sz w:val="22"/>
                <w:szCs w:val="22"/>
              </w:rPr>
            </w:pPr>
            <w:r w:rsidRPr="00022822">
              <w:rPr>
                <w:sz w:val="22"/>
                <w:szCs w:val="22"/>
              </w:rPr>
              <w:t>Applied for adult and pediatric members separately</w:t>
            </w:r>
          </w:p>
        </w:tc>
      </w:tr>
    </w:tbl>
    <w:p w14:paraId="163CCC79" w14:textId="77777777" w:rsidR="00D20C7C" w:rsidRPr="00022822" w:rsidRDefault="00D20C7C" w:rsidP="00D20C7C">
      <w:pPr>
        <w:spacing w:after="160" w:line="259" w:lineRule="auto"/>
        <w:rPr>
          <w:rFonts w:ascii="Arial" w:eastAsia="Calibri" w:hAnsi="Arial" w:cs="Arial"/>
          <w:lang w:eastAsia="x-none"/>
        </w:rPr>
      </w:pPr>
    </w:p>
    <w:p w14:paraId="14BA2756" w14:textId="5CE331C3"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lastRenderedPageBreak/>
        <w:t xml:space="preserve">Appendix </w:t>
      </w:r>
      <w:r w:rsidR="00022822">
        <w:rPr>
          <w:rFonts w:ascii="Arial" w:eastAsia="Calibri" w:hAnsi="Arial" w:cs="Arial"/>
          <w:b/>
          <w:lang w:eastAsia="x-none"/>
        </w:rPr>
        <w:t>B</w:t>
      </w:r>
      <w:r w:rsidRPr="00022822">
        <w:rPr>
          <w:rFonts w:ascii="Arial" w:eastAsia="Calibri" w:hAnsi="Arial" w:cs="Arial"/>
          <w:b/>
          <w:lang w:eastAsia="x-none"/>
        </w:rPr>
        <w:t xml:space="preserve"> – Definitions</w:t>
      </w:r>
    </w:p>
    <w:tbl>
      <w:tblPr>
        <w:tblStyle w:val="TableGrid"/>
        <w:tblW w:w="0" w:type="auto"/>
        <w:tblLook w:val="04A0" w:firstRow="1" w:lastRow="0" w:firstColumn="1" w:lastColumn="0" w:noHBand="0" w:noVBand="1"/>
      </w:tblPr>
      <w:tblGrid>
        <w:gridCol w:w="3685"/>
        <w:gridCol w:w="6529"/>
      </w:tblGrid>
      <w:tr w:rsidR="00D20C7C" w:rsidRPr="00022822" w14:paraId="190FDA3E" w14:textId="77777777" w:rsidTr="000E06D3">
        <w:tc>
          <w:tcPr>
            <w:tcW w:w="3685" w:type="dxa"/>
            <w:shd w:val="clear" w:color="auto" w:fill="B8CCE4" w:themeFill="accent1" w:themeFillTint="66"/>
          </w:tcPr>
          <w:p w14:paraId="4483CB62" w14:textId="77777777" w:rsidR="00D20C7C" w:rsidRPr="00022822" w:rsidRDefault="00D20C7C" w:rsidP="000E06D3">
            <w:pPr>
              <w:rPr>
                <w:b/>
                <w:sz w:val="22"/>
                <w:szCs w:val="22"/>
              </w:rPr>
            </w:pPr>
            <w:r w:rsidRPr="00022822">
              <w:rPr>
                <w:b/>
                <w:sz w:val="22"/>
                <w:szCs w:val="22"/>
              </w:rPr>
              <w:t>Term</w:t>
            </w:r>
          </w:p>
        </w:tc>
        <w:tc>
          <w:tcPr>
            <w:tcW w:w="6529" w:type="dxa"/>
            <w:shd w:val="clear" w:color="auto" w:fill="B8CCE4" w:themeFill="accent1" w:themeFillTint="66"/>
          </w:tcPr>
          <w:p w14:paraId="0F1E50D6" w14:textId="77777777" w:rsidR="00D20C7C" w:rsidRPr="00022822" w:rsidRDefault="00D20C7C" w:rsidP="000E06D3">
            <w:pPr>
              <w:rPr>
                <w:b/>
                <w:sz w:val="22"/>
                <w:szCs w:val="22"/>
              </w:rPr>
            </w:pPr>
            <w:r w:rsidRPr="00022822">
              <w:rPr>
                <w:b/>
                <w:sz w:val="22"/>
                <w:szCs w:val="22"/>
              </w:rPr>
              <w:t>Definition</w:t>
            </w:r>
          </w:p>
        </w:tc>
      </w:tr>
      <w:tr w:rsidR="00D20C7C" w:rsidRPr="00022822" w14:paraId="6C312347" w14:textId="77777777" w:rsidTr="000E06D3">
        <w:tc>
          <w:tcPr>
            <w:tcW w:w="3685" w:type="dxa"/>
          </w:tcPr>
          <w:p w14:paraId="10342E5B" w14:textId="77777777" w:rsidR="00D20C7C" w:rsidRPr="00022822" w:rsidRDefault="00D20C7C" w:rsidP="000E06D3">
            <w:pPr>
              <w:rPr>
                <w:b/>
                <w:sz w:val="22"/>
                <w:szCs w:val="22"/>
              </w:rPr>
            </w:pPr>
            <w:r w:rsidRPr="00022822">
              <w:rPr>
                <w:b/>
                <w:sz w:val="22"/>
                <w:szCs w:val="22"/>
              </w:rPr>
              <w:t>Adult</w:t>
            </w:r>
          </w:p>
        </w:tc>
        <w:tc>
          <w:tcPr>
            <w:tcW w:w="6529" w:type="dxa"/>
          </w:tcPr>
          <w:p w14:paraId="3CE30484" w14:textId="77777777" w:rsidR="00D20C7C" w:rsidRPr="00022822" w:rsidRDefault="00D20C7C" w:rsidP="00D20C7C">
            <w:pPr>
              <w:pStyle w:val="ListParagraph"/>
              <w:numPr>
                <w:ilvl w:val="0"/>
                <w:numId w:val="38"/>
              </w:numPr>
              <w:rPr>
                <w:sz w:val="22"/>
                <w:szCs w:val="22"/>
              </w:rPr>
            </w:pPr>
            <w:r w:rsidRPr="00022822">
              <w:rPr>
                <w:sz w:val="22"/>
                <w:szCs w:val="22"/>
              </w:rPr>
              <w:t>For purposes of Network Adequacy for both physical and behavioral health services, adult is defined as members age 21 and over</w:t>
            </w:r>
          </w:p>
        </w:tc>
      </w:tr>
      <w:tr w:rsidR="00D20C7C" w:rsidRPr="00022822" w14:paraId="182864CF" w14:textId="77777777" w:rsidTr="000E06D3">
        <w:tc>
          <w:tcPr>
            <w:tcW w:w="3685" w:type="dxa"/>
          </w:tcPr>
          <w:p w14:paraId="34234724" w14:textId="77777777" w:rsidR="00D20C7C" w:rsidRPr="00022822" w:rsidRDefault="00D20C7C" w:rsidP="000E06D3">
            <w:pPr>
              <w:rPr>
                <w:b/>
                <w:sz w:val="22"/>
                <w:szCs w:val="22"/>
              </w:rPr>
            </w:pPr>
            <w:r w:rsidRPr="00022822">
              <w:rPr>
                <w:b/>
                <w:sz w:val="22"/>
                <w:szCs w:val="22"/>
              </w:rPr>
              <w:t>Clinically Managed Low-Intensity Residential Treatment Services (Behavioral Health)</w:t>
            </w:r>
          </w:p>
        </w:tc>
        <w:tc>
          <w:tcPr>
            <w:tcW w:w="6529" w:type="dxa"/>
          </w:tcPr>
          <w:p w14:paraId="486CFCBB" w14:textId="77777777" w:rsidR="00D20C7C" w:rsidRPr="00022822" w:rsidRDefault="00D20C7C" w:rsidP="00D20C7C">
            <w:pPr>
              <w:pStyle w:val="ListParagraph"/>
              <w:numPr>
                <w:ilvl w:val="0"/>
                <w:numId w:val="38"/>
              </w:numPr>
              <w:rPr>
                <w:sz w:val="22"/>
                <w:szCs w:val="22"/>
              </w:rPr>
            </w:pPr>
            <w:r w:rsidRPr="00022822">
              <w:rPr>
                <w:sz w:val="22"/>
                <w:szCs w:val="22"/>
              </w:rPr>
              <w:t>Clinically managed low-intensity residential treatment services</w:t>
            </w:r>
          </w:p>
        </w:tc>
      </w:tr>
      <w:tr w:rsidR="00D20C7C" w:rsidRPr="00022822" w14:paraId="527C20D3" w14:textId="77777777" w:rsidTr="000E06D3">
        <w:tc>
          <w:tcPr>
            <w:tcW w:w="3685" w:type="dxa"/>
          </w:tcPr>
          <w:p w14:paraId="60B008A1" w14:textId="77777777" w:rsidR="00D20C7C" w:rsidRPr="00022822" w:rsidRDefault="00D20C7C" w:rsidP="000E06D3">
            <w:pPr>
              <w:rPr>
                <w:b/>
                <w:sz w:val="22"/>
                <w:szCs w:val="22"/>
              </w:rPr>
            </w:pPr>
            <w:r w:rsidRPr="00022822">
              <w:rPr>
                <w:b/>
                <w:sz w:val="22"/>
                <w:szCs w:val="22"/>
              </w:rPr>
              <w:t>Crisis Services (Behavioral Health)</w:t>
            </w:r>
          </w:p>
        </w:tc>
        <w:tc>
          <w:tcPr>
            <w:tcW w:w="6529" w:type="dxa"/>
          </w:tcPr>
          <w:p w14:paraId="5C47E180" w14:textId="77777777" w:rsidR="00D20C7C" w:rsidRPr="00022822" w:rsidRDefault="00D20C7C" w:rsidP="00D20C7C">
            <w:pPr>
              <w:pStyle w:val="ListParagraph"/>
              <w:numPr>
                <w:ilvl w:val="0"/>
                <w:numId w:val="38"/>
              </w:numPr>
              <w:rPr>
                <w:sz w:val="22"/>
                <w:szCs w:val="22"/>
              </w:rPr>
            </w:pPr>
            <w:r w:rsidRPr="00022822">
              <w:rPr>
                <w:sz w:val="22"/>
                <w:szCs w:val="22"/>
              </w:rPr>
              <w:t xml:space="preserve">Adult facility-based crisis </w:t>
            </w:r>
          </w:p>
          <w:p w14:paraId="4CA2E39C" w14:textId="77777777" w:rsidR="00D20C7C" w:rsidRPr="00022822" w:rsidRDefault="00D20C7C" w:rsidP="00D20C7C">
            <w:pPr>
              <w:pStyle w:val="ListParagraph"/>
              <w:numPr>
                <w:ilvl w:val="0"/>
                <w:numId w:val="38"/>
              </w:numPr>
              <w:rPr>
                <w:sz w:val="22"/>
                <w:szCs w:val="22"/>
              </w:rPr>
            </w:pPr>
            <w:r w:rsidRPr="00022822">
              <w:rPr>
                <w:sz w:val="22"/>
                <w:szCs w:val="22"/>
              </w:rPr>
              <w:t>Child facility-based crisis</w:t>
            </w:r>
          </w:p>
          <w:p w14:paraId="2002B808" w14:textId="77777777" w:rsidR="00D20C7C" w:rsidRPr="00022822" w:rsidRDefault="00D20C7C" w:rsidP="00D20C7C">
            <w:pPr>
              <w:pStyle w:val="ListParagraph"/>
              <w:numPr>
                <w:ilvl w:val="0"/>
                <w:numId w:val="38"/>
              </w:numPr>
              <w:rPr>
                <w:sz w:val="22"/>
                <w:szCs w:val="22"/>
              </w:rPr>
            </w:pPr>
            <w:r w:rsidRPr="00022822">
              <w:rPr>
                <w:sz w:val="22"/>
                <w:szCs w:val="22"/>
              </w:rPr>
              <w:t>Non-hospital medical detoxification (adult)</w:t>
            </w:r>
          </w:p>
          <w:p w14:paraId="235AD503" w14:textId="77777777" w:rsidR="00D20C7C" w:rsidRPr="00022822" w:rsidRDefault="00D20C7C" w:rsidP="00D20C7C">
            <w:pPr>
              <w:pStyle w:val="ListParagraph"/>
              <w:numPr>
                <w:ilvl w:val="0"/>
                <w:numId w:val="38"/>
              </w:numPr>
              <w:rPr>
                <w:sz w:val="22"/>
                <w:szCs w:val="22"/>
              </w:rPr>
            </w:pPr>
            <w:r w:rsidRPr="00022822">
              <w:rPr>
                <w:sz w:val="22"/>
                <w:szCs w:val="22"/>
              </w:rPr>
              <w:t>Ambulatory withdrawal management with extended on-site monitoring</w:t>
            </w:r>
          </w:p>
          <w:p w14:paraId="6EAAA037" w14:textId="77777777" w:rsidR="00D20C7C" w:rsidRPr="00022822" w:rsidRDefault="00D20C7C" w:rsidP="00D20C7C">
            <w:pPr>
              <w:pStyle w:val="ListParagraph"/>
              <w:numPr>
                <w:ilvl w:val="0"/>
                <w:numId w:val="38"/>
              </w:numPr>
              <w:rPr>
                <w:sz w:val="22"/>
                <w:szCs w:val="22"/>
              </w:rPr>
            </w:pPr>
            <w:r w:rsidRPr="00022822">
              <w:rPr>
                <w:sz w:val="22"/>
                <w:szCs w:val="22"/>
              </w:rPr>
              <w:t>Medically supervised or alcohol drug abuse treatment center (ADATC) detoxification crisis stabilization (adult)</w:t>
            </w:r>
          </w:p>
          <w:p w14:paraId="22D14CCD" w14:textId="77777777" w:rsidR="00D20C7C" w:rsidRPr="00022822" w:rsidRDefault="00D20C7C" w:rsidP="00D20C7C">
            <w:pPr>
              <w:pStyle w:val="ListParagraph"/>
              <w:numPr>
                <w:ilvl w:val="0"/>
                <w:numId w:val="38"/>
              </w:numPr>
              <w:rPr>
                <w:sz w:val="22"/>
                <w:szCs w:val="22"/>
              </w:rPr>
            </w:pPr>
            <w:r w:rsidRPr="00022822">
              <w:rPr>
                <w:sz w:val="22"/>
                <w:szCs w:val="22"/>
              </w:rPr>
              <w:t>Clinically managed residential withdrawal management</w:t>
            </w:r>
          </w:p>
        </w:tc>
      </w:tr>
      <w:tr w:rsidR="00D20C7C" w:rsidRPr="00022822" w14:paraId="36A452C1" w14:textId="77777777" w:rsidTr="000E06D3">
        <w:tc>
          <w:tcPr>
            <w:tcW w:w="3685" w:type="dxa"/>
          </w:tcPr>
          <w:p w14:paraId="7F041C02" w14:textId="77777777" w:rsidR="00D20C7C" w:rsidRPr="00022822" w:rsidRDefault="00D20C7C" w:rsidP="000E06D3">
            <w:pPr>
              <w:rPr>
                <w:b/>
                <w:sz w:val="22"/>
                <w:szCs w:val="22"/>
              </w:rPr>
            </w:pPr>
            <w:r w:rsidRPr="00022822">
              <w:rPr>
                <w:b/>
                <w:sz w:val="22"/>
                <w:szCs w:val="22"/>
              </w:rPr>
              <w:t>Inpatient Behavioral Health Services</w:t>
            </w:r>
          </w:p>
        </w:tc>
        <w:tc>
          <w:tcPr>
            <w:tcW w:w="6529" w:type="dxa"/>
          </w:tcPr>
          <w:p w14:paraId="5BB3855E" w14:textId="77777777" w:rsidR="00D20C7C" w:rsidRPr="00022822" w:rsidRDefault="00D20C7C" w:rsidP="000E06D3">
            <w:pPr>
              <w:rPr>
                <w:sz w:val="22"/>
                <w:szCs w:val="22"/>
              </w:rPr>
            </w:pPr>
            <w:r w:rsidRPr="00022822">
              <w:rPr>
                <w:i/>
                <w:iCs/>
                <w:sz w:val="22"/>
                <w:szCs w:val="22"/>
              </w:rPr>
              <w:t xml:space="preserve">Inpatient Hospital – Adult </w:t>
            </w:r>
          </w:p>
          <w:p w14:paraId="11103EBE" w14:textId="77777777" w:rsidR="00D20C7C" w:rsidRPr="00022822" w:rsidRDefault="00D20C7C" w:rsidP="00D20C7C">
            <w:pPr>
              <w:pStyle w:val="ListParagraph"/>
              <w:numPr>
                <w:ilvl w:val="0"/>
                <w:numId w:val="38"/>
              </w:numPr>
              <w:rPr>
                <w:sz w:val="22"/>
                <w:szCs w:val="22"/>
              </w:rPr>
            </w:pPr>
            <w:r w:rsidRPr="00022822">
              <w:rPr>
                <w:sz w:val="22"/>
                <w:szCs w:val="22"/>
              </w:rPr>
              <w:t xml:space="preserve">Acute care hospitals with adult inpatient psychiatric beds </w:t>
            </w:r>
          </w:p>
          <w:p w14:paraId="3743BF76" w14:textId="77777777" w:rsidR="00D20C7C" w:rsidRPr="00022822" w:rsidRDefault="00D20C7C" w:rsidP="00D20C7C">
            <w:pPr>
              <w:pStyle w:val="ListParagraph"/>
              <w:numPr>
                <w:ilvl w:val="0"/>
                <w:numId w:val="38"/>
              </w:numPr>
              <w:rPr>
                <w:sz w:val="22"/>
                <w:szCs w:val="22"/>
              </w:rPr>
            </w:pPr>
            <w:r w:rsidRPr="00022822">
              <w:rPr>
                <w:sz w:val="22"/>
                <w:szCs w:val="22"/>
              </w:rPr>
              <w:t xml:space="preserve">Other hospitals with adult inpatient psychiatric beds </w:t>
            </w:r>
          </w:p>
          <w:p w14:paraId="3D14F3CD" w14:textId="77777777" w:rsidR="00D20C7C" w:rsidRPr="00022822" w:rsidRDefault="00D20C7C" w:rsidP="00D20C7C">
            <w:pPr>
              <w:pStyle w:val="ListParagraph"/>
              <w:numPr>
                <w:ilvl w:val="0"/>
                <w:numId w:val="38"/>
              </w:numPr>
              <w:rPr>
                <w:sz w:val="22"/>
                <w:szCs w:val="22"/>
              </w:rPr>
            </w:pPr>
            <w:r w:rsidRPr="00022822">
              <w:rPr>
                <w:sz w:val="22"/>
                <w:szCs w:val="22"/>
              </w:rPr>
              <w:t xml:space="preserve">Acute care hospitals with adult inpatient substance use beds </w:t>
            </w:r>
          </w:p>
          <w:p w14:paraId="67D9C275" w14:textId="77777777" w:rsidR="00D20C7C" w:rsidRPr="00022822" w:rsidRDefault="00D20C7C" w:rsidP="00D20C7C">
            <w:pPr>
              <w:pStyle w:val="ListParagraph"/>
              <w:numPr>
                <w:ilvl w:val="0"/>
                <w:numId w:val="38"/>
              </w:numPr>
              <w:rPr>
                <w:sz w:val="22"/>
                <w:szCs w:val="22"/>
              </w:rPr>
            </w:pPr>
            <w:r w:rsidRPr="00022822">
              <w:rPr>
                <w:sz w:val="22"/>
                <w:szCs w:val="22"/>
              </w:rPr>
              <w:t xml:space="preserve">Other hospitals with adult inpatient substance use beds </w:t>
            </w:r>
          </w:p>
          <w:p w14:paraId="2805EB2E" w14:textId="77777777" w:rsidR="00D20C7C" w:rsidRPr="00022822" w:rsidRDefault="00D20C7C" w:rsidP="000E06D3">
            <w:pPr>
              <w:rPr>
                <w:sz w:val="22"/>
                <w:szCs w:val="22"/>
              </w:rPr>
            </w:pPr>
          </w:p>
          <w:p w14:paraId="061C140A" w14:textId="77777777" w:rsidR="00D20C7C" w:rsidRPr="00022822" w:rsidRDefault="00D20C7C" w:rsidP="000E06D3">
            <w:pPr>
              <w:rPr>
                <w:sz w:val="22"/>
                <w:szCs w:val="22"/>
              </w:rPr>
            </w:pPr>
            <w:r w:rsidRPr="00022822">
              <w:rPr>
                <w:i/>
                <w:iCs/>
                <w:sz w:val="22"/>
                <w:szCs w:val="22"/>
              </w:rPr>
              <w:t xml:space="preserve">Inpatient Hospital – Adolescent / Children </w:t>
            </w:r>
          </w:p>
          <w:p w14:paraId="7E396C51" w14:textId="77777777" w:rsidR="00D20C7C" w:rsidRPr="00022822" w:rsidRDefault="00D20C7C" w:rsidP="00D20C7C">
            <w:pPr>
              <w:pStyle w:val="ListParagraph"/>
              <w:numPr>
                <w:ilvl w:val="0"/>
                <w:numId w:val="38"/>
              </w:numPr>
              <w:rPr>
                <w:sz w:val="22"/>
                <w:szCs w:val="22"/>
              </w:rPr>
            </w:pPr>
            <w:r w:rsidRPr="00022822">
              <w:rPr>
                <w:sz w:val="22"/>
                <w:szCs w:val="22"/>
              </w:rPr>
              <w:t xml:space="preserve">Acute care hospitals with adolescent inpatient psychiatric beds </w:t>
            </w:r>
          </w:p>
          <w:p w14:paraId="7BFD5177" w14:textId="77777777" w:rsidR="00D20C7C" w:rsidRPr="00022822" w:rsidRDefault="00D20C7C" w:rsidP="00D20C7C">
            <w:pPr>
              <w:pStyle w:val="ListParagraph"/>
              <w:numPr>
                <w:ilvl w:val="0"/>
                <w:numId w:val="38"/>
              </w:numPr>
              <w:rPr>
                <w:sz w:val="22"/>
                <w:szCs w:val="22"/>
              </w:rPr>
            </w:pPr>
            <w:r w:rsidRPr="00022822">
              <w:rPr>
                <w:sz w:val="22"/>
                <w:szCs w:val="22"/>
              </w:rPr>
              <w:t>Other hospitals with adolescent inpatient psychiatric beds</w:t>
            </w:r>
          </w:p>
          <w:p w14:paraId="402B2DC1" w14:textId="77777777" w:rsidR="00D20C7C" w:rsidRPr="00022822" w:rsidRDefault="00D20C7C" w:rsidP="00D20C7C">
            <w:pPr>
              <w:pStyle w:val="ListParagraph"/>
              <w:numPr>
                <w:ilvl w:val="0"/>
                <w:numId w:val="38"/>
              </w:numPr>
              <w:rPr>
                <w:sz w:val="22"/>
                <w:szCs w:val="22"/>
              </w:rPr>
            </w:pPr>
            <w:r w:rsidRPr="00022822">
              <w:rPr>
                <w:sz w:val="22"/>
                <w:szCs w:val="22"/>
              </w:rPr>
              <w:t xml:space="preserve">Acute care hospitals with adolescent inpatient substance use beds </w:t>
            </w:r>
          </w:p>
          <w:p w14:paraId="538711C4" w14:textId="77777777" w:rsidR="00D20C7C" w:rsidRPr="00022822" w:rsidRDefault="00D20C7C" w:rsidP="00D20C7C">
            <w:pPr>
              <w:pStyle w:val="ListParagraph"/>
              <w:numPr>
                <w:ilvl w:val="0"/>
                <w:numId w:val="38"/>
              </w:numPr>
              <w:rPr>
                <w:sz w:val="22"/>
                <w:szCs w:val="22"/>
              </w:rPr>
            </w:pPr>
            <w:r w:rsidRPr="00022822">
              <w:rPr>
                <w:sz w:val="22"/>
                <w:szCs w:val="22"/>
              </w:rPr>
              <w:t xml:space="preserve">Other hospitals with adolescent inpatient substance use beds </w:t>
            </w:r>
          </w:p>
          <w:p w14:paraId="7FC15F12" w14:textId="77777777" w:rsidR="00D20C7C" w:rsidRPr="00022822" w:rsidRDefault="00D20C7C" w:rsidP="00D20C7C">
            <w:pPr>
              <w:pStyle w:val="ListParagraph"/>
              <w:numPr>
                <w:ilvl w:val="0"/>
                <w:numId w:val="38"/>
              </w:numPr>
              <w:rPr>
                <w:sz w:val="22"/>
                <w:szCs w:val="22"/>
              </w:rPr>
            </w:pPr>
            <w:r w:rsidRPr="00022822">
              <w:rPr>
                <w:sz w:val="22"/>
                <w:szCs w:val="22"/>
              </w:rPr>
              <w:t>Acute care hospitals with child inpatient psychiatric beds</w:t>
            </w:r>
          </w:p>
          <w:p w14:paraId="386931B2" w14:textId="77777777" w:rsidR="00D20C7C" w:rsidRPr="00022822" w:rsidRDefault="00D20C7C" w:rsidP="00D20C7C">
            <w:pPr>
              <w:pStyle w:val="ListParagraph"/>
              <w:numPr>
                <w:ilvl w:val="0"/>
                <w:numId w:val="38"/>
              </w:numPr>
              <w:rPr>
                <w:sz w:val="22"/>
                <w:szCs w:val="22"/>
              </w:rPr>
            </w:pPr>
            <w:r w:rsidRPr="00022822">
              <w:rPr>
                <w:sz w:val="22"/>
                <w:szCs w:val="22"/>
              </w:rPr>
              <w:lastRenderedPageBreak/>
              <w:t>Other hospitals with child inpatient psychiatric beds</w:t>
            </w:r>
          </w:p>
        </w:tc>
      </w:tr>
      <w:tr w:rsidR="00D20C7C" w:rsidRPr="00022822" w14:paraId="64ED7E4C" w14:textId="77777777" w:rsidTr="000E06D3">
        <w:tc>
          <w:tcPr>
            <w:tcW w:w="3685" w:type="dxa"/>
          </w:tcPr>
          <w:p w14:paraId="59078ED4" w14:textId="77777777" w:rsidR="00D20C7C" w:rsidRPr="00022822" w:rsidRDefault="00D20C7C" w:rsidP="000E06D3">
            <w:pPr>
              <w:rPr>
                <w:b/>
                <w:sz w:val="22"/>
                <w:szCs w:val="22"/>
              </w:rPr>
            </w:pPr>
            <w:r w:rsidRPr="00022822">
              <w:rPr>
                <w:b/>
                <w:sz w:val="22"/>
                <w:szCs w:val="22"/>
              </w:rPr>
              <w:lastRenderedPageBreak/>
              <w:t>Location-Based Services (Behavioral Health)</w:t>
            </w:r>
          </w:p>
        </w:tc>
        <w:tc>
          <w:tcPr>
            <w:tcW w:w="6529" w:type="dxa"/>
          </w:tcPr>
          <w:p w14:paraId="11FF3741" w14:textId="77777777" w:rsidR="00D20C7C" w:rsidRPr="00022822" w:rsidRDefault="00D20C7C" w:rsidP="00D20C7C">
            <w:pPr>
              <w:pStyle w:val="ListParagraph"/>
              <w:numPr>
                <w:ilvl w:val="0"/>
                <w:numId w:val="38"/>
              </w:numPr>
              <w:rPr>
                <w:sz w:val="22"/>
                <w:szCs w:val="22"/>
              </w:rPr>
            </w:pPr>
            <w:r w:rsidRPr="00022822">
              <w:rPr>
                <w:sz w:val="22"/>
                <w:szCs w:val="22"/>
              </w:rPr>
              <w:t>Psychosocial rehabilitation (adult)</w:t>
            </w:r>
          </w:p>
          <w:p w14:paraId="06F78319" w14:textId="77777777" w:rsidR="00D20C7C" w:rsidRPr="00022822" w:rsidRDefault="00D20C7C" w:rsidP="00D20C7C">
            <w:pPr>
              <w:pStyle w:val="ListParagraph"/>
              <w:numPr>
                <w:ilvl w:val="0"/>
                <w:numId w:val="38"/>
              </w:numPr>
              <w:rPr>
                <w:sz w:val="22"/>
                <w:szCs w:val="22"/>
              </w:rPr>
            </w:pPr>
            <w:r w:rsidRPr="00022822">
              <w:rPr>
                <w:sz w:val="22"/>
                <w:szCs w:val="22"/>
              </w:rPr>
              <w:t>SA Comprehensive Outpatient (adult)</w:t>
            </w:r>
          </w:p>
          <w:p w14:paraId="606CF853" w14:textId="77777777" w:rsidR="00D20C7C" w:rsidRPr="00022822" w:rsidRDefault="00D20C7C" w:rsidP="00D20C7C">
            <w:pPr>
              <w:pStyle w:val="ListParagraph"/>
              <w:numPr>
                <w:ilvl w:val="0"/>
                <w:numId w:val="38"/>
              </w:numPr>
              <w:rPr>
                <w:sz w:val="22"/>
                <w:szCs w:val="22"/>
              </w:rPr>
            </w:pPr>
            <w:r w:rsidRPr="00022822">
              <w:rPr>
                <w:sz w:val="22"/>
                <w:szCs w:val="22"/>
              </w:rPr>
              <w:t>SA Intensive Outpatient Program (adults and children)</w:t>
            </w:r>
          </w:p>
          <w:p w14:paraId="4F7F625E" w14:textId="77777777" w:rsidR="00D20C7C" w:rsidRPr="00022822" w:rsidRDefault="00D20C7C" w:rsidP="00D20C7C">
            <w:pPr>
              <w:pStyle w:val="ListParagraph"/>
              <w:numPr>
                <w:ilvl w:val="0"/>
                <w:numId w:val="38"/>
              </w:numPr>
              <w:rPr>
                <w:sz w:val="22"/>
                <w:szCs w:val="22"/>
              </w:rPr>
            </w:pPr>
            <w:r w:rsidRPr="00022822">
              <w:rPr>
                <w:sz w:val="22"/>
                <w:szCs w:val="22"/>
              </w:rPr>
              <w:t>Opioid treatment (adult)</w:t>
            </w:r>
          </w:p>
        </w:tc>
      </w:tr>
      <w:tr w:rsidR="00D20C7C" w:rsidRPr="00022822" w14:paraId="77A4B5E8" w14:textId="77777777" w:rsidTr="000E06D3">
        <w:tc>
          <w:tcPr>
            <w:tcW w:w="3685" w:type="dxa"/>
          </w:tcPr>
          <w:p w14:paraId="061314C3" w14:textId="77777777" w:rsidR="00D20C7C" w:rsidRPr="00022822" w:rsidRDefault="00D20C7C" w:rsidP="000E06D3">
            <w:pPr>
              <w:rPr>
                <w:b/>
                <w:sz w:val="22"/>
                <w:szCs w:val="22"/>
              </w:rPr>
            </w:pPr>
            <w:r w:rsidRPr="00022822">
              <w:rPr>
                <w:b/>
                <w:sz w:val="22"/>
                <w:szCs w:val="22"/>
              </w:rPr>
              <w:t>Outpatient Behavioral Health Services</w:t>
            </w:r>
          </w:p>
        </w:tc>
        <w:tc>
          <w:tcPr>
            <w:tcW w:w="6529" w:type="dxa"/>
          </w:tcPr>
          <w:p w14:paraId="25102694" w14:textId="77777777" w:rsidR="00D20C7C" w:rsidRPr="00022822" w:rsidRDefault="00D20C7C" w:rsidP="00D20C7C">
            <w:pPr>
              <w:pStyle w:val="ListParagraph"/>
              <w:numPr>
                <w:ilvl w:val="0"/>
                <w:numId w:val="38"/>
              </w:numPr>
              <w:rPr>
                <w:sz w:val="22"/>
                <w:szCs w:val="22"/>
              </w:rPr>
            </w:pPr>
            <w:r w:rsidRPr="00022822">
              <w:rPr>
                <w:sz w:val="22"/>
                <w:szCs w:val="22"/>
              </w:rPr>
              <w:t>Outpatient behavioral health services provided by direct-enrolled providers (adults and children)</w:t>
            </w:r>
          </w:p>
        </w:tc>
      </w:tr>
      <w:tr w:rsidR="00D20C7C" w:rsidRPr="00022822" w14:paraId="52F1D9BA" w14:textId="77777777" w:rsidTr="000E06D3">
        <w:tc>
          <w:tcPr>
            <w:tcW w:w="3685" w:type="dxa"/>
          </w:tcPr>
          <w:p w14:paraId="04E383B0" w14:textId="77777777" w:rsidR="00D20C7C" w:rsidRPr="00022822" w:rsidRDefault="00D20C7C" w:rsidP="000E06D3">
            <w:pPr>
              <w:rPr>
                <w:b/>
                <w:sz w:val="22"/>
                <w:szCs w:val="22"/>
              </w:rPr>
            </w:pPr>
            <w:r w:rsidRPr="00022822">
              <w:rPr>
                <w:b/>
                <w:sz w:val="22"/>
                <w:szCs w:val="22"/>
              </w:rPr>
              <w:t>Partial Hospitalization (Behavioral Health)</w:t>
            </w:r>
          </w:p>
        </w:tc>
        <w:tc>
          <w:tcPr>
            <w:tcW w:w="6529" w:type="dxa"/>
          </w:tcPr>
          <w:p w14:paraId="273FBAE6" w14:textId="77777777" w:rsidR="00D20C7C" w:rsidRPr="00022822" w:rsidRDefault="00D20C7C" w:rsidP="00D20C7C">
            <w:pPr>
              <w:pStyle w:val="ListParagraph"/>
              <w:numPr>
                <w:ilvl w:val="0"/>
                <w:numId w:val="38"/>
              </w:numPr>
              <w:rPr>
                <w:sz w:val="22"/>
                <w:szCs w:val="22"/>
              </w:rPr>
            </w:pPr>
            <w:r w:rsidRPr="00022822">
              <w:rPr>
                <w:sz w:val="22"/>
                <w:szCs w:val="22"/>
              </w:rPr>
              <w:t xml:space="preserve">Partial hospitalization (adults and children) </w:t>
            </w:r>
          </w:p>
        </w:tc>
      </w:tr>
      <w:tr w:rsidR="00D20C7C" w:rsidRPr="00022822" w14:paraId="6D582A6A" w14:textId="77777777" w:rsidTr="000E06D3">
        <w:tc>
          <w:tcPr>
            <w:tcW w:w="3685" w:type="dxa"/>
          </w:tcPr>
          <w:p w14:paraId="233A9C0C" w14:textId="77777777" w:rsidR="00D20C7C" w:rsidRPr="00022822" w:rsidRDefault="00D20C7C" w:rsidP="000E06D3">
            <w:pPr>
              <w:rPr>
                <w:b/>
                <w:sz w:val="22"/>
                <w:szCs w:val="22"/>
              </w:rPr>
            </w:pPr>
            <w:r w:rsidRPr="00022822">
              <w:rPr>
                <w:b/>
                <w:sz w:val="22"/>
                <w:szCs w:val="22"/>
              </w:rPr>
              <w:t>Pediatric</w:t>
            </w:r>
          </w:p>
        </w:tc>
        <w:tc>
          <w:tcPr>
            <w:tcW w:w="6529" w:type="dxa"/>
          </w:tcPr>
          <w:p w14:paraId="1A814C48" w14:textId="77777777" w:rsidR="00D20C7C" w:rsidRPr="00022822" w:rsidRDefault="00D20C7C" w:rsidP="00D20C7C">
            <w:pPr>
              <w:pStyle w:val="ListParagraph"/>
              <w:numPr>
                <w:ilvl w:val="0"/>
                <w:numId w:val="38"/>
              </w:numPr>
              <w:rPr>
                <w:sz w:val="22"/>
                <w:szCs w:val="22"/>
              </w:rPr>
            </w:pPr>
            <w:r w:rsidRPr="00022822">
              <w:rPr>
                <w:sz w:val="22"/>
                <w:szCs w:val="22"/>
              </w:rPr>
              <w:t>For purposes of Network Adequacy for both physical and behavioral health services, pediatric is defined as members who are less than age 21.</w:t>
            </w:r>
          </w:p>
        </w:tc>
      </w:tr>
    </w:tbl>
    <w:p w14:paraId="6A60108D" w14:textId="560A9711" w:rsidR="00D20C7C" w:rsidRDefault="00D20C7C" w:rsidP="00D20C7C">
      <w:pPr>
        <w:spacing w:after="160" w:line="259" w:lineRule="auto"/>
        <w:rPr>
          <w:rFonts w:ascii="Arial" w:eastAsia="Calibri" w:hAnsi="Arial" w:cs="Arial"/>
          <w:lang w:eastAsia="x-none"/>
        </w:rPr>
      </w:pPr>
    </w:p>
    <w:p w14:paraId="6F525AA3" w14:textId="456C1BE5" w:rsidR="00022822" w:rsidRDefault="00022822" w:rsidP="00D20C7C">
      <w:pPr>
        <w:spacing w:after="160" w:line="259" w:lineRule="auto"/>
        <w:rPr>
          <w:rFonts w:ascii="Arial" w:eastAsia="Calibri" w:hAnsi="Arial" w:cs="Arial"/>
          <w:lang w:eastAsia="x-none"/>
        </w:rPr>
      </w:pPr>
    </w:p>
    <w:p w14:paraId="5F77039F" w14:textId="73D2C606" w:rsidR="00022822" w:rsidRDefault="00022822" w:rsidP="00D20C7C">
      <w:pPr>
        <w:spacing w:after="160" w:line="259" w:lineRule="auto"/>
        <w:rPr>
          <w:rFonts w:ascii="Arial" w:eastAsia="Calibri" w:hAnsi="Arial" w:cs="Arial"/>
          <w:lang w:eastAsia="x-none"/>
        </w:rPr>
      </w:pPr>
    </w:p>
    <w:p w14:paraId="7803B728" w14:textId="419677C9" w:rsidR="00022822" w:rsidRDefault="00022822" w:rsidP="00D20C7C">
      <w:pPr>
        <w:spacing w:after="160" w:line="259" w:lineRule="auto"/>
        <w:rPr>
          <w:rFonts w:ascii="Arial" w:eastAsia="Calibri" w:hAnsi="Arial" w:cs="Arial"/>
          <w:lang w:eastAsia="x-none"/>
        </w:rPr>
      </w:pPr>
    </w:p>
    <w:p w14:paraId="447E3668" w14:textId="38FA0C33" w:rsidR="00022822" w:rsidRDefault="00022822" w:rsidP="00D20C7C">
      <w:pPr>
        <w:spacing w:after="160" w:line="259" w:lineRule="auto"/>
        <w:rPr>
          <w:rFonts w:ascii="Arial" w:eastAsia="Calibri" w:hAnsi="Arial" w:cs="Arial"/>
          <w:lang w:eastAsia="x-none"/>
        </w:rPr>
      </w:pPr>
    </w:p>
    <w:p w14:paraId="6BB2C0E3" w14:textId="439EC5CB" w:rsidR="00022822" w:rsidRDefault="00022822" w:rsidP="00D20C7C">
      <w:pPr>
        <w:spacing w:after="160" w:line="259" w:lineRule="auto"/>
        <w:rPr>
          <w:rFonts w:ascii="Arial" w:eastAsia="Calibri" w:hAnsi="Arial" w:cs="Arial"/>
          <w:lang w:eastAsia="x-none"/>
        </w:rPr>
      </w:pPr>
    </w:p>
    <w:p w14:paraId="3D16C401" w14:textId="77777777" w:rsidR="00022822" w:rsidRPr="00022822" w:rsidRDefault="00022822" w:rsidP="00D20C7C">
      <w:pPr>
        <w:spacing w:after="160" w:line="259" w:lineRule="auto"/>
        <w:rPr>
          <w:rFonts w:ascii="Arial" w:eastAsia="Calibri" w:hAnsi="Arial" w:cs="Arial"/>
          <w:lang w:eastAsia="x-none"/>
        </w:rPr>
      </w:pPr>
    </w:p>
    <w:p w14:paraId="0267EEBB" w14:textId="77777777"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t>Appendix C – NC Medicaid Managed Care PHP Regions</w:t>
      </w:r>
    </w:p>
    <w:p w14:paraId="683E38EC" w14:textId="77777777" w:rsidR="00D20C7C" w:rsidRPr="00022822" w:rsidRDefault="00D20C7C" w:rsidP="00D20C7C">
      <w:pPr>
        <w:spacing w:after="160" w:line="259" w:lineRule="auto"/>
        <w:rPr>
          <w:rFonts w:ascii="Arial" w:eastAsia="Calibri" w:hAnsi="Arial" w:cs="Arial"/>
          <w:b/>
          <w:lang w:eastAsia="x-none"/>
        </w:rPr>
      </w:pPr>
    </w:p>
    <w:p w14:paraId="361AB065" w14:textId="77777777" w:rsidR="00D20C7C" w:rsidRPr="002E56B5" w:rsidRDefault="00D20C7C" w:rsidP="00D20C7C">
      <w:pPr>
        <w:spacing w:after="160" w:line="259" w:lineRule="auto"/>
        <w:jc w:val="center"/>
        <w:rPr>
          <w:rFonts w:ascii="Arial" w:eastAsia="Calibri" w:hAnsi="Arial" w:cs="Arial"/>
          <w:b/>
          <w:lang w:eastAsia="x-none"/>
        </w:rPr>
      </w:pPr>
      <w:r w:rsidRPr="00AA2371">
        <w:rPr>
          <w:noProof/>
        </w:rPr>
        <w:lastRenderedPageBreak/>
        <w:drawing>
          <wp:inline distT="0" distB="0" distL="0" distR="0" wp14:anchorId="3B742CE5" wp14:editId="72EB1379">
            <wp:extent cx="5810250" cy="3924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9745" cy="3930784"/>
                    </a:xfrm>
                    <a:prstGeom prst="rect">
                      <a:avLst/>
                    </a:prstGeom>
                  </pic:spPr>
                </pic:pic>
              </a:graphicData>
            </a:graphic>
          </wp:inline>
        </w:drawing>
      </w:r>
    </w:p>
    <w:p w14:paraId="38EDEA6F" w14:textId="77777777" w:rsidR="00D20C7C" w:rsidRDefault="00D20C7C" w:rsidP="00D20C7C">
      <w:pPr>
        <w:spacing w:after="160" w:line="259" w:lineRule="auto"/>
        <w:rPr>
          <w:rFonts w:ascii="Arial" w:eastAsia="Calibri" w:hAnsi="Arial" w:cs="Arial"/>
          <w:lang w:eastAsia="x-none"/>
        </w:rPr>
      </w:pPr>
    </w:p>
    <w:p w14:paraId="1A4772B4" w14:textId="77777777" w:rsidR="00D20C7C" w:rsidRDefault="00D20C7C" w:rsidP="00D20C7C">
      <w:pPr>
        <w:spacing w:after="160" w:line="259" w:lineRule="auto"/>
        <w:rPr>
          <w:rFonts w:ascii="Arial" w:eastAsia="Calibri" w:hAnsi="Arial" w:cs="Arial"/>
          <w:lang w:eastAsia="x-none"/>
        </w:rPr>
      </w:pPr>
    </w:p>
    <w:p w14:paraId="420816B7" w14:textId="77777777" w:rsidR="00D20C7C" w:rsidRDefault="00D20C7C" w:rsidP="00D20C7C">
      <w:pPr>
        <w:spacing w:after="160" w:line="259" w:lineRule="auto"/>
        <w:rPr>
          <w:rFonts w:ascii="Arial" w:eastAsia="Calibri" w:hAnsi="Arial" w:cs="Arial"/>
          <w:lang w:eastAsia="x-none"/>
        </w:rPr>
      </w:pPr>
      <w:r>
        <w:rPr>
          <w:rFonts w:ascii="Arial" w:eastAsia="Calibri" w:hAnsi="Arial" w:cs="Arial"/>
          <w:lang w:eastAsia="x-none"/>
        </w:rPr>
        <w:br w:type="page"/>
      </w:r>
    </w:p>
    <w:p w14:paraId="4B5C5494" w14:textId="77777777" w:rsidR="00D20C7C" w:rsidRPr="00022822" w:rsidRDefault="00D20C7C" w:rsidP="00D20C7C">
      <w:pPr>
        <w:spacing w:after="160" w:line="259" w:lineRule="auto"/>
        <w:rPr>
          <w:rFonts w:ascii="Arial" w:eastAsia="Calibri" w:hAnsi="Arial" w:cs="Arial"/>
          <w:b/>
          <w:lang w:eastAsia="x-none"/>
        </w:rPr>
      </w:pPr>
      <w:r w:rsidRPr="00022822">
        <w:rPr>
          <w:rFonts w:ascii="Arial" w:eastAsia="Calibri" w:hAnsi="Arial" w:cs="Arial"/>
          <w:b/>
          <w:lang w:eastAsia="x-none"/>
        </w:rPr>
        <w:lastRenderedPageBreak/>
        <w:t xml:space="preserve">Appendix D – NC Counties with Region and Urban/Rural Designation </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
        <w:gridCol w:w="950"/>
        <w:gridCol w:w="12"/>
        <w:gridCol w:w="1463"/>
        <w:gridCol w:w="12"/>
        <w:gridCol w:w="266"/>
        <w:gridCol w:w="12"/>
        <w:gridCol w:w="1488"/>
        <w:gridCol w:w="962"/>
        <w:gridCol w:w="1480"/>
      </w:tblGrid>
      <w:tr w:rsidR="00D20C7C" w:rsidRPr="00022822" w14:paraId="01F7B621" w14:textId="77777777" w:rsidTr="00022822">
        <w:trPr>
          <w:trHeight w:val="480"/>
          <w:jc w:val="center"/>
        </w:trPr>
        <w:tc>
          <w:tcPr>
            <w:tcW w:w="1476" w:type="dxa"/>
            <w:gridSpan w:val="2"/>
            <w:shd w:val="clear" w:color="000000" w:fill="B4C6E7"/>
            <w:vAlign w:val="center"/>
            <w:hideMark/>
          </w:tcPr>
          <w:p w14:paraId="30259366" w14:textId="77777777" w:rsidR="00D20C7C" w:rsidRPr="00022822" w:rsidRDefault="00D20C7C" w:rsidP="000E06D3">
            <w:pPr>
              <w:spacing w:after="0" w:line="240" w:lineRule="auto"/>
              <w:rPr>
                <w:rFonts w:ascii="Arial" w:eastAsia="Times New Roman" w:hAnsi="Arial" w:cs="Arial"/>
                <w:b/>
                <w:bCs/>
                <w:color w:val="222222"/>
              </w:rPr>
            </w:pPr>
            <w:bookmarkStart w:id="2" w:name="_Hlk3278647"/>
            <w:r w:rsidRPr="00022822">
              <w:rPr>
                <w:rFonts w:ascii="Arial" w:eastAsia="Times New Roman" w:hAnsi="Arial" w:cs="Arial"/>
                <w:b/>
                <w:bCs/>
                <w:color w:val="222222"/>
              </w:rPr>
              <w:t>County</w:t>
            </w:r>
          </w:p>
        </w:tc>
        <w:tc>
          <w:tcPr>
            <w:tcW w:w="962" w:type="dxa"/>
            <w:gridSpan w:val="2"/>
            <w:shd w:val="clear" w:color="000000" w:fill="B4C6E7"/>
            <w:vAlign w:val="center"/>
            <w:hideMark/>
          </w:tcPr>
          <w:p w14:paraId="2C947D88" w14:textId="77777777" w:rsidR="00D20C7C" w:rsidRPr="00022822" w:rsidRDefault="00D20C7C" w:rsidP="000E06D3">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75" w:type="dxa"/>
            <w:gridSpan w:val="2"/>
            <w:shd w:val="clear" w:color="000000" w:fill="B4C6E7"/>
            <w:vAlign w:val="center"/>
            <w:hideMark/>
          </w:tcPr>
          <w:p w14:paraId="57A09D33" w14:textId="77777777" w:rsidR="00D20C7C" w:rsidRPr="00022822" w:rsidRDefault="00D20C7C" w:rsidP="000E06D3">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c>
          <w:tcPr>
            <w:tcW w:w="278" w:type="dxa"/>
            <w:gridSpan w:val="2"/>
            <w:shd w:val="clear" w:color="000000" w:fill="B4C6E7"/>
            <w:noWrap/>
            <w:vAlign w:val="bottom"/>
            <w:hideMark/>
          </w:tcPr>
          <w:p w14:paraId="47BBA2B7"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shd w:val="clear" w:color="000000" w:fill="B4C6E7"/>
            <w:vAlign w:val="center"/>
            <w:hideMark/>
          </w:tcPr>
          <w:p w14:paraId="045E239F" w14:textId="77777777" w:rsidR="00D20C7C" w:rsidRPr="00022822" w:rsidRDefault="00D20C7C" w:rsidP="000E06D3">
            <w:pPr>
              <w:spacing w:after="0" w:line="240" w:lineRule="auto"/>
              <w:rPr>
                <w:rFonts w:ascii="Arial" w:eastAsia="Times New Roman" w:hAnsi="Arial" w:cs="Arial"/>
                <w:b/>
                <w:bCs/>
                <w:color w:val="222222"/>
              </w:rPr>
            </w:pPr>
            <w:r w:rsidRPr="00022822">
              <w:rPr>
                <w:rFonts w:ascii="Arial" w:eastAsia="Times New Roman" w:hAnsi="Arial" w:cs="Arial"/>
                <w:b/>
                <w:bCs/>
                <w:color w:val="222222"/>
              </w:rPr>
              <w:t>County</w:t>
            </w:r>
          </w:p>
        </w:tc>
        <w:tc>
          <w:tcPr>
            <w:tcW w:w="962" w:type="dxa"/>
            <w:shd w:val="clear" w:color="000000" w:fill="B4C6E7"/>
            <w:vAlign w:val="center"/>
            <w:hideMark/>
          </w:tcPr>
          <w:p w14:paraId="2A8935C6" w14:textId="77777777" w:rsidR="00D20C7C" w:rsidRPr="00022822" w:rsidRDefault="00D20C7C" w:rsidP="000E06D3">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80" w:type="dxa"/>
            <w:shd w:val="clear" w:color="000000" w:fill="B4C6E7"/>
            <w:vAlign w:val="center"/>
            <w:hideMark/>
          </w:tcPr>
          <w:p w14:paraId="6CE0AA72" w14:textId="77777777" w:rsidR="00D20C7C" w:rsidRPr="00022822" w:rsidRDefault="00D20C7C" w:rsidP="000E06D3">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r>
      <w:bookmarkEnd w:id="2"/>
      <w:tr w:rsidR="00D20C7C" w:rsidRPr="00022822" w14:paraId="05BE7F39"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2B3E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Alamance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B98C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1EE0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6C6530B"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CC389"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Chowan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6200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B4C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2C6667FB"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3743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Alexander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E38E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99E0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63F6D05"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55C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Clay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4C0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598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0A9BA4C3"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FD1F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Alleghany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7AD8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8ECF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E584A53"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836C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Cleveland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6E5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2D9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510AE6BF"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C903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Anson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4D9A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FCA4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4A0702B"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C020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Columbus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7A42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180E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3AF58B2"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31C8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Ashe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9690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E845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C98A964"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757B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Craven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E10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158F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BFF2798"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A716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Avery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CE32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3BA4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4BEA8A3"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8437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Cumberland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011C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7D7D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72A3BA19"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ED4AD"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Beaufort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51BE6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228D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2E4CAFE"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C4FCA"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Currituck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D9FD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FD4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5FBDAF6"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75675"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Bertie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C864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7CEA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32F7805"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16C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Dare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DA2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131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15E661A"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BD547"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Bladen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1CA5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BC19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BFDDBB2"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3DD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Davidson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A420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153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04F12FB2"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FB0BD"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Brunswick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C0C7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707D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8A4E8C6"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BEB5"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Davie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B0A3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698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9DE73F9"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F767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Buncombe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F780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DBB5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2A8643A"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CF5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Duplin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37D3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78D8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5D0B41C"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40D2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Burke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A122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7FCE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59CDD84"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D70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Durham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618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922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1BC9C7B2"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A71E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Cabarrus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FD18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60D7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3A098BA"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FE7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Edgecombe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1446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763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B46DD36"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EC0B9"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Caldwell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4308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5A0A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360EDB4"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CD5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Forsyth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1A6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2B3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263F390F"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14BD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Camden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74E3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1AA3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CDCE0F7"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F58C5"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Franklin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D4CC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6D4D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022822" w:rsidRPr="00022822" w14:paraId="02C31C57" w14:textId="77777777" w:rsidTr="00AD6DCC">
        <w:trPr>
          <w:trHeight w:val="480"/>
          <w:jc w:val="center"/>
        </w:trPr>
        <w:tc>
          <w:tcPr>
            <w:tcW w:w="1476" w:type="dxa"/>
            <w:gridSpan w:val="2"/>
            <w:shd w:val="clear" w:color="000000" w:fill="B4C6E7"/>
            <w:vAlign w:val="center"/>
            <w:hideMark/>
          </w:tcPr>
          <w:p w14:paraId="387D36FE" w14:textId="77777777" w:rsidR="00022822" w:rsidRPr="00022822" w:rsidRDefault="00022822" w:rsidP="00AD6DCC">
            <w:pPr>
              <w:spacing w:after="0" w:line="240" w:lineRule="auto"/>
              <w:rPr>
                <w:rFonts w:ascii="Arial" w:eastAsia="Times New Roman" w:hAnsi="Arial" w:cs="Arial"/>
                <w:b/>
                <w:bCs/>
                <w:color w:val="222222"/>
              </w:rPr>
            </w:pPr>
            <w:bookmarkStart w:id="3" w:name="_Hlk3278745"/>
            <w:r w:rsidRPr="00022822">
              <w:rPr>
                <w:rFonts w:ascii="Arial" w:eastAsia="Times New Roman" w:hAnsi="Arial" w:cs="Arial"/>
                <w:b/>
                <w:bCs/>
                <w:color w:val="222222"/>
              </w:rPr>
              <w:lastRenderedPageBreak/>
              <w:t>County</w:t>
            </w:r>
          </w:p>
        </w:tc>
        <w:tc>
          <w:tcPr>
            <w:tcW w:w="962" w:type="dxa"/>
            <w:gridSpan w:val="2"/>
            <w:shd w:val="clear" w:color="000000" w:fill="B4C6E7"/>
            <w:vAlign w:val="center"/>
            <w:hideMark/>
          </w:tcPr>
          <w:p w14:paraId="36B37562"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75" w:type="dxa"/>
            <w:gridSpan w:val="2"/>
            <w:shd w:val="clear" w:color="000000" w:fill="B4C6E7"/>
            <w:vAlign w:val="center"/>
            <w:hideMark/>
          </w:tcPr>
          <w:p w14:paraId="1DAAF28A"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c>
          <w:tcPr>
            <w:tcW w:w="278" w:type="dxa"/>
            <w:gridSpan w:val="2"/>
            <w:shd w:val="clear" w:color="000000" w:fill="B4C6E7"/>
            <w:noWrap/>
            <w:vAlign w:val="bottom"/>
            <w:hideMark/>
          </w:tcPr>
          <w:p w14:paraId="42276BFA" w14:textId="77777777" w:rsidR="00022822" w:rsidRPr="00022822" w:rsidRDefault="00022822" w:rsidP="00AD6DCC">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shd w:val="clear" w:color="000000" w:fill="B4C6E7"/>
            <w:vAlign w:val="center"/>
            <w:hideMark/>
          </w:tcPr>
          <w:p w14:paraId="7D663979" w14:textId="77777777" w:rsidR="00022822" w:rsidRPr="00022822" w:rsidRDefault="00022822" w:rsidP="00AD6DCC">
            <w:pPr>
              <w:spacing w:after="0" w:line="240" w:lineRule="auto"/>
              <w:rPr>
                <w:rFonts w:ascii="Arial" w:eastAsia="Times New Roman" w:hAnsi="Arial" w:cs="Arial"/>
                <w:b/>
                <w:bCs/>
                <w:color w:val="222222"/>
              </w:rPr>
            </w:pPr>
            <w:r w:rsidRPr="00022822">
              <w:rPr>
                <w:rFonts w:ascii="Arial" w:eastAsia="Times New Roman" w:hAnsi="Arial" w:cs="Arial"/>
                <w:b/>
                <w:bCs/>
                <w:color w:val="222222"/>
              </w:rPr>
              <w:t>County</w:t>
            </w:r>
          </w:p>
        </w:tc>
        <w:tc>
          <w:tcPr>
            <w:tcW w:w="962" w:type="dxa"/>
            <w:shd w:val="clear" w:color="000000" w:fill="B4C6E7"/>
            <w:vAlign w:val="center"/>
            <w:hideMark/>
          </w:tcPr>
          <w:p w14:paraId="55B7C720"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80" w:type="dxa"/>
            <w:shd w:val="clear" w:color="000000" w:fill="B4C6E7"/>
            <w:vAlign w:val="center"/>
            <w:hideMark/>
          </w:tcPr>
          <w:p w14:paraId="065EED52"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r>
      <w:bookmarkEnd w:id="3"/>
      <w:tr w:rsidR="00022822" w:rsidRPr="00022822" w14:paraId="6B33EAF8"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1A9DC" w14:textId="4CEA4920" w:rsidR="00022822" w:rsidRPr="00022822" w:rsidRDefault="00022822" w:rsidP="00022822">
            <w:pPr>
              <w:spacing w:after="0" w:line="240" w:lineRule="auto"/>
              <w:rPr>
                <w:rFonts w:ascii="Arial" w:eastAsia="Times New Roman" w:hAnsi="Arial" w:cs="Arial"/>
                <w:bCs/>
                <w:color w:val="222222"/>
              </w:rPr>
            </w:pPr>
            <w:r w:rsidRPr="00022822">
              <w:rPr>
                <w:rFonts w:ascii="Arial" w:hAnsi="Arial" w:cs="Arial"/>
              </w:rPr>
              <w:t xml:space="preserve">Carteret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E5F73" w14:textId="5304224C" w:rsidR="00022822" w:rsidRPr="00022822" w:rsidRDefault="00022822" w:rsidP="00022822">
            <w:pPr>
              <w:spacing w:after="0" w:line="240" w:lineRule="auto"/>
              <w:jc w:val="center"/>
              <w:rPr>
                <w:rFonts w:ascii="Arial" w:eastAsia="Times New Roman" w:hAnsi="Arial" w:cs="Arial"/>
                <w:bCs/>
                <w:color w:val="222222"/>
              </w:rPr>
            </w:pPr>
            <w:r w:rsidRPr="00022822">
              <w:rPr>
                <w:rFonts w:ascii="Arial" w:hAnsi="Arial" w:cs="Arial"/>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08270" w14:textId="60A496FF" w:rsidR="00022822" w:rsidRPr="00022822" w:rsidRDefault="00022822" w:rsidP="00022822">
            <w:pPr>
              <w:spacing w:after="0" w:line="240" w:lineRule="auto"/>
              <w:jc w:val="center"/>
              <w:rPr>
                <w:rFonts w:ascii="Arial" w:eastAsia="Times New Roman" w:hAnsi="Arial" w:cs="Arial"/>
                <w:bCs/>
                <w:color w:val="222222"/>
              </w:rPr>
            </w:pPr>
            <w:r w:rsidRPr="00022822">
              <w:rPr>
                <w:rFonts w:ascii="Arial" w:hAnsi="Arial" w:cs="Arial"/>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1BA8DD5A" w14:textId="2541A93A" w:rsidR="00022822" w:rsidRPr="00022822" w:rsidRDefault="00022822" w:rsidP="00022822">
            <w:pPr>
              <w:spacing w:after="0" w:line="240" w:lineRule="auto"/>
              <w:rPr>
                <w:rFonts w:ascii="Arial" w:eastAsia="Times New Roman" w:hAnsi="Arial" w:cs="Arial"/>
                <w:color w:val="000000"/>
              </w:rPr>
            </w:pPr>
            <w:r w:rsidRPr="00022822">
              <w:rPr>
                <w:rFonts w:ascii="Arial" w:hAnsi="Arial" w:cs="Arial"/>
              </w:rPr>
              <w:t xml:space="preserve">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840974B" w14:textId="6305E1D2" w:rsidR="00022822" w:rsidRPr="00022822" w:rsidRDefault="00022822" w:rsidP="00022822">
            <w:pPr>
              <w:spacing w:after="0" w:line="240" w:lineRule="auto"/>
              <w:rPr>
                <w:rFonts w:ascii="Arial" w:eastAsia="Times New Roman" w:hAnsi="Arial" w:cs="Arial"/>
                <w:bCs/>
                <w:color w:val="222222"/>
              </w:rPr>
            </w:pPr>
            <w:r w:rsidRPr="00022822">
              <w:rPr>
                <w:rFonts w:ascii="Arial" w:hAnsi="Arial" w:cs="Arial"/>
              </w:rPr>
              <w:t xml:space="preserve">Gaston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0F8EAAB" w14:textId="73B527A0" w:rsidR="00022822" w:rsidRPr="00022822" w:rsidRDefault="00022822" w:rsidP="00022822">
            <w:pPr>
              <w:spacing w:after="0" w:line="240" w:lineRule="auto"/>
              <w:jc w:val="center"/>
              <w:rPr>
                <w:rFonts w:ascii="Arial" w:eastAsia="Times New Roman" w:hAnsi="Arial" w:cs="Arial"/>
                <w:bCs/>
                <w:color w:val="222222"/>
              </w:rPr>
            </w:pPr>
            <w:r w:rsidRPr="00022822">
              <w:rPr>
                <w:rFonts w:ascii="Arial" w:hAnsi="Arial" w:cs="Arial"/>
              </w:rPr>
              <w:t>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84F7479" w14:textId="07BE2C60" w:rsidR="00022822" w:rsidRPr="00022822" w:rsidRDefault="00022822" w:rsidP="00022822">
            <w:pPr>
              <w:spacing w:after="0" w:line="240" w:lineRule="auto"/>
              <w:jc w:val="center"/>
              <w:rPr>
                <w:rFonts w:ascii="Arial" w:eastAsia="Times New Roman" w:hAnsi="Arial" w:cs="Arial"/>
                <w:bCs/>
                <w:color w:val="222222"/>
              </w:rPr>
            </w:pPr>
            <w:r w:rsidRPr="00022822">
              <w:rPr>
                <w:rFonts w:ascii="Arial" w:hAnsi="Arial" w:cs="Arial"/>
              </w:rPr>
              <w:t>Urban</w:t>
            </w:r>
          </w:p>
        </w:tc>
      </w:tr>
      <w:tr w:rsidR="00D20C7C" w:rsidRPr="00022822" w14:paraId="714C6042"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05F3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Caswell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23A9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1DA83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8CC04A6"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B421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Gates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2B0B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1FD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84D6657"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5A60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Catawba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05E7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422D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43878E0"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2183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Graham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028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85F5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C26E610"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BEF3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Chatham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437F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3E0A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E9E9CBE"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0DB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Granville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A5C5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B7B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0A84DB8"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4DF5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Cherokee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8B2E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3CE1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CC511C1"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001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Greene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A55A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5D56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A406044"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2290CB"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Guilford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9846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A2AC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E4804B0"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991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Mitchell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20A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BF7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1DBFF73D"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B9E14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Halifax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3383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0089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EA58F2B"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2656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Montgomery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C35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8AC8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0207C265"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C8F1D"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Harnett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B2EF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594F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881B742"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0106E"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Moore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214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82E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5EC73A94"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9546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Haywood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92BE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6E86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D4EB84B"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FF4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Nash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D4C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BB6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279F8109"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F29A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Henderson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D454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89B2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F55DF18"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7C1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New Hanover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D55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69A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483F30E6"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26028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Hertford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C8B4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700A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6A0B772"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73D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Northampton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B00B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7E8E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2BB56007"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3C3DE"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Hoke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DED1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D9C9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CAC4143"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985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Onslow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CB6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C04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10E93C97"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1A629"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Hyde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066E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7CCD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2B9F453"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EF20A"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Orange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833F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E456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2432CE5E"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61AD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Iredell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157F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97E9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A9A6676"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7D29"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Pamlico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3B8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754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47DAF312"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3A7DE"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Jackson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BC09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7817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33ED008"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F8AEA"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Pasquotank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FBD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2FD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21D39E73"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BE5D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Johnston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C221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4E22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FF43661"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DCAA"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Pender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2CC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22B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022822" w:rsidRPr="00022822" w14:paraId="49AD499D" w14:textId="77777777" w:rsidTr="00AD6DCC">
        <w:trPr>
          <w:trHeight w:val="480"/>
          <w:jc w:val="center"/>
        </w:trPr>
        <w:tc>
          <w:tcPr>
            <w:tcW w:w="1476" w:type="dxa"/>
            <w:gridSpan w:val="2"/>
            <w:shd w:val="clear" w:color="000000" w:fill="B4C6E7"/>
            <w:vAlign w:val="center"/>
            <w:hideMark/>
          </w:tcPr>
          <w:p w14:paraId="4B94EA0B" w14:textId="77777777" w:rsidR="00022822" w:rsidRPr="00022822" w:rsidRDefault="00022822" w:rsidP="00AD6DCC">
            <w:pPr>
              <w:spacing w:after="0" w:line="240" w:lineRule="auto"/>
              <w:rPr>
                <w:rFonts w:ascii="Arial" w:eastAsia="Times New Roman" w:hAnsi="Arial" w:cs="Arial"/>
                <w:b/>
                <w:bCs/>
                <w:color w:val="222222"/>
              </w:rPr>
            </w:pPr>
            <w:r w:rsidRPr="00022822">
              <w:rPr>
                <w:rFonts w:ascii="Arial" w:eastAsia="Times New Roman" w:hAnsi="Arial" w:cs="Arial"/>
                <w:b/>
                <w:bCs/>
                <w:color w:val="222222"/>
              </w:rPr>
              <w:lastRenderedPageBreak/>
              <w:t>County</w:t>
            </w:r>
          </w:p>
        </w:tc>
        <w:tc>
          <w:tcPr>
            <w:tcW w:w="962" w:type="dxa"/>
            <w:gridSpan w:val="2"/>
            <w:shd w:val="clear" w:color="000000" w:fill="B4C6E7"/>
            <w:vAlign w:val="center"/>
            <w:hideMark/>
          </w:tcPr>
          <w:p w14:paraId="2AE39312"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75" w:type="dxa"/>
            <w:gridSpan w:val="2"/>
            <w:shd w:val="clear" w:color="000000" w:fill="B4C6E7"/>
            <w:vAlign w:val="center"/>
            <w:hideMark/>
          </w:tcPr>
          <w:p w14:paraId="778DE2AA"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c>
          <w:tcPr>
            <w:tcW w:w="278" w:type="dxa"/>
            <w:gridSpan w:val="2"/>
            <w:shd w:val="clear" w:color="000000" w:fill="B4C6E7"/>
            <w:noWrap/>
            <w:vAlign w:val="bottom"/>
            <w:hideMark/>
          </w:tcPr>
          <w:p w14:paraId="193D9EC1" w14:textId="77777777" w:rsidR="00022822" w:rsidRPr="00022822" w:rsidRDefault="00022822" w:rsidP="00AD6DCC">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shd w:val="clear" w:color="000000" w:fill="B4C6E7"/>
            <w:vAlign w:val="center"/>
            <w:hideMark/>
          </w:tcPr>
          <w:p w14:paraId="6C00037D" w14:textId="77777777" w:rsidR="00022822" w:rsidRPr="00022822" w:rsidRDefault="00022822" w:rsidP="00AD6DCC">
            <w:pPr>
              <w:spacing w:after="0" w:line="240" w:lineRule="auto"/>
              <w:rPr>
                <w:rFonts w:ascii="Arial" w:eastAsia="Times New Roman" w:hAnsi="Arial" w:cs="Arial"/>
                <w:b/>
                <w:bCs/>
                <w:color w:val="222222"/>
              </w:rPr>
            </w:pPr>
            <w:r w:rsidRPr="00022822">
              <w:rPr>
                <w:rFonts w:ascii="Arial" w:eastAsia="Times New Roman" w:hAnsi="Arial" w:cs="Arial"/>
                <w:b/>
                <w:bCs/>
                <w:color w:val="222222"/>
              </w:rPr>
              <w:t>County</w:t>
            </w:r>
          </w:p>
        </w:tc>
        <w:tc>
          <w:tcPr>
            <w:tcW w:w="962" w:type="dxa"/>
            <w:shd w:val="clear" w:color="000000" w:fill="B4C6E7"/>
            <w:vAlign w:val="center"/>
            <w:hideMark/>
          </w:tcPr>
          <w:p w14:paraId="5792C726"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80" w:type="dxa"/>
            <w:shd w:val="clear" w:color="000000" w:fill="B4C6E7"/>
            <w:vAlign w:val="center"/>
            <w:hideMark/>
          </w:tcPr>
          <w:p w14:paraId="34EED6A5"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r>
      <w:tr w:rsidR="00D20C7C" w:rsidRPr="00022822" w14:paraId="136FF775"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25EB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Jones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79FF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1982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126276C"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106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Perquimans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4C2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A92D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B896013"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5039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Lee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6B72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C449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55FC892"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E449B"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Person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D7A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30B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03652CDA"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7AE5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Lenoir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7252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A21B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87B3DD3"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75C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Pitt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75BD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388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5657B498"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6607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Lincoln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EA03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4938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00B8092"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05089"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Polk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560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6EE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766B27C"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8091A"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Macon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21B2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7EEB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02EF7D8"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E6D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Randolph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3C4D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33F0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7B40626C"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A13F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Madison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BEDA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9D9B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6C13EF5"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906C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Richmond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09D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06FD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0B5331BD"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0CD41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Martin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0CD1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8023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DBA7158"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B03A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Robeson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F5F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646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A27126C"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7D83C"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McDowell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F2E9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B4AE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5860125"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6D83D"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Rockingham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4FF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715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5477CFC2" w14:textId="77777777" w:rsidTr="00022822">
        <w:trPr>
          <w:trHeight w:val="480"/>
          <w:jc w:val="center"/>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A799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Mecklenburg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7618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589C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2837C4D" w14:textId="77777777" w:rsidR="00D20C7C" w:rsidRPr="00022822" w:rsidRDefault="00D20C7C" w:rsidP="000E06D3">
            <w:pPr>
              <w:spacing w:after="0" w:line="240" w:lineRule="auto"/>
              <w:rPr>
                <w:rFonts w:ascii="Arial" w:eastAsia="Times New Roman" w:hAnsi="Arial"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43C2"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Rowan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1C4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C67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68F64012"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39F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Rutherford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5F34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28FA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2EE07F5"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4197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Vance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034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A51F"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0D72B5A4"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4DA0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Sampson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CAAD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2B65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83A4FAB"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F3D13"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Wake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AF3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D668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r>
      <w:tr w:rsidR="00D20C7C" w:rsidRPr="00022822" w14:paraId="465F9F53"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F065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Scotland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2B5B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2B262"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B921F36"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42AA5"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Warren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AF1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EEE1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756C6AD8"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FFFE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Stanly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83494"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5E37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FB31915"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5E27D"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Washington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C78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95205"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51B2DDFB"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E949"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Stokes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1897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2411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BC7DA0E"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54EF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Watauga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3013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2909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7CFD6397"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AC531"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Surry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BCEE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E4A0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A9B49B5"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678A0F"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Wayne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82B1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737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3378BD4C"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2884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Swain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1C468"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8BCB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CDCD11C"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EF916"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Wilkes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B0A3"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3296A"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022822" w:rsidRPr="00022822" w14:paraId="6F3DC832" w14:textId="77777777" w:rsidTr="00AD6DCC">
        <w:trPr>
          <w:trHeight w:val="480"/>
          <w:jc w:val="center"/>
        </w:trPr>
        <w:tc>
          <w:tcPr>
            <w:tcW w:w="1476" w:type="dxa"/>
            <w:gridSpan w:val="2"/>
            <w:shd w:val="clear" w:color="000000" w:fill="B4C6E7"/>
            <w:vAlign w:val="center"/>
            <w:hideMark/>
          </w:tcPr>
          <w:p w14:paraId="0ECDEE68" w14:textId="77777777" w:rsidR="00022822" w:rsidRPr="00022822" w:rsidRDefault="00022822" w:rsidP="00AD6DCC">
            <w:pPr>
              <w:spacing w:after="0" w:line="240" w:lineRule="auto"/>
              <w:rPr>
                <w:rFonts w:ascii="Arial" w:eastAsia="Times New Roman" w:hAnsi="Arial" w:cs="Arial"/>
                <w:b/>
                <w:bCs/>
                <w:color w:val="222222"/>
              </w:rPr>
            </w:pPr>
            <w:r w:rsidRPr="00022822">
              <w:rPr>
                <w:rFonts w:ascii="Arial" w:eastAsia="Times New Roman" w:hAnsi="Arial" w:cs="Arial"/>
                <w:b/>
                <w:bCs/>
                <w:color w:val="222222"/>
              </w:rPr>
              <w:lastRenderedPageBreak/>
              <w:t>County</w:t>
            </w:r>
          </w:p>
        </w:tc>
        <w:tc>
          <w:tcPr>
            <w:tcW w:w="962" w:type="dxa"/>
            <w:gridSpan w:val="2"/>
            <w:shd w:val="clear" w:color="000000" w:fill="B4C6E7"/>
            <w:vAlign w:val="center"/>
            <w:hideMark/>
          </w:tcPr>
          <w:p w14:paraId="0D3FD7C3"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75" w:type="dxa"/>
            <w:gridSpan w:val="2"/>
            <w:shd w:val="clear" w:color="000000" w:fill="B4C6E7"/>
            <w:vAlign w:val="center"/>
            <w:hideMark/>
          </w:tcPr>
          <w:p w14:paraId="65450E5B"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c>
          <w:tcPr>
            <w:tcW w:w="278" w:type="dxa"/>
            <w:gridSpan w:val="2"/>
            <w:shd w:val="clear" w:color="000000" w:fill="B4C6E7"/>
            <w:noWrap/>
            <w:vAlign w:val="bottom"/>
            <w:hideMark/>
          </w:tcPr>
          <w:p w14:paraId="2544B3F1" w14:textId="77777777" w:rsidR="00022822" w:rsidRPr="00022822" w:rsidRDefault="00022822" w:rsidP="00AD6DCC">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488" w:type="dxa"/>
            <w:shd w:val="clear" w:color="000000" w:fill="B4C6E7"/>
            <w:vAlign w:val="center"/>
            <w:hideMark/>
          </w:tcPr>
          <w:p w14:paraId="57B7FA31" w14:textId="77777777" w:rsidR="00022822" w:rsidRPr="00022822" w:rsidRDefault="00022822" w:rsidP="00AD6DCC">
            <w:pPr>
              <w:spacing w:after="0" w:line="240" w:lineRule="auto"/>
              <w:rPr>
                <w:rFonts w:ascii="Arial" w:eastAsia="Times New Roman" w:hAnsi="Arial" w:cs="Arial"/>
                <w:b/>
                <w:bCs/>
                <w:color w:val="222222"/>
              </w:rPr>
            </w:pPr>
            <w:r w:rsidRPr="00022822">
              <w:rPr>
                <w:rFonts w:ascii="Arial" w:eastAsia="Times New Roman" w:hAnsi="Arial" w:cs="Arial"/>
                <w:b/>
                <w:bCs/>
                <w:color w:val="222222"/>
              </w:rPr>
              <w:t>County</w:t>
            </w:r>
          </w:p>
        </w:tc>
        <w:tc>
          <w:tcPr>
            <w:tcW w:w="962" w:type="dxa"/>
            <w:shd w:val="clear" w:color="000000" w:fill="B4C6E7"/>
            <w:vAlign w:val="center"/>
            <w:hideMark/>
          </w:tcPr>
          <w:p w14:paraId="48061B3E"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PHP Region</w:t>
            </w:r>
          </w:p>
        </w:tc>
        <w:tc>
          <w:tcPr>
            <w:tcW w:w="1480" w:type="dxa"/>
            <w:shd w:val="clear" w:color="000000" w:fill="B4C6E7"/>
            <w:vAlign w:val="center"/>
            <w:hideMark/>
          </w:tcPr>
          <w:p w14:paraId="2D4FF384" w14:textId="77777777" w:rsidR="00022822" w:rsidRPr="00022822" w:rsidRDefault="00022822" w:rsidP="00AD6DCC">
            <w:pPr>
              <w:spacing w:after="0" w:line="240" w:lineRule="auto"/>
              <w:jc w:val="center"/>
              <w:rPr>
                <w:rFonts w:ascii="Arial" w:eastAsia="Times New Roman" w:hAnsi="Arial" w:cs="Arial"/>
                <w:b/>
                <w:bCs/>
                <w:color w:val="222222"/>
              </w:rPr>
            </w:pPr>
            <w:r w:rsidRPr="00022822">
              <w:rPr>
                <w:rFonts w:ascii="Arial" w:eastAsia="Times New Roman" w:hAnsi="Arial" w:cs="Arial"/>
                <w:b/>
                <w:bCs/>
                <w:color w:val="222222"/>
              </w:rPr>
              <w:t>Designation</w:t>
            </w:r>
          </w:p>
        </w:tc>
      </w:tr>
      <w:tr w:rsidR="00D20C7C" w:rsidRPr="00022822" w14:paraId="735727FC"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D4C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Transylvania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939F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21C5F9"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6B4A3FF"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42C80"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Wilson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138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6D50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2EAA3ED4"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E275"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Tyrrell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DA2B6"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6</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7CB80"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A96CDDC"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43B07"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Yadkin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947AC"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59F1"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r w:rsidR="00D20C7C" w:rsidRPr="00022822" w14:paraId="68AEB5FB" w14:textId="77777777" w:rsidTr="00022822">
        <w:trPr>
          <w:trHeight w:val="480"/>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168"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Union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37D2E"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3</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624DB"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Urban</w:t>
            </w:r>
          </w:p>
        </w:tc>
        <w:tc>
          <w:tcPr>
            <w:tcW w:w="27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CE0A28D"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8CF84" w14:textId="77777777" w:rsidR="00D20C7C" w:rsidRPr="00022822" w:rsidRDefault="00D20C7C" w:rsidP="000E06D3">
            <w:pPr>
              <w:spacing w:after="0" w:line="240" w:lineRule="auto"/>
              <w:rPr>
                <w:rFonts w:ascii="Arial" w:eastAsia="Times New Roman" w:hAnsi="Arial" w:cs="Arial"/>
                <w:bCs/>
                <w:color w:val="222222"/>
              </w:rPr>
            </w:pPr>
            <w:r w:rsidRPr="00022822">
              <w:rPr>
                <w:rFonts w:ascii="Arial" w:eastAsia="Times New Roman" w:hAnsi="Arial" w:cs="Arial"/>
                <w:bCs/>
                <w:color w:val="222222"/>
              </w:rPr>
              <w:t xml:space="preserve">Yancey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E20D"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0A87" w14:textId="77777777" w:rsidR="00D20C7C" w:rsidRPr="00022822" w:rsidRDefault="00D20C7C" w:rsidP="000E06D3">
            <w:pPr>
              <w:spacing w:after="0" w:line="240" w:lineRule="auto"/>
              <w:jc w:val="center"/>
              <w:rPr>
                <w:rFonts w:ascii="Arial" w:eastAsia="Times New Roman" w:hAnsi="Arial" w:cs="Arial"/>
                <w:bCs/>
                <w:color w:val="222222"/>
              </w:rPr>
            </w:pPr>
            <w:r w:rsidRPr="00022822">
              <w:rPr>
                <w:rFonts w:ascii="Arial" w:eastAsia="Times New Roman" w:hAnsi="Arial" w:cs="Arial"/>
                <w:bCs/>
                <w:color w:val="222222"/>
              </w:rPr>
              <w:t>Rural</w:t>
            </w:r>
          </w:p>
        </w:tc>
      </w:tr>
    </w:tbl>
    <w:p w14:paraId="11884F54" w14:textId="77777777" w:rsidR="00D20C7C" w:rsidRPr="00022822" w:rsidRDefault="00D20C7C" w:rsidP="00D20C7C">
      <w:pPr>
        <w:spacing w:after="160" w:line="259" w:lineRule="auto"/>
        <w:rPr>
          <w:rFonts w:ascii="Arial" w:eastAsia="Calibri" w:hAnsi="Arial" w:cs="Arial"/>
          <w:lang w:eastAsia="x-none"/>
        </w:rPr>
      </w:pPr>
    </w:p>
    <w:p w14:paraId="355807A2" w14:textId="77777777" w:rsidR="00D20C7C" w:rsidRPr="00022822" w:rsidRDefault="00D20C7C" w:rsidP="00D20C7C">
      <w:pPr>
        <w:spacing w:after="160" w:line="259" w:lineRule="auto"/>
        <w:rPr>
          <w:rFonts w:ascii="Arial" w:eastAsia="Calibri" w:hAnsi="Arial" w:cs="Arial"/>
          <w:lang w:eastAsia="x-none"/>
        </w:rPr>
      </w:pPr>
      <w:r w:rsidRPr="00022822">
        <w:rPr>
          <w:rFonts w:ascii="Arial" w:eastAsia="Calibri" w:hAnsi="Arial" w:cs="Arial"/>
          <w:lang w:eastAsia="x-none"/>
        </w:rPr>
        <w:br w:type="page"/>
      </w:r>
    </w:p>
    <w:p w14:paraId="0D299B96" w14:textId="77777777" w:rsidR="00D20C7C" w:rsidRPr="00022822" w:rsidRDefault="00D20C7C" w:rsidP="00D20C7C">
      <w:pPr>
        <w:spacing w:after="0" w:line="240" w:lineRule="auto"/>
        <w:contextualSpacing/>
        <w:rPr>
          <w:rFonts w:ascii="Arial" w:eastAsia="Calibri" w:hAnsi="Arial" w:cs="Arial"/>
          <w:lang w:eastAsia="x-none"/>
        </w:rPr>
      </w:pPr>
    </w:p>
    <w:p w14:paraId="104272C8" w14:textId="77777777" w:rsidR="00D20C7C" w:rsidRPr="00022822" w:rsidRDefault="00D20C7C" w:rsidP="00D20C7C">
      <w:pPr>
        <w:spacing w:after="160" w:line="259" w:lineRule="auto"/>
        <w:contextualSpacing/>
        <w:rPr>
          <w:rFonts w:ascii="Arial" w:eastAsia="Calibri" w:hAnsi="Arial" w:cs="Arial"/>
          <w:b/>
          <w:u w:val="single"/>
        </w:rPr>
      </w:pPr>
      <w:bookmarkStart w:id="4" w:name="_Hlk536691455"/>
      <w:bookmarkEnd w:id="1"/>
      <w:r w:rsidRPr="00022822">
        <w:rPr>
          <w:rFonts w:ascii="Arial" w:eastAsia="Calibri" w:hAnsi="Arial" w:cs="Arial"/>
          <w:b/>
          <w:u w:val="single"/>
        </w:rPr>
        <w:t xml:space="preserve">Version: </w:t>
      </w:r>
    </w:p>
    <w:tbl>
      <w:tblPr>
        <w:tblW w:w="17120" w:type="dxa"/>
        <w:tblLook w:val="04A0" w:firstRow="1" w:lastRow="0" w:firstColumn="1" w:lastColumn="0" w:noHBand="0" w:noVBand="1"/>
      </w:tblPr>
      <w:tblGrid>
        <w:gridCol w:w="2700"/>
        <w:gridCol w:w="2400"/>
        <w:gridCol w:w="2140"/>
        <w:gridCol w:w="1240"/>
        <w:gridCol w:w="960"/>
        <w:gridCol w:w="960"/>
        <w:gridCol w:w="960"/>
        <w:gridCol w:w="960"/>
        <w:gridCol w:w="960"/>
        <w:gridCol w:w="960"/>
        <w:gridCol w:w="960"/>
        <w:gridCol w:w="960"/>
        <w:gridCol w:w="960"/>
      </w:tblGrid>
      <w:tr w:rsidR="00D20C7C" w:rsidRPr="00022822" w14:paraId="05BA7C03" w14:textId="77777777" w:rsidTr="000E06D3">
        <w:trPr>
          <w:trHeight w:val="300"/>
        </w:trPr>
        <w:tc>
          <w:tcPr>
            <w:tcW w:w="2700" w:type="dxa"/>
            <w:tcBorders>
              <w:top w:val="single" w:sz="4" w:space="0" w:color="auto"/>
              <w:left w:val="single" w:sz="8" w:space="0" w:color="auto"/>
              <w:right w:val="single" w:sz="4" w:space="0" w:color="auto"/>
            </w:tcBorders>
            <w:shd w:val="clear" w:color="auto" w:fill="auto"/>
            <w:noWrap/>
            <w:vAlign w:val="bottom"/>
            <w:hideMark/>
          </w:tcPr>
          <w:p w14:paraId="603A195A"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Document version number</w:t>
            </w:r>
          </w:p>
        </w:tc>
        <w:tc>
          <w:tcPr>
            <w:tcW w:w="4540" w:type="dxa"/>
            <w:gridSpan w:val="2"/>
            <w:tcBorders>
              <w:top w:val="single" w:sz="4" w:space="0" w:color="auto"/>
              <w:left w:val="nil"/>
              <w:right w:val="single" w:sz="8" w:space="0" w:color="000000"/>
            </w:tcBorders>
            <w:shd w:val="clear" w:color="auto" w:fill="auto"/>
            <w:noWrap/>
            <w:vAlign w:val="bottom"/>
            <w:hideMark/>
          </w:tcPr>
          <w:p w14:paraId="2FEB8277"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v1.0</w:t>
            </w:r>
          </w:p>
        </w:tc>
        <w:tc>
          <w:tcPr>
            <w:tcW w:w="1240" w:type="dxa"/>
            <w:tcBorders>
              <w:top w:val="nil"/>
              <w:left w:val="nil"/>
              <w:bottom w:val="nil"/>
              <w:right w:val="nil"/>
            </w:tcBorders>
            <w:shd w:val="clear" w:color="auto" w:fill="auto"/>
            <w:noWrap/>
            <w:vAlign w:val="bottom"/>
            <w:hideMark/>
          </w:tcPr>
          <w:p w14:paraId="78F8D0DD"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7C71B2F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0EC3B6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1AF876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5EA61F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BBD4222"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69EE08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81779A5"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7A2A56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5B040FF" w14:textId="77777777" w:rsidR="00D20C7C" w:rsidRPr="00022822" w:rsidRDefault="00D20C7C" w:rsidP="000E06D3">
            <w:pPr>
              <w:spacing w:after="0" w:line="240" w:lineRule="auto"/>
              <w:rPr>
                <w:rFonts w:ascii="Arial" w:eastAsia="Times New Roman" w:hAnsi="Arial" w:cs="Arial"/>
              </w:rPr>
            </w:pPr>
          </w:p>
        </w:tc>
      </w:tr>
      <w:tr w:rsidR="00D20C7C" w:rsidRPr="00022822" w14:paraId="34B175B4" w14:textId="77777777" w:rsidTr="000E06D3">
        <w:trPr>
          <w:trHeight w:val="300"/>
        </w:trPr>
        <w:tc>
          <w:tcPr>
            <w:tcW w:w="2700" w:type="dxa"/>
            <w:tcBorders>
              <w:left w:val="single" w:sz="8" w:space="0" w:color="auto"/>
              <w:bottom w:val="single" w:sz="4" w:space="0" w:color="auto"/>
              <w:right w:val="single" w:sz="4" w:space="0" w:color="auto"/>
            </w:tcBorders>
            <w:shd w:val="clear" w:color="auto" w:fill="auto"/>
            <w:noWrap/>
            <w:vAlign w:val="bottom"/>
            <w:hideMark/>
          </w:tcPr>
          <w:p w14:paraId="5E343EDA"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Date of most recent update</w:t>
            </w:r>
          </w:p>
        </w:tc>
        <w:tc>
          <w:tcPr>
            <w:tcW w:w="4540" w:type="dxa"/>
            <w:gridSpan w:val="2"/>
            <w:tcBorders>
              <w:left w:val="nil"/>
              <w:bottom w:val="single" w:sz="4" w:space="0" w:color="auto"/>
              <w:right w:val="single" w:sz="8" w:space="0" w:color="000000"/>
            </w:tcBorders>
            <w:shd w:val="clear" w:color="auto" w:fill="auto"/>
            <w:noWrap/>
            <w:vAlign w:val="bottom"/>
            <w:hideMark/>
          </w:tcPr>
          <w:p w14:paraId="155C2124"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3/11/19</w:t>
            </w:r>
          </w:p>
        </w:tc>
        <w:tc>
          <w:tcPr>
            <w:tcW w:w="1240" w:type="dxa"/>
            <w:tcBorders>
              <w:top w:val="nil"/>
              <w:left w:val="nil"/>
              <w:bottom w:val="nil"/>
              <w:right w:val="nil"/>
            </w:tcBorders>
            <w:shd w:val="clear" w:color="auto" w:fill="auto"/>
            <w:noWrap/>
            <w:vAlign w:val="bottom"/>
            <w:hideMark/>
          </w:tcPr>
          <w:p w14:paraId="0A7023CB"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0B19E1B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AF3E69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9E21DE5"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2A1E1E2"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7639981"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304D43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B4D059C"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4DD192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11A9ACD" w14:textId="77777777" w:rsidR="00D20C7C" w:rsidRPr="00022822" w:rsidRDefault="00D20C7C" w:rsidP="000E06D3">
            <w:pPr>
              <w:spacing w:after="0" w:line="240" w:lineRule="auto"/>
              <w:rPr>
                <w:rFonts w:ascii="Arial" w:eastAsia="Times New Roman" w:hAnsi="Arial" w:cs="Arial"/>
              </w:rPr>
            </w:pPr>
          </w:p>
        </w:tc>
      </w:tr>
      <w:tr w:rsidR="00D20C7C" w:rsidRPr="00022822" w14:paraId="1757AC0D" w14:textId="77777777" w:rsidTr="000E06D3">
        <w:trPr>
          <w:trHeight w:val="300"/>
        </w:trPr>
        <w:tc>
          <w:tcPr>
            <w:tcW w:w="2700" w:type="dxa"/>
            <w:tcBorders>
              <w:top w:val="nil"/>
              <w:left w:val="single" w:sz="8" w:space="0" w:color="auto"/>
              <w:bottom w:val="nil"/>
              <w:right w:val="nil"/>
            </w:tcBorders>
            <w:shd w:val="clear" w:color="auto" w:fill="auto"/>
            <w:noWrap/>
            <w:vAlign w:val="bottom"/>
            <w:hideMark/>
          </w:tcPr>
          <w:p w14:paraId="16FD3BF5"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 </w:t>
            </w:r>
          </w:p>
        </w:tc>
        <w:tc>
          <w:tcPr>
            <w:tcW w:w="2400" w:type="dxa"/>
            <w:tcBorders>
              <w:top w:val="nil"/>
              <w:left w:val="nil"/>
              <w:bottom w:val="nil"/>
              <w:right w:val="nil"/>
            </w:tcBorders>
            <w:shd w:val="clear" w:color="auto" w:fill="auto"/>
            <w:noWrap/>
            <w:vAlign w:val="bottom"/>
            <w:hideMark/>
          </w:tcPr>
          <w:p w14:paraId="0BF1D703" w14:textId="77777777" w:rsidR="00D20C7C" w:rsidRPr="00022822" w:rsidRDefault="00D20C7C" w:rsidP="000E06D3">
            <w:pPr>
              <w:spacing w:after="0" w:line="240" w:lineRule="auto"/>
              <w:rPr>
                <w:rFonts w:ascii="Arial" w:eastAsia="Times New Roman" w:hAnsi="Arial"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14:paraId="57D2399F"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 </w:t>
            </w:r>
          </w:p>
        </w:tc>
        <w:tc>
          <w:tcPr>
            <w:tcW w:w="1240" w:type="dxa"/>
            <w:tcBorders>
              <w:top w:val="nil"/>
              <w:left w:val="nil"/>
              <w:bottom w:val="nil"/>
              <w:right w:val="nil"/>
            </w:tcBorders>
            <w:shd w:val="clear" w:color="auto" w:fill="auto"/>
            <w:noWrap/>
            <w:vAlign w:val="bottom"/>
            <w:hideMark/>
          </w:tcPr>
          <w:p w14:paraId="36F9770F"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1B593C5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96B95F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F63FFF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A5F7028"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A5EAF09"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D6DB38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48D11EA"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2F52FF9"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33E47DC" w14:textId="77777777" w:rsidR="00D20C7C" w:rsidRPr="00022822" w:rsidRDefault="00D20C7C" w:rsidP="000E06D3">
            <w:pPr>
              <w:spacing w:after="0" w:line="240" w:lineRule="auto"/>
              <w:rPr>
                <w:rFonts w:ascii="Arial" w:eastAsia="Times New Roman" w:hAnsi="Arial" w:cs="Arial"/>
              </w:rPr>
            </w:pPr>
          </w:p>
        </w:tc>
      </w:tr>
      <w:tr w:rsidR="00D20C7C" w:rsidRPr="00022822" w14:paraId="6D17CF23" w14:textId="77777777" w:rsidTr="000E06D3">
        <w:trPr>
          <w:trHeight w:val="300"/>
        </w:trPr>
        <w:tc>
          <w:tcPr>
            <w:tcW w:w="2700" w:type="dxa"/>
            <w:tcBorders>
              <w:top w:val="nil"/>
              <w:left w:val="single" w:sz="8" w:space="0" w:color="auto"/>
              <w:bottom w:val="single" w:sz="4" w:space="0" w:color="auto"/>
              <w:right w:val="nil"/>
            </w:tcBorders>
            <w:shd w:val="clear" w:color="auto" w:fill="auto"/>
            <w:noWrap/>
            <w:vAlign w:val="bottom"/>
            <w:hideMark/>
          </w:tcPr>
          <w:p w14:paraId="19701C22" w14:textId="77777777" w:rsidR="00D20C7C" w:rsidRPr="00022822" w:rsidRDefault="00D20C7C" w:rsidP="000E06D3">
            <w:pPr>
              <w:spacing w:after="0" w:line="240" w:lineRule="auto"/>
              <w:rPr>
                <w:rFonts w:ascii="Arial" w:eastAsia="Times New Roman" w:hAnsi="Arial" w:cs="Arial"/>
                <w:b/>
                <w:bCs/>
                <w:color w:val="000000"/>
                <w:sz w:val="20"/>
                <w:szCs w:val="20"/>
              </w:rPr>
            </w:pPr>
            <w:r w:rsidRPr="00022822">
              <w:rPr>
                <w:rFonts w:ascii="Arial" w:eastAsia="Times New Roman" w:hAnsi="Arial" w:cs="Arial"/>
                <w:b/>
                <w:bCs/>
                <w:color w:val="000000"/>
                <w:sz w:val="20"/>
                <w:szCs w:val="20"/>
              </w:rPr>
              <w:t>Version Notes</w:t>
            </w:r>
          </w:p>
        </w:tc>
        <w:tc>
          <w:tcPr>
            <w:tcW w:w="2400" w:type="dxa"/>
            <w:tcBorders>
              <w:top w:val="nil"/>
              <w:left w:val="nil"/>
              <w:bottom w:val="nil"/>
              <w:right w:val="nil"/>
            </w:tcBorders>
            <w:shd w:val="clear" w:color="auto" w:fill="auto"/>
            <w:noWrap/>
            <w:vAlign w:val="bottom"/>
            <w:hideMark/>
          </w:tcPr>
          <w:p w14:paraId="7CF3FAAC" w14:textId="77777777" w:rsidR="00D20C7C" w:rsidRPr="00022822" w:rsidRDefault="00D20C7C" w:rsidP="000E06D3">
            <w:pPr>
              <w:spacing w:after="0" w:line="240" w:lineRule="auto"/>
              <w:rPr>
                <w:rFonts w:ascii="Arial" w:eastAsia="Times New Roman" w:hAnsi="Arial" w:cs="Arial"/>
                <w:b/>
                <w:bCs/>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14:paraId="36E48CC6"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 </w:t>
            </w:r>
          </w:p>
        </w:tc>
        <w:tc>
          <w:tcPr>
            <w:tcW w:w="1240" w:type="dxa"/>
            <w:tcBorders>
              <w:top w:val="nil"/>
              <w:left w:val="nil"/>
              <w:bottom w:val="nil"/>
              <w:right w:val="nil"/>
            </w:tcBorders>
            <w:shd w:val="clear" w:color="auto" w:fill="auto"/>
            <w:noWrap/>
            <w:vAlign w:val="bottom"/>
            <w:hideMark/>
          </w:tcPr>
          <w:p w14:paraId="78F95E2B"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119E9A73"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C97E6F3"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A83C275"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BC7D599"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C5A394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C544BC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8ED172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A9DC334"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15676CA" w14:textId="77777777" w:rsidR="00D20C7C" w:rsidRPr="00022822" w:rsidRDefault="00D20C7C" w:rsidP="000E06D3">
            <w:pPr>
              <w:spacing w:after="0" w:line="240" w:lineRule="auto"/>
              <w:rPr>
                <w:rFonts w:ascii="Arial" w:eastAsia="Times New Roman" w:hAnsi="Arial" w:cs="Arial"/>
              </w:rPr>
            </w:pPr>
          </w:p>
        </w:tc>
      </w:tr>
      <w:tr w:rsidR="00D20C7C" w:rsidRPr="00022822" w14:paraId="5EC7EA7B" w14:textId="77777777" w:rsidTr="000E06D3">
        <w:trPr>
          <w:trHeight w:val="413"/>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7274EA" w14:textId="77777777" w:rsidR="00D20C7C" w:rsidRPr="00022822" w:rsidRDefault="00D20C7C" w:rsidP="000E06D3">
            <w:pPr>
              <w:spacing w:after="0" w:line="240" w:lineRule="auto"/>
              <w:rPr>
                <w:rFonts w:ascii="Arial" w:eastAsia="Times New Roman" w:hAnsi="Arial" w:cs="Arial"/>
                <w:b/>
                <w:bCs/>
                <w:color w:val="000000"/>
                <w:sz w:val="20"/>
                <w:szCs w:val="20"/>
              </w:rPr>
            </w:pPr>
            <w:r w:rsidRPr="00022822">
              <w:rPr>
                <w:rFonts w:ascii="Arial" w:eastAsia="Times New Roman" w:hAnsi="Arial" w:cs="Arial"/>
                <w:b/>
                <w:bCs/>
                <w:color w:val="000000"/>
                <w:sz w:val="20"/>
                <w:szCs w:val="20"/>
              </w:rPr>
              <w:t>Date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52FC1C7C" w14:textId="77777777" w:rsidR="00D20C7C" w:rsidRPr="00022822" w:rsidRDefault="00D20C7C" w:rsidP="000E06D3">
            <w:pPr>
              <w:spacing w:after="0" w:line="240" w:lineRule="auto"/>
              <w:rPr>
                <w:rFonts w:ascii="Arial" w:eastAsia="Times New Roman" w:hAnsi="Arial" w:cs="Arial"/>
                <w:b/>
                <w:bCs/>
                <w:color w:val="000000"/>
                <w:sz w:val="20"/>
                <w:szCs w:val="20"/>
              </w:rPr>
            </w:pPr>
            <w:r w:rsidRPr="00022822">
              <w:rPr>
                <w:rFonts w:ascii="Arial" w:eastAsia="Times New Roman" w:hAnsi="Arial" w:cs="Arial"/>
                <w:b/>
                <w:bCs/>
                <w:color w:val="000000"/>
                <w:sz w:val="20"/>
                <w:szCs w:val="20"/>
              </w:rPr>
              <w:t xml:space="preserve">Section updated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14:paraId="2CDD94F8" w14:textId="77777777" w:rsidR="00D20C7C" w:rsidRPr="00022822" w:rsidRDefault="00D20C7C" w:rsidP="000E06D3">
            <w:pPr>
              <w:spacing w:after="0" w:line="240" w:lineRule="auto"/>
              <w:rPr>
                <w:rFonts w:ascii="Arial" w:eastAsia="Times New Roman" w:hAnsi="Arial" w:cs="Arial"/>
                <w:b/>
                <w:bCs/>
                <w:color w:val="000000"/>
                <w:sz w:val="20"/>
                <w:szCs w:val="20"/>
              </w:rPr>
            </w:pPr>
            <w:r w:rsidRPr="00022822">
              <w:rPr>
                <w:rFonts w:ascii="Arial" w:eastAsia="Times New Roman" w:hAnsi="Arial" w:cs="Arial"/>
                <w:b/>
                <w:bCs/>
                <w:color w:val="000000"/>
                <w:sz w:val="20"/>
                <w:szCs w:val="20"/>
              </w:rPr>
              <w:t>Change</w:t>
            </w:r>
          </w:p>
        </w:tc>
        <w:tc>
          <w:tcPr>
            <w:tcW w:w="1240" w:type="dxa"/>
            <w:tcBorders>
              <w:top w:val="nil"/>
              <w:left w:val="nil"/>
              <w:bottom w:val="nil"/>
              <w:right w:val="nil"/>
            </w:tcBorders>
            <w:shd w:val="clear" w:color="auto" w:fill="auto"/>
            <w:noWrap/>
            <w:vAlign w:val="bottom"/>
            <w:hideMark/>
          </w:tcPr>
          <w:p w14:paraId="4BA8B25A" w14:textId="77777777" w:rsidR="00D20C7C" w:rsidRPr="00022822" w:rsidRDefault="00D20C7C" w:rsidP="000E06D3">
            <w:pPr>
              <w:spacing w:after="0" w:line="240" w:lineRule="auto"/>
              <w:rPr>
                <w:rFonts w:ascii="Arial" w:eastAsia="Times New Roman" w:hAnsi="Arial" w:cs="Arial"/>
                <w:b/>
                <w:bCs/>
                <w:color w:val="000000"/>
              </w:rPr>
            </w:pPr>
          </w:p>
        </w:tc>
        <w:tc>
          <w:tcPr>
            <w:tcW w:w="960" w:type="dxa"/>
            <w:tcBorders>
              <w:top w:val="nil"/>
              <w:left w:val="nil"/>
              <w:bottom w:val="nil"/>
              <w:right w:val="nil"/>
            </w:tcBorders>
            <w:shd w:val="clear" w:color="auto" w:fill="auto"/>
            <w:noWrap/>
            <w:vAlign w:val="bottom"/>
            <w:hideMark/>
          </w:tcPr>
          <w:p w14:paraId="21CF12B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00EDA04"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4CEA0D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5FE678D"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BD74C48"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D9671FA"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F9F3532"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9C8B3E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3AA7E9C" w14:textId="77777777" w:rsidR="00D20C7C" w:rsidRPr="00022822" w:rsidRDefault="00D20C7C" w:rsidP="000E06D3">
            <w:pPr>
              <w:spacing w:after="0" w:line="240" w:lineRule="auto"/>
              <w:rPr>
                <w:rFonts w:ascii="Arial" w:eastAsia="Times New Roman" w:hAnsi="Arial" w:cs="Arial"/>
              </w:rPr>
            </w:pPr>
          </w:p>
        </w:tc>
      </w:tr>
      <w:tr w:rsidR="00D20C7C" w:rsidRPr="00022822" w14:paraId="216D0CBB" w14:textId="77777777" w:rsidTr="000E06D3">
        <w:trPr>
          <w:trHeight w:val="255"/>
        </w:trPr>
        <w:tc>
          <w:tcPr>
            <w:tcW w:w="2700" w:type="dxa"/>
            <w:tcBorders>
              <w:top w:val="single" w:sz="4" w:space="0" w:color="auto"/>
              <w:left w:val="single" w:sz="4" w:space="0" w:color="auto"/>
              <w:bottom w:val="single" w:sz="4" w:space="0" w:color="auto"/>
              <w:right w:val="nil"/>
            </w:tcBorders>
            <w:shd w:val="clear" w:color="auto" w:fill="auto"/>
            <w:noWrap/>
            <w:vAlign w:val="bottom"/>
            <w:hideMark/>
          </w:tcPr>
          <w:p w14:paraId="367B5949" w14:textId="77777777" w:rsidR="00D20C7C" w:rsidRPr="00022822" w:rsidRDefault="00D20C7C" w:rsidP="000E06D3">
            <w:pPr>
              <w:spacing w:after="0" w:line="240" w:lineRule="auto"/>
              <w:rPr>
                <w:rFonts w:ascii="Arial" w:eastAsia="Times New Roman" w:hAnsi="Arial" w:cs="Arial"/>
                <w:sz w:val="20"/>
                <w:szCs w:val="20"/>
              </w:rPr>
            </w:pPr>
            <w:r w:rsidRPr="00022822">
              <w:rPr>
                <w:rFonts w:ascii="Arial" w:eastAsia="Times New Roman" w:hAnsi="Arial" w:cs="Arial"/>
                <w:sz w:val="20"/>
                <w:szCs w:val="20"/>
              </w:rPr>
              <w:t>3/11/2019</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351D0EE0"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Initial Document Draft</w:t>
            </w:r>
          </w:p>
        </w:tc>
        <w:tc>
          <w:tcPr>
            <w:tcW w:w="2140" w:type="dxa"/>
            <w:tcBorders>
              <w:top w:val="nil"/>
              <w:left w:val="nil"/>
              <w:bottom w:val="single" w:sz="4" w:space="0" w:color="auto"/>
              <w:right w:val="single" w:sz="8" w:space="0" w:color="auto"/>
            </w:tcBorders>
            <w:shd w:val="clear" w:color="auto" w:fill="auto"/>
            <w:vAlign w:val="center"/>
            <w:hideMark/>
          </w:tcPr>
          <w:p w14:paraId="36D07A8C" w14:textId="77777777" w:rsidR="00D20C7C" w:rsidRPr="00022822" w:rsidRDefault="00D20C7C" w:rsidP="000E06D3">
            <w:pPr>
              <w:spacing w:after="0" w:line="240" w:lineRule="auto"/>
              <w:rPr>
                <w:rFonts w:ascii="Arial" w:eastAsia="Times New Roman" w:hAnsi="Arial" w:cs="Arial"/>
                <w:color w:val="000000"/>
                <w:sz w:val="20"/>
                <w:szCs w:val="20"/>
              </w:rPr>
            </w:pPr>
            <w:r w:rsidRPr="00022822">
              <w:rPr>
                <w:rFonts w:ascii="Arial" w:eastAsia="Times New Roman" w:hAnsi="Arial" w:cs="Arial"/>
                <w:color w:val="000000"/>
                <w:sz w:val="20"/>
                <w:szCs w:val="20"/>
              </w:rPr>
              <w:t>Original</w:t>
            </w:r>
          </w:p>
        </w:tc>
        <w:tc>
          <w:tcPr>
            <w:tcW w:w="1240" w:type="dxa"/>
            <w:tcBorders>
              <w:top w:val="nil"/>
              <w:left w:val="nil"/>
              <w:bottom w:val="nil"/>
              <w:right w:val="nil"/>
            </w:tcBorders>
            <w:shd w:val="clear" w:color="auto" w:fill="auto"/>
            <w:noWrap/>
            <w:vAlign w:val="bottom"/>
            <w:hideMark/>
          </w:tcPr>
          <w:p w14:paraId="76FA1829"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737DCBC9"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BFFD7A1"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1000DD5"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A1F961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8CEF2C4"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643F1F8"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7A6636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53F412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6B24E28" w14:textId="77777777" w:rsidR="00D20C7C" w:rsidRPr="00022822" w:rsidRDefault="00D20C7C" w:rsidP="000E06D3">
            <w:pPr>
              <w:spacing w:after="0" w:line="240" w:lineRule="auto"/>
              <w:rPr>
                <w:rFonts w:ascii="Arial" w:eastAsia="Times New Roman" w:hAnsi="Arial" w:cs="Arial"/>
              </w:rPr>
            </w:pPr>
          </w:p>
        </w:tc>
      </w:tr>
      <w:tr w:rsidR="00D20C7C" w:rsidRPr="00022822" w14:paraId="4BF6883C" w14:textId="77777777" w:rsidTr="000E06D3">
        <w:trPr>
          <w:trHeight w:val="300"/>
        </w:trPr>
        <w:tc>
          <w:tcPr>
            <w:tcW w:w="2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8E1E40"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A2B5F8E"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140" w:type="dxa"/>
            <w:tcBorders>
              <w:top w:val="nil"/>
              <w:left w:val="nil"/>
              <w:bottom w:val="single" w:sz="4" w:space="0" w:color="auto"/>
              <w:right w:val="single" w:sz="8" w:space="0" w:color="auto"/>
            </w:tcBorders>
            <w:shd w:val="clear" w:color="auto" w:fill="auto"/>
            <w:noWrap/>
            <w:vAlign w:val="bottom"/>
            <w:hideMark/>
          </w:tcPr>
          <w:p w14:paraId="2CFDB06A"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240" w:type="dxa"/>
            <w:tcBorders>
              <w:top w:val="nil"/>
              <w:left w:val="nil"/>
              <w:bottom w:val="nil"/>
              <w:right w:val="nil"/>
            </w:tcBorders>
            <w:shd w:val="clear" w:color="auto" w:fill="auto"/>
            <w:noWrap/>
            <w:vAlign w:val="bottom"/>
            <w:hideMark/>
          </w:tcPr>
          <w:p w14:paraId="1B65A694"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25B44DF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111FBA2D"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93601B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7ED0AF1"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BC9BF9A"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5C8611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342A47F"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EAD8BD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2DB23BB" w14:textId="77777777" w:rsidR="00D20C7C" w:rsidRPr="00022822" w:rsidRDefault="00D20C7C" w:rsidP="000E06D3">
            <w:pPr>
              <w:spacing w:after="0" w:line="240" w:lineRule="auto"/>
              <w:rPr>
                <w:rFonts w:ascii="Arial" w:eastAsia="Times New Roman" w:hAnsi="Arial" w:cs="Arial"/>
              </w:rPr>
            </w:pPr>
          </w:p>
        </w:tc>
      </w:tr>
      <w:tr w:rsidR="00D20C7C" w:rsidRPr="00022822" w14:paraId="61EEB5F5" w14:textId="77777777" w:rsidTr="000E06D3">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4BD554B1"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521EDD8C"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140" w:type="dxa"/>
            <w:tcBorders>
              <w:top w:val="nil"/>
              <w:left w:val="nil"/>
              <w:bottom w:val="single" w:sz="4" w:space="0" w:color="auto"/>
              <w:right w:val="single" w:sz="8" w:space="0" w:color="auto"/>
            </w:tcBorders>
            <w:shd w:val="clear" w:color="auto" w:fill="auto"/>
            <w:noWrap/>
            <w:vAlign w:val="bottom"/>
            <w:hideMark/>
          </w:tcPr>
          <w:p w14:paraId="05261622"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240" w:type="dxa"/>
            <w:tcBorders>
              <w:top w:val="nil"/>
              <w:left w:val="nil"/>
              <w:bottom w:val="nil"/>
              <w:right w:val="nil"/>
            </w:tcBorders>
            <w:shd w:val="clear" w:color="auto" w:fill="auto"/>
            <w:noWrap/>
            <w:vAlign w:val="bottom"/>
            <w:hideMark/>
          </w:tcPr>
          <w:p w14:paraId="212BDAC3"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2A743E7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88D039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4D09A9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1C6822C"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77C8F21"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08BA0DA"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7A6D06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15967137"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7820460" w14:textId="77777777" w:rsidR="00D20C7C" w:rsidRPr="00022822" w:rsidRDefault="00D20C7C" w:rsidP="000E06D3">
            <w:pPr>
              <w:spacing w:after="0" w:line="240" w:lineRule="auto"/>
              <w:rPr>
                <w:rFonts w:ascii="Arial" w:eastAsia="Times New Roman" w:hAnsi="Arial" w:cs="Arial"/>
              </w:rPr>
            </w:pPr>
          </w:p>
        </w:tc>
      </w:tr>
      <w:tr w:rsidR="00D20C7C" w:rsidRPr="00022822" w14:paraId="37EDC491" w14:textId="77777777" w:rsidTr="000E06D3">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1DC7651A"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57E5BE8"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140" w:type="dxa"/>
            <w:tcBorders>
              <w:top w:val="nil"/>
              <w:left w:val="nil"/>
              <w:bottom w:val="single" w:sz="4" w:space="0" w:color="auto"/>
              <w:right w:val="single" w:sz="8" w:space="0" w:color="auto"/>
            </w:tcBorders>
            <w:shd w:val="clear" w:color="auto" w:fill="auto"/>
            <w:noWrap/>
            <w:vAlign w:val="bottom"/>
            <w:hideMark/>
          </w:tcPr>
          <w:p w14:paraId="5B98955E"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240" w:type="dxa"/>
            <w:tcBorders>
              <w:top w:val="nil"/>
              <w:left w:val="nil"/>
              <w:bottom w:val="nil"/>
              <w:right w:val="nil"/>
            </w:tcBorders>
            <w:shd w:val="clear" w:color="auto" w:fill="auto"/>
            <w:noWrap/>
            <w:vAlign w:val="bottom"/>
            <w:hideMark/>
          </w:tcPr>
          <w:p w14:paraId="07A718EF"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30743DE0"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67684ED"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BD66E09"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C482583"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6D3EF0D"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B86A51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778DF6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31FC0D8"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5436086B" w14:textId="77777777" w:rsidR="00D20C7C" w:rsidRPr="00022822" w:rsidRDefault="00D20C7C" w:rsidP="000E06D3">
            <w:pPr>
              <w:spacing w:after="0" w:line="240" w:lineRule="auto"/>
              <w:rPr>
                <w:rFonts w:ascii="Arial" w:eastAsia="Times New Roman" w:hAnsi="Arial" w:cs="Arial"/>
              </w:rPr>
            </w:pPr>
          </w:p>
        </w:tc>
      </w:tr>
      <w:tr w:rsidR="00D20C7C" w:rsidRPr="00022822" w14:paraId="7B260E20" w14:textId="77777777" w:rsidTr="000E06D3">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79AC465"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476D28BD"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140" w:type="dxa"/>
            <w:tcBorders>
              <w:top w:val="nil"/>
              <w:left w:val="nil"/>
              <w:bottom w:val="single" w:sz="4" w:space="0" w:color="auto"/>
              <w:right w:val="single" w:sz="8" w:space="0" w:color="auto"/>
            </w:tcBorders>
            <w:shd w:val="clear" w:color="auto" w:fill="auto"/>
            <w:noWrap/>
            <w:vAlign w:val="bottom"/>
            <w:hideMark/>
          </w:tcPr>
          <w:p w14:paraId="41C0B087"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240" w:type="dxa"/>
            <w:tcBorders>
              <w:top w:val="nil"/>
              <w:left w:val="nil"/>
              <w:bottom w:val="nil"/>
              <w:right w:val="nil"/>
            </w:tcBorders>
            <w:shd w:val="clear" w:color="auto" w:fill="auto"/>
            <w:noWrap/>
            <w:vAlign w:val="bottom"/>
            <w:hideMark/>
          </w:tcPr>
          <w:p w14:paraId="18410B07"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1250D92C"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2A8275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7FA94A4"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3253576"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7580E08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C33AEFB"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15CCB5B8"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96401EC"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CAAAFC6" w14:textId="77777777" w:rsidR="00D20C7C" w:rsidRPr="00022822" w:rsidRDefault="00D20C7C" w:rsidP="000E06D3">
            <w:pPr>
              <w:spacing w:after="0" w:line="240" w:lineRule="auto"/>
              <w:rPr>
                <w:rFonts w:ascii="Arial" w:eastAsia="Times New Roman" w:hAnsi="Arial" w:cs="Arial"/>
              </w:rPr>
            </w:pPr>
          </w:p>
        </w:tc>
      </w:tr>
      <w:tr w:rsidR="00D20C7C" w:rsidRPr="00022822" w14:paraId="08E92994" w14:textId="77777777" w:rsidTr="000E06D3">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7DF8E199"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4FF3B413"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2140" w:type="dxa"/>
            <w:tcBorders>
              <w:top w:val="nil"/>
              <w:left w:val="nil"/>
              <w:bottom w:val="single" w:sz="4" w:space="0" w:color="auto"/>
              <w:right w:val="single" w:sz="8" w:space="0" w:color="auto"/>
            </w:tcBorders>
            <w:shd w:val="clear" w:color="auto" w:fill="auto"/>
            <w:noWrap/>
            <w:vAlign w:val="bottom"/>
            <w:hideMark/>
          </w:tcPr>
          <w:p w14:paraId="535022BB" w14:textId="77777777" w:rsidR="00D20C7C" w:rsidRPr="00022822" w:rsidRDefault="00D20C7C" w:rsidP="000E06D3">
            <w:pPr>
              <w:spacing w:after="0" w:line="240" w:lineRule="auto"/>
              <w:rPr>
                <w:rFonts w:ascii="Arial" w:eastAsia="Times New Roman" w:hAnsi="Arial" w:cs="Arial"/>
                <w:color w:val="000000"/>
              </w:rPr>
            </w:pPr>
            <w:r w:rsidRPr="00022822">
              <w:rPr>
                <w:rFonts w:ascii="Arial" w:eastAsia="Times New Roman" w:hAnsi="Arial" w:cs="Arial"/>
                <w:color w:val="000000"/>
              </w:rPr>
              <w:t> </w:t>
            </w:r>
          </w:p>
        </w:tc>
        <w:tc>
          <w:tcPr>
            <w:tcW w:w="1240" w:type="dxa"/>
            <w:tcBorders>
              <w:top w:val="nil"/>
              <w:left w:val="nil"/>
              <w:bottom w:val="nil"/>
              <w:right w:val="nil"/>
            </w:tcBorders>
            <w:shd w:val="clear" w:color="auto" w:fill="auto"/>
            <w:noWrap/>
            <w:vAlign w:val="bottom"/>
            <w:hideMark/>
          </w:tcPr>
          <w:p w14:paraId="44513401" w14:textId="77777777" w:rsidR="00D20C7C" w:rsidRPr="00022822" w:rsidRDefault="00D20C7C" w:rsidP="000E06D3">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14:paraId="7A44DC8E"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3ECE3DC1"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923ECDC"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42425BEF"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6CDB984"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1D52C0B1"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0AB70193"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29C40B84" w14:textId="77777777" w:rsidR="00D20C7C" w:rsidRPr="00022822" w:rsidRDefault="00D20C7C" w:rsidP="000E06D3">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14:paraId="60FA99BF" w14:textId="77777777" w:rsidR="00D20C7C" w:rsidRPr="00022822" w:rsidRDefault="00D20C7C" w:rsidP="000E06D3">
            <w:pPr>
              <w:spacing w:after="0" w:line="240" w:lineRule="auto"/>
              <w:rPr>
                <w:rFonts w:ascii="Arial" w:eastAsia="Times New Roman" w:hAnsi="Arial" w:cs="Arial"/>
              </w:rPr>
            </w:pPr>
          </w:p>
        </w:tc>
      </w:tr>
    </w:tbl>
    <w:p w14:paraId="73ECC989" w14:textId="77777777" w:rsidR="00D20C7C" w:rsidRPr="00022822" w:rsidRDefault="00D20C7C" w:rsidP="00D20C7C">
      <w:pPr>
        <w:tabs>
          <w:tab w:val="left" w:pos="5160"/>
          <w:tab w:val="left" w:pos="6373"/>
          <w:tab w:val="left" w:pos="7507"/>
        </w:tabs>
        <w:spacing w:after="0" w:line="240" w:lineRule="auto"/>
        <w:rPr>
          <w:rFonts w:ascii="Arial" w:eastAsia="Calibri" w:hAnsi="Arial" w:cs="Arial"/>
          <w:b/>
        </w:rPr>
      </w:pPr>
    </w:p>
    <w:bookmarkEnd w:id="4"/>
    <w:p w14:paraId="5DFC8481" w14:textId="77777777" w:rsidR="00D20C7C" w:rsidRPr="00022822" w:rsidRDefault="00D20C7C" w:rsidP="00D20C7C">
      <w:pPr>
        <w:spacing w:after="0" w:line="240" w:lineRule="auto"/>
        <w:contextualSpacing/>
        <w:rPr>
          <w:rFonts w:ascii="Arial" w:eastAsia="Calibri" w:hAnsi="Arial" w:cs="Arial"/>
          <w:lang w:eastAsia="x-none"/>
        </w:rPr>
      </w:pPr>
    </w:p>
    <w:sectPr w:rsidR="00D20C7C" w:rsidRPr="00022822" w:rsidSect="009C4988">
      <w:type w:val="continuous"/>
      <w:pgSz w:w="15840" w:h="12240" w:orient="landscape"/>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241A" w14:textId="77777777" w:rsidR="000E06D3" w:rsidRDefault="000E06D3" w:rsidP="00366B9C">
      <w:pPr>
        <w:spacing w:after="0" w:line="240" w:lineRule="auto"/>
      </w:pPr>
      <w:r>
        <w:separator/>
      </w:r>
    </w:p>
  </w:endnote>
  <w:endnote w:type="continuationSeparator" w:id="0">
    <w:p w14:paraId="42795886" w14:textId="77777777" w:rsidR="000E06D3" w:rsidRDefault="000E06D3" w:rsidP="0036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4DA1" w14:textId="0B7EEFE1" w:rsidR="009C4988" w:rsidRPr="009C4988" w:rsidRDefault="009C4988" w:rsidP="009C4988">
    <w:pPr>
      <w:pStyle w:val="Footer"/>
      <w:pBdr>
        <w:top w:val="single" w:sz="4" w:space="1" w:color="auto"/>
      </w:pBdr>
      <w:rPr>
        <w:sz w:val="18"/>
        <w:szCs w:val="18"/>
      </w:rPr>
    </w:pPr>
    <w:r w:rsidRPr="009C4988">
      <w:rPr>
        <w:sz w:val="18"/>
        <w:szCs w:val="18"/>
      </w:rPr>
      <w:t>Provider Operations</w:t>
    </w:r>
    <w:r w:rsidRPr="009C4988">
      <w:rPr>
        <w:sz w:val="18"/>
        <w:szCs w:val="18"/>
      </w:rPr>
      <w:ptab w:relativeTo="margin" w:alignment="center" w:leader="none"/>
    </w:r>
    <w:r w:rsidRPr="009C4988">
      <w:rPr>
        <w:b/>
        <w:bCs/>
        <w:sz w:val="18"/>
        <w:szCs w:val="18"/>
      </w:rPr>
      <w:fldChar w:fldCharType="begin"/>
    </w:r>
    <w:r w:rsidRPr="009C4988">
      <w:rPr>
        <w:b/>
        <w:bCs/>
        <w:sz w:val="18"/>
        <w:szCs w:val="18"/>
      </w:rPr>
      <w:instrText xml:space="preserve"> PAGE  \* Arabic  \* MERGEFORMAT </w:instrText>
    </w:r>
    <w:r w:rsidRPr="009C4988">
      <w:rPr>
        <w:b/>
        <w:bCs/>
        <w:sz w:val="18"/>
        <w:szCs w:val="18"/>
      </w:rPr>
      <w:fldChar w:fldCharType="separate"/>
    </w:r>
    <w:r w:rsidRPr="009C4988">
      <w:rPr>
        <w:b/>
        <w:bCs/>
        <w:noProof/>
        <w:sz w:val="18"/>
        <w:szCs w:val="18"/>
      </w:rPr>
      <w:t>1</w:t>
    </w:r>
    <w:r w:rsidRPr="009C4988">
      <w:rPr>
        <w:b/>
        <w:bCs/>
        <w:sz w:val="18"/>
        <w:szCs w:val="18"/>
      </w:rPr>
      <w:fldChar w:fldCharType="end"/>
    </w:r>
    <w:r w:rsidRPr="009C4988">
      <w:rPr>
        <w:sz w:val="18"/>
        <w:szCs w:val="18"/>
      </w:rPr>
      <w:t xml:space="preserve"> of </w:t>
    </w:r>
    <w:r w:rsidRPr="009C4988">
      <w:rPr>
        <w:b/>
        <w:bCs/>
        <w:sz w:val="18"/>
        <w:szCs w:val="18"/>
      </w:rPr>
      <w:fldChar w:fldCharType="begin"/>
    </w:r>
    <w:r w:rsidRPr="009C4988">
      <w:rPr>
        <w:b/>
        <w:bCs/>
        <w:sz w:val="18"/>
        <w:szCs w:val="18"/>
      </w:rPr>
      <w:instrText xml:space="preserve"> NUMPAGES  \* Arabic  \* MERGEFORMAT </w:instrText>
    </w:r>
    <w:r w:rsidRPr="009C4988">
      <w:rPr>
        <w:b/>
        <w:bCs/>
        <w:sz w:val="18"/>
        <w:szCs w:val="18"/>
      </w:rPr>
      <w:fldChar w:fldCharType="separate"/>
    </w:r>
    <w:r w:rsidRPr="009C4988">
      <w:rPr>
        <w:b/>
        <w:bCs/>
        <w:noProof/>
        <w:sz w:val="18"/>
        <w:szCs w:val="18"/>
      </w:rPr>
      <w:t>2</w:t>
    </w:r>
    <w:r w:rsidRPr="009C4988">
      <w:rPr>
        <w:b/>
        <w:bCs/>
        <w:sz w:val="18"/>
        <w:szCs w:val="18"/>
      </w:rPr>
      <w:fldChar w:fldCharType="end"/>
    </w:r>
    <w:r w:rsidRPr="009C4988">
      <w:rPr>
        <w:sz w:val="18"/>
        <w:szCs w:val="18"/>
      </w:rPr>
      <w:ptab w:relativeTo="margin" w:alignment="right" w:leader="none"/>
    </w:r>
    <w:r w:rsidRPr="009C4988">
      <w:rPr>
        <w:sz w:val="18"/>
        <w:szCs w:val="18"/>
      </w:rPr>
      <w:t xml:space="preserve"> </w:t>
    </w:r>
    <w:r w:rsidRPr="009C4988">
      <w:rPr>
        <w:sz w:val="18"/>
        <w:szCs w:val="18"/>
      </w:rPr>
      <w:t>MEDICAID-PHPPRV-F003-20190311.v1.0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C383" w14:textId="77777777" w:rsidR="000E06D3" w:rsidRDefault="000E06D3" w:rsidP="00366B9C">
      <w:pPr>
        <w:spacing w:after="0" w:line="240" w:lineRule="auto"/>
      </w:pPr>
      <w:r>
        <w:separator/>
      </w:r>
    </w:p>
  </w:footnote>
  <w:footnote w:type="continuationSeparator" w:id="0">
    <w:p w14:paraId="38D859F6" w14:textId="77777777" w:rsidR="000E06D3" w:rsidRDefault="000E06D3" w:rsidP="00366B9C">
      <w:pPr>
        <w:spacing w:after="0" w:line="240" w:lineRule="auto"/>
      </w:pPr>
      <w:r>
        <w:continuationSeparator/>
      </w:r>
    </w:p>
  </w:footnote>
  <w:footnote w:id="1">
    <w:p w14:paraId="3F56F155" w14:textId="77777777" w:rsidR="000E06D3" w:rsidRPr="00494028" w:rsidRDefault="000E06D3" w:rsidP="00D20C7C">
      <w:pPr>
        <w:pStyle w:val="FootnoteText"/>
        <w:rPr>
          <w:rFonts w:ascii="Arial" w:hAnsi="Arial" w:cs="Arial"/>
          <w:sz w:val="18"/>
          <w:szCs w:val="18"/>
        </w:rPr>
      </w:pPr>
      <w:r>
        <w:rPr>
          <w:rStyle w:val="FootnoteReference"/>
        </w:rPr>
        <w:footnoteRef/>
      </w:r>
      <w:r w:rsidRPr="00494028">
        <w:rPr>
          <w:rFonts w:ascii="Arial" w:hAnsi="Arial" w:cs="Arial"/>
          <w:sz w:val="18"/>
          <w:szCs w:val="18"/>
        </w:rPr>
        <w:t>To embed files, click Insert, click Object, click Create from File, select the file, check Display as Icon, and click OK. Please place one file per cell in the table adding more lines in the table as necessary. (Attestation or Related Files column).</w:t>
      </w:r>
    </w:p>
  </w:footnote>
  <w:footnote w:id="2">
    <w:p w14:paraId="057524C5" w14:textId="77777777" w:rsidR="000E06D3" w:rsidRPr="00494028" w:rsidRDefault="000E06D3" w:rsidP="00D20C7C">
      <w:pPr>
        <w:pStyle w:val="FootnoteText"/>
        <w:rPr>
          <w:rFonts w:ascii="Arial" w:hAnsi="Arial" w:cs="Arial"/>
          <w:sz w:val="18"/>
          <w:szCs w:val="18"/>
        </w:rPr>
      </w:pPr>
      <w:r w:rsidRPr="00494028">
        <w:rPr>
          <w:rStyle w:val="FootnoteReference"/>
          <w:rFonts w:ascii="Arial" w:hAnsi="Arial" w:cs="Arial"/>
          <w:sz w:val="18"/>
          <w:szCs w:val="18"/>
        </w:rPr>
        <w:footnoteRef/>
      </w:r>
      <w:r w:rsidRPr="00494028">
        <w:rPr>
          <w:rFonts w:ascii="Arial" w:hAnsi="Arial" w:cs="Arial"/>
          <w:sz w:val="18"/>
          <w:szCs w:val="18"/>
        </w:rPr>
        <w:t xml:space="preserve"> Notes are not required, but should be included if they will aid DHHS in analyzing your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D1DC" w14:textId="7B5B9366" w:rsidR="000E06D3" w:rsidRPr="00366B9C" w:rsidRDefault="000E06D3" w:rsidP="00366B9C">
    <w:pPr>
      <w:pStyle w:val="Header"/>
    </w:pPr>
    <w:r>
      <w:rPr>
        <w:noProof/>
      </w:rPr>
      <w:drawing>
        <wp:inline distT="0" distB="0" distL="0" distR="0" wp14:anchorId="0332B4D5" wp14:editId="12A68C64">
          <wp:extent cx="8778240" cy="1328420"/>
          <wp:effectExtent l="0" t="0" r="3810" b="5080"/>
          <wp:docPr id="2" name="Picture 3">
            <a:extLst xmlns:a="http://schemas.openxmlformats.org/drawingml/2006/main">
              <a:ext uri="{FF2B5EF4-FFF2-40B4-BE49-F238E27FC236}">
                <a16:creationId xmlns:a16="http://schemas.microsoft.com/office/drawing/2014/main" id="{5D189400-99CB-46BB-A47C-ABE1AE2F5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5D189400-99CB-46BB-A47C-ABE1AE2F568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0" cy="132842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F04"/>
    <w:multiLevelType w:val="hybridMultilevel"/>
    <w:tmpl w:val="D1B4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1A11"/>
    <w:multiLevelType w:val="hybridMultilevel"/>
    <w:tmpl w:val="5710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7321"/>
    <w:multiLevelType w:val="hybridMultilevel"/>
    <w:tmpl w:val="4EE8A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402906"/>
    <w:multiLevelType w:val="hybridMultilevel"/>
    <w:tmpl w:val="2E6677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A6205"/>
    <w:multiLevelType w:val="hybridMultilevel"/>
    <w:tmpl w:val="5F8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62279"/>
    <w:multiLevelType w:val="hybridMultilevel"/>
    <w:tmpl w:val="BBEE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F401A"/>
    <w:multiLevelType w:val="hybridMultilevel"/>
    <w:tmpl w:val="F2F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18F5"/>
    <w:multiLevelType w:val="hybridMultilevel"/>
    <w:tmpl w:val="D48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A0F"/>
    <w:multiLevelType w:val="hybridMultilevel"/>
    <w:tmpl w:val="3976F6D8"/>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C6E25"/>
    <w:multiLevelType w:val="hybridMultilevel"/>
    <w:tmpl w:val="8F508F0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7A7A3F"/>
    <w:multiLevelType w:val="hybridMultilevel"/>
    <w:tmpl w:val="11A8B1E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F90DC3"/>
    <w:multiLevelType w:val="hybridMultilevel"/>
    <w:tmpl w:val="4B124BDC"/>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41A2F"/>
    <w:multiLevelType w:val="hybridMultilevel"/>
    <w:tmpl w:val="7102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8079B"/>
    <w:multiLevelType w:val="hybridMultilevel"/>
    <w:tmpl w:val="F692E78E"/>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2823"/>
    <w:multiLevelType w:val="hybridMultilevel"/>
    <w:tmpl w:val="5FF8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5978"/>
    <w:multiLevelType w:val="hybridMultilevel"/>
    <w:tmpl w:val="3B5EE80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86053A"/>
    <w:multiLevelType w:val="hybridMultilevel"/>
    <w:tmpl w:val="F8EE84AE"/>
    <w:lvl w:ilvl="0" w:tplc="31C6FB6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737C8"/>
    <w:multiLevelType w:val="hybridMultilevel"/>
    <w:tmpl w:val="2E6677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C50EA3"/>
    <w:multiLevelType w:val="hybridMultilevel"/>
    <w:tmpl w:val="493A93CE"/>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2248B"/>
    <w:multiLevelType w:val="hybridMultilevel"/>
    <w:tmpl w:val="418E4E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F5665"/>
    <w:multiLevelType w:val="hybridMultilevel"/>
    <w:tmpl w:val="0A58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54895"/>
    <w:multiLevelType w:val="hybridMultilevel"/>
    <w:tmpl w:val="26D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F765F"/>
    <w:multiLevelType w:val="hybridMultilevel"/>
    <w:tmpl w:val="C0F8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846A7"/>
    <w:multiLevelType w:val="hybridMultilevel"/>
    <w:tmpl w:val="73F2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66048"/>
    <w:multiLevelType w:val="hybridMultilevel"/>
    <w:tmpl w:val="0876F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E97A13"/>
    <w:multiLevelType w:val="hybridMultilevel"/>
    <w:tmpl w:val="0E5AE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600C32"/>
    <w:multiLevelType w:val="hybridMultilevel"/>
    <w:tmpl w:val="338258AE"/>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00CAA"/>
    <w:multiLevelType w:val="hybridMultilevel"/>
    <w:tmpl w:val="2362D7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E05CE6"/>
    <w:multiLevelType w:val="hybridMultilevel"/>
    <w:tmpl w:val="772EA914"/>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F1140"/>
    <w:multiLevelType w:val="hybridMultilevel"/>
    <w:tmpl w:val="0D0CD3A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3977E7"/>
    <w:multiLevelType w:val="hybridMultilevel"/>
    <w:tmpl w:val="5238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F24210"/>
    <w:multiLevelType w:val="hybridMultilevel"/>
    <w:tmpl w:val="3D4E3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497FA6"/>
    <w:multiLevelType w:val="hybridMultilevel"/>
    <w:tmpl w:val="8EDE50D2"/>
    <w:lvl w:ilvl="0" w:tplc="04090003">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546D1"/>
    <w:multiLevelType w:val="hybridMultilevel"/>
    <w:tmpl w:val="81EA51E0"/>
    <w:lvl w:ilvl="0" w:tplc="EBEC5B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0B2DCA"/>
    <w:multiLevelType w:val="hybridMultilevel"/>
    <w:tmpl w:val="C71E8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E205A"/>
    <w:multiLevelType w:val="hybridMultilevel"/>
    <w:tmpl w:val="8CA62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828FC"/>
    <w:multiLevelType w:val="hybridMultilevel"/>
    <w:tmpl w:val="BFEC7AD4"/>
    <w:lvl w:ilvl="0" w:tplc="6436F3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3"/>
  </w:num>
  <w:num w:numId="3">
    <w:abstractNumId w:val="28"/>
  </w:num>
  <w:num w:numId="4">
    <w:abstractNumId w:val="18"/>
  </w:num>
  <w:num w:numId="5">
    <w:abstractNumId w:val="8"/>
  </w:num>
  <w:num w:numId="6">
    <w:abstractNumId w:val="26"/>
  </w:num>
  <w:num w:numId="7">
    <w:abstractNumId w:val="32"/>
  </w:num>
  <w:num w:numId="8">
    <w:abstractNumId w:val="16"/>
  </w:num>
  <w:num w:numId="9">
    <w:abstractNumId w:val="7"/>
  </w:num>
  <w:num w:numId="10">
    <w:abstractNumId w:val="2"/>
  </w:num>
  <w:num w:numId="11">
    <w:abstractNumId w:val="2"/>
  </w:num>
  <w:num w:numId="12">
    <w:abstractNumId w:val="21"/>
  </w:num>
  <w:num w:numId="13">
    <w:abstractNumId w:val="24"/>
  </w:num>
  <w:num w:numId="14">
    <w:abstractNumId w:val="20"/>
  </w:num>
  <w:num w:numId="15">
    <w:abstractNumId w:val="34"/>
  </w:num>
  <w:num w:numId="16">
    <w:abstractNumId w:val="30"/>
  </w:num>
  <w:num w:numId="17">
    <w:abstractNumId w:val="14"/>
  </w:num>
  <w:num w:numId="18">
    <w:abstractNumId w:val="33"/>
  </w:num>
  <w:num w:numId="19">
    <w:abstractNumId w:val="36"/>
  </w:num>
  <w:num w:numId="20">
    <w:abstractNumId w:val="4"/>
  </w:num>
  <w:num w:numId="21">
    <w:abstractNumId w:val="35"/>
  </w:num>
  <w:num w:numId="22">
    <w:abstractNumId w:val="25"/>
  </w:num>
  <w:num w:numId="23">
    <w:abstractNumId w:val="23"/>
  </w:num>
  <w:num w:numId="24">
    <w:abstractNumId w:val="22"/>
  </w:num>
  <w:num w:numId="25">
    <w:abstractNumId w:val="12"/>
  </w:num>
  <w:num w:numId="26">
    <w:abstractNumId w:val="6"/>
  </w:num>
  <w:num w:numId="27">
    <w:abstractNumId w:val="1"/>
  </w:num>
  <w:num w:numId="28">
    <w:abstractNumId w:val="0"/>
  </w:num>
  <w:num w:numId="29">
    <w:abstractNumId w:val="15"/>
  </w:num>
  <w:num w:numId="30">
    <w:abstractNumId w:val="31"/>
  </w:num>
  <w:num w:numId="31">
    <w:abstractNumId w:val="27"/>
  </w:num>
  <w:num w:numId="32">
    <w:abstractNumId w:val="29"/>
  </w:num>
  <w:num w:numId="33">
    <w:abstractNumId w:val="9"/>
  </w:num>
  <w:num w:numId="34">
    <w:abstractNumId w:val="19"/>
  </w:num>
  <w:num w:numId="35">
    <w:abstractNumId w:val="3"/>
  </w:num>
  <w:num w:numId="36">
    <w:abstractNumId w:val="10"/>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D0"/>
    <w:rsid w:val="000069A9"/>
    <w:rsid w:val="000141B6"/>
    <w:rsid w:val="00022822"/>
    <w:rsid w:val="000266B3"/>
    <w:rsid w:val="00045604"/>
    <w:rsid w:val="00047621"/>
    <w:rsid w:val="00057CD7"/>
    <w:rsid w:val="00060651"/>
    <w:rsid w:val="000633BB"/>
    <w:rsid w:val="000968B5"/>
    <w:rsid w:val="000A20DB"/>
    <w:rsid w:val="000A437F"/>
    <w:rsid w:val="000B09D8"/>
    <w:rsid w:val="000B2309"/>
    <w:rsid w:val="000B2821"/>
    <w:rsid w:val="000E06D3"/>
    <w:rsid w:val="001071C0"/>
    <w:rsid w:val="00143F9E"/>
    <w:rsid w:val="001A09B2"/>
    <w:rsid w:val="001A34EC"/>
    <w:rsid w:val="001D6CF7"/>
    <w:rsid w:val="002441AC"/>
    <w:rsid w:val="00250AFA"/>
    <w:rsid w:val="002623D2"/>
    <w:rsid w:val="0026406F"/>
    <w:rsid w:val="00297FAA"/>
    <w:rsid w:val="002A606D"/>
    <w:rsid w:val="0033561D"/>
    <w:rsid w:val="00363EC2"/>
    <w:rsid w:val="00366B9C"/>
    <w:rsid w:val="003A24AB"/>
    <w:rsid w:val="003C2846"/>
    <w:rsid w:val="003D67B8"/>
    <w:rsid w:val="003E0564"/>
    <w:rsid w:val="003F79B8"/>
    <w:rsid w:val="004239D4"/>
    <w:rsid w:val="00454368"/>
    <w:rsid w:val="0047449E"/>
    <w:rsid w:val="00496B34"/>
    <w:rsid w:val="004A5660"/>
    <w:rsid w:val="004B1E97"/>
    <w:rsid w:val="004E2E4E"/>
    <w:rsid w:val="00515587"/>
    <w:rsid w:val="00522E48"/>
    <w:rsid w:val="00566FDA"/>
    <w:rsid w:val="005853E2"/>
    <w:rsid w:val="005B44EB"/>
    <w:rsid w:val="005B75FA"/>
    <w:rsid w:val="005C4B29"/>
    <w:rsid w:val="005C61FF"/>
    <w:rsid w:val="005E1BA2"/>
    <w:rsid w:val="005F71C6"/>
    <w:rsid w:val="00601195"/>
    <w:rsid w:val="0061299C"/>
    <w:rsid w:val="00617887"/>
    <w:rsid w:val="006221EB"/>
    <w:rsid w:val="0062739D"/>
    <w:rsid w:val="006300B3"/>
    <w:rsid w:val="00632D63"/>
    <w:rsid w:val="00646EF0"/>
    <w:rsid w:val="00663D9F"/>
    <w:rsid w:val="00673CAD"/>
    <w:rsid w:val="00681772"/>
    <w:rsid w:val="006905AE"/>
    <w:rsid w:val="006952BF"/>
    <w:rsid w:val="006A174D"/>
    <w:rsid w:val="006B7F76"/>
    <w:rsid w:val="006D1C84"/>
    <w:rsid w:val="00735F75"/>
    <w:rsid w:val="00740E0F"/>
    <w:rsid w:val="00741F57"/>
    <w:rsid w:val="00745110"/>
    <w:rsid w:val="00754920"/>
    <w:rsid w:val="00757A8F"/>
    <w:rsid w:val="007A2B5C"/>
    <w:rsid w:val="007A6390"/>
    <w:rsid w:val="007B2954"/>
    <w:rsid w:val="007F6707"/>
    <w:rsid w:val="00841B53"/>
    <w:rsid w:val="00844A64"/>
    <w:rsid w:val="00863B6B"/>
    <w:rsid w:val="0092546F"/>
    <w:rsid w:val="00942C24"/>
    <w:rsid w:val="00956F7F"/>
    <w:rsid w:val="00962B83"/>
    <w:rsid w:val="00973359"/>
    <w:rsid w:val="00975B12"/>
    <w:rsid w:val="009A253E"/>
    <w:rsid w:val="009B485A"/>
    <w:rsid w:val="009B4E37"/>
    <w:rsid w:val="009B5036"/>
    <w:rsid w:val="009B5544"/>
    <w:rsid w:val="009B5D94"/>
    <w:rsid w:val="009C4988"/>
    <w:rsid w:val="009F4B90"/>
    <w:rsid w:val="00A02897"/>
    <w:rsid w:val="00A259D0"/>
    <w:rsid w:val="00A342AB"/>
    <w:rsid w:val="00A932C3"/>
    <w:rsid w:val="00A937B0"/>
    <w:rsid w:val="00AB06CB"/>
    <w:rsid w:val="00AB1D58"/>
    <w:rsid w:val="00AC3917"/>
    <w:rsid w:val="00B079BD"/>
    <w:rsid w:val="00B25A21"/>
    <w:rsid w:val="00B300BB"/>
    <w:rsid w:val="00B310A9"/>
    <w:rsid w:val="00B3238E"/>
    <w:rsid w:val="00B50843"/>
    <w:rsid w:val="00B54E40"/>
    <w:rsid w:val="00B63FC0"/>
    <w:rsid w:val="00B83E46"/>
    <w:rsid w:val="00B9755D"/>
    <w:rsid w:val="00BC04D1"/>
    <w:rsid w:val="00BD0D06"/>
    <w:rsid w:val="00C010C6"/>
    <w:rsid w:val="00C100F2"/>
    <w:rsid w:val="00C44E7F"/>
    <w:rsid w:val="00C519BD"/>
    <w:rsid w:val="00C56A4C"/>
    <w:rsid w:val="00C56D7A"/>
    <w:rsid w:val="00C94905"/>
    <w:rsid w:val="00C97D92"/>
    <w:rsid w:val="00CA42BB"/>
    <w:rsid w:val="00CB2364"/>
    <w:rsid w:val="00CB58E4"/>
    <w:rsid w:val="00CC7B9F"/>
    <w:rsid w:val="00CD5334"/>
    <w:rsid w:val="00CF72A7"/>
    <w:rsid w:val="00D108D4"/>
    <w:rsid w:val="00D20C7C"/>
    <w:rsid w:val="00D25CEE"/>
    <w:rsid w:val="00D3308C"/>
    <w:rsid w:val="00D36FF8"/>
    <w:rsid w:val="00D8222C"/>
    <w:rsid w:val="00DA3323"/>
    <w:rsid w:val="00DD22A1"/>
    <w:rsid w:val="00E210BC"/>
    <w:rsid w:val="00E21B98"/>
    <w:rsid w:val="00E475A5"/>
    <w:rsid w:val="00E823F7"/>
    <w:rsid w:val="00EB1C71"/>
    <w:rsid w:val="00EB29EF"/>
    <w:rsid w:val="00ED006E"/>
    <w:rsid w:val="00EF3C15"/>
    <w:rsid w:val="00F03E6A"/>
    <w:rsid w:val="00F103C9"/>
    <w:rsid w:val="00F12DAB"/>
    <w:rsid w:val="00F4043A"/>
    <w:rsid w:val="00F47C08"/>
    <w:rsid w:val="00F708DC"/>
    <w:rsid w:val="00F7475E"/>
    <w:rsid w:val="00F74892"/>
    <w:rsid w:val="00F9234E"/>
    <w:rsid w:val="00FA589A"/>
    <w:rsid w:val="00FF10C8"/>
    <w:rsid w:val="5C23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A667D"/>
  <w15:docId w15:val="{3E883FA4-21EA-4C0A-B250-124EFCD4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C7C"/>
    <w:pPr>
      <w:keepNext/>
      <w:spacing w:after="0" w:line="240" w:lineRule="auto"/>
      <w:jc w:val="center"/>
      <w:outlineLvl w:val="0"/>
    </w:pPr>
    <w:rPr>
      <w:sz w:val="200"/>
      <w:szCs w:val="2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B6"/>
    <w:rPr>
      <w:rFonts w:ascii="Tahoma" w:hAnsi="Tahoma" w:cs="Tahoma"/>
      <w:sz w:val="16"/>
      <w:szCs w:val="16"/>
    </w:rPr>
  </w:style>
  <w:style w:type="paragraph" w:styleId="ListParagraph">
    <w:name w:val="List Paragraph"/>
    <w:aliases w:val="Proposal Bullet List,List Paragraph1,List Paragraph2,Body Bullet,TOC style,Paragraph,Lettre d'introduction,lp1,List Paragraph 1,Bullet Style,Bullet OSM,Bullet,Bullet List,FooterText,bl,Dot pt,F5 List Paragraph,No Spacing1,Indicator Text,3"/>
    <w:basedOn w:val="Normal"/>
    <w:link w:val="ListParagraphChar"/>
    <w:uiPriority w:val="34"/>
    <w:qFormat/>
    <w:rsid w:val="007A6390"/>
    <w:pPr>
      <w:ind w:left="720"/>
      <w:contextualSpacing/>
    </w:pPr>
  </w:style>
  <w:style w:type="paragraph" w:styleId="Header">
    <w:name w:val="header"/>
    <w:basedOn w:val="Normal"/>
    <w:link w:val="HeaderChar"/>
    <w:uiPriority w:val="99"/>
    <w:unhideWhenUsed/>
    <w:rsid w:val="0036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9C"/>
  </w:style>
  <w:style w:type="paragraph" w:styleId="Footer">
    <w:name w:val="footer"/>
    <w:basedOn w:val="Normal"/>
    <w:link w:val="FooterChar"/>
    <w:uiPriority w:val="99"/>
    <w:unhideWhenUsed/>
    <w:rsid w:val="0036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9C"/>
  </w:style>
  <w:style w:type="character" w:styleId="CommentReference">
    <w:name w:val="annotation reference"/>
    <w:basedOn w:val="DefaultParagraphFont"/>
    <w:uiPriority w:val="99"/>
    <w:semiHidden/>
    <w:unhideWhenUsed/>
    <w:rsid w:val="00601195"/>
    <w:rPr>
      <w:sz w:val="16"/>
      <w:szCs w:val="16"/>
    </w:rPr>
  </w:style>
  <w:style w:type="paragraph" w:styleId="CommentText">
    <w:name w:val="annotation text"/>
    <w:basedOn w:val="Normal"/>
    <w:link w:val="CommentTextChar"/>
    <w:uiPriority w:val="99"/>
    <w:semiHidden/>
    <w:unhideWhenUsed/>
    <w:rsid w:val="00601195"/>
    <w:pPr>
      <w:spacing w:line="240" w:lineRule="auto"/>
    </w:pPr>
    <w:rPr>
      <w:sz w:val="20"/>
      <w:szCs w:val="20"/>
    </w:rPr>
  </w:style>
  <w:style w:type="character" w:customStyle="1" w:styleId="CommentTextChar">
    <w:name w:val="Comment Text Char"/>
    <w:basedOn w:val="DefaultParagraphFont"/>
    <w:link w:val="CommentText"/>
    <w:uiPriority w:val="99"/>
    <w:semiHidden/>
    <w:rsid w:val="00601195"/>
    <w:rPr>
      <w:sz w:val="20"/>
      <w:szCs w:val="20"/>
    </w:rPr>
  </w:style>
  <w:style w:type="paragraph" w:styleId="CommentSubject">
    <w:name w:val="annotation subject"/>
    <w:basedOn w:val="CommentText"/>
    <w:next w:val="CommentText"/>
    <w:link w:val="CommentSubjectChar"/>
    <w:uiPriority w:val="99"/>
    <w:semiHidden/>
    <w:unhideWhenUsed/>
    <w:rsid w:val="00601195"/>
    <w:rPr>
      <w:b/>
      <w:bCs/>
    </w:rPr>
  </w:style>
  <w:style w:type="character" w:customStyle="1" w:styleId="CommentSubjectChar">
    <w:name w:val="Comment Subject Char"/>
    <w:basedOn w:val="CommentTextChar"/>
    <w:link w:val="CommentSubject"/>
    <w:uiPriority w:val="99"/>
    <w:semiHidden/>
    <w:rsid w:val="00601195"/>
    <w:rPr>
      <w:b/>
      <w:bCs/>
      <w:sz w:val="20"/>
      <w:szCs w:val="20"/>
    </w:rPr>
  </w:style>
  <w:style w:type="paragraph" w:styleId="NoSpacing">
    <w:name w:val="No Spacing"/>
    <w:uiPriority w:val="1"/>
    <w:qFormat/>
    <w:rsid w:val="00CD5334"/>
    <w:pPr>
      <w:spacing w:after="0" w:line="240" w:lineRule="auto"/>
    </w:pPr>
  </w:style>
  <w:style w:type="table" w:styleId="TableGrid">
    <w:name w:val="Table Grid"/>
    <w:aliases w:val="Bordure,Header Table Grid,Bordure1,Bordure2"/>
    <w:basedOn w:val="TableNormal"/>
    <w:uiPriority w:val="59"/>
    <w:rsid w:val="007A2B5C"/>
    <w:pPr>
      <w:spacing w:after="0" w:line="240" w:lineRule="auto"/>
    </w:pPr>
    <w:rPr>
      <w:rFonts w:ascii="Arial" w:eastAsia="Calibri" w:hAnsi="Arial" w:cs="Arial"/>
      <w:bCs/>
      <w:color w:val="000000" w:themeColor="text1"/>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next w:val="Normal"/>
    <w:qFormat/>
    <w:rsid w:val="007A2B5C"/>
    <w:pPr>
      <w:spacing w:before="240" w:after="120" w:line="240" w:lineRule="auto"/>
    </w:pPr>
    <w:rPr>
      <w:rFonts w:ascii="Arial" w:eastAsia="Calibri" w:hAnsi="Arial" w:cs="Arial"/>
      <w:b/>
      <w:color w:val="000000" w:themeColor="text1"/>
      <w:sz w:val="20"/>
      <w:szCs w:val="24"/>
    </w:rPr>
  </w:style>
  <w:style w:type="character" w:customStyle="1" w:styleId="Heading1Char">
    <w:name w:val="Heading 1 Char"/>
    <w:basedOn w:val="DefaultParagraphFont"/>
    <w:link w:val="Heading1"/>
    <w:uiPriority w:val="9"/>
    <w:rsid w:val="00D20C7C"/>
    <w:rPr>
      <w:color w:val="auto"/>
      <w:sz w:val="200"/>
      <w:szCs w:val="2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table" w:styleId="GridTable6Colorful-Accent3">
    <w:name w:val="Grid Table 6 Colorful Accent 3"/>
    <w:basedOn w:val="TableNormal"/>
    <w:uiPriority w:val="51"/>
    <w:rsid w:val="00D20C7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D20C7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D20C7C"/>
    <w:pPr>
      <w:spacing w:after="0" w:line="240" w:lineRule="auto"/>
    </w:pPr>
    <w:rPr>
      <w:sz w:val="20"/>
      <w:szCs w:val="20"/>
    </w:rPr>
  </w:style>
  <w:style w:type="character" w:customStyle="1" w:styleId="FootnoteTextChar">
    <w:name w:val="Footnote Text Char"/>
    <w:basedOn w:val="DefaultParagraphFont"/>
    <w:link w:val="FootnoteText"/>
    <w:uiPriority w:val="99"/>
    <w:rsid w:val="00D20C7C"/>
    <w:rPr>
      <w:sz w:val="20"/>
      <w:szCs w:val="20"/>
    </w:rPr>
  </w:style>
  <w:style w:type="character" w:styleId="FootnoteReference">
    <w:name w:val="footnote reference"/>
    <w:basedOn w:val="DefaultParagraphFont"/>
    <w:uiPriority w:val="99"/>
    <w:unhideWhenUsed/>
    <w:rsid w:val="00D20C7C"/>
    <w:rPr>
      <w:vertAlign w:val="superscript"/>
    </w:rPr>
  </w:style>
  <w:style w:type="paragraph" w:customStyle="1" w:styleId="TableParagraph">
    <w:name w:val="Table Paragraph"/>
    <w:basedOn w:val="Normal"/>
    <w:uiPriority w:val="1"/>
    <w:rsid w:val="00D20C7C"/>
    <w:pPr>
      <w:autoSpaceDE w:val="0"/>
      <w:autoSpaceDN w:val="0"/>
      <w:spacing w:after="0" w:line="240" w:lineRule="auto"/>
    </w:pPr>
    <w:rPr>
      <w:rFonts w:ascii="Calibri" w:hAnsi="Calibri" w:cs="Calibri"/>
    </w:rPr>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3 Char"/>
    <w:link w:val="ListParagraph"/>
    <w:uiPriority w:val="34"/>
    <w:locked/>
    <w:rsid w:val="00D2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14118">
      <w:bodyDiv w:val="1"/>
      <w:marLeft w:val="0"/>
      <w:marRight w:val="0"/>
      <w:marTop w:val="0"/>
      <w:marBottom w:val="0"/>
      <w:divBdr>
        <w:top w:val="none" w:sz="0" w:space="0" w:color="auto"/>
        <w:left w:val="none" w:sz="0" w:space="0" w:color="auto"/>
        <w:bottom w:val="none" w:sz="0" w:space="0" w:color="auto"/>
        <w:right w:val="none" w:sz="0" w:space="0" w:color="auto"/>
      </w:divBdr>
    </w:div>
    <w:div w:id="18092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6" ma:contentTypeDescription="Create a new document." ma:contentTypeScope="" ma:versionID="9c964b916a5ebb01e539498f76f97d6e">
  <xsd:schema xmlns:xsd="http://www.w3.org/2001/XMLSchema" xmlns:xs="http://www.w3.org/2001/XMLSchema" xmlns:p="http://schemas.microsoft.com/office/2006/metadata/properties" xmlns:ns2="140bd7d2-9b49-4074-96a7-398511fa7d55" targetNamespace="http://schemas.microsoft.com/office/2006/metadata/properties" ma:root="true" ma:fieldsID="0ad1e290794c4097a7a8743f3c674dd1" ns2:_="">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7308F-3E2B-45F2-ABCB-BB308287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8D51F-0B27-44AE-BA72-3F00CA34C7D4}">
  <ds:schemaRefs>
    <ds:schemaRef ds:uri="http://schemas.microsoft.com/sharepoint/v3/contenttype/forms"/>
  </ds:schemaRefs>
</ds:datastoreItem>
</file>

<file path=customXml/itemProps3.xml><?xml version="1.0" encoding="utf-8"?>
<ds:datastoreItem xmlns:ds="http://schemas.openxmlformats.org/officeDocument/2006/customXml" ds:itemID="{F1B8C28C-F90A-44FC-A7F4-D8937EFA4E6A}">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140bd7d2-9b49-4074-96a7-398511fa7d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138_REVISED_QAPI_Performance_Improvement_Projects_Outcomes_TEMPLATE091417</vt:lpstr>
    </vt:vector>
  </TitlesOfParts>
  <Company>DHH</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138_REVISED_QAPI_Performance_Improvement_Projects_Outcomes_TEMPLATE091417</dc:title>
  <dc:creator>Tonia Gedward</dc:creator>
  <cp:lastModifiedBy>Harris, Lynette D</cp:lastModifiedBy>
  <cp:revision>3</cp:revision>
  <cp:lastPrinted>2013-08-28T15:30:00Z</cp:lastPrinted>
  <dcterms:created xsi:type="dcterms:W3CDTF">2019-03-15T14:43:00Z</dcterms:created>
  <dcterms:modified xsi:type="dcterms:W3CDTF">2019-04-26T20:48:00Z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_dlc_DocIdItemGuid">
    <vt:lpwstr>4ed5dea0-63d1-436a-b39c-4c0cdc390bca</vt:lpwstr>
  </property>
  <property fmtid="{D5CDD505-2E9C-101B-9397-08002B2CF9AE}" pid="4" name="Order">
    <vt:r8>1648100</vt:r8>
  </property>
  <property fmtid="{D5CDD505-2E9C-101B-9397-08002B2CF9AE}" pid="5" name="Assigned To0">
    <vt:lpwstr>14541;#Piia Hanson</vt:lpwstr>
  </property>
  <property fmtid="{D5CDD505-2E9C-101B-9397-08002B2CF9AE}" pid="6" name="WorkflowChangePath">
    <vt:lpwstr>f0fb59c0-b9b5-47f5-91c7-03305fa9aef1,14;</vt:lpwstr>
  </property>
</Properties>
</file>