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DFFC" w14:textId="77777777" w:rsidR="00F20608" w:rsidRDefault="00F20608"/>
    <w:tbl>
      <w:tblPr>
        <w:tblStyle w:val="TableGrid"/>
        <w:tblW w:w="0" w:type="auto"/>
        <w:tblBorders>
          <w:top w:val="single" w:sz="4" w:space="0" w:color="0A5176"/>
          <w:left w:val="single" w:sz="4" w:space="0" w:color="0A5176"/>
          <w:bottom w:val="single" w:sz="4" w:space="0" w:color="0A5176"/>
          <w:right w:val="single" w:sz="4" w:space="0" w:color="0A5176"/>
          <w:insideH w:val="single" w:sz="4" w:space="0" w:color="0A5176"/>
          <w:insideV w:val="single" w:sz="4" w:space="0" w:color="0A5176"/>
        </w:tblBorders>
        <w:tblLook w:val="04A0" w:firstRow="1" w:lastRow="0" w:firstColumn="1" w:lastColumn="0" w:noHBand="0" w:noVBand="1"/>
      </w:tblPr>
      <w:tblGrid>
        <w:gridCol w:w="9350"/>
      </w:tblGrid>
      <w:tr w:rsidR="00F20608" w14:paraId="2B0EEA6D" w14:textId="77777777" w:rsidTr="00F20608">
        <w:tc>
          <w:tcPr>
            <w:tcW w:w="9576" w:type="dxa"/>
          </w:tcPr>
          <w:p w14:paraId="67A6B5AA" w14:textId="77777777" w:rsidR="00F20608" w:rsidRDefault="00F20608">
            <w:pPr>
              <w:rPr>
                <w:b/>
                <w:sz w:val="18"/>
                <w:szCs w:val="18"/>
              </w:rPr>
            </w:pPr>
          </w:p>
          <w:p w14:paraId="019422FD" w14:textId="77777777" w:rsidR="00F20608" w:rsidRDefault="00090BF6" w:rsidP="00090BF6">
            <w:pPr>
              <w:jc w:val="center"/>
              <w:rPr>
                <w:b/>
                <w:sz w:val="18"/>
                <w:szCs w:val="18"/>
              </w:rPr>
            </w:pPr>
            <w:r>
              <w:rPr>
                <w:b/>
                <w:noProof/>
                <w:sz w:val="18"/>
                <w:szCs w:val="18"/>
              </w:rPr>
              <w:drawing>
                <wp:inline distT="0" distB="0" distL="0" distR="0" wp14:anchorId="0E652375" wp14:editId="590DED6F">
                  <wp:extent cx="5162550" cy="401311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ntation report cover_1.jpg"/>
                          <pic:cNvPicPr/>
                        </pic:nvPicPr>
                        <pic:blipFill>
                          <a:blip r:embed="rId8">
                            <a:extLst>
                              <a:ext uri="{28A0092B-C50C-407E-A947-70E740481C1C}">
                                <a14:useLocalDpi xmlns:a14="http://schemas.microsoft.com/office/drawing/2010/main" val="0"/>
                              </a:ext>
                            </a:extLst>
                          </a:blip>
                          <a:stretch>
                            <a:fillRect/>
                          </a:stretch>
                        </pic:blipFill>
                        <pic:spPr>
                          <a:xfrm>
                            <a:off x="0" y="0"/>
                            <a:ext cx="5163260" cy="4013663"/>
                          </a:xfrm>
                          <a:prstGeom prst="rect">
                            <a:avLst/>
                          </a:prstGeom>
                        </pic:spPr>
                      </pic:pic>
                    </a:graphicData>
                  </a:graphic>
                </wp:inline>
              </w:drawing>
            </w:r>
          </w:p>
        </w:tc>
      </w:tr>
      <w:tr w:rsidR="00F20608" w14:paraId="2D805D06" w14:textId="77777777" w:rsidTr="003C189F">
        <w:tc>
          <w:tcPr>
            <w:tcW w:w="9576" w:type="dxa"/>
            <w:shd w:val="clear" w:color="auto" w:fill="CBDFE8"/>
          </w:tcPr>
          <w:p w14:paraId="76441902" w14:textId="3B2A15B1" w:rsidR="00F20608" w:rsidRPr="00750547" w:rsidRDefault="00F20608" w:rsidP="00750547">
            <w:pPr>
              <w:spacing w:before="120" w:after="120"/>
              <w:jc w:val="center"/>
              <w:rPr>
                <w:rFonts w:asciiTheme="minorHAnsi" w:hAnsiTheme="minorHAnsi" w:cs="Arial"/>
                <w:b/>
                <w:color w:val="0A5176"/>
                <w:spacing w:val="40"/>
                <w:sz w:val="32"/>
                <w:szCs w:val="48"/>
              </w:rPr>
            </w:pPr>
            <w:r w:rsidRPr="00F20608">
              <w:rPr>
                <w:rFonts w:asciiTheme="minorHAnsi" w:hAnsiTheme="minorHAnsi" w:cs="Arial"/>
                <w:b/>
                <w:color w:val="0A5176"/>
                <w:spacing w:val="40"/>
                <w:sz w:val="32"/>
                <w:szCs w:val="48"/>
              </w:rPr>
              <w:t>STATE OF NORTH CAROLINA</w:t>
            </w:r>
            <w:r>
              <w:rPr>
                <w:rFonts w:asciiTheme="minorHAnsi" w:hAnsiTheme="minorHAnsi" w:cs="Arial"/>
                <w:b/>
                <w:spacing w:val="40"/>
                <w:sz w:val="32"/>
                <w:szCs w:val="48"/>
              </w:rPr>
              <w:br/>
            </w:r>
            <w:r w:rsidR="0075146A">
              <w:rPr>
                <w:rFonts w:asciiTheme="minorHAnsi" w:hAnsiTheme="minorHAnsi" w:cs="Arial"/>
                <w:b/>
                <w:sz w:val="40"/>
                <w:szCs w:val="48"/>
              </w:rPr>
              <w:t>201</w:t>
            </w:r>
            <w:r w:rsidR="008F3848">
              <w:rPr>
                <w:rFonts w:asciiTheme="minorHAnsi" w:hAnsiTheme="minorHAnsi" w:cs="Arial"/>
                <w:b/>
                <w:sz w:val="40"/>
                <w:szCs w:val="48"/>
              </w:rPr>
              <w:t>8</w:t>
            </w:r>
            <w:r w:rsidR="00CF71A4">
              <w:rPr>
                <w:rFonts w:asciiTheme="minorHAnsi" w:hAnsiTheme="minorHAnsi" w:cs="Arial"/>
                <w:b/>
                <w:sz w:val="40"/>
                <w:szCs w:val="48"/>
              </w:rPr>
              <w:t xml:space="preserve"> Compensation and </w:t>
            </w:r>
            <w:r w:rsidRPr="003C189F">
              <w:rPr>
                <w:rFonts w:asciiTheme="minorHAnsi" w:hAnsiTheme="minorHAnsi" w:cs="Arial"/>
                <w:b/>
                <w:sz w:val="40"/>
                <w:szCs w:val="48"/>
              </w:rPr>
              <w:t>Benefits Report</w:t>
            </w:r>
          </w:p>
        </w:tc>
      </w:tr>
    </w:tbl>
    <w:p w14:paraId="307D71A4" w14:textId="77777777" w:rsidR="005C04A5" w:rsidRPr="00D765DF" w:rsidRDefault="005C04A5">
      <w:pPr>
        <w:rPr>
          <w:b/>
          <w:sz w:val="18"/>
          <w:szCs w:val="18"/>
        </w:rPr>
      </w:pPr>
    </w:p>
    <w:p w14:paraId="577D7ED6" w14:textId="77777777" w:rsidR="005C04A5" w:rsidRPr="00D765DF" w:rsidRDefault="005C04A5" w:rsidP="005C04A5">
      <w:pPr>
        <w:rPr>
          <w:rFonts w:ascii="Arial" w:hAnsi="Arial" w:cs="Arial"/>
          <w:b/>
          <w:sz w:val="18"/>
          <w:szCs w:val="18"/>
        </w:rPr>
      </w:pPr>
    </w:p>
    <w:p w14:paraId="0477C4EB" w14:textId="77777777" w:rsidR="005C04A5" w:rsidRPr="00D765DF" w:rsidRDefault="005C04A5" w:rsidP="005C04A5">
      <w:pPr>
        <w:rPr>
          <w:rFonts w:ascii="Arial" w:hAnsi="Arial" w:cs="Arial"/>
          <w:b/>
          <w:sz w:val="18"/>
          <w:szCs w:val="18"/>
        </w:rPr>
      </w:pPr>
    </w:p>
    <w:p w14:paraId="01CA1170" w14:textId="77777777" w:rsidR="005C04A5" w:rsidRPr="00D765DF" w:rsidRDefault="005C04A5" w:rsidP="005C04A5">
      <w:pPr>
        <w:rPr>
          <w:b/>
          <w:sz w:val="18"/>
          <w:szCs w:val="18"/>
        </w:rPr>
      </w:pPr>
    </w:p>
    <w:p w14:paraId="400BB3A7" w14:textId="77777777" w:rsidR="005C04A5" w:rsidRPr="00D765DF" w:rsidRDefault="005C04A5" w:rsidP="005C04A5">
      <w:pPr>
        <w:rPr>
          <w:b/>
          <w:sz w:val="18"/>
          <w:szCs w:val="18"/>
        </w:rPr>
      </w:pPr>
    </w:p>
    <w:p w14:paraId="1BF7EFD4" w14:textId="77777777" w:rsidR="005C04A5" w:rsidRPr="00D765DF" w:rsidRDefault="005C04A5" w:rsidP="00233206">
      <w:pPr>
        <w:rPr>
          <w:rFonts w:ascii="Arial" w:hAnsi="Arial" w:cs="Arial"/>
          <w:b/>
          <w:sz w:val="18"/>
          <w:szCs w:val="18"/>
        </w:rPr>
      </w:pPr>
    </w:p>
    <w:p w14:paraId="11B8608D" w14:textId="77777777" w:rsidR="005C04A5" w:rsidRPr="00D765DF" w:rsidRDefault="005C04A5" w:rsidP="00233206">
      <w:pPr>
        <w:rPr>
          <w:rFonts w:ascii="Arial" w:hAnsi="Arial" w:cs="Arial"/>
          <w:b/>
          <w:sz w:val="18"/>
          <w:szCs w:val="18"/>
        </w:rPr>
      </w:pPr>
    </w:p>
    <w:p w14:paraId="695CAE1A" w14:textId="77777777" w:rsidR="005C04A5" w:rsidRPr="00D765DF" w:rsidRDefault="005C04A5" w:rsidP="00233206">
      <w:pPr>
        <w:rPr>
          <w:rFonts w:asciiTheme="minorHAnsi" w:hAnsiTheme="minorHAnsi"/>
          <w:b/>
          <w:sz w:val="18"/>
          <w:szCs w:val="18"/>
        </w:rPr>
      </w:pPr>
    </w:p>
    <w:p w14:paraId="23901415" w14:textId="77777777" w:rsidR="005C04A5" w:rsidRPr="00D765DF" w:rsidRDefault="005C04A5" w:rsidP="00233206">
      <w:pPr>
        <w:rPr>
          <w:rFonts w:asciiTheme="minorHAnsi" w:hAnsiTheme="minorHAnsi"/>
          <w:b/>
          <w:sz w:val="18"/>
          <w:szCs w:val="18"/>
        </w:rPr>
      </w:pPr>
    </w:p>
    <w:p w14:paraId="695F2E09" w14:textId="77777777" w:rsidR="005C04A5" w:rsidRPr="00D765DF" w:rsidRDefault="005C04A5" w:rsidP="00233206">
      <w:pPr>
        <w:rPr>
          <w:rFonts w:asciiTheme="minorHAnsi" w:hAnsiTheme="minorHAnsi"/>
          <w:b/>
          <w:sz w:val="18"/>
          <w:szCs w:val="18"/>
        </w:rPr>
      </w:pPr>
    </w:p>
    <w:p w14:paraId="03760942" w14:textId="77777777" w:rsidR="005C04A5" w:rsidRPr="00D765DF" w:rsidRDefault="005C04A5" w:rsidP="00233206">
      <w:pPr>
        <w:rPr>
          <w:rFonts w:asciiTheme="minorHAnsi" w:hAnsiTheme="minorHAnsi"/>
          <w:b/>
          <w:sz w:val="18"/>
          <w:szCs w:val="18"/>
        </w:rPr>
      </w:pPr>
    </w:p>
    <w:p w14:paraId="624DD15C" w14:textId="77777777" w:rsidR="005C04A5" w:rsidRDefault="005C04A5" w:rsidP="00090BF6">
      <w:pPr>
        <w:pBdr>
          <w:bottom w:val="single" w:sz="4" w:space="1" w:color="0A5176"/>
        </w:pBdr>
        <w:rPr>
          <w:rFonts w:asciiTheme="minorHAnsi" w:hAnsiTheme="minorHAnsi"/>
          <w:b/>
          <w:sz w:val="36"/>
          <w:szCs w:val="28"/>
        </w:rPr>
      </w:pPr>
    </w:p>
    <w:p w14:paraId="5E65B2F3" w14:textId="77777777" w:rsidR="005C04A5" w:rsidRDefault="005C04A5" w:rsidP="00233206">
      <w:pPr>
        <w:rPr>
          <w:rFonts w:asciiTheme="minorHAnsi" w:hAnsiTheme="minorHAnsi"/>
          <w:b/>
          <w:sz w:val="3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788"/>
      </w:tblGrid>
      <w:tr w:rsidR="005C04A5" w14:paraId="0DA64F2C" w14:textId="77777777" w:rsidTr="005C04A5">
        <w:tc>
          <w:tcPr>
            <w:tcW w:w="2898" w:type="dxa"/>
            <w:vAlign w:val="center"/>
          </w:tcPr>
          <w:p w14:paraId="7E8F1021" w14:textId="2B1ABA0C" w:rsidR="005C04A5" w:rsidRPr="005C04A5" w:rsidRDefault="005C04A5" w:rsidP="005C04A5">
            <w:pPr>
              <w:rPr>
                <w:rFonts w:asciiTheme="minorHAnsi" w:hAnsiTheme="minorHAnsi"/>
                <w:b/>
                <w:sz w:val="18"/>
                <w:szCs w:val="18"/>
              </w:rPr>
            </w:pPr>
          </w:p>
        </w:tc>
        <w:tc>
          <w:tcPr>
            <w:tcW w:w="4788" w:type="dxa"/>
            <w:vAlign w:val="center"/>
          </w:tcPr>
          <w:p w14:paraId="516ACBDB" w14:textId="77777777" w:rsidR="005C04A5" w:rsidRPr="005C04A5" w:rsidRDefault="005C04A5" w:rsidP="005C04A5">
            <w:pPr>
              <w:rPr>
                <w:rFonts w:asciiTheme="minorHAnsi" w:hAnsiTheme="minorHAnsi"/>
                <w:b/>
                <w:color w:val="7F7F7F" w:themeColor="text1" w:themeTint="80"/>
                <w:sz w:val="16"/>
                <w:szCs w:val="18"/>
              </w:rPr>
            </w:pPr>
            <w:r w:rsidRPr="005C04A5">
              <w:rPr>
                <w:rFonts w:asciiTheme="minorHAnsi" w:hAnsiTheme="minorHAnsi"/>
                <w:b/>
                <w:color w:val="7F7F7F" w:themeColor="text1" w:themeTint="80"/>
                <w:sz w:val="16"/>
                <w:szCs w:val="18"/>
              </w:rPr>
              <w:t>SUBMITTED BY</w:t>
            </w:r>
          </w:p>
          <w:p w14:paraId="091B72CB" w14:textId="77777777" w:rsidR="005C04A5" w:rsidRPr="00236630" w:rsidRDefault="005C04A5" w:rsidP="005C04A5">
            <w:pPr>
              <w:rPr>
                <w:rFonts w:asciiTheme="minorHAnsi" w:hAnsiTheme="minorHAnsi" w:cs="Arial"/>
                <w:sz w:val="18"/>
                <w:szCs w:val="18"/>
              </w:rPr>
            </w:pPr>
            <w:r w:rsidRPr="00236630">
              <w:rPr>
                <w:rFonts w:asciiTheme="minorHAnsi" w:hAnsiTheme="minorHAnsi" w:cs="Arial"/>
                <w:sz w:val="18"/>
                <w:szCs w:val="18"/>
              </w:rPr>
              <w:t>Office of State Human Resources</w:t>
            </w:r>
          </w:p>
          <w:p w14:paraId="7D0F8E3D" w14:textId="1F146640" w:rsidR="005C04A5" w:rsidRDefault="0075146A" w:rsidP="005C04A5">
            <w:pPr>
              <w:rPr>
                <w:rFonts w:asciiTheme="minorHAnsi" w:hAnsiTheme="minorHAnsi" w:cs="Arial"/>
                <w:sz w:val="18"/>
                <w:szCs w:val="18"/>
              </w:rPr>
            </w:pPr>
            <w:r>
              <w:rPr>
                <w:rFonts w:asciiTheme="minorHAnsi" w:hAnsiTheme="minorHAnsi" w:cs="Arial"/>
                <w:sz w:val="18"/>
                <w:szCs w:val="18"/>
              </w:rPr>
              <w:t>Barbara Gibson</w:t>
            </w:r>
            <w:r w:rsidR="005C04A5">
              <w:rPr>
                <w:rFonts w:asciiTheme="minorHAnsi" w:hAnsiTheme="minorHAnsi" w:cs="Arial"/>
                <w:sz w:val="18"/>
                <w:szCs w:val="18"/>
              </w:rPr>
              <w:t xml:space="preserve">, </w:t>
            </w:r>
            <w:r w:rsidR="005C04A5" w:rsidRPr="00236630">
              <w:rPr>
                <w:rFonts w:asciiTheme="minorHAnsi" w:hAnsiTheme="minorHAnsi" w:cs="Arial"/>
                <w:sz w:val="18"/>
                <w:szCs w:val="18"/>
              </w:rPr>
              <w:t>Director</w:t>
            </w:r>
          </w:p>
          <w:p w14:paraId="58D0B8B6" w14:textId="514F89C7" w:rsidR="005C04A5" w:rsidRPr="00236630" w:rsidRDefault="000A6C45" w:rsidP="005C04A5">
            <w:pPr>
              <w:rPr>
                <w:rFonts w:asciiTheme="minorHAnsi" w:hAnsiTheme="minorHAnsi" w:cs="Arial"/>
                <w:sz w:val="18"/>
                <w:szCs w:val="18"/>
              </w:rPr>
            </w:pPr>
            <w:r>
              <w:rPr>
                <w:rFonts w:asciiTheme="minorHAnsi" w:hAnsiTheme="minorHAnsi" w:cs="Arial"/>
                <w:sz w:val="18"/>
                <w:szCs w:val="18"/>
              </w:rPr>
              <w:t>April</w:t>
            </w:r>
            <w:r w:rsidR="00000DCF">
              <w:rPr>
                <w:rFonts w:asciiTheme="minorHAnsi" w:hAnsiTheme="minorHAnsi" w:cs="Arial"/>
                <w:sz w:val="18"/>
                <w:szCs w:val="18"/>
              </w:rPr>
              <w:t xml:space="preserve"> 2018</w:t>
            </w:r>
          </w:p>
          <w:p w14:paraId="5A4B1660" w14:textId="77777777" w:rsidR="005C04A5" w:rsidRPr="005C04A5" w:rsidRDefault="005C04A5" w:rsidP="005C04A5">
            <w:pPr>
              <w:rPr>
                <w:rFonts w:asciiTheme="minorHAnsi" w:hAnsiTheme="minorHAnsi" w:cs="Arial"/>
                <w:sz w:val="18"/>
                <w:szCs w:val="18"/>
              </w:rPr>
            </w:pPr>
          </w:p>
        </w:tc>
      </w:tr>
      <w:tr w:rsidR="005C04A5" w14:paraId="7581E087" w14:textId="77777777" w:rsidTr="005C04A5">
        <w:tc>
          <w:tcPr>
            <w:tcW w:w="2898" w:type="dxa"/>
            <w:vAlign w:val="center"/>
          </w:tcPr>
          <w:p w14:paraId="40380CD9" w14:textId="77777777" w:rsidR="005C04A5" w:rsidRDefault="005C04A5" w:rsidP="005C04A5">
            <w:pPr>
              <w:rPr>
                <w:rFonts w:asciiTheme="minorHAnsi" w:hAnsiTheme="minorHAnsi"/>
                <w:b/>
                <w:noProof/>
                <w:sz w:val="18"/>
                <w:szCs w:val="18"/>
              </w:rPr>
            </w:pPr>
          </w:p>
        </w:tc>
        <w:tc>
          <w:tcPr>
            <w:tcW w:w="4788" w:type="dxa"/>
            <w:vAlign w:val="center"/>
          </w:tcPr>
          <w:p w14:paraId="4151ADB5" w14:textId="77777777" w:rsidR="005C04A5" w:rsidRPr="005C04A5" w:rsidRDefault="005C04A5" w:rsidP="005C04A5">
            <w:pPr>
              <w:rPr>
                <w:rFonts w:asciiTheme="minorHAnsi" w:hAnsiTheme="minorHAnsi"/>
                <w:b/>
                <w:color w:val="7F7F7F" w:themeColor="text1" w:themeTint="80"/>
                <w:sz w:val="16"/>
                <w:szCs w:val="18"/>
              </w:rPr>
            </w:pPr>
          </w:p>
        </w:tc>
      </w:tr>
    </w:tbl>
    <w:p w14:paraId="128F8AD7" w14:textId="77777777" w:rsidR="005C04A5" w:rsidRDefault="005C04A5" w:rsidP="00233206">
      <w:pPr>
        <w:rPr>
          <w:rFonts w:asciiTheme="minorHAnsi" w:hAnsiTheme="minorHAnsi"/>
          <w:b/>
          <w:sz w:val="36"/>
          <w:szCs w:val="28"/>
        </w:rPr>
        <w:sectPr w:rsidR="005C04A5" w:rsidSect="003901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27CE0DE2" w14:textId="77777777" w:rsidR="005C04A5" w:rsidRDefault="005C04A5" w:rsidP="00233206">
      <w:pPr>
        <w:rPr>
          <w:rFonts w:asciiTheme="minorHAnsi" w:hAnsiTheme="minorHAnsi"/>
          <w:b/>
          <w:sz w:val="36"/>
          <w:szCs w:val="28"/>
        </w:rPr>
        <w:sectPr w:rsidR="005C04A5" w:rsidSect="0039013F">
          <w:pgSz w:w="12240" w:h="15840"/>
          <w:pgMar w:top="1440" w:right="1440" w:bottom="1440" w:left="1440" w:header="720" w:footer="720" w:gutter="0"/>
          <w:pgNumType w:start="1"/>
          <w:cols w:space="720"/>
          <w:titlePg/>
          <w:docGrid w:linePitch="360"/>
        </w:sectPr>
      </w:pPr>
    </w:p>
    <w:p w14:paraId="26F75E49" w14:textId="77777777" w:rsidR="00673D80" w:rsidRDefault="00673D80" w:rsidP="00233206">
      <w:pPr>
        <w:rPr>
          <w:rFonts w:asciiTheme="minorHAnsi" w:hAnsiTheme="minorHAnsi"/>
          <w:b/>
          <w:sz w:val="36"/>
          <w:szCs w:val="28"/>
        </w:rPr>
      </w:pPr>
    </w:p>
    <w:p w14:paraId="7AE8DF6C" w14:textId="77777777" w:rsidR="00673D80" w:rsidRDefault="00673D80" w:rsidP="00673D80">
      <w:pPr>
        <w:pBdr>
          <w:bottom w:val="single" w:sz="4" w:space="1" w:color="0A5176"/>
        </w:pBdr>
        <w:ind w:left="810"/>
        <w:rPr>
          <w:rFonts w:asciiTheme="minorHAnsi" w:hAnsiTheme="minorHAnsi"/>
          <w:b/>
          <w:sz w:val="36"/>
          <w:szCs w:val="28"/>
        </w:rPr>
      </w:pPr>
      <w:r>
        <w:rPr>
          <w:rFonts w:asciiTheme="minorHAnsi" w:hAnsiTheme="minorHAnsi"/>
          <w:b/>
          <w:sz w:val="36"/>
          <w:szCs w:val="28"/>
        </w:rPr>
        <w:t>TABLE OF CONTENTS</w:t>
      </w:r>
    </w:p>
    <w:p w14:paraId="52D02852" w14:textId="77777777" w:rsidR="00673D80" w:rsidRDefault="00673D80" w:rsidP="00233206">
      <w:pPr>
        <w:rPr>
          <w:rFonts w:asciiTheme="minorHAnsi" w:hAnsiTheme="minorHAnsi"/>
          <w:b/>
          <w:sz w:val="36"/>
          <w:szCs w:val="28"/>
        </w:rPr>
      </w:pPr>
    </w:p>
    <w:p w14:paraId="16A7B5D2" w14:textId="77777777" w:rsidR="00673D80" w:rsidRDefault="00673D80" w:rsidP="00233206">
      <w:pPr>
        <w:rPr>
          <w:rFonts w:asciiTheme="minorHAnsi" w:hAnsiTheme="minorHAnsi"/>
          <w:b/>
          <w:sz w:val="36"/>
          <w:szCs w:val="28"/>
        </w:rPr>
      </w:pPr>
    </w:p>
    <w:p w14:paraId="3AF6FF93" w14:textId="77777777" w:rsidR="00673D80" w:rsidRPr="00673D80" w:rsidRDefault="00673D80" w:rsidP="00673D80">
      <w:pPr>
        <w:ind w:firstLine="720"/>
        <w:rPr>
          <w:rFonts w:asciiTheme="minorHAnsi" w:hAnsiTheme="minorHAnsi"/>
          <w:sz w:val="24"/>
          <w:szCs w:val="24"/>
        </w:rPr>
      </w:pPr>
      <w:r w:rsidRPr="00673D80">
        <w:rPr>
          <w:rFonts w:asciiTheme="minorHAnsi" w:hAnsiTheme="minorHAnsi"/>
          <w:b/>
          <w:bCs/>
          <w:iCs/>
          <w:sz w:val="24"/>
          <w:szCs w:val="24"/>
        </w:rPr>
        <w:t>I.</w:t>
      </w:r>
      <w:r w:rsidRPr="00673D80">
        <w:rPr>
          <w:rFonts w:asciiTheme="minorHAnsi" w:hAnsiTheme="minorHAnsi"/>
          <w:b/>
          <w:bCs/>
          <w:sz w:val="24"/>
          <w:szCs w:val="24"/>
        </w:rPr>
        <w:tab/>
      </w:r>
      <w:r w:rsidRPr="00673D80">
        <w:rPr>
          <w:rFonts w:asciiTheme="minorHAnsi" w:hAnsiTheme="minorHAnsi"/>
          <w:b/>
          <w:bCs/>
          <w:iCs/>
          <w:sz w:val="24"/>
          <w:szCs w:val="24"/>
        </w:rPr>
        <w:t>Executive Summary</w:t>
      </w:r>
      <w:r w:rsidR="0075146A">
        <w:rPr>
          <w:rFonts w:asciiTheme="minorHAnsi" w:hAnsiTheme="minorHAnsi"/>
          <w:b/>
          <w:sz w:val="24"/>
          <w:szCs w:val="24"/>
        </w:rPr>
        <w:tab/>
      </w:r>
      <w:r w:rsidR="0075146A">
        <w:rPr>
          <w:rFonts w:asciiTheme="minorHAnsi" w:hAnsiTheme="minorHAnsi"/>
          <w:b/>
          <w:sz w:val="24"/>
          <w:szCs w:val="24"/>
        </w:rPr>
        <w:tab/>
      </w:r>
      <w:r w:rsidR="0075146A">
        <w:rPr>
          <w:rFonts w:asciiTheme="minorHAnsi" w:hAnsiTheme="minorHAnsi"/>
          <w:b/>
          <w:sz w:val="24"/>
          <w:szCs w:val="24"/>
        </w:rPr>
        <w:tab/>
      </w:r>
      <w:r w:rsidR="0075146A">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003F3C66">
        <w:rPr>
          <w:rFonts w:asciiTheme="minorHAnsi" w:hAnsiTheme="minorHAnsi"/>
          <w:b/>
          <w:sz w:val="24"/>
          <w:szCs w:val="24"/>
        </w:rPr>
        <w:t>1</w:t>
      </w:r>
    </w:p>
    <w:p w14:paraId="30B76C6A" w14:textId="77777777" w:rsidR="00673D80" w:rsidRPr="00673D80" w:rsidRDefault="00673D80" w:rsidP="00673D80">
      <w:pPr>
        <w:ind w:left="1080"/>
        <w:rPr>
          <w:rFonts w:asciiTheme="minorHAnsi" w:hAnsiTheme="minorHAnsi"/>
          <w:sz w:val="24"/>
          <w:szCs w:val="24"/>
        </w:rPr>
      </w:pPr>
    </w:p>
    <w:p w14:paraId="07C6F953" w14:textId="77777777" w:rsidR="00673D80" w:rsidRPr="00673D80" w:rsidRDefault="00673D80" w:rsidP="00673D80">
      <w:pPr>
        <w:numPr>
          <w:ilvl w:val="0"/>
          <w:numId w:val="26"/>
        </w:numPr>
        <w:rPr>
          <w:rFonts w:asciiTheme="minorHAnsi" w:hAnsiTheme="minorHAnsi"/>
          <w:b/>
          <w:iCs/>
          <w:sz w:val="24"/>
          <w:szCs w:val="24"/>
        </w:rPr>
      </w:pPr>
      <w:r w:rsidRPr="00673D80">
        <w:rPr>
          <w:rFonts w:asciiTheme="minorHAnsi" w:hAnsiTheme="minorHAnsi"/>
          <w:b/>
          <w:iCs/>
          <w:sz w:val="24"/>
          <w:szCs w:val="24"/>
        </w:rPr>
        <w:t>Introduction</w:t>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003F3C66">
        <w:rPr>
          <w:rFonts w:asciiTheme="minorHAnsi" w:hAnsiTheme="minorHAnsi"/>
          <w:b/>
          <w:iCs/>
          <w:sz w:val="24"/>
          <w:szCs w:val="24"/>
        </w:rPr>
        <w:t>3</w:t>
      </w:r>
    </w:p>
    <w:p w14:paraId="77579E52" w14:textId="1CFE661D" w:rsidR="00673D80" w:rsidRPr="00673D80" w:rsidRDefault="00673D80" w:rsidP="00673D80">
      <w:pPr>
        <w:ind w:left="1440"/>
        <w:rPr>
          <w:rFonts w:asciiTheme="minorHAnsi" w:hAnsiTheme="minorHAnsi"/>
          <w:iCs/>
          <w:sz w:val="24"/>
          <w:szCs w:val="24"/>
        </w:rPr>
      </w:pPr>
      <w:r w:rsidRPr="00673D80">
        <w:rPr>
          <w:rFonts w:asciiTheme="minorHAnsi" w:hAnsiTheme="minorHAnsi"/>
          <w:iCs/>
          <w:sz w:val="24"/>
          <w:szCs w:val="24"/>
        </w:rPr>
        <w:t>N</w:t>
      </w:r>
      <w:r w:rsidR="009E1452">
        <w:rPr>
          <w:rFonts w:asciiTheme="minorHAnsi" w:hAnsiTheme="minorHAnsi"/>
          <w:iCs/>
          <w:sz w:val="24"/>
          <w:szCs w:val="24"/>
        </w:rPr>
        <w:t xml:space="preserve">orth </w:t>
      </w:r>
      <w:r w:rsidRPr="00673D80">
        <w:rPr>
          <w:rFonts w:asciiTheme="minorHAnsi" w:hAnsiTheme="minorHAnsi"/>
          <w:iCs/>
          <w:sz w:val="24"/>
          <w:szCs w:val="24"/>
        </w:rPr>
        <w:t>C</w:t>
      </w:r>
      <w:r w:rsidR="009E1452">
        <w:rPr>
          <w:rFonts w:asciiTheme="minorHAnsi" w:hAnsiTheme="minorHAnsi"/>
          <w:iCs/>
          <w:sz w:val="24"/>
          <w:szCs w:val="24"/>
        </w:rPr>
        <w:t>arolina’s</w:t>
      </w:r>
      <w:r w:rsidRPr="00673D80">
        <w:rPr>
          <w:rFonts w:asciiTheme="minorHAnsi" w:hAnsiTheme="minorHAnsi"/>
          <w:iCs/>
          <w:sz w:val="24"/>
          <w:szCs w:val="24"/>
        </w:rPr>
        <w:t xml:space="preserve"> </w:t>
      </w:r>
      <w:r w:rsidR="003C4DB6">
        <w:rPr>
          <w:rFonts w:asciiTheme="minorHAnsi" w:hAnsiTheme="minorHAnsi"/>
          <w:iCs/>
          <w:sz w:val="24"/>
          <w:szCs w:val="24"/>
        </w:rPr>
        <w:t>Compensation Vision</w:t>
      </w:r>
      <w:r w:rsidRPr="00673D80">
        <w:rPr>
          <w:rFonts w:asciiTheme="minorHAnsi" w:hAnsiTheme="minorHAnsi"/>
          <w:iCs/>
          <w:sz w:val="24"/>
          <w:szCs w:val="24"/>
        </w:rPr>
        <w:tab/>
      </w:r>
    </w:p>
    <w:p w14:paraId="7761A054" w14:textId="77777777" w:rsidR="00673D80" w:rsidRPr="00673D80" w:rsidRDefault="00673D80" w:rsidP="00673D80">
      <w:pPr>
        <w:ind w:left="1440"/>
        <w:rPr>
          <w:rFonts w:asciiTheme="minorHAnsi" w:hAnsiTheme="minorHAnsi"/>
          <w:iCs/>
          <w:sz w:val="24"/>
          <w:szCs w:val="24"/>
        </w:rPr>
      </w:pPr>
      <w:r w:rsidRPr="00673D80">
        <w:rPr>
          <w:rFonts w:asciiTheme="minorHAnsi" w:hAnsiTheme="minorHAnsi"/>
          <w:iCs/>
          <w:sz w:val="24"/>
          <w:szCs w:val="24"/>
        </w:rPr>
        <w:tab/>
      </w:r>
      <w:r w:rsidRPr="00673D80">
        <w:rPr>
          <w:rFonts w:asciiTheme="minorHAnsi" w:hAnsiTheme="minorHAnsi"/>
          <w:iCs/>
          <w:sz w:val="24"/>
          <w:szCs w:val="24"/>
        </w:rPr>
        <w:tab/>
      </w:r>
      <w:r w:rsidRPr="00673D80">
        <w:rPr>
          <w:rFonts w:asciiTheme="minorHAnsi" w:hAnsiTheme="minorHAnsi"/>
          <w:iCs/>
          <w:sz w:val="24"/>
          <w:szCs w:val="24"/>
        </w:rPr>
        <w:tab/>
      </w:r>
      <w:r w:rsidRPr="00673D80">
        <w:rPr>
          <w:rFonts w:asciiTheme="minorHAnsi" w:hAnsiTheme="minorHAnsi"/>
          <w:iCs/>
          <w:sz w:val="24"/>
          <w:szCs w:val="24"/>
        </w:rPr>
        <w:tab/>
      </w:r>
      <w:r w:rsidRPr="00673D80">
        <w:rPr>
          <w:rFonts w:asciiTheme="minorHAnsi" w:hAnsiTheme="minorHAnsi"/>
          <w:iCs/>
          <w:sz w:val="24"/>
          <w:szCs w:val="24"/>
        </w:rPr>
        <w:tab/>
      </w:r>
      <w:r w:rsidRPr="00673D80">
        <w:rPr>
          <w:rFonts w:asciiTheme="minorHAnsi" w:hAnsiTheme="minorHAnsi"/>
          <w:iCs/>
          <w:sz w:val="24"/>
          <w:szCs w:val="24"/>
        </w:rPr>
        <w:tab/>
      </w:r>
      <w:r w:rsidRPr="00673D80">
        <w:rPr>
          <w:rFonts w:asciiTheme="minorHAnsi" w:hAnsiTheme="minorHAnsi"/>
          <w:iCs/>
          <w:sz w:val="24"/>
          <w:szCs w:val="24"/>
        </w:rPr>
        <w:tab/>
      </w:r>
    </w:p>
    <w:p w14:paraId="7750B01F" w14:textId="4435E808" w:rsidR="00673D80" w:rsidRPr="00673D80" w:rsidRDefault="00673D80" w:rsidP="00673D80">
      <w:pPr>
        <w:numPr>
          <w:ilvl w:val="0"/>
          <w:numId w:val="26"/>
        </w:numPr>
        <w:rPr>
          <w:rFonts w:asciiTheme="minorHAnsi" w:hAnsiTheme="minorHAnsi"/>
          <w:b/>
          <w:iCs/>
          <w:sz w:val="24"/>
          <w:szCs w:val="24"/>
        </w:rPr>
      </w:pPr>
      <w:r w:rsidRPr="00673D80">
        <w:rPr>
          <w:rFonts w:asciiTheme="minorHAnsi" w:hAnsiTheme="minorHAnsi"/>
          <w:b/>
          <w:iCs/>
          <w:sz w:val="24"/>
          <w:szCs w:val="24"/>
        </w:rPr>
        <w:t>Total Compensation</w:t>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003E75EA">
        <w:rPr>
          <w:rFonts w:asciiTheme="minorHAnsi" w:hAnsiTheme="minorHAnsi"/>
          <w:b/>
          <w:iCs/>
          <w:sz w:val="24"/>
          <w:szCs w:val="24"/>
        </w:rPr>
        <w:t>4</w:t>
      </w:r>
    </w:p>
    <w:p w14:paraId="6D818DF8" w14:textId="640B68FA" w:rsidR="00673D80" w:rsidRPr="00673D80" w:rsidRDefault="00066F6B" w:rsidP="00673D80">
      <w:pPr>
        <w:ind w:left="1440"/>
        <w:rPr>
          <w:rFonts w:asciiTheme="minorHAnsi" w:hAnsiTheme="minorHAnsi"/>
          <w:iCs/>
          <w:sz w:val="24"/>
          <w:szCs w:val="24"/>
        </w:rPr>
      </w:pPr>
      <w:r>
        <w:rPr>
          <w:rFonts w:asciiTheme="minorHAnsi" w:hAnsiTheme="minorHAnsi"/>
          <w:iCs/>
          <w:sz w:val="24"/>
          <w:szCs w:val="24"/>
        </w:rPr>
        <w:t>Benefits</w:t>
      </w:r>
      <w:r w:rsidR="00673D80" w:rsidRPr="00673D80">
        <w:rPr>
          <w:rFonts w:asciiTheme="minorHAnsi" w:hAnsiTheme="minorHAnsi"/>
          <w:iCs/>
          <w:sz w:val="24"/>
          <w:szCs w:val="24"/>
        </w:rPr>
        <w:t xml:space="preserve"> </w:t>
      </w:r>
      <w:r>
        <w:rPr>
          <w:rFonts w:asciiTheme="minorHAnsi" w:hAnsiTheme="minorHAnsi"/>
          <w:iCs/>
          <w:sz w:val="24"/>
          <w:szCs w:val="24"/>
        </w:rPr>
        <w:t xml:space="preserve">as a Percentage of Average Salary </w:t>
      </w:r>
      <w:r w:rsidR="00CF71A4">
        <w:rPr>
          <w:rFonts w:asciiTheme="minorHAnsi" w:hAnsiTheme="minorHAnsi"/>
          <w:iCs/>
          <w:sz w:val="24"/>
          <w:szCs w:val="24"/>
        </w:rPr>
        <w:t>and</w:t>
      </w:r>
      <w:r>
        <w:rPr>
          <w:rFonts w:asciiTheme="minorHAnsi" w:hAnsiTheme="minorHAnsi"/>
          <w:iCs/>
          <w:sz w:val="24"/>
          <w:szCs w:val="24"/>
        </w:rPr>
        <w:t xml:space="preserve"> Wages</w:t>
      </w:r>
    </w:p>
    <w:p w14:paraId="1E3054EA" w14:textId="77777777" w:rsidR="00673D80" w:rsidRPr="00673D80" w:rsidRDefault="00673D80" w:rsidP="00673D80">
      <w:pPr>
        <w:ind w:left="1440"/>
        <w:rPr>
          <w:rFonts w:asciiTheme="minorHAnsi" w:hAnsiTheme="minorHAnsi"/>
          <w:iCs/>
          <w:sz w:val="24"/>
          <w:szCs w:val="24"/>
        </w:rPr>
      </w:pPr>
      <w:r w:rsidRPr="00673D80">
        <w:rPr>
          <w:rFonts w:asciiTheme="minorHAnsi" w:hAnsiTheme="minorHAnsi"/>
          <w:iCs/>
          <w:sz w:val="24"/>
          <w:szCs w:val="24"/>
        </w:rPr>
        <w:t>Salary and Benefits as a Percentage of Total Compensation</w:t>
      </w:r>
    </w:p>
    <w:p w14:paraId="3F364530" w14:textId="77777777" w:rsidR="00673D80" w:rsidRPr="00673D80" w:rsidRDefault="00673D80" w:rsidP="00673D80">
      <w:pPr>
        <w:ind w:left="1440"/>
        <w:rPr>
          <w:rFonts w:asciiTheme="minorHAnsi" w:hAnsiTheme="minorHAnsi"/>
          <w:iCs/>
          <w:sz w:val="24"/>
          <w:szCs w:val="24"/>
        </w:rPr>
      </w:pPr>
    </w:p>
    <w:p w14:paraId="20091469" w14:textId="56C19866" w:rsidR="00673D80" w:rsidRPr="00673D80" w:rsidRDefault="00673D80" w:rsidP="00673D80">
      <w:pPr>
        <w:numPr>
          <w:ilvl w:val="0"/>
          <w:numId w:val="26"/>
        </w:numPr>
        <w:rPr>
          <w:rFonts w:asciiTheme="minorHAnsi" w:hAnsiTheme="minorHAnsi"/>
          <w:b/>
          <w:iCs/>
          <w:sz w:val="24"/>
          <w:szCs w:val="24"/>
        </w:rPr>
      </w:pPr>
      <w:r w:rsidRPr="00673D80">
        <w:rPr>
          <w:rFonts w:asciiTheme="minorHAnsi" w:hAnsiTheme="minorHAnsi"/>
          <w:b/>
          <w:iCs/>
          <w:sz w:val="24"/>
          <w:szCs w:val="24"/>
        </w:rPr>
        <w:t>Economic Review</w:t>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Pr="00673D80">
        <w:rPr>
          <w:rFonts w:asciiTheme="minorHAnsi" w:hAnsiTheme="minorHAnsi"/>
          <w:b/>
          <w:iCs/>
          <w:sz w:val="24"/>
          <w:szCs w:val="24"/>
        </w:rPr>
        <w:tab/>
      </w:r>
      <w:r w:rsidR="003A440A">
        <w:rPr>
          <w:rFonts w:asciiTheme="minorHAnsi" w:hAnsiTheme="minorHAnsi"/>
          <w:b/>
          <w:iCs/>
          <w:sz w:val="24"/>
          <w:szCs w:val="24"/>
        </w:rPr>
        <w:t>5</w:t>
      </w:r>
    </w:p>
    <w:p w14:paraId="1760CF0C" w14:textId="77777777" w:rsidR="00673D80" w:rsidRPr="00673D80" w:rsidRDefault="00673D80" w:rsidP="00673D80">
      <w:pPr>
        <w:ind w:left="1440"/>
        <w:rPr>
          <w:rFonts w:asciiTheme="minorHAnsi" w:hAnsiTheme="minorHAnsi"/>
          <w:iCs/>
          <w:sz w:val="24"/>
          <w:szCs w:val="24"/>
        </w:rPr>
      </w:pPr>
      <w:r w:rsidRPr="00673D80">
        <w:rPr>
          <w:rFonts w:asciiTheme="minorHAnsi" w:hAnsiTheme="minorHAnsi"/>
          <w:iCs/>
          <w:sz w:val="24"/>
          <w:szCs w:val="24"/>
        </w:rPr>
        <w:t>Wage and Salary Trends</w:t>
      </w:r>
    </w:p>
    <w:p w14:paraId="77F3BD19" w14:textId="77777777" w:rsidR="00673D80" w:rsidRPr="00673D80" w:rsidRDefault="00673D80" w:rsidP="00673D80">
      <w:pPr>
        <w:ind w:left="1440"/>
        <w:rPr>
          <w:rFonts w:asciiTheme="minorHAnsi" w:hAnsiTheme="minorHAnsi"/>
          <w:iCs/>
          <w:sz w:val="24"/>
          <w:szCs w:val="24"/>
        </w:rPr>
      </w:pPr>
      <w:r w:rsidRPr="00673D80">
        <w:rPr>
          <w:rFonts w:asciiTheme="minorHAnsi" w:hAnsiTheme="minorHAnsi"/>
          <w:iCs/>
          <w:sz w:val="24"/>
          <w:szCs w:val="24"/>
        </w:rPr>
        <w:t>Consumer Price and Employment Cost Indices</w:t>
      </w:r>
    </w:p>
    <w:p w14:paraId="5CAA5BB2" w14:textId="77777777" w:rsidR="00673D80" w:rsidRPr="00673D80" w:rsidRDefault="00673D80" w:rsidP="00673D80">
      <w:pPr>
        <w:ind w:left="1440"/>
        <w:rPr>
          <w:rFonts w:asciiTheme="minorHAnsi" w:hAnsiTheme="minorHAnsi"/>
          <w:iCs/>
          <w:sz w:val="24"/>
          <w:szCs w:val="24"/>
        </w:rPr>
      </w:pPr>
      <w:r w:rsidRPr="00673D80">
        <w:rPr>
          <w:rFonts w:asciiTheme="minorHAnsi" w:hAnsiTheme="minorHAnsi"/>
          <w:iCs/>
          <w:sz w:val="24"/>
          <w:szCs w:val="24"/>
        </w:rPr>
        <w:t>Recruitment and Retention</w:t>
      </w:r>
    </w:p>
    <w:p w14:paraId="0E8C9FFF" w14:textId="77777777" w:rsidR="00673D80" w:rsidRPr="00673D80" w:rsidRDefault="00673D80" w:rsidP="00673D80">
      <w:pPr>
        <w:ind w:left="1440"/>
        <w:rPr>
          <w:rFonts w:asciiTheme="minorHAnsi" w:hAnsiTheme="minorHAnsi"/>
          <w:iCs/>
          <w:sz w:val="24"/>
          <w:szCs w:val="24"/>
        </w:rPr>
      </w:pPr>
    </w:p>
    <w:p w14:paraId="43E2B56E" w14:textId="1A56B123" w:rsidR="00673D80" w:rsidRPr="00673D80" w:rsidRDefault="00673D80" w:rsidP="00673D80">
      <w:pPr>
        <w:numPr>
          <w:ilvl w:val="0"/>
          <w:numId w:val="26"/>
        </w:numPr>
        <w:rPr>
          <w:rFonts w:asciiTheme="minorHAnsi" w:hAnsiTheme="minorHAnsi"/>
          <w:iCs/>
          <w:sz w:val="24"/>
          <w:szCs w:val="24"/>
        </w:rPr>
      </w:pPr>
      <w:r w:rsidRPr="00673D80">
        <w:rPr>
          <w:rFonts w:asciiTheme="minorHAnsi" w:hAnsiTheme="minorHAnsi"/>
          <w:b/>
          <w:bCs/>
          <w:iCs/>
          <w:sz w:val="24"/>
          <w:szCs w:val="24"/>
        </w:rPr>
        <w:t xml:space="preserve">Base Pay and </w:t>
      </w:r>
      <w:r w:rsidRPr="00673D80">
        <w:rPr>
          <w:rFonts w:asciiTheme="minorHAnsi" w:hAnsiTheme="minorHAnsi"/>
          <w:b/>
          <w:sz w:val="24"/>
          <w:szCs w:val="24"/>
        </w:rPr>
        <w:t>Labor Market Analysis</w:t>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003F3C66">
        <w:rPr>
          <w:rFonts w:asciiTheme="minorHAnsi" w:hAnsiTheme="minorHAnsi"/>
          <w:b/>
          <w:sz w:val="24"/>
          <w:szCs w:val="24"/>
        </w:rPr>
        <w:tab/>
      </w:r>
      <w:r w:rsidR="00B52602">
        <w:rPr>
          <w:rFonts w:asciiTheme="minorHAnsi" w:hAnsiTheme="minorHAnsi"/>
          <w:b/>
          <w:sz w:val="24"/>
          <w:szCs w:val="24"/>
        </w:rPr>
        <w:t>6</w:t>
      </w:r>
    </w:p>
    <w:p w14:paraId="6B5714D9"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Methodology</w:t>
      </w:r>
    </w:p>
    <w:p w14:paraId="06C7CB83"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Findings</w:t>
      </w:r>
    </w:p>
    <w:p w14:paraId="39D70BAD"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Additional Analysis</w:t>
      </w:r>
    </w:p>
    <w:p w14:paraId="09E7B056"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Longevity</w:t>
      </w:r>
    </w:p>
    <w:p w14:paraId="18648778" w14:textId="77777777" w:rsidR="00673D80" w:rsidRPr="00673D80" w:rsidRDefault="00673D80" w:rsidP="00673D80">
      <w:pPr>
        <w:ind w:left="1440"/>
        <w:rPr>
          <w:rFonts w:asciiTheme="minorHAnsi" w:hAnsiTheme="minorHAnsi"/>
          <w:sz w:val="24"/>
          <w:szCs w:val="24"/>
        </w:rPr>
      </w:pPr>
    </w:p>
    <w:p w14:paraId="63ADD138" w14:textId="143715C6" w:rsidR="00673D80" w:rsidRPr="00673D80" w:rsidRDefault="00673D80" w:rsidP="00673D80">
      <w:pPr>
        <w:rPr>
          <w:rFonts w:asciiTheme="minorHAnsi" w:hAnsiTheme="minorHAnsi"/>
          <w:b/>
          <w:sz w:val="24"/>
          <w:szCs w:val="24"/>
        </w:rPr>
      </w:pPr>
      <w:r w:rsidRPr="00673D80">
        <w:rPr>
          <w:rFonts w:asciiTheme="minorHAnsi" w:hAnsiTheme="minorHAnsi"/>
          <w:sz w:val="24"/>
          <w:szCs w:val="24"/>
        </w:rPr>
        <w:tab/>
      </w:r>
      <w:r w:rsidRPr="00673D80">
        <w:rPr>
          <w:rFonts w:asciiTheme="minorHAnsi" w:hAnsiTheme="minorHAnsi"/>
          <w:b/>
          <w:sz w:val="24"/>
          <w:szCs w:val="24"/>
        </w:rPr>
        <w:t>VI.</w:t>
      </w:r>
      <w:r w:rsidRPr="00673D80">
        <w:rPr>
          <w:rFonts w:asciiTheme="minorHAnsi" w:hAnsiTheme="minorHAnsi"/>
          <w:b/>
          <w:sz w:val="24"/>
          <w:szCs w:val="24"/>
        </w:rPr>
        <w:tab/>
        <w:t>Benefits Analysis</w:t>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003F3C66">
        <w:rPr>
          <w:rFonts w:asciiTheme="minorHAnsi" w:hAnsiTheme="minorHAnsi"/>
          <w:b/>
          <w:sz w:val="24"/>
          <w:szCs w:val="24"/>
        </w:rPr>
        <w:t>1</w:t>
      </w:r>
      <w:r w:rsidR="000A6C45">
        <w:rPr>
          <w:rFonts w:asciiTheme="minorHAnsi" w:hAnsiTheme="minorHAnsi"/>
          <w:b/>
          <w:sz w:val="24"/>
          <w:szCs w:val="24"/>
        </w:rPr>
        <w:t>2</w:t>
      </w:r>
    </w:p>
    <w:p w14:paraId="1E404E40"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Paid Time Off Analysis</w:t>
      </w:r>
    </w:p>
    <w:p w14:paraId="2406BF39"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 xml:space="preserve">Health Insurance </w:t>
      </w:r>
    </w:p>
    <w:p w14:paraId="31E2BC9C"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 xml:space="preserve">Statewide Flexible Benefits Program (NC Flex) </w:t>
      </w:r>
    </w:p>
    <w:p w14:paraId="626A6A69" w14:textId="77777777" w:rsidR="00673D80" w:rsidRPr="00673D80" w:rsidRDefault="00673D80" w:rsidP="00673D80">
      <w:pPr>
        <w:ind w:left="720" w:firstLine="720"/>
        <w:rPr>
          <w:rFonts w:asciiTheme="minorHAnsi" w:hAnsiTheme="minorHAnsi"/>
          <w:sz w:val="24"/>
          <w:szCs w:val="24"/>
        </w:rPr>
      </w:pPr>
      <w:r w:rsidRPr="00673D80">
        <w:rPr>
          <w:rFonts w:asciiTheme="minorHAnsi" w:hAnsiTheme="minorHAnsi"/>
          <w:sz w:val="24"/>
          <w:szCs w:val="24"/>
        </w:rPr>
        <w:t xml:space="preserve">Retirement </w:t>
      </w:r>
    </w:p>
    <w:p w14:paraId="278131C3" w14:textId="77777777" w:rsidR="00673D80" w:rsidRPr="00673D80" w:rsidRDefault="00673D80" w:rsidP="00673D80">
      <w:pPr>
        <w:ind w:left="1440" w:firstLine="720"/>
        <w:rPr>
          <w:rFonts w:asciiTheme="minorHAnsi" w:hAnsiTheme="minorHAnsi"/>
          <w:i/>
          <w:sz w:val="24"/>
          <w:szCs w:val="24"/>
        </w:rPr>
      </w:pPr>
    </w:p>
    <w:p w14:paraId="225EC3BC" w14:textId="77777777" w:rsidR="00673D80" w:rsidRPr="00673D80" w:rsidRDefault="00673D80" w:rsidP="00673D80">
      <w:pPr>
        <w:rPr>
          <w:rFonts w:asciiTheme="minorHAnsi" w:hAnsiTheme="minorHAnsi"/>
          <w:i/>
          <w:sz w:val="24"/>
          <w:szCs w:val="24"/>
        </w:rPr>
      </w:pPr>
    </w:p>
    <w:p w14:paraId="2887B820" w14:textId="452B3229" w:rsidR="00673D80" w:rsidRPr="00673D80" w:rsidRDefault="00673D80" w:rsidP="00673D80">
      <w:pPr>
        <w:rPr>
          <w:rFonts w:asciiTheme="minorHAnsi" w:hAnsiTheme="minorHAnsi"/>
          <w:sz w:val="24"/>
          <w:szCs w:val="24"/>
        </w:rPr>
      </w:pPr>
      <w:r w:rsidRPr="00673D80">
        <w:rPr>
          <w:rFonts w:asciiTheme="minorHAnsi" w:hAnsiTheme="minorHAnsi"/>
          <w:b/>
          <w:i/>
          <w:sz w:val="24"/>
          <w:szCs w:val="24"/>
        </w:rPr>
        <w:tab/>
      </w:r>
      <w:r w:rsidRPr="00673D80">
        <w:rPr>
          <w:rFonts w:asciiTheme="minorHAnsi" w:hAnsiTheme="minorHAnsi"/>
          <w:b/>
          <w:sz w:val="24"/>
          <w:szCs w:val="24"/>
        </w:rPr>
        <w:t>APPENDIX</w:t>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Pr="00673D80">
        <w:rPr>
          <w:rFonts w:asciiTheme="minorHAnsi" w:hAnsiTheme="minorHAnsi"/>
          <w:b/>
          <w:sz w:val="24"/>
          <w:szCs w:val="24"/>
        </w:rPr>
        <w:tab/>
      </w:r>
      <w:r w:rsidR="003F3C66">
        <w:rPr>
          <w:rFonts w:asciiTheme="minorHAnsi" w:hAnsiTheme="minorHAnsi"/>
          <w:b/>
          <w:sz w:val="24"/>
          <w:szCs w:val="24"/>
        </w:rPr>
        <w:t>1</w:t>
      </w:r>
      <w:r w:rsidR="005A4E30">
        <w:rPr>
          <w:rFonts w:asciiTheme="minorHAnsi" w:hAnsiTheme="minorHAnsi"/>
          <w:b/>
          <w:sz w:val="24"/>
          <w:szCs w:val="24"/>
        </w:rPr>
        <w:t>5</w:t>
      </w:r>
    </w:p>
    <w:p w14:paraId="79AF5945" w14:textId="01381C75" w:rsidR="0075146A" w:rsidRPr="0075146A" w:rsidRDefault="00673D80" w:rsidP="0075146A">
      <w:pPr>
        <w:pStyle w:val="ListParagraph"/>
        <w:numPr>
          <w:ilvl w:val="2"/>
          <w:numId w:val="28"/>
        </w:numPr>
        <w:ind w:left="900" w:hanging="180"/>
        <w:rPr>
          <w:rFonts w:asciiTheme="minorHAnsi" w:hAnsiTheme="minorHAnsi"/>
          <w:i/>
          <w:sz w:val="24"/>
          <w:szCs w:val="24"/>
        </w:rPr>
      </w:pPr>
      <w:r w:rsidRPr="00673D80">
        <w:rPr>
          <w:rFonts w:asciiTheme="minorHAnsi" w:hAnsiTheme="minorHAnsi"/>
          <w:i/>
          <w:sz w:val="24"/>
          <w:szCs w:val="24"/>
        </w:rPr>
        <w:t>History of Legislative Increa</w:t>
      </w:r>
      <w:r w:rsidR="0075146A">
        <w:rPr>
          <w:rFonts w:asciiTheme="minorHAnsi" w:hAnsiTheme="minorHAnsi"/>
          <w:i/>
          <w:sz w:val="24"/>
          <w:szCs w:val="24"/>
        </w:rPr>
        <w:t>ses for N</w:t>
      </w:r>
      <w:r w:rsidR="005F1E91">
        <w:rPr>
          <w:rFonts w:asciiTheme="minorHAnsi" w:hAnsiTheme="minorHAnsi"/>
          <w:i/>
          <w:sz w:val="24"/>
          <w:szCs w:val="24"/>
        </w:rPr>
        <w:t>orth Carolina</w:t>
      </w:r>
      <w:r w:rsidR="0075146A">
        <w:rPr>
          <w:rFonts w:asciiTheme="minorHAnsi" w:hAnsiTheme="minorHAnsi"/>
          <w:i/>
          <w:sz w:val="24"/>
          <w:szCs w:val="24"/>
        </w:rPr>
        <w:t xml:space="preserve"> Employees 1992-201</w:t>
      </w:r>
      <w:r w:rsidR="00F0152F">
        <w:rPr>
          <w:rFonts w:asciiTheme="minorHAnsi" w:hAnsiTheme="minorHAnsi"/>
          <w:i/>
          <w:sz w:val="24"/>
          <w:szCs w:val="24"/>
        </w:rPr>
        <w:t>7</w:t>
      </w:r>
    </w:p>
    <w:p w14:paraId="5700AE5E" w14:textId="10158CEE" w:rsidR="00673D80" w:rsidRPr="00673D80" w:rsidRDefault="005F1E91" w:rsidP="00673D80">
      <w:pPr>
        <w:pStyle w:val="ListParagraph"/>
        <w:numPr>
          <w:ilvl w:val="2"/>
          <w:numId w:val="28"/>
        </w:numPr>
        <w:ind w:left="900" w:hanging="180"/>
        <w:rPr>
          <w:rFonts w:asciiTheme="minorHAnsi" w:hAnsiTheme="minorHAnsi"/>
          <w:i/>
          <w:sz w:val="24"/>
          <w:szCs w:val="24"/>
        </w:rPr>
      </w:pPr>
      <w:r>
        <w:rPr>
          <w:rFonts w:asciiTheme="minorHAnsi" w:hAnsiTheme="minorHAnsi"/>
          <w:i/>
          <w:sz w:val="24"/>
          <w:szCs w:val="24"/>
        </w:rPr>
        <w:t>North Carolina</w:t>
      </w:r>
      <w:r w:rsidR="00673D80" w:rsidRPr="00673D80">
        <w:rPr>
          <w:rFonts w:asciiTheme="minorHAnsi" w:hAnsiTheme="minorHAnsi"/>
          <w:i/>
          <w:sz w:val="24"/>
          <w:szCs w:val="24"/>
        </w:rPr>
        <w:t xml:space="preserve"> Pay Comparison to CPI and Average Market Movement</w:t>
      </w:r>
    </w:p>
    <w:p w14:paraId="502E2131" w14:textId="77777777" w:rsidR="00673D80" w:rsidRPr="00673D80" w:rsidRDefault="00673D80" w:rsidP="00673D80">
      <w:pPr>
        <w:pStyle w:val="ListParagraph"/>
        <w:numPr>
          <w:ilvl w:val="2"/>
          <w:numId w:val="28"/>
        </w:numPr>
        <w:ind w:left="900" w:hanging="180"/>
        <w:rPr>
          <w:rFonts w:asciiTheme="minorHAnsi" w:hAnsiTheme="minorHAnsi"/>
          <w:i/>
          <w:sz w:val="24"/>
          <w:szCs w:val="24"/>
        </w:rPr>
      </w:pPr>
      <w:r w:rsidRPr="00673D80">
        <w:rPr>
          <w:rFonts w:asciiTheme="minorHAnsi" w:hAnsiTheme="minorHAnsi"/>
          <w:i/>
          <w:sz w:val="24"/>
          <w:szCs w:val="24"/>
        </w:rPr>
        <w:t>Turnover and Aging Trends</w:t>
      </w:r>
    </w:p>
    <w:p w14:paraId="14BC34DD" w14:textId="77777777" w:rsidR="00673D80" w:rsidRPr="00673D80" w:rsidRDefault="00673D80" w:rsidP="00673D80">
      <w:pPr>
        <w:pStyle w:val="ListParagraph"/>
        <w:numPr>
          <w:ilvl w:val="2"/>
          <w:numId w:val="28"/>
        </w:numPr>
        <w:ind w:left="900" w:hanging="180"/>
        <w:rPr>
          <w:rFonts w:asciiTheme="minorHAnsi" w:hAnsiTheme="minorHAnsi"/>
          <w:i/>
          <w:sz w:val="24"/>
          <w:szCs w:val="24"/>
        </w:rPr>
      </w:pPr>
      <w:r w:rsidRPr="00673D80">
        <w:rPr>
          <w:rFonts w:asciiTheme="minorHAnsi" w:hAnsiTheme="minorHAnsi"/>
          <w:i/>
          <w:sz w:val="24"/>
          <w:szCs w:val="24"/>
        </w:rPr>
        <w:t>Market Survey Library</w:t>
      </w:r>
    </w:p>
    <w:p w14:paraId="1344B085" w14:textId="77777777" w:rsidR="00673D80" w:rsidRPr="00673D80" w:rsidRDefault="007251AA" w:rsidP="00673D80">
      <w:pPr>
        <w:pStyle w:val="ListParagraph"/>
        <w:numPr>
          <w:ilvl w:val="2"/>
          <w:numId w:val="28"/>
        </w:numPr>
        <w:ind w:left="900" w:hanging="180"/>
        <w:rPr>
          <w:rFonts w:asciiTheme="minorHAnsi" w:hAnsiTheme="minorHAnsi"/>
          <w:i/>
          <w:sz w:val="24"/>
          <w:szCs w:val="24"/>
        </w:rPr>
      </w:pPr>
      <w:r>
        <w:rPr>
          <w:rFonts w:asciiTheme="minorHAnsi" w:hAnsiTheme="minorHAnsi"/>
          <w:i/>
          <w:sz w:val="24"/>
          <w:szCs w:val="24"/>
        </w:rPr>
        <w:t xml:space="preserve">List of </w:t>
      </w:r>
      <w:r w:rsidR="00673D80" w:rsidRPr="00673D80">
        <w:rPr>
          <w:rFonts w:asciiTheme="minorHAnsi" w:hAnsiTheme="minorHAnsi"/>
          <w:i/>
          <w:sz w:val="24"/>
          <w:szCs w:val="24"/>
        </w:rPr>
        <w:t>Benchmark Classes and Labor Market Analysis</w:t>
      </w:r>
    </w:p>
    <w:p w14:paraId="4D349490" w14:textId="77777777" w:rsidR="00673D80" w:rsidRDefault="00673D80" w:rsidP="00233206">
      <w:pPr>
        <w:rPr>
          <w:rFonts w:asciiTheme="minorHAnsi" w:hAnsiTheme="minorHAnsi"/>
          <w:b/>
          <w:sz w:val="36"/>
          <w:szCs w:val="28"/>
        </w:rPr>
        <w:sectPr w:rsidR="00673D80" w:rsidSect="0039013F">
          <w:pgSz w:w="12240" w:h="15840"/>
          <w:pgMar w:top="1440" w:right="1440" w:bottom="1440" w:left="1440" w:header="720" w:footer="720" w:gutter="0"/>
          <w:pgNumType w:start="1"/>
          <w:cols w:space="720"/>
          <w:titlePg/>
          <w:docGrid w:linePitch="360"/>
        </w:sectPr>
      </w:pPr>
    </w:p>
    <w:p w14:paraId="753445A1" w14:textId="77777777" w:rsidR="00673D80" w:rsidRDefault="00673D80" w:rsidP="00233206">
      <w:pPr>
        <w:rPr>
          <w:rFonts w:asciiTheme="minorHAnsi" w:hAnsiTheme="minorHAnsi"/>
          <w:b/>
          <w:sz w:val="36"/>
          <w:szCs w:val="28"/>
        </w:rPr>
        <w:sectPr w:rsidR="00673D80" w:rsidSect="0039013F">
          <w:pgSz w:w="12240" w:h="15840"/>
          <w:pgMar w:top="1440" w:right="1440" w:bottom="1440" w:left="1440" w:header="720" w:footer="720" w:gutter="0"/>
          <w:pgNumType w:start="1"/>
          <w:cols w:space="720"/>
          <w:titlePg/>
          <w:docGrid w:linePitch="360"/>
        </w:sect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40"/>
      </w:tblGrid>
      <w:tr w:rsidR="00233206" w14:paraId="68696120" w14:textId="77777777" w:rsidTr="00233206">
        <w:tc>
          <w:tcPr>
            <w:tcW w:w="6318" w:type="dxa"/>
            <w:vAlign w:val="center"/>
          </w:tcPr>
          <w:p w14:paraId="71603236" w14:textId="2CD66028" w:rsidR="00233206" w:rsidRDefault="00233206" w:rsidP="00233206">
            <w:pPr>
              <w:rPr>
                <w:rFonts w:asciiTheme="minorHAnsi" w:hAnsiTheme="minorHAnsi"/>
                <w:b/>
                <w:sz w:val="36"/>
                <w:szCs w:val="28"/>
              </w:rPr>
            </w:pPr>
            <w:r w:rsidRPr="0039013F">
              <w:rPr>
                <w:rFonts w:asciiTheme="minorHAnsi" w:hAnsiTheme="minorHAnsi"/>
                <w:b/>
                <w:sz w:val="36"/>
                <w:szCs w:val="28"/>
              </w:rPr>
              <w:lastRenderedPageBreak/>
              <w:t>C</w:t>
            </w:r>
            <w:r w:rsidR="00CF71A4">
              <w:rPr>
                <w:rFonts w:asciiTheme="minorHAnsi" w:hAnsiTheme="minorHAnsi"/>
                <w:b/>
                <w:sz w:val="36"/>
                <w:szCs w:val="28"/>
              </w:rPr>
              <w:t>OMPENSATION AND</w:t>
            </w:r>
            <w:r>
              <w:rPr>
                <w:rFonts w:asciiTheme="minorHAnsi" w:hAnsiTheme="minorHAnsi"/>
                <w:b/>
                <w:sz w:val="36"/>
                <w:szCs w:val="28"/>
              </w:rPr>
              <w:t xml:space="preserve"> BENEFITS REPORT</w:t>
            </w:r>
          </w:p>
          <w:p w14:paraId="12734438" w14:textId="67532CFA" w:rsidR="00233206" w:rsidRPr="00233206" w:rsidRDefault="000A6C45" w:rsidP="00233206">
            <w:pPr>
              <w:rPr>
                <w:rFonts w:asciiTheme="minorHAnsi" w:hAnsiTheme="minorHAnsi"/>
                <w:sz w:val="36"/>
                <w:szCs w:val="28"/>
              </w:rPr>
            </w:pPr>
            <w:r>
              <w:rPr>
                <w:rFonts w:asciiTheme="minorHAnsi" w:hAnsiTheme="minorHAnsi"/>
                <w:sz w:val="28"/>
                <w:szCs w:val="28"/>
              </w:rPr>
              <w:t>April</w:t>
            </w:r>
            <w:r w:rsidR="0006285B">
              <w:rPr>
                <w:rFonts w:asciiTheme="minorHAnsi" w:hAnsiTheme="minorHAnsi"/>
                <w:sz w:val="28"/>
                <w:szCs w:val="28"/>
              </w:rPr>
              <w:t xml:space="preserve"> 201</w:t>
            </w:r>
            <w:r w:rsidR="00C870A8">
              <w:rPr>
                <w:rFonts w:asciiTheme="minorHAnsi" w:hAnsiTheme="minorHAnsi"/>
                <w:sz w:val="28"/>
                <w:szCs w:val="28"/>
              </w:rPr>
              <w:t>8</w:t>
            </w:r>
          </w:p>
        </w:tc>
        <w:tc>
          <w:tcPr>
            <w:tcW w:w="3240" w:type="dxa"/>
            <w:vAlign w:val="center"/>
          </w:tcPr>
          <w:p w14:paraId="6B0CE2E5" w14:textId="63A080BB" w:rsidR="00233206" w:rsidRDefault="00233206" w:rsidP="00233206">
            <w:pPr>
              <w:jc w:val="right"/>
              <w:rPr>
                <w:rFonts w:asciiTheme="minorHAnsi" w:hAnsiTheme="minorHAnsi"/>
                <w:b/>
                <w:sz w:val="36"/>
                <w:szCs w:val="28"/>
              </w:rPr>
            </w:pPr>
          </w:p>
        </w:tc>
      </w:tr>
    </w:tbl>
    <w:p w14:paraId="2DC0053B" w14:textId="77777777" w:rsidR="00594E36" w:rsidRDefault="00594E36" w:rsidP="00F156AE">
      <w:pPr>
        <w:pStyle w:val="BodyTextIndent"/>
        <w:ind w:right="360"/>
        <w:rPr>
          <w:rFonts w:ascii="Arial" w:hAnsi="Arial" w:cs="Arial"/>
          <w:i/>
        </w:rPr>
      </w:pPr>
    </w:p>
    <w:p w14:paraId="3A9584E5" w14:textId="77777777" w:rsidR="00F156AE" w:rsidRPr="005E68E5" w:rsidRDefault="00F156AE" w:rsidP="00F156AE">
      <w:pPr>
        <w:pStyle w:val="BodyTextIndent"/>
        <w:ind w:right="360"/>
        <w:rPr>
          <w:rFonts w:ascii="Arial" w:hAnsi="Arial" w:cs="Arial"/>
          <w:i/>
          <w:strike/>
          <w:color w:val="FF0000"/>
          <w:sz w:val="20"/>
        </w:rPr>
      </w:pPr>
    </w:p>
    <w:p w14:paraId="15182494" w14:textId="77777777" w:rsidR="00465F21" w:rsidRPr="0039013F" w:rsidRDefault="00465F21" w:rsidP="0039013F">
      <w:pPr>
        <w:pStyle w:val="MAPS"/>
        <w:pBdr>
          <w:bottom w:val="single" w:sz="4" w:space="1" w:color="auto"/>
        </w:pBdr>
        <w:tabs>
          <w:tab w:val="right" w:pos="-900"/>
        </w:tabs>
        <w:jc w:val="both"/>
        <w:rPr>
          <w:rFonts w:asciiTheme="minorHAnsi" w:hAnsiTheme="minorHAnsi" w:cs="Arial"/>
          <w:b/>
          <w:bCs/>
          <w:iCs/>
          <w:sz w:val="28"/>
        </w:rPr>
      </w:pPr>
      <w:r w:rsidRPr="0039013F">
        <w:rPr>
          <w:rFonts w:asciiTheme="minorHAnsi" w:hAnsiTheme="minorHAnsi" w:cs="Arial"/>
          <w:b/>
          <w:bCs/>
          <w:iCs/>
          <w:sz w:val="28"/>
        </w:rPr>
        <w:t>I.</w:t>
      </w:r>
      <w:r w:rsidR="008B4416" w:rsidRPr="0039013F">
        <w:rPr>
          <w:rFonts w:asciiTheme="minorHAnsi" w:hAnsiTheme="minorHAnsi" w:cs="Arial"/>
          <w:iCs/>
          <w:sz w:val="28"/>
        </w:rPr>
        <w:tab/>
      </w:r>
      <w:r w:rsidRPr="0039013F">
        <w:rPr>
          <w:rFonts w:asciiTheme="minorHAnsi" w:hAnsiTheme="minorHAnsi" w:cs="Arial"/>
          <w:b/>
          <w:bCs/>
          <w:iCs/>
          <w:sz w:val="28"/>
        </w:rPr>
        <w:t>EXECUTIVE SUMMARY</w:t>
      </w:r>
    </w:p>
    <w:p w14:paraId="5A3FFE02" w14:textId="77777777" w:rsidR="00515796" w:rsidRDefault="00465F21" w:rsidP="00515796">
      <w:pPr>
        <w:pStyle w:val="Header"/>
        <w:tabs>
          <w:tab w:val="clear" w:pos="4320"/>
          <w:tab w:val="clear" w:pos="8640"/>
        </w:tabs>
        <w:rPr>
          <w:rFonts w:ascii="Arial" w:hAnsi="Arial" w:cs="Arial"/>
        </w:rPr>
      </w:pPr>
      <w:r w:rsidRPr="00694051">
        <w:rPr>
          <w:rFonts w:ascii="Arial" w:hAnsi="Arial" w:cs="Arial"/>
        </w:rPr>
        <w:t xml:space="preserve"> </w:t>
      </w:r>
    </w:p>
    <w:p w14:paraId="64006E10" w14:textId="2CE7AEDF" w:rsidR="007873C7" w:rsidRPr="0039013F" w:rsidRDefault="007873C7" w:rsidP="00122403">
      <w:pPr>
        <w:pStyle w:val="MAPS"/>
        <w:jc w:val="both"/>
        <w:rPr>
          <w:rFonts w:asciiTheme="minorHAnsi" w:hAnsiTheme="minorHAnsi" w:cs="Arial"/>
          <w:sz w:val="22"/>
        </w:rPr>
      </w:pPr>
      <w:r w:rsidRPr="0039013F">
        <w:rPr>
          <w:rFonts w:asciiTheme="minorHAnsi" w:hAnsiTheme="minorHAnsi" w:cs="Arial"/>
          <w:sz w:val="22"/>
        </w:rPr>
        <w:t xml:space="preserve">This Compensation </w:t>
      </w:r>
      <w:r w:rsidR="00CF71A4">
        <w:rPr>
          <w:rFonts w:asciiTheme="minorHAnsi" w:hAnsiTheme="minorHAnsi" w:cs="Arial"/>
          <w:sz w:val="22"/>
        </w:rPr>
        <w:t>and</w:t>
      </w:r>
      <w:r w:rsidRPr="0039013F">
        <w:rPr>
          <w:rFonts w:asciiTheme="minorHAnsi" w:hAnsiTheme="minorHAnsi" w:cs="Arial"/>
          <w:sz w:val="22"/>
        </w:rPr>
        <w:t xml:space="preserve"> Benefits report responds to the requirements expressed in NCGS 126-</w:t>
      </w:r>
      <w:r w:rsidR="00382BFC" w:rsidRPr="0039013F">
        <w:rPr>
          <w:rFonts w:asciiTheme="minorHAnsi" w:hAnsiTheme="minorHAnsi" w:cs="Arial"/>
          <w:sz w:val="22"/>
        </w:rPr>
        <w:t>7.3</w:t>
      </w:r>
      <w:r w:rsidR="00CF71A4">
        <w:rPr>
          <w:rFonts w:asciiTheme="minorHAnsi" w:hAnsiTheme="minorHAnsi" w:cs="Arial"/>
          <w:sz w:val="22"/>
        </w:rPr>
        <w:t xml:space="preserve"> (</w:t>
      </w:r>
      <w:r w:rsidRPr="0039013F">
        <w:rPr>
          <w:rFonts w:asciiTheme="minorHAnsi" w:hAnsiTheme="minorHAnsi" w:cs="Arial"/>
          <w:sz w:val="22"/>
        </w:rPr>
        <w:t xml:space="preserve">State </w:t>
      </w:r>
      <w:r w:rsidR="001D0567" w:rsidRPr="0039013F">
        <w:rPr>
          <w:rFonts w:asciiTheme="minorHAnsi" w:hAnsiTheme="minorHAnsi" w:cs="Arial"/>
          <w:sz w:val="22"/>
        </w:rPr>
        <w:t>Human Resources</w:t>
      </w:r>
      <w:r w:rsidRPr="0039013F">
        <w:rPr>
          <w:rFonts w:asciiTheme="minorHAnsi" w:hAnsiTheme="minorHAnsi" w:cs="Arial"/>
          <w:sz w:val="22"/>
        </w:rPr>
        <w:t xml:space="preserve"> Act</w:t>
      </w:r>
      <w:r w:rsidR="00CF71A4">
        <w:rPr>
          <w:rFonts w:asciiTheme="minorHAnsi" w:hAnsiTheme="minorHAnsi" w:cs="Arial"/>
          <w:sz w:val="22"/>
        </w:rPr>
        <w:t>)</w:t>
      </w:r>
      <w:r w:rsidRPr="0039013F">
        <w:rPr>
          <w:rFonts w:asciiTheme="minorHAnsi" w:hAnsiTheme="minorHAnsi" w:cs="Arial"/>
          <w:sz w:val="22"/>
        </w:rPr>
        <w:t xml:space="preserve"> to guide the Governor and the General Assembly in making funding appropriations for State employees’ salary increases. The results of the compensation survey are presented to the Appropriations Committee of the House and Senate no later than two weeks after the convening of the legislature in odd years</w:t>
      </w:r>
      <w:r w:rsidR="00D3571D" w:rsidRPr="0039013F">
        <w:rPr>
          <w:rFonts w:asciiTheme="minorHAnsi" w:hAnsiTheme="minorHAnsi" w:cs="Arial"/>
          <w:sz w:val="22"/>
        </w:rPr>
        <w:t xml:space="preserve"> </w:t>
      </w:r>
      <w:r w:rsidRPr="0039013F">
        <w:rPr>
          <w:rFonts w:asciiTheme="minorHAnsi" w:hAnsiTheme="minorHAnsi" w:cs="Arial"/>
          <w:sz w:val="22"/>
        </w:rPr>
        <w:t xml:space="preserve">and </w:t>
      </w:r>
      <w:r w:rsidR="000A6C45">
        <w:rPr>
          <w:rFonts w:asciiTheme="minorHAnsi" w:hAnsiTheme="minorHAnsi" w:cs="Arial"/>
          <w:sz w:val="22"/>
        </w:rPr>
        <w:t xml:space="preserve">by </w:t>
      </w:r>
      <w:r w:rsidRPr="0039013F">
        <w:rPr>
          <w:rFonts w:asciiTheme="minorHAnsi" w:hAnsiTheme="minorHAnsi" w:cs="Arial"/>
          <w:sz w:val="22"/>
        </w:rPr>
        <w:t>May 1 of even years. The report addresses current economic and labor market conditions and sets the stage for strategic planning to address them.</w:t>
      </w:r>
    </w:p>
    <w:p w14:paraId="7F8B45C2" w14:textId="77777777" w:rsidR="00220D26" w:rsidRPr="0039013F" w:rsidRDefault="00220D26" w:rsidP="007873C7">
      <w:pPr>
        <w:pStyle w:val="MAPS"/>
        <w:rPr>
          <w:rFonts w:asciiTheme="minorHAnsi" w:hAnsiTheme="minorHAnsi" w:cs="Arial"/>
          <w:sz w:val="22"/>
        </w:rPr>
      </w:pPr>
    </w:p>
    <w:p w14:paraId="1D001D8A" w14:textId="76AB85A9" w:rsidR="00A573D2" w:rsidRPr="0039013F" w:rsidRDefault="00A573D2" w:rsidP="00A573D2">
      <w:pPr>
        <w:pStyle w:val="BodyText"/>
        <w:rPr>
          <w:rFonts w:asciiTheme="minorHAnsi" w:hAnsiTheme="minorHAnsi" w:cs="Arial"/>
        </w:rPr>
      </w:pPr>
      <w:r w:rsidRPr="0039013F">
        <w:rPr>
          <w:rFonts w:asciiTheme="minorHAnsi" w:hAnsiTheme="minorHAnsi" w:cs="Arial"/>
        </w:rPr>
        <w:t xml:space="preserve">Key to the discussion of </w:t>
      </w:r>
      <w:r w:rsidR="005260AB">
        <w:rPr>
          <w:rFonts w:asciiTheme="minorHAnsi" w:hAnsiTheme="minorHAnsi" w:cs="Arial"/>
        </w:rPr>
        <w:t>S</w:t>
      </w:r>
      <w:r w:rsidRPr="0039013F">
        <w:rPr>
          <w:rFonts w:asciiTheme="minorHAnsi" w:hAnsiTheme="minorHAnsi" w:cs="Arial"/>
        </w:rPr>
        <w:t>tate employee compensation is OSHR’s ongoing Statewide Compensation System Project. Senate Bill 402, the Appropriations Act of 2013, esta</w:t>
      </w:r>
      <w:r w:rsidR="00CF71A4">
        <w:rPr>
          <w:rFonts w:asciiTheme="minorHAnsi" w:hAnsiTheme="minorHAnsi" w:cs="Arial"/>
        </w:rPr>
        <w:t>blished a reserve to fund this s</w:t>
      </w:r>
      <w:r w:rsidRPr="0039013F">
        <w:rPr>
          <w:rFonts w:asciiTheme="minorHAnsi" w:hAnsiTheme="minorHAnsi" w:cs="Arial"/>
        </w:rPr>
        <w:t>tudy. The legislation required a status report to the General Assembly in May 2014</w:t>
      </w:r>
      <w:r w:rsidR="00CF71A4">
        <w:rPr>
          <w:rFonts w:asciiTheme="minorHAnsi" w:hAnsiTheme="minorHAnsi" w:cs="Arial"/>
        </w:rPr>
        <w:t>,</w:t>
      </w:r>
      <w:r w:rsidRPr="0039013F">
        <w:rPr>
          <w:rFonts w:asciiTheme="minorHAnsi" w:hAnsiTheme="minorHAnsi" w:cs="Arial"/>
        </w:rPr>
        <w:t xml:space="preserve"> which was delivered along with </w:t>
      </w:r>
      <w:r w:rsidR="0006285B">
        <w:rPr>
          <w:rFonts w:asciiTheme="minorHAnsi" w:hAnsiTheme="minorHAnsi" w:cs="Arial"/>
        </w:rPr>
        <w:t>that</w:t>
      </w:r>
      <w:r w:rsidRPr="0039013F">
        <w:rPr>
          <w:rFonts w:asciiTheme="minorHAnsi" w:hAnsiTheme="minorHAnsi" w:cs="Arial"/>
        </w:rPr>
        <w:t xml:space="preserve"> year’s Compensation and Benefits Report. Since that time</w:t>
      </w:r>
      <w:r w:rsidR="00CF71A4">
        <w:rPr>
          <w:rFonts w:asciiTheme="minorHAnsi" w:hAnsiTheme="minorHAnsi" w:cs="Arial"/>
        </w:rPr>
        <w:t>,</w:t>
      </w:r>
      <w:r w:rsidRPr="0039013F">
        <w:rPr>
          <w:rFonts w:asciiTheme="minorHAnsi" w:hAnsiTheme="minorHAnsi" w:cs="Arial"/>
        </w:rPr>
        <w:t xml:space="preserve"> OSHR has acquired a</w:t>
      </w:r>
      <w:r w:rsidR="0006285B">
        <w:rPr>
          <w:rFonts w:asciiTheme="minorHAnsi" w:hAnsiTheme="minorHAnsi" w:cs="Arial"/>
        </w:rPr>
        <w:t>nd implemented both (1) a</w:t>
      </w:r>
      <w:r w:rsidRPr="0039013F">
        <w:rPr>
          <w:rFonts w:asciiTheme="minorHAnsi" w:hAnsiTheme="minorHAnsi" w:cs="Arial"/>
        </w:rPr>
        <w:t xml:space="preserve"> market analysis and modeling technology tool (MarketPay) that has enabled more valid, timely and accurate labor market comparis</w:t>
      </w:r>
      <w:r w:rsidR="0006285B">
        <w:rPr>
          <w:rFonts w:asciiTheme="minorHAnsi" w:hAnsiTheme="minorHAnsi" w:cs="Arial"/>
        </w:rPr>
        <w:t xml:space="preserve">ons and costing scenarios; and (2) a </w:t>
      </w:r>
      <w:r w:rsidR="006D2592">
        <w:rPr>
          <w:rFonts w:asciiTheme="minorHAnsi" w:hAnsiTheme="minorHAnsi" w:cs="Arial"/>
        </w:rPr>
        <w:t xml:space="preserve">position description </w:t>
      </w:r>
      <w:r w:rsidRPr="0039013F">
        <w:rPr>
          <w:rFonts w:asciiTheme="minorHAnsi" w:hAnsiTheme="minorHAnsi" w:cs="Arial"/>
        </w:rPr>
        <w:t>collecti</w:t>
      </w:r>
      <w:r w:rsidR="0006285B">
        <w:rPr>
          <w:rFonts w:asciiTheme="minorHAnsi" w:hAnsiTheme="minorHAnsi" w:cs="Arial"/>
        </w:rPr>
        <w:t xml:space="preserve">on/workflow tool (PeopleAdmin) that has enabled the electronic collection and storage of descriptive and analytical information on all </w:t>
      </w:r>
      <w:r w:rsidR="00CF71A4">
        <w:rPr>
          <w:rFonts w:asciiTheme="minorHAnsi" w:hAnsiTheme="minorHAnsi" w:cs="Arial"/>
        </w:rPr>
        <w:t>S</w:t>
      </w:r>
      <w:r w:rsidR="0006285B">
        <w:rPr>
          <w:rFonts w:asciiTheme="minorHAnsi" w:hAnsiTheme="minorHAnsi" w:cs="Arial"/>
        </w:rPr>
        <w:t xml:space="preserve">tate agency positions. In collaboration with </w:t>
      </w:r>
      <w:r w:rsidR="005260AB">
        <w:rPr>
          <w:rFonts w:asciiTheme="minorHAnsi" w:hAnsiTheme="minorHAnsi" w:cs="Arial"/>
        </w:rPr>
        <w:t>S</w:t>
      </w:r>
      <w:r w:rsidR="0006285B">
        <w:rPr>
          <w:rFonts w:asciiTheme="minorHAnsi" w:hAnsiTheme="minorHAnsi" w:cs="Arial"/>
        </w:rPr>
        <w:t xml:space="preserve">tate agencies, OSHR has developed all-new classification concepts to be used in the new system, reducing the overall number of concepts from </w:t>
      </w:r>
      <w:r w:rsidR="00CF71A4">
        <w:rPr>
          <w:rFonts w:asciiTheme="minorHAnsi" w:hAnsiTheme="minorHAnsi" w:cs="Arial"/>
        </w:rPr>
        <w:t>more than</w:t>
      </w:r>
      <w:r w:rsidR="0006285B">
        <w:rPr>
          <w:rFonts w:asciiTheme="minorHAnsi" w:hAnsiTheme="minorHAnsi" w:cs="Arial"/>
        </w:rPr>
        <w:t xml:space="preserve"> 2</w:t>
      </w:r>
      <w:r w:rsidR="00E55D67">
        <w:rPr>
          <w:rFonts w:asciiTheme="minorHAnsi" w:hAnsiTheme="minorHAnsi" w:cs="Arial"/>
        </w:rPr>
        <w:t>,</w:t>
      </w:r>
      <w:r w:rsidR="0006285B">
        <w:rPr>
          <w:rFonts w:asciiTheme="minorHAnsi" w:hAnsiTheme="minorHAnsi" w:cs="Arial"/>
        </w:rPr>
        <w:t xml:space="preserve">300 to </w:t>
      </w:r>
      <w:r w:rsidR="00E55D67">
        <w:rPr>
          <w:rFonts w:asciiTheme="minorHAnsi" w:hAnsiTheme="minorHAnsi" w:cs="Arial"/>
        </w:rPr>
        <w:t xml:space="preserve">approximately </w:t>
      </w:r>
      <w:r w:rsidR="0006285B">
        <w:rPr>
          <w:rFonts w:asciiTheme="minorHAnsi" w:hAnsiTheme="minorHAnsi" w:cs="Arial"/>
        </w:rPr>
        <w:t>1</w:t>
      </w:r>
      <w:r w:rsidR="00E55D67">
        <w:rPr>
          <w:rFonts w:asciiTheme="minorHAnsi" w:hAnsiTheme="minorHAnsi" w:cs="Arial"/>
        </w:rPr>
        <w:t>,</w:t>
      </w:r>
      <w:r w:rsidR="0006285B">
        <w:rPr>
          <w:rFonts w:asciiTheme="minorHAnsi" w:hAnsiTheme="minorHAnsi" w:cs="Arial"/>
        </w:rPr>
        <w:t xml:space="preserve">400. Some 65,000 agency positions have been allocated to these new concepts, and OSHR has used the market pricing tool to assign the jobs to levels in new market-aligned pay structures. The project </w:t>
      </w:r>
      <w:r w:rsidR="00F00682">
        <w:rPr>
          <w:rFonts w:asciiTheme="minorHAnsi" w:hAnsiTheme="minorHAnsi" w:cs="Arial"/>
        </w:rPr>
        <w:t xml:space="preserve">was expected to be implemented in June 2016 but was delayed by legislative action to no earlier than February 2017. </w:t>
      </w:r>
      <w:r w:rsidR="00E55D67">
        <w:rPr>
          <w:rFonts w:asciiTheme="minorHAnsi" w:hAnsiTheme="minorHAnsi" w:cs="Arial"/>
        </w:rPr>
        <w:t>A</w:t>
      </w:r>
      <w:r w:rsidR="00F00682">
        <w:rPr>
          <w:rFonts w:asciiTheme="minorHAnsi" w:hAnsiTheme="minorHAnsi" w:cs="Arial"/>
        </w:rPr>
        <w:t>n implementation date</w:t>
      </w:r>
      <w:r w:rsidR="00E55D67">
        <w:rPr>
          <w:rFonts w:asciiTheme="minorHAnsi" w:hAnsiTheme="minorHAnsi" w:cs="Arial"/>
        </w:rPr>
        <w:t xml:space="preserve"> of June 1, 2018 is planned</w:t>
      </w:r>
      <w:r w:rsidR="00F00682">
        <w:rPr>
          <w:rFonts w:asciiTheme="minorHAnsi" w:hAnsiTheme="minorHAnsi" w:cs="Arial"/>
        </w:rPr>
        <w:t>.</w:t>
      </w:r>
    </w:p>
    <w:p w14:paraId="2879E690" w14:textId="77777777" w:rsidR="00A573D2" w:rsidRPr="00E4141D" w:rsidRDefault="00A573D2" w:rsidP="00A573D2">
      <w:pPr>
        <w:pStyle w:val="BodyText"/>
        <w:rPr>
          <w:rFonts w:asciiTheme="minorHAnsi" w:hAnsiTheme="minorHAnsi" w:cs="Arial"/>
          <w:b/>
          <w:color w:val="FF0000"/>
        </w:rPr>
      </w:pPr>
    </w:p>
    <w:p w14:paraId="678EFB53" w14:textId="7DD2C80F" w:rsidR="00A573D2" w:rsidRPr="0039013F" w:rsidRDefault="00E4141D" w:rsidP="00A573D2">
      <w:pPr>
        <w:pStyle w:val="BodyText"/>
        <w:rPr>
          <w:rFonts w:asciiTheme="minorHAnsi" w:hAnsiTheme="minorHAnsi" w:cs="Arial"/>
        </w:rPr>
      </w:pPr>
      <w:r w:rsidRPr="00CD734E">
        <w:rPr>
          <w:rFonts w:asciiTheme="minorHAnsi" w:hAnsiTheme="minorHAnsi" w:cs="Arial"/>
        </w:rPr>
        <w:t>With l</w:t>
      </w:r>
      <w:r w:rsidR="00A573D2" w:rsidRPr="00CD734E">
        <w:rPr>
          <w:rFonts w:asciiTheme="minorHAnsi" w:hAnsiTheme="minorHAnsi" w:cs="Arial"/>
        </w:rPr>
        <w:t xml:space="preserve">egislative support for </w:t>
      </w:r>
      <w:r w:rsidR="0006285B" w:rsidRPr="00CD734E">
        <w:rPr>
          <w:rFonts w:asciiTheme="minorHAnsi" w:hAnsiTheme="minorHAnsi" w:cs="Arial"/>
        </w:rPr>
        <w:t xml:space="preserve">the new </w:t>
      </w:r>
      <w:r w:rsidRPr="00CD734E">
        <w:rPr>
          <w:rFonts w:asciiTheme="minorHAnsi" w:hAnsiTheme="minorHAnsi" w:cs="Arial"/>
        </w:rPr>
        <w:t>Statewide Compensation S</w:t>
      </w:r>
      <w:r w:rsidR="0006285B" w:rsidRPr="00CD734E">
        <w:rPr>
          <w:rFonts w:asciiTheme="minorHAnsi" w:hAnsiTheme="minorHAnsi" w:cs="Arial"/>
        </w:rPr>
        <w:t>ystem</w:t>
      </w:r>
      <w:r w:rsidR="00CF71A4">
        <w:rPr>
          <w:rFonts w:asciiTheme="minorHAnsi" w:hAnsiTheme="minorHAnsi" w:cs="Arial"/>
        </w:rPr>
        <w:t>,</w:t>
      </w:r>
      <w:r w:rsidRPr="00CD734E">
        <w:rPr>
          <w:rFonts w:asciiTheme="minorHAnsi" w:hAnsiTheme="minorHAnsi" w:cs="Arial"/>
        </w:rPr>
        <w:t xml:space="preserve"> we will be able to implement a flexible classification </w:t>
      </w:r>
      <w:r w:rsidR="00CF71A4">
        <w:rPr>
          <w:rFonts w:asciiTheme="minorHAnsi" w:hAnsiTheme="minorHAnsi" w:cs="Arial"/>
        </w:rPr>
        <w:t>and</w:t>
      </w:r>
      <w:r w:rsidRPr="00CD734E">
        <w:rPr>
          <w:rFonts w:asciiTheme="minorHAnsi" w:hAnsiTheme="minorHAnsi" w:cs="Arial"/>
        </w:rPr>
        <w:t xml:space="preserve"> compensation program that can be utilized more effectively within an ever changing workforce than current structures.  Adaptive classifications, p</w:t>
      </w:r>
      <w:r w:rsidR="00A573D2" w:rsidRPr="00CD734E">
        <w:rPr>
          <w:rFonts w:asciiTheme="minorHAnsi" w:hAnsiTheme="minorHAnsi" w:cs="Arial"/>
        </w:rPr>
        <w:t>ay innovations and market</w:t>
      </w:r>
      <w:r w:rsidRPr="00CD734E">
        <w:rPr>
          <w:rFonts w:asciiTheme="minorHAnsi" w:hAnsiTheme="minorHAnsi" w:cs="Arial"/>
        </w:rPr>
        <w:t xml:space="preserve"> related- compensation</w:t>
      </w:r>
      <w:r w:rsidR="00A573D2" w:rsidRPr="00CD734E">
        <w:rPr>
          <w:rFonts w:asciiTheme="minorHAnsi" w:hAnsiTheme="minorHAnsi" w:cs="Arial"/>
        </w:rPr>
        <w:t xml:space="preserve"> systems</w:t>
      </w:r>
      <w:r w:rsidR="00811E77" w:rsidRPr="00CD734E">
        <w:rPr>
          <w:rFonts w:asciiTheme="minorHAnsi" w:hAnsiTheme="minorHAnsi" w:cs="Arial"/>
        </w:rPr>
        <w:t>;</w:t>
      </w:r>
      <w:r w:rsidR="00A573D2" w:rsidRPr="00CD734E">
        <w:rPr>
          <w:rFonts w:asciiTheme="minorHAnsi" w:hAnsiTheme="minorHAnsi" w:cs="Arial"/>
        </w:rPr>
        <w:t xml:space="preserve"> aligning benefits programs with the market</w:t>
      </w:r>
      <w:r w:rsidR="00811E77" w:rsidRPr="00CD734E">
        <w:rPr>
          <w:rFonts w:asciiTheme="minorHAnsi" w:hAnsiTheme="minorHAnsi" w:cs="Arial"/>
        </w:rPr>
        <w:t>;</w:t>
      </w:r>
      <w:r w:rsidR="00A573D2" w:rsidRPr="00CD734E">
        <w:rPr>
          <w:rFonts w:asciiTheme="minorHAnsi" w:hAnsiTheme="minorHAnsi" w:cs="Arial"/>
        </w:rPr>
        <w:t xml:space="preserve"> and attention to work life balance issues will </w:t>
      </w:r>
      <w:r w:rsidR="0006285B" w:rsidRPr="00CD734E">
        <w:rPr>
          <w:rFonts w:asciiTheme="minorHAnsi" w:hAnsiTheme="minorHAnsi" w:cs="Arial"/>
        </w:rPr>
        <w:t>continue to foster</w:t>
      </w:r>
      <w:r w:rsidR="00A573D2" w:rsidRPr="00CD734E">
        <w:rPr>
          <w:rFonts w:asciiTheme="minorHAnsi" w:hAnsiTheme="minorHAnsi" w:cs="Arial"/>
        </w:rPr>
        <w:t xml:space="preserve"> an environment in which </w:t>
      </w:r>
      <w:r w:rsidR="005260AB">
        <w:rPr>
          <w:rFonts w:asciiTheme="minorHAnsi" w:hAnsiTheme="minorHAnsi" w:cs="Arial"/>
        </w:rPr>
        <w:t>S</w:t>
      </w:r>
      <w:r w:rsidR="00A573D2" w:rsidRPr="00CD734E">
        <w:rPr>
          <w:rFonts w:asciiTheme="minorHAnsi" w:hAnsiTheme="minorHAnsi" w:cs="Arial"/>
        </w:rPr>
        <w:t>tate employees can be successful and engaged in serving North Carolina’s citizens</w:t>
      </w:r>
      <w:r w:rsidR="00A573D2" w:rsidRPr="0039013F">
        <w:rPr>
          <w:rFonts w:asciiTheme="minorHAnsi" w:hAnsiTheme="minorHAnsi" w:cs="Arial"/>
        </w:rPr>
        <w:t>.</w:t>
      </w:r>
    </w:p>
    <w:p w14:paraId="734C9742" w14:textId="77777777" w:rsidR="00811E77" w:rsidRPr="0039013F" w:rsidRDefault="00811E77" w:rsidP="00811E77">
      <w:pPr>
        <w:pStyle w:val="MAPS"/>
        <w:rPr>
          <w:rFonts w:asciiTheme="minorHAnsi" w:hAnsiTheme="minorHAnsi" w:cs="Arial"/>
          <w:sz w:val="22"/>
        </w:rPr>
      </w:pPr>
    </w:p>
    <w:p w14:paraId="5C53C5B2" w14:textId="12B28FFC" w:rsidR="00A573D2" w:rsidRPr="0039013F" w:rsidRDefault="00811E77" w:rsidP="00122403">
      <w:pPr>
        <w:pStyle w:val="MAPS"/>
        <w:jc w:val="both"/>
        <w:rPr>
          <w:rFonts w:asciiTheme="minorHAnsi" w:hAnsiTheme="minorHAnsi" w:cs="Arial"/>
          <w:sz w:val="22"/>
        </w:rPr>
      </w:pPr>
      <w:r w:rsidRPr="00E55D67">
        <w:rPr>
          <w:rFonts w:asciiTheme="minorHAnsi" w:hAnsiTheme="minorHAnsi" w:cs="Arial"/>
          <w:sz w:val="22"/>
        </w:rPr>
        <w:t>A</w:t>
      </w:r>
      <w:r w:rsidR="00060DA2" w:rsidRPr="00E55D67">
        <w:rPr>
          <w:rFonts w:asciiTheme="minorHAnsi" w:hAnsiTheme="minorHAnsi" w:cs="Arial"/>
          <w:sz w:val="22"/>
        </w:rPr>
        <w:t xml:space="preserve"> $1,000 legislative increase</w:t>
      </w:r>
      <w:r w:rsidR="0006285B" w:rsidRPr="00E55D67">
        <w:rPr>
          <w:rFonts w:asciiTheme="minorHAnsi" w:hAnsiTheme="minorHAnsi" w:cs="Arial"/>
          <w:sz w:val="22"/>
        </w:rPr>
        <w:t xml:space="preserve"> </w:t>
      </w:r>
      <w:r w:rsidRPr="00E55D67">
        <w:rPr>
          <w:rFonts w:asciiTheme="minorHAnsi" w:hAnsiTheme="minorHAnsi" w:cs="Arial"/>
          <w:sz w:val="22"/>
        </w:rPr>
        <w:t xml:space="preserve">was </w:t>
      </w:r>
      <w:r w:rsidR="0006285B" w:rsidRPr="00E55D67">
        <w:rPr>
          <w:rFonts w:asciiTheme="minorHAnsi" w:hAnsiTheme="minorHAnsi" w:cs="Arial"/>
          <w:sz w:val="22"/>
        </w:rPr>
        <w:t>awarded</w:t>
      </w:r>
      <w:r w:rsidRPr="00E55D67">
        <w:rPr>
          <w:rFonts w:asciiTheme="minorHAnsi" w:hAnsiTheme="minorHAnsi" w:cs="Arial"/>
          <w:sz w:val="22"/>
        </w:rPr>
        <w:t xml:space="preserve"> to </w:t>
      </w:r>
      <w:r w:rsidR="00F4224D">
        <w:rPr>
          <w:rFonts w:asciiTheme="minorHAnsi" w:hAnsiTheme="minorHAnsi" w:cs="Arial"/>
          <w:sz w:val="22"/>
        </w:rPr>
        <w:t>S</w:t>
      </w:r>
      <w:r w:rsidRPr="00E55D67">
        <w:rPr>
          <w:rFonts w:asciiTheme="minorHAnsi" w:hAnsiTheme="minorHAnsi" w:cs="Arial"/>
          <w:sz w:val="22"/>
        </w:rPr>
        <w:t xml:space="preserve">tate employees across the board in </w:t>
      </w:r>
      <w:r w:rsidR="00F00682" w:rsidRPr="00E55D67">
        <w:rPr>
          <w:rFonts w:asciiTheme="minorHAnsi" w:hAnsiTheme="minorHAnsi" w:cs="Arial"/>
          <w:sz w:val="22"/>
        </w:rPr>
        <w:t>201</w:t>
      </w:r>
      <w:r w:rsidR="00060DA2" w:rsidRPr="00E55D67">
        <w:rPr>
          <w:rFonts w:asciiTheme="minorHAnsi" w:hAnsiTheme="minorHAnsi" w:cs="Arial"/>
          <w:sz w:val="22"/>
        </w:rPr>
        <w:t>7</w:t>
      </w:r>
      <w:r w:rsidRPr="00E55D67">
        <w:rPr>
          <w:rFonts w:asciiTheme="minorHAnsi" w:hAnsiTheme="minorHAnsi" w:cs="Arial"/>
          <w:sz w:val="22"/>
        </w:rPr>
        <w:t xml:space="preserve">. </w:t>
      </w:r>
      <w:r w:rsidR="00F00682" w:rsidRPr="00E55D67">
        <w:rPr>
          <w:rFonts w:asciiTheme="minorHAnsi" w:hAnsiTheme="minorHAnsi" w:cs="Arial"/>
          <w:sz w:val="22"/>
        </w:rPr>
        <w:t>In</w:t>
      </w:r>
      <w:r w:rsidR="00F00682">
        <w:rPr>
          <w:rFonts w:asciiTheme="minorHAnsi" w:hAnsiTheme="minorHAnsi" w:cs="Arial"/>
          <w:sz w:val="22"/>
        </w:rPr>
        <w:t xml:space="preserve"> </w:t>
      </w:r>
      <w:r w:rsidR="00E55D67">
        <w:rPr>
          <w:rFonts w:asciiTheme="minorHAnsi" w:hAnsiTheme="minorHAnsi" w:cs="Arial"/>
          <w:sz w:val="22"/>
        </w:rPr>
        <w:t>2016</w:t>
      </w:r>
      <w:r w:rsidR="00F00682">
        <w:rPr>
          <w:rFonts w:asciiTheme="minorHAnsi" w:hAnsiTheme="minorHAnsi" w:cs="Arial"/>
          <w:sz w:val="22"/>
        </w:rPr>
        <w:t xml:space="preserve">, a merit bonus was granted to employees with performance ratings meeting or exceeding expectations. Those exceeding expectations received slightly more ($700) than those meeting expectations ($475). The latter was a significant step towards implementing a “pay for performance” culture in </w:t>
      </w:r>
      <w:r w:rsidR="00F4224D">
        <w:rPr>
          <w:rFonts w:asciiTheme="minorHAnsi" w:hAnsiTheme="minorHAnsi" w:cs="Arial"/>
          <w:sz w:val="22"/>
        </w:rPr>
        <w:t>S</w:t>
      </w:r>
      <w:r w:rsidR="00F00682">
        <w:rPr>
          <w:rFonts w:asciiTheme="minorHAnsi" w:hAnsiTheme="minorHAnsi" w:cs="Arial"/>
          <w:sz w:val="22"/>
        </w:rPr>
        <w:t xml:space="preserve">tate government. </w:t>
      </w:r>
      <w:r w:rsidR="00A573D2" w:rsidRPr="0039013F">
        <w:rPr>
          <w:rFonts w:asciiTheme="minorHAnsi" w:hAnsiTheme="minorHAnsi" w:cs="Arial"/>
          <w:sz w:val="22"/>
        </w:rPr>
        <w:t xml:space="preserve">For North Carolina to manage its talent effectively, its compensation programs must </w:t>
      </w:r>
      <w:r w:rsidR="00F00682">
        <w:rPr>
          <w:rFonts w:asciiTheme="minorHAnsi" w:hAnsiTheme="minorHAnsi" w:cs="Arial"/>
          <w:sz w:val="22"/>
        </w:rPr>
        <w:t>continue to shift</w:t>
      </w:r>
      <w:r w:rsidR="00A573D2" w:rsidRPr="0039013F">
        <w:rPr>
          <w:rFonts w:asciiTheme="minorHAnsi" w:hAnsiTheme="minorHAnsi" w:cs="Arial"/>
          <w:sz w:val="22"/>
        </w:rPr>
        <w:t xml:space="preserve"> from a “one size fits all” mentality to a performance culture that assigns more value to high-perform</w:t>
      </w:r>
      <w:r w:rsidR="00F83B31" w:rsidRPr="0039013F">
        <w:rPr>
          <w:rFonts w:asciiTheme="minorHAnsi" w:hAnsiTheme="minorHAnsi" w:cs="Arial"/>
          <w:sz w:val="22"/>
        </w:rPr>
        <w:t>ing employees in key roles.  Among the recommendations from the Statewide Compensation System Study, this</w:t>
      </w:r>
      <w:r w:rsidR="00A573D2" w:rsidRPr="0039013F">
        <w:rPr>
          <w:rFonts w:asciiTheme="minorHAnsi" w:hAnsiTheme="minorHAnsi" w:cs="Arial"/>
          <w:sz w:val="22"/>
        </w:rPr>
        <w:t xml:space="preserve"> includes examining options to progress employees within their </w:t>
      </w:r>
      <w:r w:rsidR="00F83B31" w:rsidRPr="0039013F">
        <w:rPr>
          <w:rFonts w:asciiTheme="minorHAnsi" w:hAnsiTheme="minorHAnsi" w:cs="Arial"/>
          <w:sz w:val="22"/>
        </w:rPr>
        <w:t>salary range</w:t>
      </w:r>
      <w:r w:rsidR="00A573D2" w:rsidRPr="0039013F">
        <w:rPr>
          <w:rFonts w:asciiTheme="minorHAnsi" w:hAnsiTheme="minorHAnsi" w:cs="Arial"/>
          <w:sz w:val="22"/>
        </w:rPr>
        <w:t xml:space="preserve"> based on their</w:t>
      </w:r>
      <w:r w:rsidRPr="0039013F">
        <w:rPr>
          <w:rFonts w:asciiTheme="minorHAnsi" w:hAnsiTheme="minorHAnsi" w:cs="Arial"/>
          <w:sz w:val="22"/>
        </w:rPr>
        <w:t xml:space="preserve"> market worth and</w:t>
      </w:r>
      <w:r w:rsidR="00A573D2" w:rsidRPr="0039013F">
        <w:rPr>
          <w:rFonts w:asciiTheme="minorHAnsi" w:hAnsiTheme="minorHAnsi" w:cs="Arial"/>
          <w:sz w:val="22"/>
        </w:rPr>
        <w:t xml:space="preserve"> contributions, and utilizing </w:t>
      </w:r>
      <w:r w:rsidR="00CD734E" w:rsidRPr="00E55D67">
        <w:rPr>
          <w:rFonts w:asciiTheme="minorHAnsi" w:hAnsiTheme="minorHAnsi" w:cs="Arial"/>
          <w:color w:val="000000" w:themeColor="text1"/>
          <w:sz w:val="22"/>
        </w:rPr>
        <w:t xml:space="preserve">contemporary </w:t>
      </w:r>
      <w:r w:rsidR="00A573D2" w:rsidRPr="00E55D67">
        <w:rPr>
          <w:rFonts w:asciiTheme="minorHAnsi" w:hAnsiTheme="minorHAnsi" w:cs="Arial"/>
          <w:color w:val="000000" w:themeColor="text1"/>
          <w:sz w:val="22"/>
        </w:rPr>
        <w:t xml:space="preserve">compensation tools </w:t>
      </w:r>
      <w:r w:rsidR="00CD734E" w:rsidRPr="00E55D67">
        <w:rPr>
          <w:rFonts w:asciiTheme="minorHAnsi" w:hAnsiTheme="minorHAnsi" w:cs="Arial"/>
          <w:color w:val="000000" w:themeColor="text1"/>
          <w:sz w:val="22"/>
        </w:rPr>
        <w:t>in addition to</w:t>
      </w:r>
      <w:r w:rsidR="00A573D2" w:rsidRPr="00E55D67">
        <w:rPr>
          <w:rFonts w:asciiTheme="minorHAnsi" w:hAnsiTheme="minorHAnsi" w:cs="Arial"/>
          <w:color w:val="000000" w:themeColor="text1"/>
          <w:sz w:val="22"/>
        </w:rPr>
        <w:t xml:space="preserve"> </w:t>
      </w:r>
      <w:r w:rsidRPr="00E55D67">
        <w:rPr>
          <w:rFonts w:asciiTheme="minorHAnsi" w:hAnsiTheme="minorHAnsi" w:cs="Arial"/>
          <w:color w:val="000000" w:themeColor="text1"/>
          <w:sz w:val="22"/>
        </w:rPr>
        <w:t>across</w:t>
      </w:r>
      <w:r w:rsidRPr="0039013F">
        <w:rPr>
          <w:rFonts w:asciiTheme="minorHAnsi" w:hAnsiTheme="minorHAnsi" w:cs="Arial"/>
          <w:sz w:val="22"/>
        </w:rPr>
        <w:t xml:space="preserve">-the-board </w:t>
      </w:r>
      <w:r w:rsidR="00A573D2" w:rsidRPr="0039013F">
        <w:rPr>
          <w:rFonts w:asciiTheme="minorHAnsi" w:hAnsiTheme="minorHAnsi" w:cs="Arial"/>
          <w:sz w:val="22"/>
        </w:rPr>
        <w:t>base pay increases for recognizing and rewarding excellent performance.</w:t>
      </w:r>
    </w:p>
    <w:p w14:paraId="14D42E49" w14:textId="7442EAAD" w:rsidR="0039013F" w:rsidRDefault="0039013F" w:rsidP="007873C7">
      <w:pPr>
        <w:pStyle w:val="MAPS"/>
        <w:rPr>
          <w:rFonts w:asciiTheme="minorHAnsi" w:hAnsiTheme="minorHAnsi" w:cs="Arial"/>
          <w:sz w:val="22"/>
        </w:rPr>
      </w:pPr>
    </w:p>
    <w:p w14:paraId="4631F3D8" w14:textId="77777777" w:rsidR="00C870A8" w:rsidRPr="0039013F" w:rsidRDefault="00C870A8" w:rsidP="007873C7">
      <w:pPr>
        <w:pStyle w:val="MAPS"/>
        <w:rPr>
          <w:rFonts w:asciiTheme="minorHAnsi" w:hAnsiTheme="minorHAnsi" w:cs="Arial"/>
          <w:sz w:val="22"/>
        </w:rPr>
      </w:pPr>
    </w:p>
    <w:p w14:paraId="2B005A39" w14:textId="77777777" w:rsidR="00465F21" w:rsidRPr="00694051" w:rsidRDefault="00465F21">
      <w:pPr>
        <w:pStyle w:val="BodyText"/>
        <w:rPr>
          <w:rFonts w:ascii="Arial" w:hAnsi="Arial" w:cs="Arial"/>
          <w:b/>
          <w:sz w:val="24"/>
        </w:rPr>
      </w:pPr>
      <w:r w:rsidRPr="00694051">
        <w:rPr>
          <w:rFonts w:ascii="Arial" w:hAnsi="Arial" w:cs="Arial"/>
          <w:b/>
          <w:sz w:val="24"/>
        </w:rPr>
        <w:lastRenderedPageBreak/>
        <w:t>Recommendations:</w:t>
      </w:r>
    </w:p>
    <w:p w14:paraId="4791FCEC" w14:textId="77777777" w:rsidR="00B91E1A" w:rsidRDefault="00B91E1A">
      <w:pPr>
        <w:pStyle w:val="BodyText"/>
        <w:rPr>
          <w:rFonts w:ascii="Arial" w:hAnsi="Arial" w:cs="Arial"/>
          <w:sz w:val="24"/>
        </w:rPr>
      </w:pPr>
    </w:p>
    <w:p w14:paraId="46A0B6C3" w14:textId="77777777" w:rsidR="0039013F" w:rsidRDefault="0039013F" w:rsidP="0039013F">
      <w:pPr>
        <w:numPr>
          <w:ilvl w:val="0"/>
          <w:numId w:val="10"/>
        </w:numPr>
        <w:tabs>
          <w:tab w:val="clear" w:pos="360"/>
        </w:tabs>
        <w:ind w:left="180" w:hanging="180"/>
        <w:rPr>
          <w:rFonts w:ascii="Arial" w:hAnsi="Arial" w:cs="Arial"/>
          <w:bCs/>
        </w:rPr>
        <w:sectPr w:rsidR="0039013F" w:rsidSect="0039013F">
          <w:pgSz w:w="12240" w:h="15840"/>
          <w:pgMar w:top="1440" w:right="1440" w:bottom="1440" w:left="1440" w:header="720" w:footer="720" w:gutter="0"/>
          <w:pgNumType w:start="1"/>
          <w:cols w:space="720"/>
          <w:titlePg/>
          <w:docGrid w:linePitch="360"/>
        </w:sectPr>
      </w:pPr>
    </w:p>
    <w:p w14:paraId="1E902631" w14:textId="03BEC9EA" w:rsidR="00386B03" w:rsidRPr="00CD734E" w:rsidRDefault="00CD734E" w:rsidP="00122403">
      <w:pPr>
        <w:numPr>
          <w:ilvl w:val="0"/>
          <w:numId w:val="10"/>
        </w:numPr>
        <w:tabs>
          <w:tab w:val="clear" w:pos="360"/>
        </w:tabs>
        <w:ind w:left="180" w:hanging="180"/>
        <w:jc w:val="both"/>
        <w:rPr>
          <w:rFonts w:asciiTheme="minorHAnsi" w:hAnsiTheme="minorHAnsi" w:cs="Arial"/>
          <w:bCs/>
        </w:rPr>
      </w:pPr>
      <w:r w:rsidRPr="00E55D67">
        <w:rPr>
          <w:rFonts w:asciiTheme="minorHAnsi" w:hAnsiTheme="minorHAnsi" w:cs="Arial"/>
          <w:bCs/>
          <w:color w:val="000000" w:themeColor="text1"/>
        </w:rPr>
        <w:t xml:space="preserve">Provide resources to </w:t>
      </w:r>
      <w:r w:rsidR="00E55D67" w:rsidRPr="00E55D67">
        <w:rPr>
          <w:rFonts w:asciiTheme="minorHAnsi" w:hAnsiTheme="minorHAnsi" w:cs="Arial"/>
          <w:bCs/>
          <w:color w:val="000000" w:themeColor="text1"/>
        </w:rPr>
        <w:t xml:space="preserve">fully </w:t>
      </w:r>
      <w:r w:rsidRPr="00E55D67">
        <w:rPr>
          <w:rFonts w:asciiTheme="minorHAnsi" w:hAnsiTheme="minorHAnsi" w:cs="Arial"/>
          <w:bCs/>
          <w:color w:val="000000" w:themeColor="text1"/>
        </w:rPr>
        <w:t>i</w:t>
      </w:r>
      <w:r w:rsidR="00386B03" w:rsidRPr="00E55D67">
        <w:rPr>
          <w:rFonts w:asciiTheme="minorHAnsi" w:hAnsiTheme="minorHAnsi" w:cs="Arial"/>
          <w:bCs/>
          <w:color w:val="000000" w:themeColor="text1"/>
        </w:rPr>
        <w:t xml:space="preserve">mplement </w:t>
      </w:r>
      <w:r w:rsidR="00386B03" w:rsidRPr="00CD734E">
        <w:rPr>
          <w:rFonts w:asciiTheme="minorHAnsi" w:hAnsiTheme="minorHAnsi" w:cs="Arial"/>
          <w:bCs/>
        </w:rPr>
        <w:t xml:space="preserve">the pending Statewide Compensation Program in order to have </w:t>
      </w:r>
      <w:r w:rsidR="00CF71A4">
        <w:rPr>
          <w:rFonts w:asciiTheme="minorHAnsi" w:hAnsiTheme="minorHAnsi" w:cs="Arial"/>
          <w:bCs/>
        </w:rPr>
        <w:t>a single</w:t>
      </w:r>
      <w:r w:rsidR="00386B03" w:rsidRPr="00CD734E">
        <w:rPr>
          <w:rFonts w:asciiTheme="minorHAnsi" w:hAnsiTheme="minorHAnsi" w:cs="Arial"/>
          <w:bCs/>
        </w:rPr>
        <w:t xml:space="preserve"> structure that will support the career needs of the State’s workforce from recruitment</w:t>
      </w:r>
      <w:r w:rsidR="00CF71A4">
        <w:rPr>
          <w:rFonts w:asciiTheme="minorHAnsi" w:hAnsiTheme="minorHAnsi" w:cs="Arial"/>
          <w:bCs/>
        </w:rPr>
        <w:t xml:space="preserve"> to</w:t>
      </w:r>
      <w:r w:rsidR="00386B03" w:rsidRPr="00CD734E">
        <w:rPr>
          <w:rFonts w:asciiTheme="minorHAnsi" w:hAnsiTheme="minorHAnsi" w:cs="Arial"/>
          <w:bCs/>
        </w:rPr>
        <w:t xml:space="preserve"> development and retention.</w:t>
      </w:r>
    </w:p>
    <w:p w14:paraId="1B15E6FE" w14:textId="77777777" w:rsidR="00386B03" w:rsidRDefault="00386B03" w:rsidP="00386B03">
      <w:pPr>
        <w:ind w:left="180"/>
        <w:rPr>
          <w:rFonts w:asciiTheme="minorHAnsi" w:hAnsiTheme="minorHAnsi" w:cs="Arial"/>
          <w:bCs/>
        </w:rPr>
      </w:pPr>
    </w:p>
    <w:p w14:paraId="324B52CD" w14:textId="4147EF7D" w:rsidR="00386B03" w:rsidRPr="0039013F" w:rsidRDefault="00CD734E" w:rsidP="00122403">
      <w:pPr>
        <w:numPr>
          <w:ilvl w:val="0"/>
          <w:numId w:val="10"/>
        </w:numPr>
        <w:tabs>
          <w:tab w:val="clear" w:pos="360"/>
        </w:tabs>
        <w:ind w:left="180" w:hanging="180"/>
        <w:jc w:val="both"/>
        <w:rPr>
          <w:rFonts w:asciiTheme="minorHAnsi" w:hAnsiTheme="minorHAnsi" w:cs="Arial"/>
          <w:bCs/>
        </w:rPr>
      </w:pPr>
      <w:r w:rsidRPr="00E55D67">
        <w:rPr>
          <w:rFonts w:asciiTheme="minorHAnsi" w:hAnsiTheme="minorHAnsi" w:cs="Arial"/>
          <w:bCs/>
          <w:color w:val="000000" w:themeColor="text1"/>
        </w:rPr>
        <w:t>Provide resources to i</w:t>
      </w:r>
      <w:r w:rsidR="00386B03" w:rsidRPr="00E55D67">
        <w:rPr>
          <w:rFonts w:asciiTheme="minorHAnsi" w:hAnsiTheme="minorHAnsi" w:cs="Arial"/>
          <w:bCs/>
          <w:color w:val="000000" w:themeColor="text1"/>
        </w:rPr>
        <w:t xml:space="preserve">mplement </w:t>
      </w:r>
      <w:r w:rsidR="00386B03" w:rsidRPr="00CD734E">
        <w:rPr>
          <w:rFonts w:asciiTheme="minorHAnsi" w:hAnsiTheme="minorHAnsi" w:cs="Arial"/>
          <w:bCs/>
        </w:rPr>
        <w:t xml:space="preserve">the </w:t>
      </w:r>
      <w:r w:rsidR="00E55D67">
        <w:rPr>
          <w:rFonts w:asciiTheme="minorHAnsi" w:hAnsiTheme="minorHAnsi" w:cs="Arial"/>
          <w:bCs/>
        </w:rPr>
        <w:t>revised</w:t>
      </w:r>
      <w:r w:rsidR="00386B03" w:rsidRPr="00CD734E">
        <w:rPr>
          <w:rFonts w:asciiTheme="minorHAnsi" w:hAnsiTheme="minorHAnsi" w:cs="Arial"/>
          <w:bCs/>
        </w:rPr>
        <w:t xml:space="preserve"> Salary Administration Policy</w:t>
      </w:r>
      <w:r w:rsidR="00CF71A4">
        <w:rPr>
          <w:rFonts w:asciiTheme="minorHAnsi" w:hAnsiTheme="minorHAnsi" w:cs="Arial"/>
          <w:bCs/>
        </w:rPr>
        <w:t>,</w:t>
      </w:r>
      <w:r w:rsidR="00386B03" w:rsidRPr="00CD734E">
        <w:rPr>
          <w:rFonts w:asciiTheme="minorHAnsi" w:hAnsiTheme="minorHAnsi" w:cs="Arial"/>
          <w:bCs/>
        </w:rPr>
        <w:t xml:space="preserve"> which will e</w:t>
      </w:r>
      <w:r w:rsidR="00E55D67">
        <w:rPr>
          <w:rFonts w:asciiTheme="minorHAnsi" w:hAnsiTheme="minorHAnsi" w:cs="Arial"/>
          <w:bCs/>
        </w:rPr>
        <w:t>nsure</w:t>
      </w:r>
      <w:r w:rsidR="00386B03" w:rsidRPr="00CD734E">
        <w:rPr>
          <w:rFonts w:asciiTheme="minorHAnsi" w:hAnsiTheme="minorHAnsi" w:cs="Arial"/>
          <w:bCs/>
        </w:rPr>
        <w:t xml:space="preserve"> a fair, equitable and consistently funded mechanism that is needed to progress </w:t>
      </w:r>
      <w:r w:rsidR="00CF71A4">
        <w:rPr>
          <w:rFonts w:asciiTheme="minorHAnsi" w:hAnsiTheme="minorHAnsi" w:cs="Arial"/>
          <w:bCs/>
        </w:rPr>
        <w:t>S</w:t>
      </w:r>
      <w:r w:rsidR="00386B03" w:rsidRPr="00CD734E">
        <w:rPr>
          <w:rFonts w:asciiTheme="minorHAnsi" w:hAnsiTheme="minorHAnsi" w:cs="Arial"/>
          <w:bCs/>
        </w:rPr>
        <w:t xml:space="preserve">tate employees within their pay grade. Employees need </w:t>
      </w:r>
      <w:r w:rsidR="00386B03" w:rsidRPr="0039013F">
        <w:rPr>
          <w:rFonts w:asciiTheme="minorHAnsi" w:hAnsiTheme="minorHAnsi" w:cs="Arial"/>
          <w:bCs/>
        </w:rPr>
        <w:t>a “line of sight” for career growth and salary advancement.</w:t>
      </w:r>
    </w:p>
    <w:p w14:paraId="0EB4429D" w14:textId="77777777" w:rsidR="00386B03" w:rsidRDefault="00386B03" w:rsidP="00386B03">
      <w:pPr>
        <w:ind w:left="180"/>
        <w:rPr>
          <w:rFonts w:asciiTheme="minorHAnsi" w:hAnsiTheme="minorHAnsi" w:cs="Arial"/>
          <w:bCs/>
        </w:rPr>
      </w:pPr>
    </w:p>
    <w:p w14:paraId="346C4718" w14:textId="77777777" w:rsidR="004F29EF" w:rsidRPr="00734155" w:rsidRDefault="00A122C7" w:rsidP="00122403">
      <w:pPr>
        <w:numPr>
          <w:ilvl w:val="0"/>
          <w:numId w:val="10"/>
        </w:numPr>
        <w:tabs>
          <w:tab w:val="clear" w:pos="360"/>
        </w:tabs>
        <w:ind w:left="180" w:hanging="180"/>
        <w:jc w:val="both"/>
        <w:rPr>
          <w:rFonts w:asciiTheme="minorHAnsi" w:hAnsiTheme="minorHAnsi" w:cs="Arial"/>
          <w:bCs/>
        </w:rPr>
      </w:pPr>
      <w:r w:rsidRPr="00734155">
        <w:rPr>
          <w:rFonts w:asciiTheme="minorHAnsi" w:hAnsiTheme="minorHAnsi" w:cs="Arial"/>
          <w:bCs/>
        </w:rPr>
        <w:t xml:space="preserve">Continue to support Salary Adjustment Fund (SAF) </w:t>
      </w:r>
      <w:r w:rsidRPr="00CD734E">
        <w:rPr>
          <w:rFonts w:asciiTheme="minorHAnsi" w:hAnsiTheme="minorHAnsi" w:cs="Arial"/>
          <w:bCs/>
        </w:rPr>
        <w:t xml:space="preserve">recommendations for </w:t>
      </w:r>
      <w:r w:rsidR="00E4141D" w:rsidRPr="00CD734E">
        <w:rPr>
          <w:rFonts w:asciiTheme="minorHAnsi" w:hAnsiTheme="minorHAnsi" w:cs="Arial"/>
          <w:bCs/>
        </w:rPr>
        <w:t>critically identified business needs.</w:t>
      </w:r>
    </w:p>
    <w:p w14:paraId="38F03731" w14:textId="77777777" w:rsidR="004F29EF" w:rsidRPr="00E55D67" w:rsidRDefault="004F29EF" w:rsidP="004F29EF">
      <w:pPr>
        <w:ind w:left="180"/>
        <w:rPr>
          <w:rFonts w:asciiTheme="minorHAnsi" w:hAnsiTheme="minorHAnsi" w:cs="Arial"/>
          <w:bCs/>
          <w:color w:val="000000" w:themeColor="text1"/>
        </w:rPr>
      </w:pPr>
    </w:p>
    <w:p w14:paraId="7282139C" w14:textId="6C4B55A0" w:rsidR="00A5675F" w:rsidRPr="00E55D67" w:rsidRDefault="00A5675F" w:rsidP="00122403">
      <w:pPr>
        <w:numPr>
          <w:ilvl w:val="0"/>
          <w:numId w:val="10"/>
        </w:numPr>
        <w:tabs>
          <w:tab w:val="clear" w:pos="360"/>
        </w:tabs>
        <w:ind w:left="180" w:hanging="180"/>
        <w:jc w:val="both"/>
        <w:rPr>
          <w:rFonts w:asciiTheme="minorHAnsi" w:hAnsiTheme="minorHAnsi" w:cs="Arial"/>
          <w:bCs/>
          <w:color w:val="000000" w:themeColor="text1"/>
        </w:rPr>
      </w:pPr>
      <w:r w:rsidRPr="00E55D67">
        <w:rPr>
          <w:rFonts w:asciiTheme="minorHAnsi" w:hAnsiTheme="minorHAnsi" w:cs="Arial"/>
          <w:bCs/>
          <w:color w:val="000000" w:themeColor="text1"/>
        </w:rPr>
        <w:t xml:space="preserve">Consider apportioning future legislative increases using a three-pronged approach to include </w:t>
      </w:r>
      <w:r w:rsidR="00CF71A4">
        <w:rPr>
          <w:rFonts w:asciiTheme="minorHAnsi" w:hAnsiTheme="minorHAnsi" w:cs="Arial"/>
          <w:bCs/>
          <w:color w:val="000000" w:themeColor="text1"/>
        </w:rPr>
        <w:t xml:space="preserve">(1) </w:t>
      </w:r>
      <w:r w:rsidRPr="00E55D67">
        <w:rPr>
          <w:rFonts w:asciiTheme="minorHAnsi" w:hAnsiTheme="minorHAnsi" w:cs="Arial"/>
          <w:bCs/>
          <w:color w:val="000000" w:themeColor="text1"/>
        </w:rPr>
        <w:t xml:space="preserve">an across-the-board increase, </w:t>
      </w:r>
      <w:r w:rsidR="00CF71A4">
        <w:rPr>
          <w:rFonts w:asciiTheme="minorHAnsi" w:hAnsiTheme="minorHAnsi" w:cs="Arial"/>
          <w:bCs/>
          <w:color w:val="000000" w:themeColor="text1"/>
        </w:rPr>
        <w:t xml:space="preserve">(2) </w:t>
      </w:r>
      <w:r w:rsidRPr="00E55D67">
        <w:rPr>
          <w:rFonts w:asciiTheme="minorHAnsi" w:hAnsiTheme="minorHAnsi" w:cs="Arial"/>
          <w:bCs/>
          <w:color w:val="000000" w:themeColor="text1"/>
        </w:rPr>
        <w:t xml:space="preserve">market-based increase and </w:t>
      </w:r>
      <w:r w:rsidR="00CF71A4">
        <w:rPr>
          <w:rFonts w:asciiTheme="minorHAnsi" w:hAnsiTheme="minorHAnsi" w:cs="Arial"/>
          <w:bCs/>
          <w:color w:val="000000" w:themeColor="text1"/>
        </w:rPr>
        <w:t xml:space="preserve">(3) </w:t>
      </w:r>
      <w:r w:rsidRPr="00E55D67">
        <w:rPr>
          <w:rFonts w:asciiTheme="minorHAnsi" w:hAnsiTheme="minorHAnsi" w:cs="Arial"/>
          <w:bCs/>
          <w:color w:val="000000" w:themeColor="text1"/>
        </w:rPr>
        <w:t>performance based lump sum payment.</w:t>
      </w:r>
    </w:p>
    <w:p w14:paraId="03374C73" w14:textId="77777777" w:rsidR="00115DC9" w:rsidRPr="00E55D67" w:rsidRDefault="00115DC9" w:rsidP="0039013F">
      <w:pPr>
        <w:ind w:left="180" w:hanging="180"/>
        <w:rPr>
          <w:rFonts w:asciiTheme="minorHAnsi" w:hAnsiTheme="minorHAnsi" w:cs="Arial"/>
          <w:bCs/>
          <w:color w:val="000000" w:themeColor="text1"/>
        </w:rPr>
      </w:pPr>
    </w:p>
    <w:p w14:paraId="7B7C8628" w14:textId="11A9A3FB" w:rsidR="007541A3" w:rsidRPr="0039013F" w:rsidRDefault="00CF71A4" w:rsidP="00122403">
      <w:pPr>
        <w:numPr>
          <w:ilvl w:val="0"/>
          <w:numId w:val="10"/>
        </w:numPr>
        <w:tabs>
          <w:tab w:val="clear" w:pos="360"/>
        </w:tabs>
        <w:ind w:left="180" w:hanging="180"/>
        <w:jc w:val="both"/>
        <w:rPr>
          <w:rFonts w:asciiTheme="minorHAnsi" w:hAnsiTheme="minorHAnsi" w:cs="Arial"/>
          <w:bCs/>
        </w:rPr>
      </w:pPr>
      <w:r>
        <w:rPr>
          <w:rFonts w:asciiTheme="minorHAnsi" w:hAnsiTheme="minorHAnsi" w:cs="Arial"/>
          <w:bCs/>
        </w:rPr>
        <w:t>T</w:t>
      </w:r>
      <w:r w:rsidR="007541A3" w:rsidRPr="0039013F">
        <w:rPr>
          <w:rFonts w:asciiTheme="minorHAnsi" w:hAnsiTheme="minorHAnsi" w:cs="Arial"/>
          <w:bCs/>
        </w:rPr>
        <w:t>o ensure market</w:t>
      </w:r>
      <w:r w:rsidR="00122403">
        <w:rPr>
          <w:rFonts w:asciiTheme="minorHAnsi" w:hAnsiTheme="minorHAnsi" w:cs="Arial"/>
          <w:bCs/>
        </w:rPr>
        <w:t>-</w:t>
      </w:r>
      <w:r w:rsidR="00E4141D" w:rsidRPr="00CD734E">
        <w:rPr>
          <w:rFonts w:asciiTheme="minorHAnsi" w:hAnsiTheme="minorHAnsi" w:cs="Arial"/>
          <w:bCs/>
        </w:rPr>
        <w:t xml:space="preserve">related </w:t>
      </w:r>
      <w:r w:rsidR="007541A3" w:rsidRPr="00CD734E">
        <w:rPr>
          <w:rFonts w:asciiTheme="minorHAnsi" w:hAnsiTheme="minorHAnsi" w:cs="Arial"/>
          <w:bCs/>
        </w:rPr>
        <w:t xml:space="preserve">competitiveness, </w:t>
      </w:r>
      <w:r w:rsidR="00F4224D">
        <w:rPr>
          <w:rFonts w:asciiTheme="minorHAnsi" w:hAnsiTheme="minorHAnsi" w:cs="Arial"/>
          <w:bCs/>
        </w:rPr>
        <w:t>S</w:t>
      </w:r>
      <w:r w:rsidR="007541A3" w:rsidRPr="00CD734E">
        <w:rPr>
          <w:rFonts w:asciiTheme="minorHAnsi" w:hAnsiTheme="minorHAnsi" w:cs="Arial"/>
          <w:bCs/>
        </w:rPr>
        <w:t>tate leaders should</w:t>
      </w:r>
      <w:r w:rsidR="004B16B8" w:rsidRPr="00CD734E">
        <w:rPr>
          <w:rFonts w:asciiTheme="minorHAnsi" w:hAnsiTheme="minorHAnsi" w:cs="Arial"/>
          <w:bCs/>
        </w:rPr>
        <w:t xml:space="preserve"> continue to</w:t>
      </w:r>
      <w:r w:rsidR="007541A3" w:rsidRPr="00CD734E">
        <w:rPr>
          <w:rFonts w:asciiTheme="minorHAnsi" w:hAnsiTheme="minorHAnsi" w:cs="Arial"/>
          <w:bCs/>
        </w:rPr>
        <w:t xml:space="preserve"> charge the Office of State </w:t>
      </w:r>
      <w:r w:rsidR="002A2C4B" w:rsidRPr="00CD734E">
        <w:rPr>
          <w:rFonts w:asciiTheme="minorHAnsi" w:hAnsiTheme="minorHAnsi" w:cs="Arial"/>
          <w:bCs/>
        </w:rPr>
        <w:t>Human Resources</w:t>
      </w:r>
      <w:r w:rsidR="007541A3" w:rsidRPr="00CD734E">
        <w:rPr>
          <w:rFonts w:asciiTheme="minorHAnsi" w:hAnsiTheme="minorHAnsi" w:cs="Arial"/>
          <w:bCs/>
        </w:rPr>
        <w:t xml:space="preserve"> (in consultation with the Office of State Budget and Management) with establishing a process to set priorities and request funding for labor market increases</w:t>
      </w:r>
      <w:r w:rsidR="00F156AE" w:rsidRPr="00CD734E">
        <w:rPr>
          <w:rFonts w:asciiTheme="minorHAnsi" w:hAnsiTheme="minorHAnsi" w:cs="Arial"/>
          <w:bCs/>
        </w:rPr>
        <w:t xml:space="preserve"> and salary adjustment funds</w:t>
      </w:r>
      <w:r w:rsidR="007541A3" w:rsidRPr="00CD734E">
        <w:rPr>
          <w:rFonts w:asciiTheme="minorHAnsi" w:hAnsiTheme="minorHAnsi" w:cs="Arial"/>
          <w:bCs/>
        </w:rPr>
        <w:t xml:space="preserve"> based on criticality, turnover</w:t>
      </w:r>
      <w:r w:rsidR="00E4141D" w:rsidRPr="00CD734E">
        <w:rPr>
          <w:rFonts w:asciiTheme="minorHAnsi" w:hAnsiTheme="minorHAnsi" w:cs="Arial"/>
          <w:bCs/>
        </w:rPr>
        <w:t>, retention, recruitment difficulties</w:t>
      </w:r>
      <w:r w:rsidR="007541A3" w:rsidRPr="00CD734E">
        <w:rPr>
          <w:rFonts w:asciiTheme="minorHAnsi" w:hAnsiTheme="minorHAnsi" w:cs="Arial"/>
          <w:bCs/>
        </w:rPr>
        <w:t xml:space="preserve"> and market position.</w:t>
      </w:r>
      <w:r w:rsidR="002A2C4B" w:rsidRPr="00CD734E">
        <w:rPr>
          <w:rFonts w:asciiTheme="minorHAnsi" w:hAnsiTheme="minorHAnsi" w:cs="Arial"/>
          <w:bCs/>
        </w:rPr>
        <w:t xml:space="preserve"> OSHR</w:t>
      </w:r>
      <w:r w:rsidR="00F156AE" w:rsidRPr="00CD734E">
        <w:rPr>
          <w:rFonts w:asciiTheme="minorHAnsi" w:hAnsiTheme="minorHAnsi" w:cs="Arial"/>
          <w:bCs/>
        </w:rPr>
        <w:t xml:space="preserve"> and </w:t>
      </w:r>
      <w:r>
        <w:rPr>
          <w:rFonts w:asciiTheme="minorHAnsi" w:hAnsiTheme="minorHAnsi" w:cs="Arial"/>
          <w:bCs/>
        </w:rPr>
        <w:t>S</w:t>
      </w:r>
      <w:r w:rsidR="00F156AE" w:rsidRPr="00CD734E">
        <w:rPr>
          <w:rFonts w:asciiTheme="minorHAnsi" w:hAnsiTheme="minorHAnsi" w:cs="Arial"/>
          <w:bCs/>
        </w:rPr>
        <w:t xml:space="preserve">tate agencies should </w:t>
      </w:r>
      <w:r>
        <w:rPr>
          <w:rFonts w:asciiTheme="minorHAnsi" w:hAnsiTheme="minorHAnsi" w:cs="Arial"/>
          <w:bCs/>
        </w:rPr>
        <w:t xml:space="preserve">regularly </w:t>
      </w:r>
      <w:r w:rsidR="00F156AE" w:rsidRPr="00CD734E">
        <w:rPr>
          <w:rFonts w:asciiTheme="minorHAnsi" w:hAnsiTheme="minorHAnsi" w:cs="Arial"/>
          <w:bCs/>
        </w:rPr>
        <w:t xml:space="preserve">evaluate job-specific turnover in order to </w:t>
      </w:r>
      <w:r w:rsidR="00F156AE" w:rsidRPr="0039013F">
        <w:rPr>
          <w:rFonts w:asciiTheme="minorHAnsi" w:hAnsiTheme="minorHAnsi" w:cs="Arial"/>
          <w:bCs/>
        </w:rPr>
        <w:t>identify critical needs.</w:t>
      </w:r>
    </w:p>
    <w:p w14:paraId="73339714" w14:textId="77777777" w:rsidR="007541A3" w:rsidRPr="0039013F" w:rsidRDefault="007541A3" w:rsidP="00386B03">
      <w:pPr>
        <w:rPr>
          <w:rFonts w:asciiTheme="minorHAnsi" w:hAnsiTheme="minorHAnsi" w:cs="Arial"/>
          <w:bCs/>
        </w:rPr>
      </w:pPr>
    </w:p>
    <w:p w14:paraId="1D37D66D" w14:textId="6C306935" w:rsidR="004F29EF" w:rsidRPr="004F798B" w:rsidRDefault="00115DC9" w:rsidP="00122403">
      <w:pPr>
        <w:numPr>
          <w:ilvl w:val="0"/>
          <w:numId w:val="10"/>
        </w:numPr>
        <w:tabs>
          <w:tab w:val="clear" w:pos="360"/>
        </w:tabs>
        <w:ind w:left="180" w:hanging="180"/>
        <w:jc w:val="both"/>
        <w:rPr>
          <w:rFonts w:asciiTheme="minorHAnsi" w:hAnsiTheme="minorHAnsi" w:cs="Arial"/>
          <w:bCs/>
          <w:color w:val="000000" w:themeColor="text1"/>
          <w:szCs w:val="22"/>
        </w:rPr>
      </w:pPr>
      <w:r w:rsidRPr="0039013F">
        <w:rPr>
          <w:rFonts w:asciiTheme="minorHAnsi" w:hAnsiTheme="minorHAnsi" w:cs="Arial"/>
          <w:bCs/>
        </w:rPr>
        <w:t xml:space="preserve">Continue to </w:t>
      </w:r>
      <w:r w:rsidR="004F29EF">
        <w:rPr>
          <w:rFonts w:asciiTheme="minorHAnsi" w:hAnsiTheme="minorHAnsi" w:cs="Arial"/>
          <w:bCs/>
        </w:rPr>
        <w:t>support OSHR in exploring</w:t>
      </w:r>
      <w:r w:rsidR="00E1611F" w:rsidRPr="0039013F">
        <w:rPr>
          <w:rFonts w:asciiTheme="minorHAnsi" w:hAnsiTheme="minorHAnsi" w:cs="Arial"/>
          <w:bCs/>
        </w:rPr>
        <w:t xml:space="preserve"> n</w:t>
      </w:r>
      <w:r w:rsidR="00E4141D">
        <w:rPr>
          <w:rFonts w:asciiTheme="minorHAnsi" w:hAnsiTheme="minorHAnsi" w:cs="Arial"/>
          <w:bCs/>
        </w:rPr>
        <w:t xml:space="preserve">ew and innovative pay </w:t>
      </w:r>
      <w:r w:rsidR="00E4141D" w:rsidRPr="007C14B2">
        <w:rPr>
          <w:rFonts w:asciiTheme="minorHAnsi" w:hAnsiTheme="minorHAnsi" w:cs="Arial"/>
          <w:bCs/>
          <w:color w:val="000000" w:themeColor="text1"/>
        </w:rPr>
        <w:t xml:space="preserve">practices in </w:t>
      </w:r>
      <w:r w:rsidR="00D14017" w:rsidRPr="007C14B2">
        <w:rPr>
          <w:rFonts w:asciiTheme="minorHAnsi" w:hAnsiTheme="minorHAnsi" w:cs="Arial"/>
          <w:bCs/>
          <w:color w:val="000000" w:themeColor="text1"/>
        </w:rPr>
        <w:t>conjunction</w:t>
      </w:r>
      <w:r w:rsidR="00E4141D" w:rsidRPr="007C14B2">
        <w:rPr>
          <w:rFonts w:asciiTheme="minorHAnsi" w:hAnsiTheme="minorHAnsi" w:cs="Arial"/>
          <w:bCs/>
          <w:color w:val="000000" w:themeColor="text1"/>
        </w:rPr>
        <w:t xml:space="preserve"> with agencies’ needs.</w:t>
      </w:r>
    </w:p>
    <w:p w14:paraId="7EEE9050" w14:textId="77777777" w:rsidR="004F798B" w:rsidRDefault="004F798B" w:rsidP="004F798B">
      <w:pPr>
        <w:pStyle w:val="ListParagraph"/>
        <w:rPr>
          <w:rFonts w:asciiTheme="minorHAnsi" w:hAnsiTheme="minorHAnsi" w:cs="Arial"/>
          <w:bCs/>
          <w:color w:val="000000" w:themeColor="text1"/>
          <w:szCs w:val="22"/>
        </w:rPr>
      </w:pPr>
    </w:p>
    <w:p w14:paraId="1840F68A" w14:textId="77777777" w:rsidR="004F798B" w:rsidRPr="007C14B2" w:rsidRDefault="004F798B" w:rsidP="004F798B">
      <w:pPr>
        <w:ind w:left="180"/>
        <w:jc w:val="both"/>
        <w:rPr>
          <w:rFonts w:asciiTheme="minorHAnsi" w:hAnsiTheme="minorHAnsi" w:cs="Arial"/>
          <w:bCs/>
          <w:color w:val="000000" w:themeColor="text1"/>
          <w:szCs w:val="22"/>
        </w:rPr>
      </w:pPr>
    </w:p>
    <w:p w14:paraId="17AA36DF" w14:textId="6DC18316" w:rsidR="004D40C3" w:rsidRPr="007C14B2" w:rsidRDefault="004F798B" w:rsidP="00122403">
      <w:pPr>
        <w:numPr>
          <w:ilvl w:val="0"/>
          <w:numId w:val="10"/>
        </w:numPr>
        <w:tabs>
          <w:tab w:val="clear" w:pos="360"/>
        </w:tabs>
        <w:ind w:left="180" w:hanging="180"/>
        <w:jc w:val="both"/>
        <w:rPr>
          <w:rFonts w:asciiTheme="minorHAnsi" w:hAnsiTheme="minorHAnsi" w:cs="Arial"/>
          <w:bCs/>
          <w:color w:val="000000" w:themeColor="text1"/>
          <w:szCs w:val="22"/>
        </w:rPr>
      </w:pPr>
      <w:r>
        <w:rPr>
          <w:rFonts w:asciiTheme="minorHAnsi" w:hAnsiTheme="minorHAnsi" w:cs="Arial"/>
          <w:bCs/>
          <w:color w:val="000000" w:themeColor="text1"/>
          <w:szCs w:val="22"/>
        </w:rPr>
        <w:t>C</w:t>
      </w:r>
      <w:r w:rsidRPr="007C14B2">
        <w:rPr>
          <w:rFonts w:asciiTheme="minorHAnsi" w:hAnsiTheme="minorHAnsi" w:cs="Arial"/>
          <w:bCs/>
          <w:color w:val="000000" w:themeColor="text1"/>
          <w:szCs w:val="22"/>
        </w:rPr>
        <w:t>ontinue to be provide</w:t>
      </w:r>
      <w:r>
        <w:rPr>
          <w:rFonts w:asciiTheme="minorHAnsi" w:hAnsiTheme="minorHAnsi" w:cs="Arial"/>
          <w:bCs/>
          <w:color w:val="000000" w:themeColor="text1"/>
          <w:szCs w:val="22"/>
        </w:rPr>
        <w:t xml:space="preserve"> allocations for merit-based bonus</w:t>
      </w:r>
      <w:r w:rsidRPr="007C14B2">
        <w:rPr>
          <w:rFonts w:asciiTheme="minorHAnsi" w:hAnsiTheme="minorHAnsi" w:cs="Arial"/>
          <w:bCs/>
          <w:color w:val="000000" w:themeColor="text1"/>
          <w:szCs w:val="22"/>
        </w:rPr>
        <w:t xml:space="preserve"> to reward employees </w:t>
      </w:r>
      <w:r>
        <w:rPr>
          <w:rFonts w:asciiTheme="minorHAnsi" w:hAnsiTheme="minorHAnsi" w:cs="Arial"/>
          <w:bCs/>
          <w:color w:val="000000" w:themeColor="text1"/>
          <w:szCs w:val="22"/>
        </w:rPr>
        <w:t xml:space="preserve">for </w:t>
      </w:r>
      <w:r w:rsidRPr="007C14B2">
        <w:rPr>
          <w:rFonts w:asciiTheme="minorHAnsi" w:hAnsiTheme="minorHAnsi" w:cs="Arial"/>
          <w:bCs/>
          <w:color w:val="000000" w:themeColor="text1"/>
          <w:szCs w:val="22"/>
        </w:rPr>
        <w:t>performance in addition to market.</w:t>
      </w:r>
      <w:r>
        <w:rPr>
          <w:rFonts w:asciiTheme="minorHAnsi" w:hAnsiTheme="minorHAnsi" w:cs="Arial"/>
          <w:bCs/>
          <w:color w:val="000000" w:themeColor="text1"/>
          <w:szCs w:val="22"/>
        </w:rPr>
        <w:t xml:space="preserve"> </w:t>
      </w:r>
      <w:r w:rsidR="00CD734E" w:rsidRPr="007C14B2">
        <w:rPr>
          <w:rFonts w:asciiTheme="minorHAnsi" w:hAnsiTheme="minorHAnsi" w:cs="Arial"/>
          <w:bCs/>
          <w:color w:val="000000" w:themeColor="text1"/>
        </w:rPr>
        <w:t xml:space="preserve">State agencies </w:t>
      </w:r>
      <w:r w:rsidR="007C14B2" w:rsidRPr="007C14B2">
        <w:rPr>
          <w:rFonts w:asciiTheme="minorHAnsi" w:hAnsiTheme="minorHAnsi" w:cs="Arial"/>
          <w:bCs/>
          <w:color w:val="000000" w:themeColor="text1"/>
        </w:rPr>
        <w:t>completed</w:t>
      </w:r>
      <w:r w:rsidR="00CD734E" w:rsidRPr="007C14B2">
        <w:rPr>
          <w:rFonts w:asciiTheme="minorHAnsi" w:hAnsiTheme="minorHAnsi" w:cs="Arial"/>
          <w:bCs/>
          <w:color w:val="000000" w:themeColor="text1"/>
        </w:rPr>
        <w:t xml:space="preserve"> the </w:t>
      </w:r>
      <w:r w:rsidR="00CF71A4">
        <w:rPr>
          <w:rFonts w:asciiTheme="minorHAnsi" w:hAnsiTheme="minorHAnsi" w:cs="Arial"/>
          <w:bCs/>
          <w:color w:val="000000" w:themeColor="text1"/>
        </w:rPr>
        <w:t>second</w:t>
      </w:r>
      <w:r w:rsidR="00CD734E" w:rsidRPr="007C14B2">
        <w:rPr>
          <w:rFonts w:asciiTheme="minorHAnsi" w:hAnsiTheme="minorHAnsi" w:cs="Arial"/>
          <w:bCs/>
          <w:color w:val="000000" w:themeColor="text1"/>
        </w:rPr>
        <w:t xml:space="preserve"> year of</w:t>
      </w:r>
      <w:r w:rsidR="004B16B8" w:rsidRPr="007C14B2">
        <w:rPr>
          <w:rFonts w:asciiTheme="minorHAnsi" w:hAnsiTheme="minorHAnsi" w:cs="Arial"/>
          <w:bCs/>
          <w:color w:val="000000" w:themeColor="text1"/>
        </w:rPr>
        <w:t xml:space="preserve"> using a</w:t>
      </w:r>
      <w:r w:rsidR="00115DC9" w:rsidRPr="007C14B2">
        <w:rPr>
          <w:rFonts w:asciiTheme="minorHAnsi" w:hAnsiTheme="minorHAnsi" w:cs="Arial"/>
          <w:bCs/>
          <w:color w:val="000000" w:themeColor="text1"/>
        </w:rPr>
        <w:t xml:space="preserve"> new performance management system</w:t>
      </w:r>
      <w:r>
        <w:rPr>
          <w:rFonts w:asciiTheme="minorHAnsi" w:hAnsiTheme="minorHAnsi" w:cs="Arial"/>
          <w:bCs/>
          <w:color w:val="000000" w:themeColor="text1"/>
        </w:rPr>
        <w:t xml:space="preserve">; a merit bonus </w:t>
      </w:r>
      <w:r w:rsidR="00A122C7" w:rsidRPr="007C14B2">
        <w:rPr>
          <w:rFonts w:asciiTheme="minorHAnsi" w:hAnsiTheme="minorHAnsi" w:cs="Arial"/>
          <w:bCs/>
          <w:color w:val="000000" w:themeColor="text1"/>
          <w:szCs w:val="22"/>
        </w:rPr>
        <w:t xml:space="preserve">in 2016 was a step </w:t>
      </w:r>
      <w:r w:rsidR="00CD734E" w:rsidRPr="007C14B2">
        <w:rPr>
          <w:rFonts w:asciiTheme="minorHAnsi" w:hAnsiTheme="minorHAnsi" w:cs="Arial"/>
          <w:bCs/>
          <w:color w:val="000000" w:themeColor="text1"/>
          <w:szCs w:val="22"/>
        </w:rPr>
        <w:t>toward</w:t>
      </w:r>
      <w:r w:rsidR="00A122C7" w:rsidRPr="007C14B2">
        <w:rPr>
          <w:rFonts w:asciiTheme="minorHAnsi" w:hAnsiTheme="minorHAnsi" w:cs="Arial"/>
          <w:bCs/>
          <w:color w:val="000000" w:themeColor="text1"/>
          <w:szCs w:val="22"/>
        </w:rPr>
        <w:t xml:space="preserve"> aligning pay with performance. </w:t>
      </w:r>
    </w:p>
    <w:p w14:paraId="7807BEE2" w14:textId="77777777" w:rsidR="002A2C4B" w:rsidRPr="0039013F" w:rsidRDefault="002A2C4B" w:rsidP="0039013F">
      <w:pPr>
        <w:pStyle w:val="ListParagraph"/>
        <w:ind w:left="180" w:hanging="180"/>
        <w:rPr>
          <w:rFonts w:asciiTheme="minorHAnsi" w:hAnsiTheme="minorHAnsi" w:cs="Arial"/>
          <w:bCs/>
          <w:szCs w:val="22"/>
        </w:rPr>
      </w:pPr>
    </w:p>
    <w:p w14:paraId="5C32EBF2" w14:textId="29AE8FD2" w:rsidR="002A2C4B" w:rsidRPr="007C14B2" w:rsidRDefault="00CD734E" w:rsidP="00122403">
      <w:pPr>
        <w:numPr>
          <w:ilvl w:val="0"/>
          <w:numId w:val="10"/>
        </w:numPr>
        <w:tabs>
          <w:tab w:val="clear" w:pos="360"/>
        </w:tabs>
        <w:ind w:left="180" w:hanging="180"/>
        <w:jc w:val="both"/>
        <w:rPr>
          <w:rFonts w:asciiTheme="minorHAnsi" w:hAnsiTheme="minorHAnsi" w:cs="Arial"/>
          <w:bCs/>
          <w:color w:val="000000" w:themeColor="text1"/>
          <w:szCs w:val="22"/>
        </w:rPr>
      </w:pPr>
      <w:r>
        <w:rPr>
          <w:rFonts w:asciiTheme="minorHAnsi" w:hAnsiTheme="minorHAnsi" w:cs="Arial"/>
          <w:bCs/>
          <w:szCs w:val="22"/>
        </w:rPr>
        <w:t>Continue</w:t>
      </w:r>
      <w:r w:rsidR="00A122C7">
        <w:rPr>
          <w:rFonts w:asciiTheme="minorHAnsi" w:hAnsiTheme="minorHAnsi" w:cs="Arial"/>
          <w:bCs/>
          <w:szCs w:val="22"/>
        </w:rPr>
        <w:t xml:space="preserve"> to </w:t>
      </w:r>
      <w:r w:rsidR="00002849" w:rsidRPr="0039013F">
        <w:rPr>
          <w:rFonts w:asciiTheme="minorHAnsi" w:hAnsiTheme="minorHAnsi" w:cs="Arial"/>
          <w:bCs/>
          <w:szCs w:val="22"/>
        </w:rPr>
        <w:t>e</w:t>
      </w:r>
      <w:r w:rsidR="004F798B">
        <w:rPr>
          <w:rFonts w:asciiTheme="minorHAnsi" w:hAnsiTheme="minorHAnsi" w:cs="Arial"/>
          <w:bCs/>
          <w:szCs w:val="22"/>
        </w:rPr>
        <w:t xml:space="preserve">valuate the </w:t>
      </w:r>
      <w:r w:rsidR="002A2C4B" w:rsidRPr="0039013F">
        <w:rPr>
          <w:rFonts w:asciiTheme="minorHAnsi" w:hAnsiTheme="minorHAnsi" w:cs="Arial"/>
          <w:bCs/>
          <w:szCs w:val="22"/>
        </w:rPr>
        <w:t>use of the longevity bo</w:t>
      </w:r>
      <w:r>
        <w:rPr>
          <w:rFonts w:asciiTheme="minorHAnsi" w:hAnsiTheme="minorHAnsi" w:cs="Arial"/>
          <w:bCs/>
          <w:szCs w:val="22"/>
        </w:rPr>
        <w:t xml:space="preserve">nus </w:t>
      </w:r>
      <w:r w:rsidRPr="007C14B2">
        <w:rPr>
          <w:rFonts w:asciiTheme="minorHAnsi" w:hAnsiTheme="minorHAnsi" w:cs="Arial"/>
          <w:bCs/>
          <w:color w:val="000000" w:themeColor="text1"/>
          <w:szCs w:val="22"/>
        </w:rPr>
        <w:t>as a pay delivery mechanism going forward.</w:t>
      </w:r>
    </w:p>
    <w:p w14:paraId="289288E5" w14:textId="77777777" w:rsidR="00F156AE" w:rsidRPr="007C14B2" w:rsidRDefault="00F156AE" w:rsidP="0039013F">
      <w:pPr>
        <w:pStyle w:val="ListParagraph"/>
        <w:ind w:left="180" w:hanging="180"/>
        <w:rPr>
          <w:rFonts w:asciiTheme="minorHAnsi" w:hAnsiTheme="minorHAnsi" w:cs="Arial"/>
          <w:bCs/>
          <w:color w:val="000000" w:themeColor="text1"/>
          <w:szCs w:val="22"/>
        </w:rPr>
      </w:pPr>
    </w:p>
    <w:p w14:paraId="189A74D6" w14:textId="19047E15" w:rsidR="00F156AE" w:rsidRPr="0039013F" w:rsidRDefault="00F156AE" w:rsidP="00122403">
      <w:pPr>
        <w:numPr>
          <w:ilvl w:val="0"/>
          <w:numId w:val="10"/>
        </w:numPr>
        <w:tabs>
          <w:tab w:val="clear" w:pos="360"/>
        </w:tabs>
        <w:ind w:left="180" w:hanging="180"/>
        <w:jc w:val="both"/>
        <w:rPr>
          <w:rFonts w:asciiTheme="minorHAnsi" w:hAnsiTheme="minorHAnsi" w:cs="Arial"/>
          <w:bCs/>
          <w:szCs w:val="22"/>
        </w:rPr>
      </w:pPr>
      <w:r w:rsidRPr="0039013F">
        <w:rPr>
          <w:rFonts w:asciiTheme="minorHAnsi" w:hAnsiTheme="minorHAnsi" w:cs="Arial"/>
          <w:bCs/>
          <w:szCs w:val="22"/>
        </w:rPr>
        <w:t xml:space="preserve">Support the ongoing funding of </w:t>
      </w:r>
      <w:r w:rsidR="004F798B">
        <w:rPr>
          <w:rFonts w:asciiTheme="minorHAnsi" w:hAnsiTheme="minorHAnsi" w:cs="Arial"/>
          <w:bCs/>
          <w:szCs w:val="22"/>
        </w:rPr>
        <w:t>OSHR’s</w:t>
      </w:r>
      <w:r w:rsidRPr="0039013F">
        <w:rPr>
          <w:rFonts w:asciiTheme="minorHAnsi" w:hAnsiTheme="minorHAnsi" w:cs="Arial"/>
          <w:bCs/>
          <w:szCs w:val="22"/>
        </w:rPr>
        <w:t xml:space="preserve"> </w:t>
      </w:r>
      <w:r w:rsidR="00E1611F" w:rsidRPr="0039013F">
        <w:rPr>
          <w:rFonts w:asciiTheme="minorHAnsi" w:hAnsiTheme="minorHAnsi" w:cs="Arial"/>
          <w:bCs/>
          <w:szCs w:val="22"/>
        </w:rPr>
        <w:t>Human Capital Management System, Learning Ma</w:t>
      </w:r>
      <w:r w:rsidR="00666EAF" w:rsidRPr="0039013F">
        <w:rPr>
          <w:rFonts w:asciiTheme="minorHAnsi" w:hAnsiTheme="minorHAnsi" w:cs="Arial"/>
          <w:bCs/>
          <w:szCs w:val="22"/>
        </w:rPr>
        <w:t>nagement System (LMS)</w:t>
      </w:r>
      <w:r w:rsidR="00D910B1" w:rsidRPr="0039013F">
        <w:rPr>
          <w:rFonts w:asciiTheme="minorHAnsi" w:hAnsiTheme="minorHAnsi" w:cs="Arial"/>
          <w:bCs/>
          <w:szCs w:val="22"/>
        </w:rPr>
        <w:t xml:space="preserve"> and Performance Management</w:t>
      </w:r>
      <w:r w:rsidR="00666EAF" w:rsidRPr="0039013F">
        <w:rPr>
          <w:rFonts w:asciiTheme="minorHAnsi" w:hAnsiTheme="minorHAnsi" w:cs="Arial"/>
          <w:bCs/>
          <w:szCs w:val="22"/>
        </w:rPr>
        <w:t xml:space="preserve"> component</w:t>
      </w:r>
      <w:r w:rsidR="00D910B1" w:rsidRPr="0039013F">
        <w:rPr>
          <w:rFonts w:asciiTheme="minorHAnsi" w:hAnsiTheme="minorHAnsi" w:cs="Arial"/>
          <w:bCs/>
          <w:szCs w:val="22"/>
        </w:rPr>
        <w:t xml:space="preserve">s; and the Statewide Compensation System Project’s Market Analysis and Modeling tool </w:t>
      </w:r>
      <w:r w:rsidR="00002849" w:rsidRPr="0039013F">
        <w:rPr>
          <w:rFonts w:asciiTheme="minorHAnsi" w:hAnsiTheme="minorHAnsi" w:cs="Arial"/>
          <w:bCs/>
          <w:szCs w:val="22"/>
        </w:rPr>
        <w:t xml:space="preserve">(MarketPay) </w:t>
      </w:r>
      <w:r w:rsidR="00666EAF" w:rsidRPr="0039013F">
        <w:rPr>
          <w:rFonts w:asciiTheme="minorHAnsi" w:hAnsiTheme="minorHAnsi" w:cs="Arial"/>
          <w:bCs/>
          <w:szCs w:val="22"/>
        </w:rPr>
        <w:t xml:space="preserve">and </w:t>
      </w:r>
      <w:r w:rsidR="00002849" w:rsidRPr="0039013F">
        <w:rPr>
          <w:rFonts w:asciiTheme="minorHAnsi" w:hAnsiTheme="minorHAnsi" w:cs="Arial"/>
          <w:bCs/>
          <w:szCs w:val="22"/>
        </w:rPr>
        <w:t>Position</w:t>
      </w:r>
      <w:r w:rsidR="00666EAF" w:rsidRPr="0039013F">
        <w:rPr>
          <w:rFonts w:asciiTheme="minorHAnsi" w:hAnsiTheme="minorHAnsi" w:cs="Arial"/>
          <w:bCs/>
          <w:szCs w:val="22"/>
        </w:rPr>
        <w:t xml:space="preserve"> Description Writing and Workflow tool</w:t>
      </w:r>
      <w:r w:rsidR="00002849" w:rsidRPr="0039013F">
        <w:rPr>
          <w:rFonts w:asciiTheme="minorHAnsi" w:hAnsiTheme="minorHAnsi" w:cs="Arial"/>
          <w:bCs/>
          <w:szCs w:val="22"/>
        </w:rPr>
        <w:t xml:space="preserve"> (PeopleAdmin)</w:t>
      </w:r>
      <w:r w:rsidR="00666EAF" w:rsidRPr="0039013F">
        <w:rPr>
          <w:rFonts w:asciiTheme="minorHAnsi" w:hAnsiTheme="minorHAnsi" w:cs="Arial"/>
          <w:bCs/>
          <w:szCs w:val="22"/>
        </w:rPr>
        <w:t>.</w:t>
      </w:r>
    </w:p>
    <w:p w14:paraId="7880FFB1" w14:textId="77777777" w:rsidR="007541A3" w:rsidRPr="0039013F" w:rsidRDefault="007541A3" w:rsidP="0039013F">
      <w:pPr>
        <w:pStyle w:val="ListParagraph"/>
        <w:ind w:left="180" w:hanging="180"/>
        <w:rPr>
          <w:rFonts w:asciiTheme="minorHAnsi" w:hAnsiTheme="minorHAnsi" w:cs="Arial"/>
          <w:bCs/>
          <w:szCs w:val="22"/>
        </w:rPr>
      </w:pPr>
    </w:p>
    <w:p w14:paraId="07DE3439" w14:textId="6645D03D" w:rsidR="007541A3" w:rsidRPr="007251AA" w:rsidRDefault="007541A3" w:rsidP="00122403">
      <w:pPr>
        <w:numPr>
          <w:ilvl w:val="0"/>
          <w:numId w:val="10"/>
        </w:numPr>
        <w:tabs>
          <w:tab w:val="clear" w:pos="360"/>
        </w:tabs>
        <w:ind w:left="180" w:hanging="180"/>
        <w:jc w:val="both"/>
        <w:rPr>
          <w:rFonts w:asciiTheme="minorHAnsi" w:hAnsiTheme="minorHAnsi" w:cs="Arial"/>
          <w:bCs/>
          <w:szCs w:val="22"/>
        </w:rPr>
      </w:pPr>
      <w:r w:rsidRPr="007251AA">
        <w:rPr>
          <w:rFonts w:asciiTheme="minorHAnsi" w:hAnsiTheme="minorHAnsi" w:cs="Arial"/>
          <w:bCs/>
          <w:szCs w:val="22"/>
        </w:rPr>
        <w:t xml:space="preserve">Support </w:t>
      </w:r>
      <w:r w:rsidR="004F798B">
        <w:rPr>
          <w:rFonts w:asciiTheme="minorHAnsi" w:hAnsiTheme="minorHAnsi" w:cs="Arial"/>
          <w:bCs/>
          <w:szCs w:val="22"/>
        </w:rPr>
        <w:t>OSHR’s</w:t>
      </w:r>
      <w:r w:rsidRPr="007251AA">
        <w:rPr>
          <w:rFonts w:asciiTheme="minorHAnsi" w:hAnsiTheme="minorHAnsi" w:cs="Arial"/>
          <w:bCs/>
          <w:szCs w:val="22"/>
        </w:rPr>
        <w:t xml:space="preserve"> development of an intern program with the community college and university systems that would offer the opportunity to supplement workforce needs while exposing students to </w:t>
      </w:r>
      <w:r w:rsidR="00AA3E49">
        <w:rPr>
          <w:rFonts w:asciiTheme="minorHAnsi" w:hAnsiTheme="minorHAnsi" w:cs="Arial"/>
          <w:bCs/>
          <w:szCs w:val="22"/>
        </w:rPr>
        <w:t>S</w:t>
      </w:r>
      <w:r w:rsidRPr="007251AA">
        <w:rPr>
          <w:rFonts w:asciiTheme="minorHAnsi" w:hAnsiTheme="minorHAnsi" w:cs="Arial"/>
          <w:bCs/>
          <w:szCs w:val="22"/>
        </w:rPr>
        <w:t>tate government operations.</w:t>
      </w:r>
      <w:r w:rsidR="00666EAF" w:rsidRPr="007251AA">
        <w:rPr>
          <w:rFonts w:asciiTheme="minorHAnsi" w:hAnsiTheme="minorHAnsi" w:cs="Arial"/>
          <w:bCs/>
          <w:szCs w:val="22"/>
        </w:rPr>
        <w:t xml:space="preserve"> </w:t>
      </w:r>
    </w:p>
    <w:p w14:paraId="72861930" w14:textId="77777777" w:rsidR="00792889" w:rsidRPr="007251AA" w:rsidRDefault="00792889" w:rsidP="0039013F">
      <w:pPr>
        <w:ind w:left="180" w:hanging="180"/>
        <w:rPr>
          <w:rFonts w:asciiTheme="minorHAnsi" w:hAnsiTheme="minorHAnsi" w:cs="Arial"/>
          <w:szCs w:val="22"/>
        </w:rPr>
      </w:pPr>
    </w:p>
    <w:p w14:paraId="1D814645" w14:textId="2F6497DE" w:rsidR="004F29EF" w:rsidRPr="00734155" w:rsidRDefault="004F29EF" w:rsidP="0039013F">
      <w:pPr>
        <w:numPr>
          <w:ilvl w:val="0"/>
          <w:numId w:val="1"/>
        </w:numPr>
        <w:ind w:left="180" w:hanging="180"/>
        <w:rPr>
          <w:rFonts w:asciiTheme="minorHAnsi" w:hAnsiTheme="minorHAnsi" w:cs="Arial"/>
          <w:szCs w:val="22"/>
        </w:rPr>
      </w:pPr>
      <w:r w:rsidRPr="00734155">
        <w:rPr>
          <w:rFonts w:asciiTheme="minorHAnsi" w:hAnsiTheme="minorHAnsi" w:cs="Arial"/>
          <w:szCs w:val="22"/>
        </w:rPr>
        <w:t>Support acquisition and implementation of an organizational management tool</w:t>
      </w:r>
      <w:r w:rsidR="00122403">
        <w:rPr>
          <w:rFonts w:asciiTheme="minorHAnsi" w:hAnsiTheme="minorHAnsi" w:cs="Arial"/>
          <w:szCs w:val="22"/>
        </w:rPr>
        <w:t>.</w:t>
      </w:r>
    </w:p>
    <w:p w14:paraId="0371740D" w14:textId="77777777" w:rsidR="004F29EF" w:rsidRDefault="004F29EF" w:rsidP="004F29EF">
      <w:pPr>
        <w:ind w:left="180"/>
        <w:rPr>
          <w:rFonts w:asciiTheme="minorHAnsi" w:hAnsiTheme="minorHAnsi" w:cs="Arial"/>
          <w:szCs w:val="22"/>
        </w:rPr>
      </w:pPr>
    </w:p>
    <w:p w14:paraId="327DC5EE" w14:textId="77777777" w:rsidR="0039013F" w:rsidRDefault="00E1611F" w:rsidP="00122403">
      <w:pPr>
        <w:numPr>
          <w:ilvl w:val="0"/>
          <w:numId w:val="1"/>
        </w:numPr>
        <w:ind w:left="180" w:hanging="180"/>
        <w:jc w:val="both"/>
        <w:rPr>
          <w:rFonts w:asciiTheme="minorHAnsi" w:hAnsiTheme="minorHAnsi" w:cs="Arial"/>
          <w:szCs w:val="22"/>
        </w:rPr>
      </w:pPr>
      <w:r w:rsidRPr="007251AA">
        <w:rPr>
          <w:rFonts w:asciiTheme="minorHAnsi" w:hAnsiTheme="minorHAnsi" w:cs="Arial"/>
          <w:szCs w:val="22"/>
        </w:rPr>
        <w:t>Research</w:t>
      </w:r>
      <w:r w:rsidR="00465F21" w:rsidRPr="007251AA">
        <w:rPr>
          <w:rFonts w:asciiTheme="minorHAnsi" w:hAnsiTheme="minorHAnsi" w:cs="Arial"/>
          <w:szCs w:val="22"/>
        </w:rPr>
        <w:t xml:space="preserve"> coordination of </w:t>
      </w:r>
      <w:r w:rsidRPr="007251AA">
        <w:rPr>
          <w:rFonts w:asciiTheme="minorHAnsi" w:hAnsiTheme="minorHAnsi" w:cs="Arial"/>
          <w:szCs w:val="22"/>
        </w:rPr>
        <w:t xml:space="preserve">post-tax </w:t>
      </w:r>
      <w:r w:rsidR="00465F21" w:rsidRPr="007251AA">
        <w:rPr>
          <w:rFonts w:asciiTheme="minorHAnsi" w:hAnsiTheme="minorHAnsi" w:cs="Arial"/>
          <w:szCs w:val="22"/>
        </w:rPr>
        <w:t>supplemental benefits and consolidate</w:t>
      </w:r>
      <w:r w:rsidRPr="007251AA">
        <w:rPr>
          <w:rFonts w:asciiTheme="minorHAnsi" w:hAnsiTheme="minorHAnsi" w:cs="Arial"/>
          <w:szCs w:val="22"/>
        </w:rPr>
        <w:t xml:space="preserve"> all</w:t>
      </w:r>
      <w:r w:rsidR="00465F21" w:rsidRPr="007251AA">
        <w:rPr>
          <w:rFonts w:asciiTheme="minorHAnsi" w:hAnsiTheme="minorHAnsi" w:cs="Arial"/>
          <w:szCs w:val="22"/>
        </w:rPr>
        <w:t xml:space="preserve"> supplemental benefit plan offerings in a menu approach for </w:t>
      </w:r>
      <w:r w:rsidRPr="007251AA">
        <w:rPr>
          <w:rFonts w:asciiTheme="minorHAnsi" w:hAnsiTheme="minorHAnsi" w:cs="Arial"/>
          <w:szCs w:val="22"/>
        </w:rPr>
        <w:t>portability and cost savings.  A consolidation would a</w:t>
      </w:r>
      <w:r w:rsidR="00465F21" w:rsidRPr="007251AA">
        <w:rPr>
          <w:rFonts w:asciiTheme="minorHAnsi" w:hAnsiTheme="minorHAnsi" w:cs="Arial"/>
          <w:szCs w:val="22"/>
        </w:rPr>
        <w:t>llow employees to</w:t>
      </w:r>
      <w:r w:rsidRPr="007251AA">
        <w:rPr>
          <w:rFonts w:asciiTheme="minorHAnsi" w:hAnsiTheme="minorHAnsi" w:cs="Arial"/>
          <w:szCs w:val="22"/>
        </w:rPr>
        <w:t xml:space="preserve"> see all benefits offerings in one place and s</w:t>
      </w:r>
      <w:r w:rsidR="00465F21" w:rsidRPr="007251AA">
        <w:rPr>
          <w:rFonts w:asciiTheme="minorHAnsi" w:hAnsiTheme="minorHAnsi" w:cs="Arial"/>
          <w:szCs w:val="22"/>
        </w:rPr>
        <w:t>elect plan</w:t>
      </w:r>
      <w:r w:rsidR="0039013F" w:rsidRPr="007251AA">
        <w:rPr>
          <w:rFonts w:asciiTheme="minorHAnsi" w:hAnsiTheme="minorHAnsi" w:cs="Arial"/>
          <w:szCs w:val="22"/>
        </w:rPr>
        <w:t xml:space="preserve"> products that meet their needs</w:t>
      </w:r>
      <w:r w:rsidR="00272F4B" w:rsidRPr="007251AA">
        <w:rPr>
          <w:rFonts w:asciiTheme="minorHAnsi" w:hAnsiTheme="minorHAnsi" w:cs="Arial"/>
          <w:szCs w:val="22"/>
        </w:rPr>
        <w:t>.</w:t>
      </w:r>
    </w:p>
    <w:p w14:paraId="1E1EFF93" w14:textId="77777777" w:rsidR="004F29EF" w:rsidRDefault="004F29EF" w:rsidP="004F29EF">
      <w:pPr>
        <w:rPr>
          <w:rFonts w:asciiTheme="minorHAnsi" w:hAnsiTheme="minorHAnsi" w:cs="Arial"/>
          <w:szCs w:val="22"/>
        </w:rPr>
      </w:pPr>
    </w:p>
    <w:p w14:paraId="263F6227" w14:textId="77777777" w:rsidR="004F29EF" w:rsidRDefault="004F29EF" w:rsidP="004F29EF">
      <w:pPr>
        <w:rPr>
          <w:rFonts w:asciiTheme="minorHAnsi" w:hAnsiTheme="minorHAnsi" w:cs="Arial"/>
          <w:szCs w:val="22"/>
        </w:rPr>
      </w:pPr>
    </w:p>
    <w:p w14:paraId="68A52B09" w14:textId="77777777" w:rsidR="004F29EF" w:rsidRPr="007251AA" w:rsidRDefault="004F29EF" w:rsidP="004F29EF">
      <w:pPr>
        <w:rPr>
          <w:rFonts w:asciiTheme="minorHAnsi" w:hAnsiTheme="minorHAnsi" w:cs="Arial"/>
          <w:szCs w:val="22"/>
        </w:rPr>
        <w:sectPr w:rsidR="004F29EF" w:rsidRPr="007251AA" w:rsidSect="003A1085">
          <w:type w:val="continuous"/>
          <w:pgSz w:w="12240" w:h="15840"/>
          <w:pgMar w:top="1440" w:right="1440" w:bottom="1440" w:left="1440" w:header="720" w:footer="720" w:gutter="0"/>
          <w:pgNumType w:start="1"/>
          <w:cols w:num="2" w:space="360"/>
          <w:docGrid w:linePitch="360"/>
        </w:sectPr>
      </w:pPr>
    </w:p>
    <w:p w14:paraId="2370F34E" w14:textId="77777777" w:rsidR="00A74913" w:rsidRDefault="00A74913" w:rsidP="0039013F">
      <w:pPr>
        <w:pStyle w:val="BodyTextIndent"/>
        <w:pBdr>
          <w:bottom w:val="single" w:sz="4" w:space="1" w:color="auto"/>
        </w:pBdr>
        <w:rPr>
          <w:rFonts w:asciiTheme="minorHAnsi" w:hAnsiTheme="minorHAnsi" w:cs="Arial"/>
          <w:b/>
          <w:bCs/>
          <w:iCs/>
          <w:sz w:val="28"/>
        </w:rPr>
      </w:pPr>
    </w:p>
    <w:p w14:paraId="3F32B48D" w14:textId="5D946840" w:rsidR="007C14B2" w:rsidRDefault="007C14B2" w:rsidP="0039013F">
      <w:pPr>
        <w:pStyle w:val="BodyTextIndent"/>
        <w:pBdr>
          <w:bottom w:val="single" w:sz="4" w:space="1" w:color="auto"/>
        </w:pBdr>
        <w:rPr>
          <w:rFonts w:asciiTheme="minorHAnsi" w:hAnsiTheme="minorHAnsi" w:cs="Arial"/>
          <w:b/>
          <w:bCs/>
          <w:iCs/>
          <w:sz w:val="28"/>
        </w:rPr>
      </w:pPr>
    </w:p>
    <w:p w14:paraId="21705783" w14:textId="77777777" w:rsidR="00122403" w:rsidRDefault="00122403" w:rsidP="0039013F">
      <w:pPr>
        <w:pStyle w:val="BodyTextIndent"/>
        <w:pBdr>
          <w:bottom w:val="single" w:sz="4" w:space="1" w:color="auto"/>
        </w:pBdr>
        <w:rPr>
          <w:rFonts w:asciiTheme="minorHAnsi" w:hAnsiTheme="minorHAnsi" w:cs="Arial"/>
          <w:b/>
          <w:bCs/>
          <w:iCs/>
          <w:sz w:val="28"/>
        </w:rPr>
      </w:pPr>
    </w:p>
    <w:p w14:paraId="17456E6D" w14:textId="77777777" w:rsidR="007C14B2" w:rsidRDefault="007C14B2" w:rsidP="0039013F">
      <w:pPr>
        <w:pStyle w:val="BodyTextIndent"/>
        <w:pBdr>
          <w:bottom w:val="single" w:sz="4" w:space="1" w:color="auto"/>
        </w:pBdr>
        <w:rPr>
          <w:rFonts w:asciiTheme="minorHAnsi" w:hAnsiTheme="minorHAnsi" w:cs="Arial"/>
          <w:b/>
          <w:bCs/>
          <w:iCs/>
          <w:sz w:val="28"/>
        </w:rPr>
      </w:pPr>
    </w:p>
    <w:p w14:paraId="5DA9FFF9" w14:textId="77777777" w:rsidR="00465F21" w:rsidRPr="0039013F" w:rsidRDefault="00465F21" w:rsidP="0039013F">
      <w:pPr>
        <w:pStyle w:val="BodyTextIndent"/>
        <w:pBdr>
          <w:bottom w:val="single" w:sz="4" w:space="1" w:color="auto"/>
        </w:pBdr>
        <w:rPr>
          <w:rFonts w:asciiTheme="minorHAnsi" w:hAnsiTheme="minorHAnsi" w:cs="Arial"/>
          <w:b/>
          <w:iCs/>
          <w:sz w:val="28"/>
          <w:u w:val="single"/>
        </w:rPr>
      </w:pPr>
      <w:r w:rsidRPr="0039013F">
        <w:rPr>
          <w:rFonts w:asciiTheme="minorHAnsi" w:hAnsiTheme="minorHAnsi" w:cs="Arial"/>
          <w:b/>
          <w:bCs/>
          <w:iCs/>
          <w:sz w:val="28"/>
        </w:rPr>
        <w:t>II.</w:t>
      </w:r>
      <w:r w:rsidR="008B4416" w:rsidRPr="0039013F">
        <w:rPr>
          <w:rFonts w:asciiTheme="minorHAnsi" w:hAnsiTheme="minorHAnsi" w:cs="Arial"/>
          <w:iCs/>
          <w:sz w:val="28"/>
        </w:rPr>
        <w:tab/>
      </w:r>
      <w:r w:rsidRPr="0039013F">
        <w:rPr>
          <w:rFonts w:asciiTheme="minorHAnsi" w:hAnsiTheme="minorHAnsi" w:cs="Arial"/>
          <w:b/>
          <w:bCs/>
          <w:iCs/>
          <w:sz w:val="28"/>
        </w:rPr>
        <w:t>INTRODUCTION</w:t>
      </w:r>
    </w:p>
    <w:p w14:paraId="5DCDCC05" w14:textId="77777777" w:rsidR="00465F21" w:rsidRPr="00694051" w:rsidRDefault="00465F21" w:rsidP="006A188D">
      <w:pPr>
        <w:pStyle w:val="MAPS"/>
        <w:tabs>
          <w:tab w:val="right" w:pos="-810"/>
        </w:tabs>
        <w:rPr>
          <w:rFonts w:cs="Arial"/>
        </w:rPr>
      </w:pPr>
    </w:p>
    <w:p w14:paraId="3B18D07B" w14:textId="0BD68EBC" w:rsidR="00465F21" w:rsidRDefault="00465F21" w:rsidP="00122403">
      <w:pPr>
        <w:pStyle w:val="MAPS"/>
        <w:jc w:val="both"/>
        <w:rPr>
          <w:rFonts w:asciiTheme="minorHAnsi" w:hAnsiTheme="minorHAnsi" w:cs="Arial"/>
          <w:sz w:val="22"/>
          <w:szCs w:val="22"/>
        </w:rPr>
      </w:pPr>
      <w:r w:rsidRPr="0039013F">
        <w:rPr>
          <w:rFonts w:asciiTheme="minorHAnsi" w:hAnsiTheme="minorHAnsi" w:cs="Arial"/>
          <w:sz w:val="22"/>
          <w:szCs w:val="22"/>
        </w:rPr>
        <w:t>This</w:t>
      </w:r>
      <w:r w:rsidR="00AD0784" w:rsidRPr="0039013F">
        <w:rPr>
          <w:rFonts w:asciiTheme="minorHAnsi" w:hAnsiTheme="minorHAnsi" w:cs="Arial"/>
          <w:sz w:val="22"/>
          <w:szCs w:val="22"/>
        </w:rPr>
        <w:t xml:space="preserve"> report conveys economic and pay</w:t>
      </w:r>
      <w:r w:rsidRPr="0039013F">
        <w:rPr>
          <w:rFonts w:asciiTheme="minorHAnsi" w:hAnsiTheme="minorHAnsi" w:cs="Arial"/>
          <w:sz w:val="22"/>
          <w:szCs w:val="22"/>
        </w:rPr>
        <w:t xml:space="preserve"> trends, findings and data derived from compensation and benefits surveys that the Office of State </w:t>
      </w:r>
      <w:r w:rsidR="001D0567" w:rsidRPr="0039013F">
        <w:rPr>
          <w:rFonts w:asciiTheme="minorHAnsi" w:hAnsiTheme="minorHAnsi" w:cs="Arial"/>
          <w:sz w:val="22"/>
          <w:szCs w:val="22"/>
        </w:rPr>
        <w:t>Human Resources</w:t>
      </w:r>
      <w:r w:rsidRPr="0039013F">
        <w:rPr>
          <w:rFonts w:asciiTheme="minorHAnsi" w:hAnsiTheme="minorHAnsi" w:cs="Arial"/>
          <w:sz w:val="22"/>
          <w:szCs w:val="22"/>
        </w:rPr>
        <w:t xml:space="preserve"> regularly analyzes to determ</w:t>
      </w:r>
      <w:r w:rsidR="005017BF" w:rsidRPr="0039013F">
        <w:rPr>
          <w:rFonts w:asciiTheme="minorHAnsi" w:hAnsiTheme="minorHAnsi" w:cs="Arial"/>
          <w:sz w:val="22"/>
          <w:szCs w:val="22"/>
        </w:rPr>
        <w:t>ine whether or not salary ranges, rates and average salaries</w:t>
      </w:r>
      <w:r w:rsidRPr="0039013F">
        <w:rPr>
          <w:rFonts w:asciiTheme="minorHAnsi" w:hAnsiTheme="minorHAnsi" w:cs="Arial"/>
          <w:sz w:val="22"/>
          <w:szCs w:val="22"/>
        </w:rPr>
        <w:t xml:space="preserve"> for </w:t>
      </w:r>
      <w:r w:rsidR="00AA3E49">
        <w:rPr>
          <w:rFonts w:asciiTheme="minorHAnsi" w:hAnsiTheme="minorHAnsi" w:cs="Arial"/>
          <w:sz w:val="22"/>
          <w:szCs w:val="22"/>
        </w:rPr>
        <w:t>S</w:t>
      </w:r>
      <w:r w:rsidRPr="0039013F">
        <w:rPr>
          <w:rFonts w:asciiTheme="minorHAnsi" w:hAnsiTheme="minorHAnsi" w:cs="Arial"/>
          <w:sz w:val="22"/>
          <w:szCs w:val="22"/>
        </w:rPr>
        <w:t xml:space="preserve">tate classifications and benefits for employees are competitive in the labor market.  </w:t>
      </w:r>
      <w:r w:rsidR="004F798B">
        <w:rPr>
          <w:rFonts w:asciiTheme="minorHAnsi" w:hAnsiTheme="minorHAnsi" w:cs="Arial"/>
          <w:sz w:val="22"/>
          <w:szCs w:val="22"/>
        </w:rPr>
        <w:t>K</w:t>
      </w:r>
      <w:r w:rsidRPr="0039013F">
        <w:rPr>
          <w:rFonts w:asciiTheme="minorHAnsi" w:hAnsiTheme="minorHAnsi" w:cs="Arial"/>
          <w:sz w:val="22"/>
          <w:szCs w:val="22"/>
        </w:rPr>
        <w:t xml:space="preserve">ey findings and comparative data </w:t>
      </w:r>
      <w:r w:rsidR="004F798B">
        <w:rPr>
          <w:rFonts w:asciiTheme="minorHAnsi" w:hAnsiTheme="minorHAnsi" w:cs="Arial"/>
          <w:sz w:val="22"/>
          <w:szCs w:val="22"/>
        </w:rPr>
        <w:t>summarize</w:t>
      </w:r>
      <w:r w:rsidRPr="0039013F">
        <w:rPr>
          <w:rFonts w:asciiTheme="minorHAnsi" w:hAnsiTheme="minorHAnsi" w:cs="Arial"/>
          <w:sz w:val="22"/>
          <w:szCs w:val="22"/>
        </w:rPr>
        <w:t xml:space="preserve"> the relationship of the </w:t>
      </w:r>
      <w:r w:rsidR="00AA3E49">
        <w:rPr>
          <w:rFonts w:asciiTheme="minorHAnsi" w:hAnsiTheme="minorHAnsi" w:cs="Arial"/>
          <w:sz w:val="22"/>
          <w:szCs w:val="22"/>
        </w:rPr>
        <w:t>S</w:t>
      </w:r>
      <w:r w:rsidRPr="0039013F">
        <w:rPr>
          <w:rFonts w:asciiTheme="minorHAnsi" w:hAnsiTheme="minorHAnsi" w:cs="Arial"/>
          <w:sz w:val="22"/>
          <w:szCs w:val="22"/>
        </w:rPr>
        <w:t>tate’s wages</w:t>
      </w:r>
      <w:r w:rsidR="00AD0784" w:rsidRPr="0039013F">
        <w:rPr>
          <w:rFonts w:asciiTheme="minorHAnsi" w:hAnsiTheme="minorHAnsi" w:cs="Arial"/>
          <w:sz w:val="22"/>
          <w:szCs w:val="22"/>
        </w:rPr>
        <w:t xml:space="preserve"> and compensation programs</w:t>
      </w:r>
      <w:r w:rsidRPr="0039013F">
        <w:rPr>
          <w:rFonts w:asciiTheme="minorHAnsi" w:hAnsiTheme="minorHAnsi" w:cs="Arial"/>
          <w:sz w:val="22"/>
          <w:szCs w:val="22"/>
        </w:rPr>
        <w:t xml:space="preserve"> to those of competitors in both the private and public sectors</w:t>
      </w:r>
      <w:r w:rsidR="00AD0784" w:rsidRPr="0039013F">
        <w:rPr>
          <w:rFonts w:asciiTheme="minorHAnsi" w:hAnsiTheme="minorHAnsi" w:cs="Arial"/>
          <w:sz w:val="22"/>
          <w:szCs w:val="22"/>
        </w:rPr>
        <w:t>, as well as in relation to talent management trends both nationally and internationally</w:t>
      </w:r>
      <w:r w:rsidR="00DB4A92" w:rsidRPr="0039013F">
        <w:rPr>
          <w:rFonts w:asciiTheme="minorHAnsi" w:hAnsiTheme="minorHAnsi" w:cs="Arial"/>
          <w:sz w:val="22"/>
          <w:szCs w:val="22"/>
        </w:rPr>
        <w:t>.</w:t>
      </w:r>
    </w:p>
    <w:p w14:paraId="4202D168" w14:textId="77777777" w:rsidR="00CD734E" w:rsidRDefault="00CD734E" w:rsidP="006A188D">
      <w:pPr>
        <w:pStyle w:val="MAPS"/>
        <w:rPr>
          <w:rFonts w:asciiTheme="minorHAnsi" w:hAnsiTheme="minorHAnsi" w:cs="Arial"/>
          <w:sz w:val="22"/>
          <w:szCs w:val="22"/>
        </w:rPr>
      </w:pPr>
    </w:p>
    <w:p w14:paraId="01284AA4" w14:textId="77777777" w:rsidR="00465F21" w:rsidRPr="001F7F37" w:rsidRDefault="00465F21">
      <w:pPr>
        <w:pStyle w:val="BodyText"/>
        <w:rPr>
          <w:rFonts w:asciiTheme="minorHAnsi" w:hAnsiTheme="minorHAnsi" w:cs="Arial"/>
          <w:b/>
          <w:bCs/>
          <w:sz w:val="24"/>
          <w:szCs w:val="24"/>
        </w:rPr>
      </w:pPr>
      <w:r w:rsidRPr="001F7F37">
        <w:rPr>
          <w:rFonts w:asciiTheme="minorHAnsi" w:hAnsiTheme="minorHAnsi" w:cs="Arial"/>
          <w:b/>
          <w:bCs/>
          <w:sz w:val="24"/>
          <w:szCs w:val="24"/>
        </w:rPr>
        <w:t xml:space="preserve">North Carolina’s </w:t>
      </w:r>
      <w:r w:rsidR="0009546D" w:rsidRPr="001F7F37">
        <w:rPr>
          <w:rFonts w:asciiTheme="minorHAnsi" w:hAnsiTheme="minorHAnsi" w:cs="Arial"/>
          <w:b/>
          <w:bCs/>
          <w:sz w:val="24"/>
          <w:szCs w:val="24"/>
        </w:rPr>
        <w:t>Compensation Vision</w:t>
      </w:r>
    </w:p>
    <w:p w14:paraId="5E8462F4" w14:textId="1BF907B3" w:rsidR="0009546D" w:rsidRDefault="0009546D" w:rsidP="001F7F37">
      <w:pPr>
        <w:pStyle w:val="MAPS"/>
        <w:jc w:val="both"/>
        <w:rPr>
          <w:rFonts w:asciiTheme="minorHAnsi" w:hAnsiTheme="minorHAnsi" w:cs="Arial"/>
          <w:sz w:val="22"/>
          <w:szCs w:val="22"/>
        </w:rPr>
      </w:pPr>
      <w:r>
        <w:rPr>
          <w:rFonts w:asciiTheme="minorHAnsi" w:hAnsiTheme="minorHAnsi" w:cs="Arial"/>
          <w:sz w:val="22"/>
          <w:szCs w:val="22"/>
        </w:rPr>
        <w:t>A Compensation Vision was established out of the Statewide Compensation System Project:</w:t>
      </w:r>
    </w:p>
    <w:p w14:paraId="3BA9170C" w14:textId="77777777" w:rsidR="004B1B84" w:rsidRPr="004B1B84" w:rsidRDefault="004B1B84" w:rsidP="001F7F37">
      <w:pPr>
        <w:pStyle w:val="MAPS"/>
        <w:jc w:val="both"/>
        <w:rPr>
          <w:rFonts w:asciiTheme="minorHAnsi" w:hAnsiTheme="minorHAnsi" w:cs="Arial"/>
          <w:sz w:val="12"/>
          <w:szCs w:val="1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122403" w14:paraId="3FDD8B29" w14:textId="77777777" w:rsidTr="004B1B84">
        <w:tc>
          <w:tcPr>
            <w:tcW w:w="8460" w:type="dxa"/>
          </w:tcPr>
          <w:p w14:paraId="7013BA43" w14:textId="09E2AD0D" w:rsidR="00122403" w:rsidRDefault="00122403" w:rsidP="00122403">
            <w:pPr>
              <w:spacing w:after="200" w:line="276" w:lineRule="auto"/>
              <w:contextualSpacing/>
              <w:jc w:val="both"/>
              <w:rPr>
                <w:rFonts w:asciiTheme="minorHAnsi" w:hAnsiTheme="minorHAnsi" w:cs="Arial"/>
                <w:szCs w:val="22"/>
              </w:rPr>
            </w:pPr>
            <w:r w:rsidRPr="00122403">
              <w:rPr>
                <w:rFonts w:asciiTheme="minorHAnsi" w:eastAsiaTheme="minorHAnsi" w:hAnsiTheme="minorHAnsi" w:cstheme="minorBidi"/>
                <w:i/>
                <w:szCs w:val="22"/>
              </w:rPr>
              <w:t xml:space="preserve">The State of North Carolina is committed to attracting and retaining a diverse workforce of high performing employees with the competencies, skills, knowledge, and dedication needed to consistently meet continually evolving strategic goals. The </w:t>
            </w:r>
            <w:r w:rsidR="00AA3E49">
              <w:rPr>
                <w:rFonts w:asciiTheme="minorHAnsi" w:eastAsiaTheme="minorHAnsi" w:hAnsiTheme="minorHAnsi" w:cstheme="minorBidi"/>
                <w:i/>
                <w:szCs w:val="22"/>
              </w:rPr>
              <w:t>S</w:t>
            </w:r>
            <w:r w:rsidRPr="00122403">
              <w:rPr>
                <w:rFonts w:asciiTheme="minorHAnsi" w:eastAsiaTheme="minorHAnsi" w:hAnsiTheme="minorHAnsi" w:cstheme="minorBidi"/>
                <w:i/>
                <w:szCs w:val="22"/>
              </w:rPr>
              <w:t>tate’s compensation system should be reflective of occupational trends and best practices. It should be meaningful and easily understood by employees and managers, and administered by Human Resources professionals in a consistent manner.</w:t>
            </w:r>
          </w:p>
        </w:tc>
      </w:tr>
    </w:tbl>
    <w:p w14:paraId="59B60CFE" w14:textId="0C50857D" w:rsidR="00122403" w:rsidRDefault="00122403" w:rsidP="00393C34">
      <w:pPr>
        <w:pStyle w:val="MAPS"/>
        <w:rPr>
          <w:rFonts w:asciiTheme="minorHAnsi" w:hAnsiTheme="minorHAnsi" w:cs="Arial"/>
          <w:sz w:val="22"/>
          <w:szCs w:val="22"/>
        </w:rPr>
      </w:pPr>
    </w:p>
    <w:p w14:paraId="22B93484" w14:textId="0BED6A74" w:rsidR="0009546D" w:rsidRPr="007251AA" w:rsidRDefault="0009546D" w:rsidP="009F5F1C">
      <w:pPr>
        <w:spacing w:after="120" w:line="276" w:lineRule="auto"/>
        <w:contextualSpacing/>
        <w:rPr>
          <w:rFonts w:asciiTheme="minorHAnsi" w:eastAsiaTheme="minorHAnsi" w:hAnsiTheme="minorHAnsi" w:cstheme="minorBidi"/>
          <w:b/>
          <w:i/>
          <w:sz w:val="24"/>
          <w:szCs w:val="24"/>
        </w:rPr>
      </w:pPr>
      <w:r w:rsidRPr="007251AA">
        <w:rPr>
          <w:rFonts w:asciiTheme="minorHAnsi" w:eastAsiaTheme="minorHAnsi" w:hAnsiTheme="minorHAnsi" w:cstheme="minorBidi"/>
          <w:b/>
          <w:i/>
          <w:sz w:val="24"/>
          <w:szCs w:val="24"/>
        </w:rPr>
        <w:t xml:space="preserve">North Carolina’s </w:t>
      </w:r>
      <w:r w:rsidR="004B1B84">
        <w:rPr>
          <w:rFonts w:asciiTheme="minorHAnsi" w:eastAsiaTheme="minorHAnsi" w:hAnsiTheme="minorHAnsi" w:cstheme="minorBidi"/>
          <w:b/>
          <w:i/>
          <w:sz w:val="24"/>
          <w:szCs w:val="24"/>
        </w:rPr>
        <w:t xml:space="preserve">total </w:t>
      </w:r>
      <w:r w:rsidRPr="007251AA">
        <w:rPr>
          <w:rFonts w:asciiTheme="minorHAnsi" w:eastAsiaTheme="minorHAnsi" w:hAnsiTheme="minorHAnsi" w:cstheme="minorBidi"/>
          <w:b/>
          <w:i/>
          <w:sz w:val="24"/>
          <w:szCs w:val="24"/>
        </w:rPr>
        <w:t>compensation system should be guided by the following key principles:</w:t>
      </w:r>
    </w:p>
    <w:p w14:paraId="1535D6E6" w14:textId="77777777" w:rsidR="0009546D" w:rsidRPr="007251AA" w:rsidRDefault="0009546D" w:rsidP="001F7F37">
      <w:pPr>
        <w:ind w:left="360"/>
        <w:contextualSpacing/>
        <w:rPr>
          <w:rFonts w:asciiTheme="minorHAnsi" w:eastAsiaTheme="minorHAnsi" w:hAnsiTheme="minorHAnsi" w:cstheme="minorBidi"/>
          <w:b/>
          <w:i/>
          <w:sz w:val="24"/>
          <w:szCs w:val="24"/>
        </w:rPr>
      </w:pPr>
      <w:r w:rsidRPr="007251AA">
        <w:rPr>
          <w:rFonts w:asciiTheme="minorHAnsi" w:eastAsiaTheme="minorHAnsi" w:hAnsiTheme="minorHAnsi" w:cstheme="minorBidi"/>
          <w:b/>
          <w:i/>
          <w:sz w:val="24"/>
          <w:szCs w:val="24"/>
        </w:rPr>
        <w:t>MARKET RESPONSIVENESS</w:t>
      </w:r>
    </w:p>
    <w:p w14:paraId="4D82007C" w14:textId="77777777" w:rsidR="0009546D" w:rsidRPr="00386B03" w:rsidRDefault="0009546D" w:rsidP="001F7F37">
      <w:pPr>
        <w:pStyle w:val="ListParagraph"/>
        <w:numPr>
          <w:ilvl w:val="0"/>
          <w:numId w:val="32"/>
        </w:numPr>
        <w:contextualSpacing/>
        <w:rPr>
          <w:rFonts w:asciiTheme="minorHAnsi" w:eastAsiaTheme="minorHAnsi" w:hAnsiTheme="minorHAnsi" w:cstheme="minorBidi"/>
          <w:i/>
          <w:sz w:val="24"/>
          <w:szCs w:val="24"/>
        </w:rPr>
      </w:pPr>
      <w:r w:rsidRPr="00386B03">
        <w:rPr>
          <w:rFonts w:asciiTheme="minorHAnsi" w:eastAsiaTheme="minorHAnsi" w:hAnsiTheme="minorHAnsi" w:cstheme="minorBidi"/>
          <w:i/>
          <w:sz w:val="24"/>
          <w:szCs w:val="24"/>
        </w:rPr>
        <w:t>Position total compensation competitively with relevant labor markets</w:t>
      </w:r>
    </w:p>
    <w:p w14:paraId="0F59611A" w14:textId="11937CA7" w:rsidR="0009546D" w:rsidRDefault="0009546D" w:rsidP="001F7F37">
      <w:pPr>
        <w:pStyle w:val="ListParagraph"/>
        <w:numPr>
          <w:ilvl w:val="0"/>
          <w:numId w:val="32"/>
        </w:numPr>
        <w:contextualSpacing/>
        <w:rPr>
          <w:rFonts w:asciiTheme="minorHAnsi" w:eastAsiaTheme="minorHAnsi" w:hAnsiTheme="minorHAnsi" w:cstheme="minorBidi"/>
          <w:i/>
          <w:sz w:val="24"/>
          <w:szCs w:val="24"/>
        </w:rPr>
      </w:pPr>
      <w:r w:rsidRPr="00386B03">
        <w:rPr>
          <w:rFonts w:asciiTheme="minorHAnsi" w:eastAsiaTheme="minorHAnsi" w:hAnsiTheme="minorHAnsi" w:cstheme="minorBidi"/>
          <w:i/>
          <w:sz w:val="24"/>
          <w:szCs w:val="24"/>
        </w:rPr>
        <w:t>Recognize that labor market factors differ for specific occupations</w:t>
      </w:r>
    </w:p>
    <w:p w14:paraId="6221BB21" w14:textId="77777777" w:rsidR="001F7F37" w:rsidRPr="004B1B84" w:rsidRDefault="001F7F37" w:rsidP="001F7F37">
      <w:pPr>
        <w:contextualSpacing/>
        <w:rPr>
          <w:rFonts w:asciiTheme="minorHAnsi" w:eastAsiaTheme="minorHAnsi" w:hAnsiTheme="minorHAnsi" w:cstheme="minorBidi"/>
          <w:i/>
          <w:sz w:val="12"/>
          <w:szCs w:val="12"/>
        </w:rPr>
      </w:pPr>
    </w:p>
    <w:p w14:paraId="51AB1839" w14:textId="77777777" w:rsidR="0009546D" w:rsidRPr="007251AA" w:rsidRDefault="0009546D" w:rsidP="001F7F37">
      <w:pPr>
        <w:ind w:left="360"/>
        <w:contextualSpacing/>
        <w:rPr>
          <w:rFonts w:asciiTheme="minorHAnsi" w:eastAsiaTheme="minorHAnsi" w:hAnsiTheme="minorHAnsi" w:cstheme="minorBidi"/>
          <w:b/>
          <w:i/>
          <w:sz w:val="24"/>
          <w:szCs w:val="24"/>
        </w:rPr>
      </w:pPr>
      <w:r w:rsidRPr="007251AA">
        <w:rPr>
          <w:rFonts w:asciiTheme="minorHAnsi" w:eastAsiaTheme="minorHAnsi" w:hAnsiTheme="minorHAnsi" w:cstheme="minorBidi"/>
          <w:b/>
          <w:i/>
          <w:sz w:val="24"/>
          <w:szCs w:val="24"/>
        </w:rPr>
        <w:t>EQUITABLE AND AFFORDABLE COMPENSATION</w:t>
      </w:r>
    </w:p>
    <w:p w14:paraId="2BCD18CD" w14:textId="77777777" w:rsidR="0009546D" w:rsidRPr="00386B03" w:rsidRDefault="0009546D" w:rsidP="001F7F37">
      <w:pPr>
        <w:pStyle w:val="ListParagraph"/>
        <w:numPr>
          <w:ilvl w:val="0"/>
          <w:numId w:val="33"/>
        </w:numPr>
        <w:contextualSpacing/>
        <w:rPr>
          <w:rFonts w:asciiTheme="minorHAnsi" w:eastAsiaTheme="minorHAnsi" w:hAnsiTheme="minorHAnsi" w:cstheme="minorBidi"/>
          <w:i/>
          <w:sz w:val="24"/>
          <w:szCs w:val="24"/>
        </w:rPr>
      </w:pPr>
      <w:r w:rsidRPr="00386B03">
        <w:rPr>
          <w:rFonts w:asciiTheme="minorHAnsi" w:eastAsiaTheme="minorHAnsi" w:hAnsiTheme="minorHAnsi" w:cstheme="minorBidi"/>
          <w:i/>
          <w:sz w:val="24"/>
          <w:szCs w:val="24"/>
        </w:rPr>
        <w:t>Align internal pay within occupational groups while avoiding adverse impacts</w:t>
      </w:r>
    </w:p>
    <w:p w14:paraId="763D3EFF" w14:textId="77777777" w:rsidR="0009546D" w:rsidRPr="00386B03" w:rsidRDefault="0009546D" w:rsidP="004F798B">
      <w:pPr>
        <w:pStyle w:val="ListParagraph"/>
        <w:numPr>
          <w:ilvl w:val="0"/>
          <w:numId w:val="33"/>
        </w:numPr>
        <w:contextualSpacing/>
        <w:rPr>
          <w:rFonts w:asciiTheme="minorHAnsi" w:eastAsiaTheme="minorHAnsi" w:hAnsiTheme="minorHAnsi" w:cstheme="minorBidi"/>
          <w:i/>
          <w:sz w:val="24"/>
          <w:szCs w:val="24"/>
        </w:rPr>
      </w:pPr>
      <w:r w:rsidRPr="00386B03">
        <w:rPr>
          <w:rFonts w:asciiTheme="minorHAnsi" w:eastAsiaTheme="minorHAnsi" w:hAnsiTheme="minorHAnsi" w:cstheme="minorBidi"/>
          <w:i/>
          <w:sz w:val="24"/>
          <w:szCs w:val="24"/>
        </w:rPr>
        <w:t>Maintain internal classification structure alignment</w:t>
      </w:r>
    </w:p>
    <w:p w14:paraId="26A6A444" w14:textId="795043DA" w:rsidR="0009546D" w:rsidRDefault="0009546D" w:rsidP="004F798B">
      <w:pPr>
        <w:pStyle w:val="ListParagraph"/>
        <w:numPr>
          <w:ilvl w:val="0"/>
          <w:numId w:val="33"/>
        </w:numPr>
        <w:contextualSpacing/>
        <w:rPr>
          <w:rFonts w:asciiTheme="minorHAnsi" w:eastAsiaTheme="minorHAnsi" w:hAnsiTheme="minorHAnsi" w:cstheme="minorBidi"/>
          <w:i/>
          <w:sz w:val="24"/>
          <w:szCs w:val="24"/>
        </w:rPr>
      </w:pPr>
      <w:r w:rsidRPr="00386B03">
        <w:rPr>
          <w:rFonts w:asciiTheme="minorHAnsi" w:eastAsiaTheme="minorHAnsi" w:hAnsiTheme="minorHAnsi" w:cstheme="minorBidi"/>
          <w:i/>
          <w:sz w:val="24"/>
          <w:szCs w:val="24"/>
        </w:rPr>
        <w:t>Maintain fiscal responsibility</w:t>
      </w:r>
    </w:p>
    <w:p w14:paraId="1747F118" w14:textId="77777777" w:rsidR="001F7F37" w:rsidRPr="004B1B84" w:rsidRDefault="001F7F37" w:rsidP="001F7F37">
      <w:pPr>
        <w:contextualSpacing/>
        <w:rPr>
          <w:rFonts w:asciiTheme="minorHAnsi" w:eastAsiaTheme="minorHAnsi" w:hAnsiTheme="minorHAnsi" w:cstheme="minorBidi"/>
          <w:i/>
          <w:sz w:val="12"/>
          <w:szCs w:val="12"/>
        </w:rPr>
      </w:pPr>
    </w:p>
    <w:p w14:paraId="155DC06B" w14:textId="77777777" w:rsidR="0009546D" w:rsidRPr="007251AA" w:rsidRDefault="0009546D" w:rsidP="001F7F37">
      <w:pPr>
        <w:ind w:left="360"/>
        <w:contextualSpacing/>
        <w:rPr>
          <w:rFonts w:asciiTheme="minorHAnsi" w:eastAsiaTheme="minorHAnsi" w:hAnsiTheme="minorHAnsi" w:cstheme="minorBidi"/>
          <w:b/>
          <w:i/>
          <w:sz w:val="24"/>
          <w:szCs w:val="24"/>
        </w:rPr>
      </w:pPr>
      <w:r w:rsidRPr="007251AA">
        <w:rPr>
          <w:rFonts w:asciiTheme="minorHAnsi" w:eastAsiaTheme="minorHAnsi" w:hAnsiTheme="minorHAnsi" w:cstheme="minorBidi"/>
          <w:b/>
          <w:i/>
          <w:sz w:val="24"/>
          <w:szCs w:val="24"/>
        </w:rPr>
        <w:t>PAY FOR PERFORMANCE</w:t>
      </w:r>
    </w:p>
    <w:p w14:paraId="48AB8B2F" w14:textId="0746B029" w:rsidR="0009546D" w:rsidRPr="001F7F37" w:rsidRDefault="0009546D" w:rsidP="004F798B">
      <w:pPr>
        <w:pStyle w:val="ListParagraph"/>
        <w:numPr>
          <w:ilvl w:val="0"/>
          <w:numId w:val="34"/>
        </w:numPr>
        <w:ind w:left="1080"/>
        <w:contextualSpacing/>
        <w:rPr>
          <w:rFonts w:asciiTheme="minorHAnsi" w:eastAsiaTheme="minorHAnsi" w:hAnsiTheme="minorHAnsi" w:cstheme="minorBidi"/>
          <w:sz w:val="24"/>
          <w:szCs w:val="24"/>
        </w:rPr>
      </w:pPr>
      <w:r w:rsidRPr="00122403">
        <w:rPr>
          <w:rFonts w:asciiTheme="minorHAnsi" w:eastAsiaTheme="minorHAnsi" w:hAnsiTheme="minorHAnsi" w:cstheme="minorBidi"/>
          <w:i/>
          <w:sz w:val="24"/>
          <w:szCs w:val="24"/>
        </w:rPr>
        <w:t>Recognize and reward employee performance</w:t>
      </w:r>
    </w:p>
    <w:p w14:paraId="3DE0BF6B" w14:textId="77777777" w:rsidR="001F7F37" w:rsidRPr="001F7F37" w:rsidRDefault="001F7F37" w:rsidP="001F7F37">
      <w:pPr>
        <w:contextualSpacing/>
        <w:rPr>
          <w:rFonts w:asciiTheme="minorHAnsi" w:eastAsiaTheme="minorHAnsi" w:hAnsiTheme="minorHAnsi" w:cstheme="minorBidi"/>
          <w:szCs w:val="22"/>
        </w:rPr>
      </w:pPr>
    </w:p>
    <w:p w14:paraId="4D23CA1B" w14:textId="7D0AE86A" w:rsidR="003F4C40" w:rsidRDefault="005A18CA" w:rsidP="00122403">
      <w:pPr>
        <w:pStyle w:val="BodyTextIndent"/>
        <w:rPr>
          <w:rFonts w:asciiTheme="minorHAnsi" w:hAnsiTheme="minorHAnsi" w:cs="Arial"/>
          <w:sz w:val="22"/>
          <w:szCs w:val="22"/>
        </w:rPr>
      </w:pPr>
      <w:r w:rsidRPr="0039013F">
        <w:rPr>
          <w:rFonts w:asciiTheme="minorHAnsi" w:hAnsiTheme="minorHAnsi" w:cs="Arial"/>
          <w:sz w:val="22"/>
          <w:szCs w:val="22"/>
        </w:rPr>
        <w:t xml:space="preserve">Traditionally, statewide salary adjustments have come in the form of an across-the-board increase granted by the legislature. </w:t>
      </w:r>
      <w:r w:rsidR="0009546D">
        <w:rPr>
          <w:rFonts w:asciiTheme="minorHAnsi" w:hAnsiTheme="minorHAnsi" w:cs="Arial"/>
          <w:sz w:val="22"/>
          <w:szCs w:val="22"/>
        </w:rPr>
        <w:t>Until recently</w:t>
      </w:r>
      <w:r w:rsidRPr="0039013F">
        <w:rPr>
          <w:rFonts w:asciiTheme="minorHAnsi" w:hAnsiTheme="minorHAnsi" w:cs="Arial"/>
          <w:sz w:val="22"/>
          <w:szCs w:val="22"/>
        </w:rPr>
        <w:t>, t</w:t>
      </w:r>
      <w:r w:rsidR="00025142" w:rsidRPr="0039013F">
        <w:rPr>
          <w:rFonts w:asciiTheme="minorHAnsi" w:hAnsiTheme="minorHAnsi" w:cs="Arial"/>
          <w:sz w:val="22"/>
          <w:szCs w:val="22"/>
        </w:rPr>
        <w:t xml:space="preserve">he State </w:t>
      </w:r>
      <w:r w:rsidR="00085A73" w:rsidRPr="0039013F">
        <w:rPr>
          <w:rFonts w:asciiTheme="minorHAnsi" w:hAnsiTheme="minorHAnsi" w:cs="Arial"/>
          <w:sz w:val="22"/>
          <w:szCs w:val="22"/>
        </w:rPr>
        <w:t>Human Resources</w:t>
      </w:r>
      <w:r w:rsidR="00025142" w:rsidRPr="0039013F">
        <w:rPr>
          <w:rFonts w:asciiTheme="minorHAnsi" w:hAnsiTheme="minorHAnsi" w:cs="Arial"/>
          <w:sz w:val="22"/>
          <w:szCs w:val="22"/>
        </w:rPr>
        <w:t xml:space="preserve"> Act </w:t>
      </w:r>
      <w:r w:rsidR="0009546D">
        <w:rPr>
          <w:rFonts w:asciiTheme="minorHAnsi" w:hAnsiTheme="minorHAnsi" w:cs="Arial"/>
          <w:sz w:val="22"/>
          <w:szCs w:val="22"/>
        </w:rPr>
        <w:t>prohibited</w:t>
      </w:r>
      <w:r w:rsidR="00025142" w:rsidRPr="0039013F">
        <w:rPr>
          <w:rFonts w:asciiTheme="minorHAnsi" w:hAnsiTheme="minorHAnsi" w:cs="Arial"/>
          <w:sz w:val="22"/>
          <w:szCs w:val="22"/>
        </w:rPr>
        <w:t xml:space="preserve"> such modern-day pay programs as monetary incentive awards.  </w:t>
      </w:r>
      <w:r w:rsidR="00CD734E">
        <w:rPr>
          <w:rFonts w:asciiTheme="minorHAnsi" w:hAnsiTheme="minorHAnsi" w:cs="Arial"/>
          <w:sz w:val="22"/>
          <w:szCs w:val="22"/>
        </w:rPr>
        <w:t>B</w:t>
      </w:r>
      <w:r w:rsidR="00386B03" w:rsidRPr="00CD734E">
        <w:rPr>
          <w:rFonts w:asciiTheme="minorHAnsi" w:hAnsiTheme="minorHAnsi" w:cs="Arial"/>
          <w:sz w:val="22"/>
          <w:szCs w:val="22"/>
        </w:rPr>
        <w:t xml:space="preserve">usiness critical areas within the State’s </w:t>
      </w:r>
      <w:r w:rsidR="00D14017" w:rsidRPr="007C14B2">
        <w:rPr>
          <w:rFonts w:asciiTheme="minorHAnsi" w:hAnsiTheme="minorHAnsi" w:cs="Arial"/>
          <w:color w:val="000000" w:themeColor="text1"/>
          <w:sz w:val="22"/>
          <w:szCs w:val="22"/>
        </w:rPr>
        <w:t>workforce</w:t>
      </w:r>
      <w:r w:rsidR="00CD734E" w:rsidRPr="007C14B2">
        <w:rPr>
          <w:rFonts w:asciiTheme="minorHAnsi" w:hAnsiTheme="minorHAnsi" w:cs="Arial"/>
          <w:color w:val="000000" w:themeColor="text1"/>
          <w:sz w:val="22"/>
          <w:szCs w:val="22"/>
        </w:rPr>
        <w:t xml:space="preserve"> should be considered when determining pay increases</w:t>
      </w:r>
      <w:r w:rsidR="00D14017" w:rsidRPr="007C14B2">
        <w:rPr>
          <w:rFonts w:asciiTheme="minorHAnsi" w:hAnsiTheme="minorHAnsi" w:cs="Arial"/>
          <w:color w:val="000000" w:themeColor="text1"/>
          <w:sz w:val="22"/>
          <w:szCs w:val="22"/>
        </w:rPr>
        <w:t>.</w:t>
      </w:r>
      <w:r w:rsidR="00025142" w:rsidRPr="007C14B2">
        <w:rPr>
          <w:rFonts w:asciiTheme="minorHAnsi" w:hAnsiTheme="minorHAnsi" w:cs="Arial"/>
          <w:color w:val="000000" w:themeColor="text1"/>
          <w:sz w:val="22"/>
          <w:szCs w:val="22"/>
        </w:rPr>
        <w:t xml:space="preserve">  Organizations continue to look to </w:t>
      </w:r>
      <w:r w:rsidR="00386B03" w:rsidRPr="007C14B2">
        <w:rPr>
          <w:rFonts w:asciiTheme="minorHAnsi" w:hAnsiTheme="minorHAnsi" w:cs="Arial"/>
          <w:color w:val="000000" w:themeColor="text1"/>
          <w:sz w:val="22"/>
          <w:szCs w:val="22"/>
        </w:rPr>
        <w:t xml:space="preserve">flexible </w:t>
      </w:r>
      <w:r w:rsidR="00386B03" w:rsidRPr="00CD734E">
        <w:rPr>
          <w:rFonts w:asciiTheme="minorHAnsi" w:hAnsiTheme="minorHAnsi" w:cs="Arial"/>
          <w:sz w:val="22"/>
          <w:szCs w:val="22"/>
        </w:rPr>
        <w:t>compensation systems that include broad classifica</w:t>
      </w:r>
      <w:r w:rsidR="004F798B">
        <w:rPr>
          <w:rFonts w:asciiTheme="minorHAnsi" w:hAnsiTheme="minorHAnsi" w:cs="Arial"/>
          <w:sz w:val="22"/>
          <w:szCs w:val="22"/>
        </w:rPr>
        <w:t>tions that are driven by market-</w:t>
      </w:r>
      <w:r w:rsidR="00386B03" w:rsidRPr="00CD734E">
        <w:rPr>
          <w:rFonts w:asciiTheme="minorHAnsi" w:hAnsiTheme="minorHAnsi" w:cs="Arial"/>
          <w:sz w:val="22"/>
          <w:szCs w:val="22"/>
        </w:rPr>
        <w:t xml:space="preserve">related pay structures and </w:t>
      </w:r>
      <w:r w:rsidR="00025142" w:rsidRPr="00CD734E">
        <w:rPr>
          <w:rFonts w:asciiTheme="minorHAnsi" w:hAnsiTheme="minorHAnsi" w:cs="Arial"/>
          <w:sz w:val="22"/>
          <w:szCs w:val="22"/>
        </w:rPr>
        <w:t xml:space="preserve">variable pay </w:t>
      </w:r>
      <w:r w:rsidR="00386B03" w:rsidRPr="00CD734E">
        <w:rPr>
          <w:rFonts w:asciiTheme="minorHAnsi" w:hAnsiTheme="minorHAnsi" w:cs="Arial"/>
          <w:sz w:val="22"/>
          <w:szCs w:val="22"/>
        </w:rPr>
        <w:t xml:space="preserve">plans </w:t>
      </w:r>
      <w:r w:rsidR="00025142" w:rsidRPr="00CD734E">
        <w:rPr>
          <w:rFonts w:asciiTheme="minorHAnsi" w:hAnsiTheme="minorHAnsi" w:cs="Arial"/>
          <w:sz w:val="22"/>
          <w:szCs w:val="22"/>
        </w:rPr>
        <w:t>as they str</w:t>
      </w:r>
      <w:r w:rsidR="004F798B">
        <w:rPr>
          <w:rFonts w:asciiTheme="minorHAnsi" w:hAnsiTheme="minorHAnsi" w:cs="Arial"/>
          <w:sz w:val="22"/>
          <w:szCs w:val="22"/>
        </w:rPr>
        <w:t>ive</w:t>
      </w:r>
      <w:r w:rsidR="00025142" w:rsidRPr="00CD734E">
        <w:rPr>
          <w:rFonts w:asciiTheme="minorHAnsi" w:hAnsiTheme="minorHAnsi" w:cs="Arial"/>
          <w:sz w:val="22"/>
          <w:szCs w:val="22"/>
        </w:rPr>
        <w:t xml:space="preserve"> to afford and sustain compensation levels.  Additional flexibility in this area will help t</w:t>
      </w:r>
      <w:r w:rsidR="001F7F37">
        <w:rPr>
          <w:rFonts w:asciiTheme="minorHAnsi" w:hAnsiTheme="minorHAnsi" w:cs="Arial"/>
          <w:sz w:val="22"/>
          <w:szCs w:val="22"/>
        </w:rPr>
        <w:t xml:space="preserve">he </w:t>
      </w:r>
      <w:r w:rsidR="004F798B">
        <w:rPr>
          <w:rFonts w:asciiTheme="minorHAnsi" w:hAnsiTheme="minorHAnsi" w:cs="Arial"/>
          <w:sz w:val="22"/>
          <w:szCs w:val="22"/>
        </w:rPr>
        <w:t>S</w:t>
      </w:r>
      <w:r w:rsidR="001F7F37">
        <w:rPr>
          <w:rFonts w:asciiTheme="minorHAnsi" w:hAnsiTheme="minorHAnsi" w:cs="Arial"/>
          <w:sz w:val="22"/>
          <w:szCs w:val="22"/>
        </w:rPr>
        <w:t>tate to remain competitive.</w:t>
      </w:r>
    </w:p>
    <w:p w14:paraId="5AC08E6F" w14:textId="77777777" w:rsidR="001F7F37" w:rsidRPr="00CD734E" w:rsidRDefault="001F7F37" w:rsidP="00122403">
      <w:pPr>
        <w:pStyle w:val="BodyTextIndent"/>
        <w:rPr>
          <w:rFonts w:asciiTheme="minorHAnsi" w:hAnsiTheme="minorHAnsi" w:cs="Arial"/>
          <w:sz w:val="22"/>
          <w:szCs w:val="22"/>
        </w:rPr>
      </w:pPr>
    </w:p>
    <w:p w14:paraId="2366154B" w14:textId="0F998392" w:rsidR="00025142" w:rsidRPr="007C14B2" w:rsidRDefault="00CD734E" w:rsidP="001F7F37">
      <w:pPr>
        <w:pStyle w:val="BodyTextIndent"/>
        <w:rPr>
          <w:rFonts w:asciiTheme="minorHAnsi" w:hAnsiTheme="minorHAnsi" w:cs="Arial"/>
          <w:color w:val="000000" w:themeColor="text1"/>
          <w:sz w:val="22"/>
          <w:szCs w:val="22"/>
        </w:rPr>
      </w:pPr>
      <w:r w:rsidRPr="007C14B2">
        <w:rPr>
          <w:rFonts w:asciiTheme="minorHAnsi" w:hAnsiTheme="minorHAnsi" w:cs="Arial"/>
          <w:color w:val="000000" w:themeColor="text1"/>
          <w:sz w:val="22"/>
          <w:szCs w:val="22"/>
        </w:rPr>
        <w:t>I</w:t>
      </w:r>
      <w:r w:rsidR="007C14B2" w:rsidRPr="007C14B2">
        <w:rPr>
          <w:rFonts w:asciiTheme="minorHAnsi" w:hAnsiTheme="minorHAnsi" w:cs="Arial"/>
          <w:color w:val="000000" w:themeColor="text1"/>
          <w:sz w:val="22"/>
          <w:szCs w:val="22"/>
        </w:rPr>
        <w:t xml:space="preserve">n the </w:t>
      </w:r>
      <w:r w:rsidR="007C14B2">
        <w:rPr>
          <w:rFonts w:asciiTheme="minorHAnsi" w:hAnsiTheme="minorHAnsi" w:cs="Arial"/>
          <w:color w:val="000000" w:themeColor="text1"/>
          <w:sz w:val="22"/>
          <w:szCs w:val="22"/>
        </w:rPr>
        <w:t>f</w:t>
      </w:r>
      <w:r w:rsidR="007C14B2" w:rsidRPr="007C14B2">
        <w:rPr>
          <w:rFonts w:asciiTheme="minorHAnsi" w:hAnsiTheme="minorHAnsi" w:cs="Arial"/>
          <w:color w:val="000000" w:themeColor="text1"/>
          <w:sz w:val="22"/>
          <w:szCs w:val="22"/>
        </w:rPr>
        <w:t>u</w:t>
      </w:r>
      <w:r w:rsidR="007C14B2">
        <w:rPr>
          <w:rFonts w:asciiTheme="minorHAnsi" w:hAnsiTheme="minorHAnsi" w:cs="Arial"/>
          <w:color w:val="000000" w:themeColor="text1"/>
          <w:sz w:val="22"/>
          <w:szCs w:val="22"/>
        </w:rPr>
        <w:t>t</w:t>
      </w:r>
      <w:r w:rsidR="007C14B2" w:rsidRPr="007C14B2">
        <w:rPr>
          <w:rFonts w:asciiTheme="minorHAnsi" w:hAnsiTheme="minorHAnsi" w:cs="Arial"/>
          <w:color w:val="000000" w:themeColor="text1"/>
          <w:sz w:val="22"/>
          <w:szCs w:val="22"/>
        </w:rPr>
        <w:t>ure</w:t>
      </w:r>
      <w:r w:rsidR="004F798B">
        <w:rPr>
          <w:rFonts w:asciiTheme="minorHAnsi" w:hAnsiTheme="minorHAnsi" w:cs="Arial"/>
          <w:color w:val="000000" w:themeColor="text1"/>
          <w:sz w:val="22"/>
          <w:szCs w:val="22"/>
        </w:rPr>
        <w:t>,</w:t>
      </w:r>
      <w:r w:rsidR="007C14B2" w:rsidRPr="007C14B2">
        <w:rPr>
          <w:rFonts w:asciiTheme="minorHAnsi" w:hAnsiTheme="minorHAnsi" w:cs="Arial"/>
          <w:color w:val="000000" w:themeColor="text1"/>
          <w:sz w:val="22"/>
          <w:szCs w:val="22"/>
        </w:rPr>
        <w:t xml:space="preserve"> it</w:t>
      </w:r>
      <w:r w:rsidRPr="007C14B2">
        <w:rPr>
          <w:rFonts w:asciiTheme="minorHAnsi" w:hAnsiTheme="minorHAnsi" w:cs="Arial"/>
          <w:color w:val="000000" w:themeColor="text1"/>
          <w:sz w:val="22"/>
          <w:szCs w:val="22"/>
        </w:rPr>
        <w:t xml:space="preserve"> is recommended that </w:t>
      </w:r>
      <w:r w:rsidR="006516C5" w:rsidRPr="007C14B2">
        <w:rPr>
          <w:rFonts w:asciiTheme="minorHAnsi" w:hAnsiTheme="minorHAnsi" w:cs="Arial"/>
          <w:i/>
          <w:color w:val="000000" w:themeColor="text1"/>
          <w:sz w:val="22"/>
          <w:szCs w:val="22"/>
        </w:rPr>
        <w:t>a</w:t>
      </w:r>
      <w:r w:rsidR="00025142" w:rsidRPr="007C14B2">
        <w:rPr>
          <w:rFonts w:asciiTheme="minorHAnsi" w:hAnsiTheme="minorHAnsi" w:cs="Arial"/>
          <w:i/>
          <w:color w:val="000000" w:themeColor="text1"/>
          <w:sz w:val="22"/>
          <w:szCs w:val="22"/>
        </w:rPr>
        <w:t xml:space="preserve">n </w:t>
      </w:r>
      <w:r w:rsidR="00025142" w:rsidRPr="007C14B2">
        <w:rPr>
          <w:rFonts w:asciiTheme="minorHAnsi" w:hAnsiTheme="minorHAnsi" w:cs="Arial"/>
          <w:bCs/>
          <w:i/>
          <w:color w:val="000000" w:themeColor="text1"/>
          <w:sz w:val="22"/>
          <w:szCs w:val="22"/>
        </w:rPr>
        <w:t>allocatio</w:t>
      </w:r>
      <w:r w:rsidR="004F29EF" w:rsidRPr="007C14B2">
        <w:rPr>
          <w:rFonts w:asciiTheme="minorHAnsi" w:hAnsiTheme="minorHAnsi" w:cs="Arial"/>
          <w:bCs/>
          <w:i/>
          <w:color w:val="000000" w:themeColor="text1"/>
          <w:sz w:val="22"/>
          <w:szCs w:val="22"/>
        </w:rPr>
        <w:t xml:space="preserve">n </w:t>
      </w:r>
      <w:r w:rsidRPr="007C14B2">
        <w:rPr>
          <w:rFonts w:asciiTheme="minorHAnsi" w:hAnsiTheme="minorHAnsi" w:cs="Arial"/>
          <w:bCs/>
          <w:i/>
          <w:color w:val="000000" w:themeColor="text1"/>
          <w:sz w:val="22"/>
          <w:szCs w:val="22"/>
        </w:rPr>
        <w:t>continue to</w:t>
      </w:r>
      <w:r w:rsidR="004F29EF" w:rsidRPr="007C14B2">
        <w:rPr>
          <w:rFonts w:asciiTheme="minorHAnsi" w:hAnsiTheme="minorHAnsi" w:cs="Arial"/>
          <w:bCs/>
          <w:i/>
          <w:color w:val="000000" w:themeColor="text1"/>
          <w:sz w:val="22"/>
          <w:szCs w:val="22"/>
        </w:rPr>
        <w:t xml:space="preserve"> be provided </w:t>
      </w:r>
      <w:r w:rsidR="00025142" w:rsidRPr="007C14B2">
        <w:rPr>
          <w:rFonts w:asciiTheme="minorHAnsi" w:hAnsiTheme="minorHAnsi" w:cs="Arial"/>
          <w:bCs/>
          <w:i/>
          <w:color w:val="000000" w:themeColor="text1"/>
          <w:sz w:val="22"/>
          <w:szCs w:val="22"/>
        </w:rPr>
        <w:t>to reward employees based</w:t>
      </w:r>
      <w:r w:rsidR="005A18CA" w:rsidRPr="007C14B2">
        <w:rPr>
          <w:rFonts w:asciiTheme="minorHAnsi" w:hAnsiTheme="minorHAnsi" w:cs="Arial"/>
          <w:bCs/>
          <w:i/>
          <w:color w:val="000000" w:themeColor="text1"/>
          <w:sz w:val="22"/>
          <w:szCs w:val="22"/>
        </w:rPr>
        <w:t xml:space="preserve"> on performance</w:t>
      </w:r>
      <w:r w:rsidR="00025142" w:rsidRPr="0039013F">
        <w:rPr>
          <w:rFonts w:asciiTheme="minorHAnsi" w:hAnsiTheme="minorHAnsi" w:cs="Arial"/>
          <w:b/>
          <w:bCs/>
          <w:i/>
          <w:sz w:val="22"/>
          <w:szCs w:val="22"/>
        </w:rPr>
        <w:t>.</w:t>
      </w:r>
      <w:r w:rsidR="00025142" w:rsidRPr="0039013F">
        <w:rPr>
          <w:rFonts w:asciiTheme="minorHAnsi" w:hAnsiTheme="minorHAnsi" w:cs="Arial"/>
          <w:b/>
          <w:i/>
          <w:sz w:val="22"/>
          <w:szCs w:val="22"/>
        </w:rPr>
        <w:t xml:space="preserve"> </w:t>
      </w:r>
      <w:r w:rsidR="005A18CA" w:rsidRPr="0039013F">
        <w:rPr>
          <w:rFonts w:asciiTheme="minorHAnsi" w:hAnsiTheme="minorHAnsi" w:cs="Arial"/>
          <w:sz w:val="22"/>
          <w:szCs w:val="22"/>
        </w:rPr>
        <w:t>P</w:t>
      </w:r>
      <w:r w:rsidR="00025142" w:rsidRPr="0039013F">
        <w:rPr>
          <w:rFonts w:asciiTheme="minorHAnsi" w:hAnsiTheme="minorHAnsi" w:cs="Arial"/>
          <w:sz w:val="22"/>
          <w:szCs w:val="22"/>
        </w:rPr>
        <w:t>ay as a performance reward</w:t>
      </w:r>
      <w:r w:rsidR="004F798B">
        <w:rPr>
          <w:rFonts w:asciiTheme="minorHAnsi" w:hAnsiTheme="minorHAnsi" w:cs="Arial"/>
          <w:sz w:val="22"/>
          <w:szCs w:val="22"/>
        </w:rPr>
        <w:t xml:space="preserve"> – even</w:t>
      </w:r>
      <w:r w:rsidR="00025142" w:rsidRPr="0039013F">
        <w:rPr>
          <w:rFonts w:asciiTheme="minorHAnsi" w:hAnsiTheme="minorHAnsi" w:cs="Arial"/>
          <w:sz w:val="22"/>
          <w:szCs w:val="22"/>
        </w:rPr>
        <w:t xml:space="preserve"> small </w:t>
      </w:r>
      <w:r w:rsidR="005A18CA" w:rsidRPr="0039013F">
        <w:rPr>
          <w:rFonts w:asciiTheme="minorHAnsi" w:hAnsiTheme="minorHAnsi" w:cs="Arial"/>
          <w:sz w:val="22"/>
          <w:szCs w:val="22"/>
        </w:rPr>
        <w:t>lump sum payments</w:t>
      </w:r>
      <w:r w:rsidR="00025142" w:rsidRPr="0039013F">
        <w:rPr>
          <w:rFonts w:asciiTheme="minorHAnsi" w:hAnsiTheme="minorHAnsi" w:cs="Arial"/>
          <w:sz w:val="22"/>
          <w:szCs w:val="22"/>
        </w:rPr>
        <w:t xml:space="preserve"> for milestone achievements</w:t>
      </w:r>
      <w:r w:rsidR="004F798B">
        <w:rPr>
          <w:rFonts w:asciiTheme="minorHAnsi" w:hAnsiTheme="minorHAnsi" w:cs="Arial"/>
          <w:sz w:val="22"/>
          <w:szCs w:val="22"/>
        </w:rPr>
        <w:t xml:space="preserve"> – is </w:t>
      </w:r>
      <w:r w:rsidR="00025142" w:rsidRPr="0039013F">
        <w:rPr>
          <w:rFonts w:asciiTheme="minorHAnsi" w:hAnsiTheme="minorHAnsi" w:cs="Arial"/>
          <w:sz w:val="22"/>
          <w:szCs w:val="22"/>
        </w:rPr>
        <w:t>widely utilized in the modern workplace and is considered more effective than across-the-board base pay increases.  However</w:t>
      </w:r>
      <w:r w:rsidR="007C14B2">
        <w:rPr>
          <w:rFonts w:asciiTheme="minorHAnsi" w:hAnsiTheme="minorHAnsi" w:cs="Arial"/>
          <w:sz w:val="22"/>
          <w:szCs w:val="22"/>
        </w:rPr>
        <w:t xml:space="preserve">, it is important to note </w:t>
      </w:r>
      <w:r w:rsidR="007C14B2" w:rsidRPr="007C14B2">
        <w:rPr>
          <w:rFonts w:asciiTheme="minorHAnsi" w:hAnsiTheme="minorHAnsi" w:cs="Arial"/>
          <w:color w:val="000000" w:themeColor="text1"/>
          <w:sz w:val="22"/>
          <w:szCs w:val="22"/>
        </w:rPr>
        <w:t xml:space="preserve">that </w:t>
      </w:r>
      <w:r w:rsidR="00A5675F" w:rsidRPr="007C14B2">
        <w:rPr>
          <w:rFonts w:asciiTheme="minorHAnsi" w:hAnsiTheme="minorHAnsi" w:cs="Arial"/>
          <w:color w:val="000000" w:themeColor="text1"/>
          <w:sz w:val="22"/>
          <w:szCs w:val="22"/>
        </w:rPr>
        <w:t>pay for performance is only effective for those being paid according to market</w:t>
      </w:r>
      <w:r w:rsidR="00A74913" w:rsidRPr="007C14B2">
        <w:rPr>
          <w:rFonts w:asciiTheme="minorHAnsi" w:hAnsiTheme="minorHAnsi" w:cs="Arial"/>
          <w:color w:val="000000" w:themeColor="text1"/>
          <w:sz w:val="22"/>
          <w:szCs w:val="22"/>
        </w:rPr>
        <w:t>.</w:t>
      </w:r>
    </w:p>
    <w:p w14:paraId="18AAABC6" w14:textId="1583DAB5" w:rsidR="004F798B" w:rsidRDefault="004F798B" w:rsidP="00025142">
      <w:pPr>
        <w:pStyle w:val="BodyTextIndent"/>
        <w:jc w:val="left"/>
        <w:rPr>
          <w:rFonts w:asciiTheme="minorHAnsi" w:hAnsiTheme="minorHAnsi" w:cs="Arial"/>
          <w:sz w:val="22"/>
          <w:szCs w:val="22"/>
        </w:rPr>
      </w:pPr>
    </w:p>
    <w:p w14:paraId="1A2E41A2" w14:textId="77777777" w:rsidR="00465F21" w:rsidRPr="0039013F" w:rsidRDefault="00465F21" w:rsidP="0039013F">
      <w:pPr>
        <w:pStyle w:val="Heading2"/>
        <w:pBdr>
          <w:bottom w:val="single" w:sz="4" w:space="1" w:color="auto"/>
        </w:pBdr>
        <w:ind w:left="-90"/>
        <w:rPr>
          <w:rFonts w:asciiTheme="minorHAnsi" w:hAnsiTheme="minorHAnsi" w:cs="Arial"/>
          <w:b/>
          <w:bCs/>
          <w:i w:val="0"/>
          <w:sz w:val="28"/>
          <w:szCs w:val="28"/>
        </w:rPr>
      </w:pPr>
      <w:r w:rsidRPr="00694051">
        <w:rPr>
          <w:rFonts w:ascii="Arial" w:hAnsi="Arial" w:cs="Arial"/>
          <w:b/>
          <w:sz w:val="28"/>
          <w:szCs w:val="28"/>
        </w:rPr>
        <w:t xml:space="preserve"> </w:t>
      </w:r>
      <w:r w:rsidR="008B4416" w:rsidRPr="0039013F">
        <w:rPr>
          <w:rFonts w:asciiTheme="minorHAnsi" w:hAnsiTheme="minorHAnsi" w:cs="Arial"/>
          <w:b/>
          <w:i w:val="0"/>
          <w:sz w:val="28"/>
          <w:szCs w:val="28"/>
        </w:rPr>
        <w:t>III.</w:t>
      </w:r>
      <w:r w:rsidR="008B4416" w:rsidRPr="0039013F">
        <w:rPr>
          <w:rFonts w:asciiTheme="minorHAnsi" w:hAnsiTheme="minorHAnsi" w:cs="Arial"/>
          <w:b/>
          <w:i w:val="0"/>
          <w:sz w:val="28"/>
          <w:szCs w:val="28"/>
        </w:rPr>
        <w:tab/>
      </w:r>
      <w:r w:rsidR="00E32A20" w:rsidRPr="0039013F">
        <w:rPr>
          <w:rFonts w:asciiTheme="minorHAnsi" w:hAnsiTheme="minorHAnsi" w:cs="Arial"/>
          <w:b/>
          <w:bCs/>
          <w:i w:val="0"/>
          <w:sz w:val="28"/>
          <w:szCs w:val="28"/>
        </w:rPr>
        <w:t>TOTAL COMPENSATION</w:t>
      </w:r>
    </w:p>
    <w:p w14:paraId="10F5A221" w14:textId="77777777" w:rsidR="001F7F37" w:rsidRDefault="001F7F37" w:rsidP="001F7F37">
      <w:pPr>
        <w:pStyle w:val="BodyTextIndent"/>
        <w:jc w:val="left"/>
        <w:rPr>
          <w:rFonts w:asciiTheme="minorHAnsi" w:hAnsiTheme="minorHAnsi" w:cs="Arial"/>
          <w:sz w:val="22"/>
          <w:szCs w:val="22"/>
        </w:rPr>
      </w:pPr>
    </w:p>
    <w:p w14:paraId="2B987928" w14:textId="18D9ECA8" w:rsidR="00465F21" w:rsidRPr="0039013F" w:rsidRDefault="00465F21" w:rsidP="00066F6B">
      <w:pPr>
        <w:pStyle w:val="BodyTextIndent"/>
        <w:rPr>
          <w:rFonts w:asciiTheme="minorHAnsi" w:hAnsiTheme="minorHAnsi" w:cs="Arial"/>
          <w:sz w:val="22"/>
          <w:szCs w:val="22"/>
        </w:rPr>
      </w:pPr>
      <w:r w:rsidRPr="0039013F">
        <w:rPr>
          <w:rFonts w:asciiTheme="minorHAnsi" w:hAnsiTheme="minorHAnsi" w:cs="Arial"/>
          <w:i/>
          <w:sz w:val="22"/>
          <w:szCs w:val="22"/>
        </w:rPr>
        <w:t>Total compensation</w:t>
      </w:r>
      <w:r w:rsidRPr="0039013F">
        <w:rPr>
          <w:rFonts w:asciiTheme="minorHAnsi" w:hAnsiTheme="minorHAnsi" w:cs="Arial"/>
          <w:sz w:val="22"/>
          <w:szCs w:val="22"/>
        </w:rPr>
        <w:t xml:space="preserve"> measures an employee’s base salary, benefits and other perquisites that the employer provides.  When comparing compensation with that of other employers, whether public or private, the focus is on total compensation rather than base pay.  This report includes comparisons of base pay as well as fringe benefits.  It is important for employees to be knowledgeable of the value of their employment in terms of base pay, benefits, and other pay-related assets. When analyzing compensation surveys, base pay is often the common denominator in developing a comparative standard by which we can determine</w:t>
      </w:r>
      <w:r w:rsidR="00BF62D6">
        <w:rPr>
          <w:rFonts w:asciiTheme="minorHAnsi" w:hAnsiTheme="minorHAnsi" w:cs="Arial"/>
          <w:sz w:val="22"/>
          <w:szCs w:val="22"/>
        </w:rPr>
        <w:t xml:space="preserve"> whether or not North Carolina S</w:t>
      </w:r>
      <w:r w:rsidRPr="0039013F">
        <w:rPr>
          <w:rFonts w:asciiTheme="minorHAnsi" w:hAnsiTheme="minorHAnsi" w:cs="Arial"/>
          <w:sz w:val="22"/>
          <w:szCs w:val="22"/>
        </w:rPr>
        <w:t>tate government compensation is competi</w:t>
      </w:r>
      <w:r w:rsidR="00CC4177" w:rsidRPr="0039013F">
        <w:rPr>
          <w:rFonts w:asciiTheme="minorHAnsi" w:hAnsiTheme="minorHAnsi" w:cs="Arial"/>
          <w:sz w:val="22"/>
          <w:szCs w:val="22"/>
        </w:rPr>
        <w:t>tive in various labor markets.</w:t>
      </w:r>
    </w:p>
    <w:p w14:paraId="136CD05F" w14:textId="77777777" w:rsidR="00CC4177" w:rsidRPr="0039013F" w:rsidRDefault="00CC4177" w:rsidP="006A188D">
      <w:pPr>
        <w:pStyle w:val="BodyTextIndent"/>
        <w:jc w:val="left"/>
        <w:rPr>
          <w:rFonts w:asciiTheme="minorHAnsi" w:hAnsiTheme="minorHAnsi" w:cs="Arial"/>
          <w:sz w:val="22"/>
          <w:szCs w:val="22"/>
        </w:rPr>
      </w:pPr>
    </w:p>
    <w:p w14:paraId="50828203" w14:textId="306522D7" w:rsidR="003F4C40" w:rsidRPr="00C45495" w:rsidRDefault="00CC4177" w:rsidP="00066F6B">
      <w:pPr>
        <w:pStyle w:val="BodyTextIndent"/>
        <w:ind w:left="90"/>
        <w:rPr>
          <w:rFonts w:asciiTheme="minorHAnsi" w:hAnsiTheme="minorHAnsi" w:cs="Arial"/>
          <w:sz w:val="22"/>
          <w:szCs w:val="22"/>
        </w:rPr>
      </w:pPr>
      <w:r w:rsidRPr="0039013F">
        <w:rPr>
          <w:rFonts w:asciiTheme="minorHAnsi" w:hAnsiTheme="minorHAnsi" w:cs="Arial"/>
          <w:sz w:val="22"/>
          <w:szCs w:val="22"/>
        </w:rPr>
        <w:t xml:space="preserve">Employee benefits are key ingredients in </w:t>
      </w:r>
      <w:r w:rsidR="00DC17A3" w:rsidRPr="0039013F">
        <w:rPr>
          <w:rFonts w:asciiTheme="minorHAnsi" w:hAnsiTheme="minorHAnsi" w:cs="Arial"/>
          <w:sz w:val="22"/>
          <w:szCs w:val="22"/>
        </w:rPr>
        <w:t>a</w:t>
      </w:r>
      <w:r w:rsidRPr="0039013F">
        <w:rPr>
          <w:rFonts w:asciiTheme="minorHAnsi" w:hAnsiTheme="minorHAnsi" w:cs="Arial"/>
          <w:sz w:val="22"/>
          <w:szCs w:val="22"/>
        </w:rPr>
        <w:t xml:space="preserve"> total compensation package</w:t>
      </w:r>
      <w:r w:rsidR="00DC17A3" w:rsidRPr="0039013F">
        <w:rPr>
          <w:rFonts w:asciiTheme="minorHAnsi" w:hAnsiTheme="minorHAnsi" w:cs="Arial"/>
          <w:sz w:val="22"/>
          <w:szCs w:val="22"/>
        </w:rPr>
        <w:t>.  A competitive benefits package is</w:t>
      </w:r>
      <w:r w:rsidRPr="0039013F">
        <w:rPr>
          <w:rFonts w:asciiTheme="minorHAnsi" w:hAnsiTheme="minorHAnsi" w:cs="Arial"/>
          <w:sz w:val="22"/>
          <w:szCs w:val="22"/>
        </w:rPr>
        <w:t xml:space="preserve"> a </w:t>
      </w:r>
      <w:r w:rsidRPr="00C45495">
        <w:rPr>
          <w:rFonts w:asciiTheme="minorHAnsi" w:hAnsiTheme="minorHAnsi" w:cs="Arial"/>
          <w:sz w:val="22"/>
          <w:szCs w:val="22"/>
        </w:rPr>
        <w:t xml:space="preserve">primary </w:t>
      </w:r>
      <w:r w:rsidR="00DC17A3" w:rsidRPr="00C45495">
        <w:rPr>
          <w:rFonts w:asciiTheme="minorHAnsi" w:hAnsiTheme="minorHAnsi" w:cs="Arial"/>
          <w:sz w:val="22"/>
          <w:szCs w:val="22"/>
        </w:rPr>
        <w:t>attractor</w:t>
      </w:r>
      <w:r w:rsidRPr="00C45495">
        <w:rPr>
          <w:rFonts w:asciiTheme="minorHAnsi" w:hAnsiTheme="minorHAnsi" w:cs="Arial"/>
          <w:sz w:val="22"/>
          <w:szCs w:val="22"/>
        </w:rPr>
        <w:t xml:space="preserve"> in the recruitment of prospective employees</w:t>
      </w:r>
      <w:r w:rsidR="00DC17A3" w:rsidRPr="00C45495">
        <w:rPr>
          <w:rFonts w:asciiTheme="minorHAnsi" w:hAnsiTheme="minorHAnsi" w:cs="Arial"/>
          <w:sz w:val="22"/>
          <w:szCs w:val="22"/>
        </w:rPr>
        <w:t>,</w:t>
      </w:r>
      <w:r w:rsidRPr="00C45495">
        <w:rPr>
          <w:rFonts w:asciiTheme="minorHAnsi" w:hAnsiTheme="minorHAnsi" w:cs="Arial"/>
          <w:sz w:val="22"/>
          <w:szCs w:val="22"/>
        </w:rPr>
        <w:t xml:space="preserve"> particularly in </w:t>
      </w:r>
      <w:r w:rsidR="00DC17A3" w:rsidRPr="00C45495">
        <w:rPr>
          <w:rFonts w:asciiTheme="minorHAnsi" w:hAnsiTheme="minorHAnsi" w:cs="Arial"/>
          <w:sz w:val="22"/>
          <w:szCs w:val="22"/>
        </w:rPr>
        <w:t xml:space="preserve">difficult-to-recruit </w:t>
      </w:r>
      <w:r w:rsidRPr="00C45495">
        <w:rPr>
          <w:rFonts w:asciiTheme="minorHAnsi" w:hAnsiTheme="minorHAnsi" w:cs="Arial"/>
          <w:sz w:val="22"/>
          <w:szCs w:val="22"/>
        </w:rPr>
        <w:t xml:space="preserve">occupations.  Benefits are equally critical in the retention of high performing employees.  </w:t>
      </w:r>
      <w:r w:rsidR="003F4C40" w:rsidRPr="00C45495">
        <w:rPr>
          <w:rFonts w:asciiTheme="minorHAnsi" w:hAnsiTheme="minorHAnsi" w:cs="Arial"/>
          <w:sz w:val="22"/>
          <w:szCs w:val="22"/>
        </w:rPr>
        <w:t xml:space="preserve">The </w:t>
      </w:r>
      <w:r w:rsidR="00AA3E49">
        <w:rPr>
          <w:rFonts w:asciiTheme="minorHAnsi" w:hAnsiTheme="minorHAnsi" w:cs="Arial"/>
          <w:sz w:val="22"/>
          <w:szCs w:val="22"/>
        </w:rPr>
        <w:t>S</w:t>
      </w:r>
      <w:r w:rsidR="003F4C40" w:rsidRPr="00C45495">
        <w:rPr>
          <w:rFonts w:asciiTheme="minorHAnsi" w:hAnsiTheme="minorHAnsi" w:cs="Arial"/>
          <w:sz w:val="22"/>
          <w:szCs w:val="22"/>
        </w:rPr>
        <w:t>tate communicates this important aspect of employees' compensation to both current and prospective employees through the use of a web-based total compensation calculator.</w:t>
      </w:r>
    </w:p>
    <w:p w14:paraId="39C27B17" w14:textId="77777777" w:rsidR="003F4C40" w:rsidRPr="00C45495" w:rsidRDefault="003F4C40" w:rsidP="003F4C40">
      <w:pPr>
        <w:pStyle w:val="BodyTextIndent"/>
        <w:ind w:left="-90"/>
        <w:jc w:val="left"/>
        <w:rPr>
          <w:rFonts w:ascii="Arial" w:hAnsi="Arial" w:cs="Arial"/>
        </w:rPr>
      </w:pPr>
    </w:p>
    <w:p w14:paraId="74F8FE90" w14:textId="77777777" w:rsidR="009A090F" w:rsidRPr="00C45495" w:rsidRDefault="00CC4177" w:rsidP="001F7F37">
      <w:pPr>
        <w:pStyle w:val="BodyTextIndent"/>
        <w:ind w:left="90"/>
        <w:jc w:val="left"/>
        <w:rPr>
          <w:rFonts w:asciiTheme="minorHAnsi" w:hAnsiTheme="minorHAnsi" w:cs="Arial"/>
          <w:sz w:val="22"/>
          <w:szCs w:val="22"/>
        </w:rPr>
      </w:pPr>
      <w:r w:rsidRPr="00C45495">
        <w:rPr>
          <w:rFonts w:asciiTheme="minorHAnsi" w:hAnsiTheme="minorHAnsi" w:cs="Arial"/>
          <w:sz w:val="22"/>
          <w:szCs w:val="22"/>
        </w:rPr>
        <w:t>Benefits as a percentage of</w:t>
      </w:r>
      <w:r w:rsidR="009A46A5" w:rsidRPr="00C45495">
        <w:rPr>
          <w:rFonts w:asciiTheme="minorHAnsi" w:hAnsiTheme="minorHAnsi" w:cs="Arial"/>
          <w:sz w:val="22"/>
          <w:szCs w:val="22"/>
        </w:rPr>
        <w:t xml:space="preserve"> average</w:t>
      </w:r>
      <w:r w:rsidRPr="00C45495">
        <w:rPr>
          <w:rFonts w:asciiTheme="minorHAnsi" w:hAnsiTheme="minorHAnsi" w:cs="Arial"/>
          <w:sz w:val="22"/>
          <w:szCs w:val="22"/>
        </w:rPr>
        <w:t xml:space="preserve"> </w:t>
      </w:r>
      <w:r w:rsidR="00B91E1A" w:rsidRPr="00C45495">
        <w:rPr>
          <w:rFonts w:asciiTheme="minorHAnsi" w:hAnsiTheme="minorHAnsi" w:cs="Arial"/>
          <w:sz w:val="22"/>
          <w:szCs w:val="22"/>
        </w:rPr>
        <w:t xml:space="preserve">base pay </w:t>
      </w:r>
      <w:r w:rsidRPr="00C45495">
        <w:rPr>
          <w:rFonts w:asciiTheme="minorHAnsi" w:hAnsiTheme="minorHAnsi" w:cs="Arial"/>
          <w:sz w:val="22"/>
          <w:szCs w:val="22"/>
        </w:rPr>
        <w:t xml:space="preserve">are depicted in the chart below.  </w:t>
      </w:r>
    </w:p>
    <w:p w14:paraId="0F4AD905" w14:textId="77777777" w:rsidR="009A090F" w:rsidRPr="003F4C40" w:rsidRDefault="009A090F" w:rsidP="006A188D">
      <w:pPr>
        <w:pStyle w:val="BodyTextIndent"/>
        <w:ind w:left="-90"/>
        <w:jc w:val="left"/>
        <w:rPr>
          <w:rFonts w:asciiTheme="minorHAnsi" w:hAnsiTheme="minorHAnsi" w:cs="Arial"/>
          <w:color w:val="FF0000"/>
          <w:sz w:val="22"/>
          <w:szCs w:val="22"/>
        </w:rPr>
      </w:pPr>
    </w:p>
    <w:p w14:paraId="11859093" w14:textId="205879E8" w:rsidR="00710D2F" w:rsidRPr="007C14B2" w:rsidRDefault="003F705A" w:rsidP="000748F2">
      <w:pPr>
        <w:pStyle w:val="Heading5"/>
        <w:jc w:val="center"/>
        <w:rPr>
          <w:rFonts w:asciiTheme="minorHAnsi" w:hAnsiTheme="minorHAnsi"/>
          <w:b/>
          <w:i w:val="0"/>
          <w:sz w:val="22"/>
        </w:rPr>
      </w:pPr>
      <w:r w:rsidRPr="00456603">
        <w:rPr>
          <w:rFonts w:asciiTheme="minorHAnsi" w:hAnsiTheme="minorHAnsi"/>
          <w:b/>
          <w:i w:val="0"/>
          <w:sz w:val="22"/>
        </w:rPr>
        <w:t xml:space="preserve">Table </w:t>
      </w:r>
      <w:r w:rsidR="00456603">
        <w:rPr>
          <w:rFonts w:asciiTheme="minorHAnsi" w:hAnsiTheme="minorHAnsi"/>
          <w:b/>
          <w:i w:val="0"/>
          <w:sz w:val="22"/>
        </w:rPr>
        <w:t xml:space="preserve">1: </w:t>
      </w:r>
      <w:r w:rsidR="00AA3497">
        <w:rPr>
          <w:rFonts w:asciiTheme="minorHAnsi" w:hAnsiTheme="minorHAnsi"/>
          <w:b/>
          <w:i w:val="0"/>
          <w:sz w:val="22"/>
        </w:rPr>
        <w:t>Benefits as a</w:t>
      </w:r>
      <w:r w:rsidR="00CC4177" w:rsidRPr="00456603">
        <w:rPr>
          <w:rFonts w:asciiTheme="minorHAnsi" w:hAnsiTheme="minorHAnsi"/>
          <w:b/>
          <w:i w:val="0"/>
          <w:sz w:val="22"/>
        </w:rPr>
        <w:t xml:space="preserve"> Percentage of</w:t>
      </w:r>
      <w:r w:rsidR="008D6272" w:rsidRPr="00456603">
        <w:rPr>
          <w:rFonts w:asciiTheme="minorHAnsi" w:hAnsiTheme="minorHAnsi"/>
          <w:b/>
          <w:i w:val="0"/>
          <w:sz w:val="22"/>
        </w:rPr>
        <w:t xml:space="preserve"> AVERAGE</w:t>
      </w:r>
      <w:r w:rsidR="00CC4177" w:rsidRPr="00456603">
        <w:rPr>
          <w:rFonts w:asciiTheme="minorHAnsi" w:hAnsiTheme="minorHAnsi"/>
          <w:b/>
          <w:i w:val="0"/>
          <w:sz w:val="22"/>
        </w:rPr>
        <w:t xml:space="preserve"> </w:t>
      </w:r>
      <w:r w:rsidR="00CC4177" w:rsidRPr="007C14B2">
        <w:rPr>
          <w:rFonts w:asciiTheme="minorHAnsi" w:hAnsiTheme="minorHAnsi"/>
          <w:b/>
          <w:i w:val="0"/>
          <w:sz w:val="22"/>
        </w:rPr>
        <w:t xml:space="preserve">SALARY </w:t>
      </w:r>
      <w:r w:rsidR="00BF62D6">
        <w:rPr>
          <w:rFonts w:asciiTheme="minorHAnsi" w:hAnsiTheme="minorHAnsi"/>
          <w:b/>
          <w:i w:val="0"/>
          <w:sz w:val="22"/>
        </w:rPr>
        <w:t>AND</w:t>
      </w:r>
      <w:r w:rsidR="00CC4177" w:rsidRPr="007C14B2">
        <w:rPr>
          <w:rFonts w:asciiTheme="minorHAnsi" w:hAnsiTheme="minorHAnsi"/>
          <w:b/>
          <w:i w:val="0"/>
          <w:sz w:val="22"/>
        </w:rPr>
        <w:t xml:space="preserve"> WAGES</w:t>
      </w:r>
      <w:r w:rsidR="0039013F" w:rsidRPr="007C14B2">
        <w:rPr>
          <w:rFonts w:asciiTheme="minorHAnsi" w:hAnsiTheme="minorHAnsi"/>
          <w:b/>
          <w:i w:val="0"/>
          <w:sz w:val="22"/>
        </w:rPr>
        <w:t xml:space="preserve"> </w:t>
      </w:r>
      <w:r w:rsidR="0087547C" w:rsidRPr="007C14B2">
        <w:rPr>
          <w:rFonts w:asciiTheme="minorHAnsi" w:hAnsiTheme="minorHAnsi"/>
          <w:b/>
          <w:i w:val="0"/>
          <w:sz w:val="22"/>
        </w:rPr>
        <w:t>(</w:t>
      </w:r>
      <w:r w:rsidR="00AA3497" w:rsidRPr="007C14B2">
        <w:rPr>
          <w:rFonts w:asciiTheme="minorHAnsi" w:hAnsiTheme="minorHAnsi"/>
          <w:b/>
          <w:i w:val="0"/>
          <w:sz w:val="22"/>
        </w:rPr>
        <w:t xml:space="preserve">Calculated as of </w:t>
      </w:r>
      <w:r w:rsidR="00C13D8A" w:rsidRPr="007C14B2">
        <w:rPr>
          <w:rFonts w:asciiTheme="minorHAnsi" w:hAnsiTheme="minorHAnsi"/>
          <w:b/>
          <w:i w:val="0"/>
          <w:sz w:val="22"/>
        </w:rPr>
        <w:t>12-31-1</w:t>
      </w:r>
      <w:r w:rsidR="00575A3F" w:rsidRPr="007C14B2">
        <w:rPr>
          <w:rFonts w:asciiTheme="minorHAnsi" w:hAnsiTheme="minorHAnsi"/>
          <w:b/>
          <w:i w:val="0"/>
          <w:sz w:val="22"/>
        </w:rPr>
        <w:t>7</w:t>
      </w:r>
      <w:r w:rsidR="00710D2F" w:rsidRPr="007C14B2">
        <w:rPr>
          <w:rFonts w:asciiTheme="minorHAnsi" w:hAnsiTheme="minorHAnsi"/>
          <w:b/>
          <w:i w:val="0"/>
          <w:sz w:val="22"/>
        </w:rPr>
        <w:t>)</w:t>
      </w:r>
    </w:p>
    <w:p w14:paraId="4C081B5D" w14:textId="77777777" w:rsidR="0039013F" w:rsidRPr="00122403" w:rsidRDefault="0039013F" w:rsidP="00456603">
      <w:pPr>
        <w:rPr>
          <w:sz w:val="12"/>
          <w:szCs w:val="12"/>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2250"/>
        <w:gridCol w:w="1800"/>
      </w:tblGrid>
      <w:tr w:rsidR="00CC4177" w:rsidRPr="007C14B2" w14:paraId="0621AC71"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C9EBEF"/>
            <w:vAlign w:val="center"/>
          </w:tcPr>
          <w:p w14:paraId="6E0E8EF5" w14:textId="77777777" w:rsidR="00CC4177" w:rsidRPr="007C14B2" w:rsidRDefault="00CC4177" w:rsidP="000748F2">
            <w:pPr>
              <w:pStyle w:val="BodyTextIndent"/>
              <w:tabs>
                <w:tab w:val="clear" w:pos="90"/>
              </w:tabs>
              <w:spacing w:before="40" w:after="20"/>
              <w:jc w:val="center"/>
              <w:rPr>
                <w:rFonts w:asciiTheme="minorHAnsi" w:hAnsiTheme="minorHAnsi" w:cs="Arial"/>
                <w:b/>
                <w:smallCaps/>
                <w:sz w:val="22"/>
                <w:szCs w:val="22"/>
              </w:rPr>
            </w:pPr>
            <w:r w:rsidRPr="007C14B2">
              <w:rPr>
                <w:rFonts w:asciiTheme="minorHAnsi" w:hAnsiTheme="minorHAnsi" w:cs="Arial"/>
                <w:b/>
                <w:smallCaps/>
                <w:sz w:val="22"/>
                <w:szCs w:val="22"/>
              </w:rPr>
              <w:t>Benefit</w:t>
            </w:r>
            <w:r w:rsidR="00AB0A50" w:rsidRPr="007C14B2">
              <w:rPr>
                <w:rFonts w:asciiTheme="minorHAnsi" w:hAnsiTheme="minorHAnsi" w:cs="Arial"/>
                <w:b/>
                <w:smallCaps/>
                <w:sz w:val="22"/>
                <w:szCs w:val="22"/>
              </w:rPr>
              <w:t xml:space="preserve"> </w:t>
            </w:r>
            <w:r w:rsidRPr="007C14B2">
              <w:rPr>
                <w:rFonts w:asciiTheme="minorHAnsi" w:hAnsiTheme="minorHAnsi" w:cs="Arial"/>
                <w:b/>
                <w:smallCaps/>
                <w:sz w:val="22"/>
                <w:szCs w:val="22"/>
              </w:rPr>
              <w:t>Category</w:t>
            </w:r>
          </w:p>
        </w:tc>
        <w:tc>
          <w:tcPr>
            <w:tcW w:w="2250" w:type="dxa"/>
            <w:tcBorders>
              <w:top w:val="single" w:sz="4" w:space="0" w:color="auto"/>
              <w:left w:val="single" w:sz="4" w:space="0" w:color="auto"/>
              <w:bottom w:val="single" w:sz="4" w:space="0" w:color="auto"/>
              <w:right w:val="single" w:sz="4" w:space="0" w:color="auto"/>
            </w:tcBorders>
            <w:shd w:val="clear" w:color="auto" w:fill="C9EBEF"/>
            <w:vAlign w:val="center"/>
          </w:tcPr>
          <w:p w14:paraId="3F8F347B" w14:textId="77777777" w:rsidR="00CC4177" w:rsidRPr="007C14B2" w:rsidRDefault="00CC4177" w:rsidP="00456603">
            <w:pPr>
              <w:pStyle w:val="BodyTextIndent"/>
              <w:spacing w:before="40" w:after="20"/>
              <w:jc w:val="center"/>
              <w:rPr>
                <w:rFonts w:asciiTheme="minorHAnsi" w:hAnsiTheme="minorHAnsi" w:cs="Arial"/>
                <w:b/>
                <w:smallCaps/>
                <w:sz w:val="22"/>
                <w:szCs w:val="22"/>
              </w:rPr>
            </w:pPr>
            <w:r w:rsidRPr="007C14B2">
              <w:rPr>
                <w:rFonts w:asciiTheme="minorHAnsi" w:hAnsiTheme="minorHAnsi" w:cs="Arial"/>
                <w:b/>
                <w:smallCaps/>
                <w:sz w:val="22"/>
                <w:szCs w:val="22"/>
              </w:rPr>
              <w:t>Percentage of</w:t>
            </w:r>
            <w:r w:rsidR="00AB0A50" w:rsidRPr="007C14B2">
              <w:rPr>
                <w:rFonts w:asciiTheme="minorHAnsi" w:hAnsiTheme="minorHAnsi" w:cs="Arial"/>
                <w:b/>
                <w:smallCaps/>
                <w:sz w:val="22"/>
                <w:szCs w:val="22"/>
              </w:rPr>
              <w:t xml:space="preserve"> </w:t>
            </w:r>
            <w:r w:rsidR="00AB0A50" w:rsidRPr="007C14B2">
              <w:rPr>
                <w:rFonts w:asciiTheme="minorHAnsi" w:hAnsiTheme="minorHAnsi" w:cs="Arial"/>
                <w:b/>
                <w:smallCaps/>
                <w:sz w:val="22"/>
                <w:szCs w:val="22"/>
              </w:rPr>
              <w:br/>
            </w:r>
            <w:r w:rsidRPr="007C14B2">
              <w:rPr>
                <w:rFonts w:asciiTheme="minorHAnsi" w:hAnsiTheme="minorHAnsi" w:cs="Arial"/>
                <w:b/>
                <w:smallCaps/>
                <w:sz w:val="22"/>
                <w:szCs w:val="22"/>
              </w:rPr>
              <w:t>average salary</w:t>
            </w:r>
          </w:p>
        </w:tc>
        <w:tc>
          <w:tcPr>
            <w:tcW w:w="1800" w:type="dxa"/>
            <w:tcBorders>
              <w:top w:val="single" w:sz="4" w:space="0" w:color="auto"/>
              <w:left w:val="single" w:sz="4" w:space="0" w:color="auto"/>
              <w:bottom w:val="single" w:sz="4" w:space="0" w:color="auto"/>
              <w:right w:val="single" w:sz="4" w:space="0" w:color="auto"/>
            </w:tcBorders>
            <w:shd w:val="clear" w:color="auto" w:fill="C9EBEF"/>
            <w:vAlign w:val="center"/>
          </w:tcPr>
          <w:p w14:paraId="73DD26AD" w14:textId="77777777" w:rsidR="00CC4177" w:rsidRPr="007C14B2" w:rsidRDefault="00E77D55" w:rsidP="00456603">
            <w:pPr>
              <w:pStyle w:val="BodyTextIndent"/>
              <w:spacing w:before="40" w:after="20"/>
              <w:jc w:val="center"/>
              <w:rPr>
                <w:rFonts w:asciiTheme="minorHAnsi" w:hAnsiTheme="minorHAnsi" w:cs="Arial"/>
                <w:b/>
                <w:smallCaps/>
                <w:sz w:val="22"/>
                <w:szCs w:val="22"/>
              </w:rPr>
            </w:pPr>
            <w:r w:rsidRPr="007C14B2">
              <w:rPr>
                <w:rFonts w:asciiTheme="minorHAnsi" w:hAnsiTheme="minorHAnsi" w:cs="Arial"/>
                <w:b/>
                <w:smallCaps/>
                <w:sz w:val="22"/>
                <w:szCs w:val="22"/>
              </w:rPr>
              <w:t>Average</w:t>
            </w:r>
            <w:r w:rsidR="00AB0A50" w:rsidRPr="007C14B2">
              <w:rPr>
                <w:rFonts w:asciiTheme="minorHAnsi" w:hAnsiTheme="minorHAnsi" w:cs="Arial"/>
                <w:b/>
                <w:smallCaps/>
                <w:sz w:val="22"/>
                <w:szCs w:val="22"/>
              </w:rPr>
              <w:t xml:space="preserve"> </w:t>
            </w:r>
            <w:r w:rsidR="00BB2AAD" w:rsidRPr="007C14B2">
              <w:rPr>
                <w:rFonts w:asciiTheme="minorHAnsi" w:hAnsiTheme="minorHAnsi" w:cs="Arial"/>
                <w:b/>
                <w:smallCaps/>
                <w:sz w:val="22"/>
                <w:szCs w:val="22"/>
              </w:rPr>
              <w:br/>
            </w:r>
            <w:r w:rsidR="00CC4177" w:rsidRPr="007C14B2">
              <w:rPr>
                <w:rFonts w:asciiTheme="minorHAnsi" w:hAnsiTheme="minorHAnsi" w:cs="Arial"/>
                <w:b/>
                <w:smallCaps/>
                <w:sz w:val="22"/>
                <w:szCs w:val="22"/>
              </w:rPr>
              <w:t>Value</w:t>
            </w:r>
          </w:p>
        </w:tc>
      </w:tr>
      <w:tr w:rsidR="00CC4177" w:rsidRPr="007C14B2" w14:paraId="47BC325B"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54E12C9D" w14:textId="77777777" w:rsidR="00CC4177" w:rsidRPr="007C14B2" w:rsidRDefault="00CC4177" w:rsidP="000748F2">
            <w:pPr>
              <w:pStyle w:val="BodyTextIndent"/>
              <w:tabs>
                <w:tab w:val="clear" w:pos="90"/>
              </w:tabs>
              <w:spacing w:before="40" w:after="20"/>
              <w:jc w:val="left"/>
              <w:rPr>
                <w:rFonts w:asciiTheme="minorHAnsi" w:hAnsiTheme="minorHAnsi" w:cs="Arial"/>
                <w:sz w:val="22"/>
                <w:szCs w:val="22"/>
              </w:rPr>
            </w:pPr>
            <w:r w:rsidRPr="007C14B2">
              <w:rPr>
                <w:rFonts w:asciiTheme="minorHAnsi" w:hAnsiTheme="minorHAnsi" w:cs="Arial"/>
                <w:sz w:val="22"/>
                <w:szCs w:val="22"/>
              </w:rPr>
              <w:t>Holidays</w:t>
            </w:r>
            <w:r w:rsidR="00095C90" w:rsidRPr="007C14B2">
              <w:rPr>
                <w:rFonts w:asciiTheme="minorHAnsi" w:hAnsiTheme="minorHAnsi" w:cs="Arial"/>
                <w:sz w:val="22"/>
                <w:szCs w:val="22"/>
              </w:rPr>
              <w:t xml:space="preserve"> (12 days)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795A66" w14:textId="77777777" w:rsidR="00CC4177" w:rsidRPr="007C14B2" w:rsidRDefault="00CC4177" w:rsidP="00456603">
            <w:pPr>
              <w:pStyle w:val="BodyTextIndent"/>
              <w:spacing w:before="40" w:after="20"/>
              <w:ind w:right="702"/>
              <w:jc w:val="right"/>
              <w:rPr>
                <w:rFonts w:asciiTheme="minorHAnsi" w:hAnsiTheme="minorHAnsi" w:cs="Arial"/>
                <w:sz w:val="22"/>
                <w:szCs w:val="22"/>
              </w:rPr>
            </w:pPr>
            <w:r w:rsidRPr="007C14B2">
              <w:rPr>
                <w:rFonts w:asciiTheme="minorHAnsi" w:hAnsiTheme="minorHAnsi" w:cs="Arial"/>
                <w:sz w:val="22"/>
                <w:szCs w:val="22"/>
              </w:rPr>
              <w:t>4.62%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8DF351" w14:textId="77777777" w:rsidR="00CC4177" w:rsidRPr="007C14B2" w:rsidRDefault="00DB545E" w:rsidP="00456603">
            <w:pPr>
              <w:pStyle w:val="BodyTextIndent"/>
              <w:spacing w:before="40" w:after="20"/>
              <w:ind w:right="342"/>
              <w:jc w:val="right"/>
              <w:rPr>
                <w:rFonts w:asciiTheme="minorHAnsi" w:hAnsiTheme="minorHAnsi" w:cs="Arial"/>
                <w:sz w:val="22"/>
                <w:szCs w:val="22"/>
              </w:rPr>
            </w:pPr>
            <w:r w:rsidRPr="007C14B2">
              <w:rPr>
                <w:rFonts w:asciiTheme="minorHAnsi" w:hAnsiTheme="minorHAnsi" w:cs="Arial"/>
                <w:sz w:val="22"/>
                <w:szCs w:val="22"/>
              </w:rPr>
              <w:t>$</w:t>
            </w:r>
            <w:r w:rsidR="007910D4" w:rsidRPr="007C14B2">
              <w:rPr>
                <w:rFonts w:asciiTheme="minorHAnsi" w:hAnsiTheme="minorHAnsi" w:cs="Arial"/>
                <w:sz w:val="22"/>
                <w:szCs w:val="22"/>
              </w:rPr>
              <w:t>2,</w:t>
            </w:r>
            <w:r w:rsidR="00E544D4" w:rsidRPr="007C14B2">
              <w:rPr>
                <w:rFonts w:asciiTheme="minorHAnsi" w:hAnsiTheme="minorHAnsi" w:cs="Arial"/>
                <w:sz w:val="22"/>
                <w:szCs w:val="22"/>
              </w:rPr>
              <w:t>187</w:t>
            </w:r>
          </w:p>
        </w:tc>
      </w:tr>
      <w:tr w:rsidR="00CC4177" w:rsidRPr="007C14B2" w14:paraId="4AD65519"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9E4B549" w14:textId="77777777" w:rsidR="00CC4177" w:rsidRPr="007C14B2" w:rsidRDefault="00CC4177" w:rsidP="000748F2">
            <w:pPr>
              <w:pStyle w:val="BodyTextIndent"/>
              <w:tabs>
                <w:tab w:val="clear" w:pos="90"/>
              </w:tabs>
              <w:spacing w:before="40" w:after="20"/>
              <w:jc w:val="left"/>
              <w:rPr>
                <w:rFonts w:asciiTheme="minorHAnsi" w:hAnsiTheme="minorHAnsi" w:cs="Arial"/>
                <w:sz w:val="22"/>
                <w:szCs w:val="22"/>
              </w:rPr>
            </w:pPr>
            <w:r w:rsidRPr="007C14B2">
              <w:rPr>
                <w:rFonts w:asciiTheme="minorHAnsi" w:hAnsiTheme="minorHAnsi" w:cs="Arial"/>
                <w:sz w:val="22"/>
                <w:szCs w:val="22"/>
              </w:rPr>
              <w:t>Sick Leave</w:t>
            </w:r>
            <w:r w:rsidR="00095C90" w:rsidRPr="007C14B2">
              <w:rPr>
                <w:rFonts w:asciiTheme="minorHAnsi" w:hAnsiTheme="minorHAnsi" w:cs="Arial"/>
                <w:sz w:val="22"/>
                <w:szCs w:val="22"/>
              </w:rPr>
              <w:t xml:space="preserve"> (12 days)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0B7E65" w14:textId="77777777" w:rsidR="00CC4177" w:rsidRPr="007C14B2" w:rsidRDefault="00CC4177" w:rsidP="00456603">
            <w:pPr>
              <w:pStyle w:val="BodyTextIndent"/>
              <w:spacing w:before="40" w:after="20"/>
              <w:ind w:right="702"/>
              <w:jc w:val="right"/>
              <w:rPr>
                <w:rFonts w:asciiTheme="minorHAnsi" w:hAnsiTheme="minorHAnsi" w:cs="Arial"/>
                <w:sz w:val="22"/>
                <w:szCs w:val="22"/>
              </w:rPr>
            </w:pPr>
            <w:r w:rsidRPr="007C14B2">
              <w:rPr>
                <w:rFonts w:asciiTheme="minorHAnsi" w:hAnsiTheme="minorHAnsi" w:cs="Arial"/>
                <w:sz w:val="22"/>
                <w:szCs w:val="22"/>
              </w:rPr>
              <w:t>4.62%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FCD078" w14:textId="77777777" w:rsidR="00CC4177" w:rsidRPr="007C14B2" w:rsidRDefault="00DB545E" w:rsidP="00456603">
            <w:pPr>
              <w:pStyle w:val="BodyTextIndent"/>
              <w:spacing w:before="40" w:after="20"/>
              <w:ind w:right="342"/>
              <w:jc w:val="right"/>
              <w:rPr>
                <w:rFonts w:asciiTheme="minorHAnsi" w:hAnsiTheme="minorHAnsi" w:cs="Arial"/>
                <w:sz w:val="22"/>
                <w:szCs w:val="22"/>
              </w:rPr>
            </w:pPr>
            <w:r w:rsidRPr="007C14B2">
              <w:rPr>
                <w:rFonts w:asciiTheme="minorHAnsi" w:hAnsiTheme="minorHAnsi" w:cs="Arial"/>
                <w:sz w:val="22"/>
                <w:szCs w:val="22"/>
              </w:rPr>
              <w:t>$</w:t>
            </w:r>
            <w:r w:rsidR="007910D4" w:rsidRPr="007C14B2">
              <w:rPr>
                <w:rFonts w:asciiTheme="minorHAnsi" w:hAnsiTheme="minorHAnsi" w:cs="Arial"/>
                <w:sz w:val="22"/>
                <w:szCs w:val="22"/>
              </w:rPr>
              <w:t>2,1</w:t>
            </w:r>
            <w:r w:rsidR="00E544D4" w:rsidRPr="007C14B2">
              <w:rPr>
                <w:rFonts w:asciiTheme="minorHAnsi" w:hAnsiTheme="minorHAnsi" w:cs="Arial"/>
                <w:sz w:val="22"/>
                <w:szCs w:val="22"/>
              </w:rPr>
              <w:t>87</w:t>
            </w:r>
          </w:p>
        </w:tc>
      </w:tr>
      <w:tr w:rsidR="00CC4177" w:rsidRPr="007C14B2" w14:paraId="249560E1"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B8B8131" w14:textId="77777777" w:rsidR="00CC4177" w:rsidRPr="007C14B2" w:rsidRDefault="00CC4177" w:rsidP="000748F2">
            <w:pPr>
              <w:pStyle w:val="BodyTextIndent"/>
              <w:tabs>
                <w:tab w:val="clear" w:pos="90"/>
              </w:tabs>
              <w:spacing w:before="40" w:after="20"/>
              <w:jc w:val="left"/>
              <w:rPr>
                <w:rFonts w:asciiTheme="minorHAnsi" w:hAnsiTheme="minorHAnsi" w:cs="Arial"/>
                <w:sz w:val="22"/>
                <w:szCs w:val="22"/>
              </w:rPr>
            </w:pPr>
            <w:r w:rsidRPr="007C14B2">
              <w:rPr>
                <w:rFonts w:asciiTheme="minorHAnsi" w:hAnsiTheme="minorHAnsi" w:cs="Arial"/>
                <w:sz w:val="22"/>
                <w:szCs w:val="22"/>
              </w:rPr>
              <w:t>Vacation Leave</w:t>
            </w:r>
            <w:r w:rsidR="00095C90" w:rsidRPr="007C14B2">
              <w:rPr>
                <w:rFonts w:asciiTheme="minorHAnsi" w:hAnsiTheme="minorHAnsi" w:cs="Arial"/>
                <w:sz w:val="22"/>
                <w:szCs w:val="22"/>
              </w:rPr>
              <w:t xml:space="preserve"> (17 days)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E7F7DC" w14:textId="77777777" w:rsidR="00CC4177" w:rsidRPr="007C14B2" w:rsidRDefault="00584DC5" w:rsidP="00456603">
            <w:pPr>
              <w:pStyle w:val="BodyTextIndent"/>
              <w:spacing w:before="40" w:after="20"/>
              <w:ind w:right="702"/>
              <w:jc w:val="right"/>
              <w:rPr>
                <w:rFonts w:asciiTheme="minorHAnsi" w:hAnsiTheme="minorHAnsi" w:cs="Arial"/>
                <w:sz w:val="22"/>
                <w:szCs w:val="22"/>
              </w:rPr>
            </w:pPr>
            <w:r w:rsidRPr="007C14B2">
              <w:rPr>
                <w:rFonts w:asciiTheme="minorHAnsi" w:hAnsiTheme="minorHAnsi" w:cs="Arial"/>
                <w:sz w:val="22"/>
                <w:szCs w:val="22"/>
              </w:rPr>
              <w:t>7.69</w:t>
            </w:r>
            <w:r w:rsidR="00CC4177" w:rsidRPr="007C14B2">
              <w:rPr>
                <w:rFonts w:asciiTheme="minorHAnsi" w:hAnsiTheme="minorHAnsi" w:cs="Arial"/>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1CA291" w14:textId="77777777" w:rsidR="00CC4177" w:rsidRPr="007C14B2" w:rsidRDefault="00DB545E" w:rsidP="00456603">
            <w:pPr>
              <w:pStyle w:val="BodyTextIndent"/>
              <w:spacing w:before="40" w:after="20"/>
              <w:ind w:right="342"/>
              <w:jc w:val="right"/>
              <w:rPr>
                <w:rFonts w:asciiTheme="minorHAnsi" w:hAnsiTheme="minorHAnsi" w:cs="Arial"/>
                <w:sz w:val="22"/>
                <w:szCs w:val="22"/>
              </w:rPr>
            </w:pPr>
            <w:r w:rsidRPr="007C14B2">
              <w:rPr>
                <w:rFonts w:asciiTheme="minorHAnsi" w:hAnsiTheme="minorHAnsi" w:cs="Arial"/>
                <w:sz w:val="22"/>
                <w:szCs w:val="22"/>
              </w:rPr>
              <w:t>$3,</w:t>
            </w:r>
            <w:r w:rsidR="00E544D4" w:rsidRPr="007C14B2">
              <w:rPr>
                <w:rFonts w:asciiTheme="minorHAnsi" w:hAnsiTheme="minorHAnsi" w:cs="Arial"/>
                <w:sz w:val="22"/>
                <w:szCs w:val="22"/>
              </w:rPr>
              <w:t>640</w:t>
            </w:r>
          </w:p>
        </w:tc>
      </w:tr>
      <w:tr w:rsidR="00CC4177" w:rsidRPr="007C14B2" w14:paraId="59F1874E"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1B2672A" w14:textId="77777777" w:rsidR="00CC4177" w:rsidRPr="007C14B2" w:rsidRDefault="00CC4177" w:rsidP="000748F2">
            <w:pPr>
              <w:pStyle w:val="BodyTextIndent"/>
              <w:tabs>
                <w:tab w:val="clear" w:pos="90"/>
              </w:tabs>
              <w:spacing w:before="40" w:after="20"/>
              <w:jc w:val="left"/>
              <w:rPr>
                <w:rFonts w:asciiTheme="minorHAnsi" w:hAnsiTheme="minorHAnsi" w:cs="Arial"/>
                <w:sz w:val="22"/>
                <w:szCs w:val="22"/>
              </w:rPr>
            </w:pPr>
            <w:r w:rsidRPr="007C14B2">
              <w:rPr>
                <w:rFonts w:asciiTheme="minorHAnsi" w:hAnsiTheme="minorHAnsi" w:cs="Arial"/>
                <w:sz w:val="22"/>
                <w:szCs w:val="22"/>
              </w:rPr>
              <w:t>OASI – DI [Social Security]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2C7E6B" w14:textId="77777777" w:rsidR="00CC4177" w:rsidRPr="007C14B2" w:rsidRDefault="00CC4177" w:rsidP="00456603">
            <w:pPr>
              <w:pStyle w:val="BodyTextIndent"/>
              <w:spacing w:before="40" w:after="20"/>
              <w:ind w:right="702"/>
              <w:jc w:val="right"/>
              <w:rPr>
                <w:rFonts w:asciiTheme="minorHAnsi" w:hAnsiTheme="minorHAnsi" w:cs="Arial"/>
                <w:sz w:val="22"/>
                <w:szCs w:val="22"/>
              </w:rPr>
            </w:pPr>
            <w:r w:rsidRPr="007C14B2">
              <w:rPr>
                <w:rFonts w:asciiTheme="minorHAnsi" w:hAnsiTheme="minorHAnsi" w:cs="Arial"/>
                <w:sz w:val="22"/>
                <w:szCs w:val="22"/>
              </w:rPr>
              <w:t>7.65%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FA7F47" w14:textId="77777777" w:rsidR="00CC4177" w:rsidRPr="007C14B2" w:rsidRDefault="00DB545E" w:rsidP="00456603">
            <w:pPr>
              <w:pStyle w:val="BodyTextIndent"/>
              <w:spacing w:before="40" w:after="20"/>
              <w:ind w:right="342"/>
              <w:jc w:val="right"/>
              <w:rPr>
                <w:rFonts w:asciiTheme="minorHAnsi" w:hAnsiTheme="minorHAnsi" w:cs="Arial"/>
                <w:sz w:val="22"/>
                <w:szCs w:val="22"/>
              </w:rPr>
            </w:pPr>
            <w:r w:rsidRPr="007C14B2">
              <w:rPr>
                <w:rFonts w:asciiTheme="minorHAnsi" w:hAnsiTheme="minorHAnsi" w:cs="Arial"/>
                <w:sz w:val="22"/>
                <w:szCs w:val="22"/>
              </w:rPr>
              <w:t>$3,</w:t>
            </w:r>
            <w:r w:rsidR="00E544D4" w:rsidRPr="007C14B2">
              <w:rPr>
                <w:rFonts w:asciiTheme="minorHAnsi" w:hAnsiTheme="minorHAnsi" w:cs="Arial"/>
                <w:sz w:val="22"/>
                <w:szCs w:val="22"/>
              </w:rPr>
              <w:t>621</w:t>
            </w:r>
          </w:p>
        </w:tc>
      </w:tr>
      <w:tr w:rsidR="00CC4177" w:rsidRPr="007C14B2" w14:paraId="1B1D463D"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E0A43D" w14:textId="77777777" w:rsidR="00CC4177" w:rsidRPr="007C14B2" w:rsidRDefault="00CC4177" w:rsidP="007910D4">
            <w:pPr>
              <w:pStyle w:val="BodyTextIndent"/>
              <w:tabs>
                <w:tab w:val="clear" w:pos="90"/>
              </w:tabs>
              <w:spacing w:before="40" w:after="20"/>
              <w:jc w:val="left"/>
              <w:rPr>
                <w:rFonts w:asciiTheme="minorHAnsi" w:hAnsiTheme="minorHAnsi" w:cs="Arial"/>
                <w:sz w:val="22"/>
                <w:szCs w:val="22"/>
              </w:rPr>
            </w:pPr>
            <w:r w:rsidRPr="007C14B2">
              <w:rPr>
                <w:rFonts w:asciiTheme="minorHAnsi" w:hAnsiTheme="minorHAnsi" w:cs="Arial"/>
                <w:sz w:val="22"/>
                <w:szCs w:val="22"/>
              </w:rPr>
              <w:t>Retirement &amp; Disability</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2097706" w14:textId="77777777" w:rsidR="00CC4177" w:rsidRPr="007C14B2" w:rsidRDefault="00E544D4" w:rsidP="00456603">
            <w:pPr>
              <w:pStyle w:val="BodyTextIndent"/>
              <w:spacing w:before="40" w:after="20"/>
              <w:ind w:right="702"/>
              <w:jc w:val="right"/>
              <w:rPr>
                <w:rFonts w:asciiTheme="minorHAnsi" w:hAnsiTheme="minorHAnsi" w:cs="Arial"/>
                <w:bCs/>
                <w:sz w:val="22"/>
                <w:szCs w:val="22"/>
              </w:rPr>
            </w:pPr>
            <w:r w:rsidRPr="007C14B2">
              <w:rPr>
                <w:rFonts w:asciiTheme="minorHAnsi" w:hAnsiTheme="minorHAnsi" w:cs="Arial"/>
                <w:bCs/>
                <w:sz w:val="22"/>
                <w:szCs w:val="22"/>
              </w:rPr>
              <w:t>17.13%</w:t>
            </w:r>
            <w:r w:rsidR="00CC4177" w:rsidRPr="007C14B2">
              <w:rPr>
                <w:rFonts w:asciiTheme="minorHAnsi" w:hAnsiTheme="minorHAnsi" w:cs="Arial"/>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280A3C" w14:textId="77777777" w:rsidR="00CC4177" w:rsidRPr="007C14B2" w:rsidRDefault="00E544D4" w:rsidP="00456603">
            <w:pPr>
              <w:pStyle w:val="BodyTextIndent"/>
              <w:spacing w:before="40" w:after="20"/>
              <w:ind w:right="342"/>
              <w:jc w:val="right"/>
              <w:rPr>
                <w:rFonts w:asciiTheme="minorHAnsi" w:hAnsiTheme="minorHAnsi" w:cs="Arial"/>
                <w:bCs/>
                <w:sz w:val="22"/>
                <w:szCs w:val="22"/>
              </w:rPr>
            </w:pPr>
            <w:r w:rsidRPr="007C14B2">
              <w:rPr>
                <w:rFonts w:asciiTheme="minorHAnsi" w:hAnsiTheme="minorHAnsi" w:cs="Arial"/>
                <w:bCs/>
                <w:sz w:val="22"/>
                <w:szCs w:val="22"/>
              </w:rPr>
              <w:t>$8,108</w:t>
            </w:r>
          </w:p>
        </w:tc>
      </w:tr>
      <w:tr w:rsidR="00CC4177" w:rsidRPr="007C14B2" w14:paraId="5F037DA6"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4D1C4C9B" w14:textId="77777777" w:rsidR="00CC4177" w:rsidRPr="007C14B2" w:rsidRDefault="00CC4177" w:rsidP="000748F2">
            <w:pPr>
              <w:pStyle w:val="BodyTextIndent"/>
              <w:tabs>
                <w:tab w:val="clear" w:pos="90"/>
              </w:tabs>
              <w:spacing w:before="40" w:after="20"/>
              <w:jc w:val="left"/>
              <w:rPr>
                <w:rFonts w:asciiTheme="minorHAnsi" w:hAnsiTheme="minorHAnsi" w:cs="Arial"/>
                <w:sz w:val="22"/>
                <w:szCs w:val="22"/>
              </w:rPr>
            </w:pPr>
            <w:r w:rsidRPr="007C14B2">
              <w:rPr>
                <w:rFonts w:asciiTheme="minorHAnsi" w:hAnsiTheme="minorHAnsi" w:cs="Arial"/>
                <w:sz w:val="22"/>
                <w:szCs w:val="22"/>
              </w:rPr>
              <w:t>Health Insurance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B3B23F" w14:textId="77777777" w:rsidR="00CC4177" w:rsidRPr="007C14B2" w:rsidRDefault="007910D4" w:rsidP="00456603">
            <w:pPr>
              <w:pStyle w:val="BodyTextIndent"/>
              <w:spacing w:before="40" w:after="20"/>
              <w:ind w:right="702"/>
              <w:jc w:val="right"/>
              <w:rPr>
                <w:rFonts w:asciiTheme="minorHAnsi" w:hAnsiTheme="minorHAnsi" w:cs="Arial"/>
                <w:bCs/>
                <w:sz w:val="22"/>
                <w:szCs w:val="22"/>
              </w:rPr>
            </w:pPr>
            <w:r w:rsidRPr="007C14B2">
              <w:rPr>
                <w:rFonts w:asciiTheme="minorHAnsi" w:hAnsiTheme="minorHAnsi" w:cs="Arial"/>
                <w:bCs/>
                <w:sz w:val="22"/>
                <w:szCs w:val="22"/>
              </w:rPr>
              <w:t>12.</w:t>
            </w:r>
            <w:r w:rsidR="009D757C" w:rsidRPr="007C14B2">
              <w:rPr>
                <w:rFonts w:asciiTheme="minorHAnsi" w:hAnsiTheme="minorHAnsi" w:cs="Arial"/>
                <w:bCs/>
                <w:sz w:val="22"/>
                <w:szCs w:val="22"/>
              </w:rPr>
              <w:t>64</w:t>
            </w:r>
            <w:r w:rsidR="00DB545E" w:rsidRPr="007C14B2">
              <w:rPr>
                <w:rFonts w:asciiTheme="minorHAnsi" w:hAnsiTheme="minorHAnsi" w:cs="Arial"/>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C9EFDA" w14:textId="77777777" w:rsidR="00CC4177" w:rsidRPr="007C14B2" w:rsidRDefault="00815BAD" w:rsidP="00A64EDA">
            <w:pPr>
              <w:pStyle w:val="BodyTextIndent"/>
              <w:spacing w:before="40" w:after="20"/>
              <w:ind w:right="342"/>
              <w:jc w:val="right"/>
              <w:rPr>
                <w:rFonts w:asciiTheme="minorHAnsi" w:hAnsiTheme="minorHAnsi" w:cs="Arial"/>
                <w:bCs/>
                <w:sz w:val="22"/>
                <w:szCs w:val="22"/>
              </w:rPr>
            </w:pPr>
            <w:r w:rsidRPr="007C14B2">
              <w:rPr>
                <w:rFonts w:asciiTheme="minorHAnsi" w:hAnsiTheme="minorHAnsi" w:cs="Arial"/>
                <w:bCs/>
                <w:sz w:val="22"/>
                <w:szCs w:val="22"/>
              </w:rPr>
              <w:t>$</w:t>
            </w:r>
            <w:r w:rsidR="009D757C" w:rsidRPr="007C14B2">
              <w:rPr>
                <w:rFonts w:asciiTheme="minorHAnsi" w:hAnsiTheme="minorHAnsi" w:cs="Arial"/>
                <w:bCs/>
                <w:sz w:val="22"/>
                <w:szCs w:val="22"/>
              </w:rPr>
              <w:t>5,984</w:t>
            </w:r>
          </w:p>
        </w:tc>
      </w:tr>
      <w:tr w:rsidR="00CC4177" w:rsidRPr="007C14B2" w14:paraId="6ACD707C"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3F82219" w14:textId="77777777" w:rsidR="00CC4177" w:rsidRPr="007C14B2" w:rsidRDefault="00CC4177" w:rsidP="000748F2">
            <w:pPr>
              <w:pStyle w:val="BodyTextIndent"/>
              <w:tabs>
                <w:tab w:val="clear" w:pos="90"/>
              </w:tabs>
              <w:spacing w:before="40" w:after="20"/>
              <w:jc w:val="left"/>
              <w:rPr>
                <w:rFonts w:asciiTheme="minorHAnsi" w:hAnsiTheme="minorHAnsi" w:cs="Arial"/>
                <w:sz w:val="22"/>
                <w:szCs w:val="22"/>
              </w:rPr>
            </w:pPr>
            <w:r w:rsidRPr="007C14B2">
              <w:rPr>
                <w:rFonts w:asciiTheme="minorHAnsi" w:hAnsiTheme="minorHAnsi" w:cs="Arial"/>
                <w:sz w:val="22"/>
                <w:szCs w:val="22"/>
              </w:rPr>
              <w:t>Longevity Pay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40D5EE" w14:textId="77777777" w:rsidR="00CC4177" w:rsidRPr="007C14B2" w:rsidRDefault="00F571F3" w:rsidP="00456603">
            <w:pPr>
              <w:pStyle w:val="BodyTextIndent"/>
              <w:spacing w:before="40" w:after="20"/>
              <w:ind w:right="702"/>
              <w:jc w:val="right"/>
              <w:rPr>
                <w:rFonts w:asciiTheme="minorHAnsi" w:hAnsiTheme="minorHAnsi" w:cs="Arial"/>
                <w:sz w:val="22"/>
                <w:szCs w:val="22"/>
              </w:rPr>
            </w:pPr>
            <w:r w:rsidRPr="007C14B2">
              <w:rPr>
                <w:rFonts w:asciiTheme="minorHAnsi" w:hAnsiTheme="minorHAnsi" w:cs="Arial"/>
                <w:sz w:val="22"/>
                <w:szCs w:val="22"/>
              </w:rPr>
              <w:t>1.50</w:t>
            </w:r>
            <w:r w:rsidR="00CC4177" w:rsidRPr="007C14B2">
              <w:rPr>
                <w:rFonts w:asciiTheme="minorHAnsi" w:hAnsiTheme="minorHAnsi" w:cs="Arial"/>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5BAB75" w14:textId="77777777" w:rsidR="00CC4177" w:rsidRPr="007C14B2" w:rsidRDefault="00DB545E" w:rsidP="00456603">
            <w:pPr>
              <w:pStyle w:val="BodyTextIndent"/>
              <w:spacing w:before="40" w:after="20"/>
              <w:ind w:right="342"/>
              <w:jc w:val="right"/>
              <w:rPr>
                <w:rFonts w:asciiTheme="minorHAnsi" w:hAnsiTheme="minorHAnsi" w:cs="Arial"/>
                <w:sz w:val="22"/>
                <w:szCs w:val="22"/>
              </w:rPr>
            </w:pPr>
            <w:r w:rsidRPr="007C14B2">
              <w:rPr>
                <w:rFonts w:asciiTheme="minorHAnsi" w:hAnsiTheme="minorHAnsi" w:cs="Arial"/>
                <w:sz w:val="22"/>
                <w:szCs w:val="22"/>
              </w:rPr>
              <w:t>$</w:t>
            </w:r>
            <w:r w:rsidR="00E544D4" w:rsidRPr="007C14B2">
              <w:rPr>
                <w:rFonts w:asciiTheme="minorHAnsi" w:hAnsiTheme="minorHAnsi" w:cs="Arial"/>
                <w:sz w:val="22"/>
                <w:szCs w:val="22"/>
              </w:rPr>
              <w:t>710</w:t>
            </w:r>
          </w:p>
        </w:tc>
      </w:tr>
      <w:tr w:rsidR="00CC4177" w:rsidRPr="007C14B2" w14:paraId="2473BB7B" w14:textId="77777777" w:rsidTr="00B52602">
        <w:trPr>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C9EBEF"/>
          </w:tcPr>
          <w:p w14:paraId="6661273D" w14:textId="77777777" w:rsidR="00CC4177" w:rsidRPr="007C14B2" w:rsidRDefault="00CC4177" w:rsidP="000748F2">
            <w:pPr>
              <w:pStyle w:val="BodyTextIndent"/>
              <w:tabs>
                <w:tab w:val="clear" w:pos="90"/>
              </w:tabs>
              <w:spacing w:before="40" w:after="20"/>
              <w:jc w:val="right"/>
              <w:rPr>
                <w:rFonts w:asciiTheme="minorHAnsi" w:hAnsiTheme="minorHAnsi" w:cs="Arial"/>
                <w:b/>
                <w:szCs w:val="22"/>
              </w:rPr>
            </w:pPr>
            <w:r w:rsidRPr="007C14B2">
              <w:rPr>
                <w:rFonts w:asciiTheme="minorHAnsi" w:hAnsiTheme="minorHAnsi" w:cs="Arial"/>
                <w:b/>
                <w:szCs w:val="22"/>
              </w:rPr>
              <w:t>Total Benefit Value</w:t>
            </w:r>
          </w:p>
        </w:tc>
        <w:tc>
          <w:tcPr>
            <w:tcW w:w="2250" w:type="dxa"/>
            <w:tcBorders>
              <w:top w:val="single" w:sz="4" w:space="0" w:color="auto"/>
              <w:left w:val="single" w:sz="4" w:space="0" w:color="auto"/>
              <w:bottom w:val="single" w:sz="4" w:space="0" w:color="auto"/>
              <w:right w:val="single" w:sz="4" w:space="0" w:color="auto"/>
            </w:tcBorders>
            <w:shd w:val="clear" w:color="auto" w:fill="C9EBEF"/>
          </w:tcPr>
          <w:p w14:paraId="382B3DD4" w14:textId="77777777" w:rsidR="00CC4177" w:rsidRPr="007C14B2" w:rsidRDefault="007910D4" w:rsidP="00456603">
            <w:pPr>
              <w:pStyle w:val="BodyTextIndent"/>
              <w:spacing w:before="40" w:after="20"/>
              <w:ind w:right="702"/>
              <w:jc w:val="right"/>
              <w:rPr>
                <w:rFonts w:asciiTheme="minorHAnsi" w:hAnsiTheme="minorHAnsi" w:cs="Arial"/>
                <w:b/>
                <w:szCs w:val="22"/>
              </w:rPr>
            </w:pPr>
            <w:r w:rsidRPr="007C14B2">
              <w:rPr>
                <w:rFonts w:asciiTheme="minorHAnsi" w:hAnsiTheme="minorHAnsi" w:cs="Arial"/>
                <w:b/>
                <w:szCs w:val="22"/>
              </w:rPr>
              <w:t>5</w:t>
            </w:r>
            <w:r w:rsidR="009D757C" w:rsidRPr="007C14B2">
              <w:rPr>
                <w:rFonts w:asciiTheme="minorHAnsi" w:hAnsiTheme="minorHAnsi" w:cs="Arial"/>
                <w:b/>
                <w:szCs w:val="22"/>
              </w:rPr>
              <w:t>5.85</w:t>
            </w:r>
            <w:r w:rsidR="00DB545E" w:rsidRPr="007C14B2">
              <w:rPr>
                <w:rFonts w:asciiTheme="minorHAnsi" w:hAnsiTheme="minorHAnsi" w:cs="Arial"/>
                <w:b/>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C9EBEF"/>
          </w:tcPr>
          <w:p w14:paraId="6DEFD2B7" w14:textId="77777777" w:rsidR="00CC4177" w:rsidRPr="007C14B2" w:rsidRDefault="00DB545E" w:rsidP="00456603">
            <w:pPr>
              <w:pStyle w:val="BodyTextIndent"/>
              <w:spacing w:before="40" w:after="20"/>
              <w:ind w:right="342"/>
              <w:jc w:val="right"/>
              <w:rPr>
                <w:rFonts w:asciiTheme="minorHAnsi" w:hAnsiTheme="minorHAnsi" w:cs="Arial"/>
                <w:b/>
                <w:szCs w:val="22"/>
              </w:rPr>
            </w:pPr>
            <w:r w:rsidRPr="007C14B2">
              <w:rPr>
                <w:rFonts w:asciiTheme="minorHAnsi" w:hAnsiTheme="minorHAnsi" w:cs="Arial"/>
                <w:b/>
                <w:szCs w:val="22"/>
              </w:rPr>
              <w:t>$2</w:t>
            </w:r>
            <w:r w:rsidR="009D757C" w:rsidRPr="007C14B2">
              <w:rPr>
                <w:rFonts w:asciiTheme="minorHAnsi" w:hAnsiTheme="minorHAnsi" w:cs="Arial"/>
                <w:b/>
                <w:szCs w:val="22"/>
              </w:rPr>
              <w:t>6,437</w:t>
            </w:r>
          </w:p>
        </w:tc>
      </w:tr>
      <w:tr w:rsidR="00AC6234" w:rsidRPr="007C14B2" w14:paraId="2BBC8827" w14:textId="77777777" w:rsidTr="00B52602">
        <w:trPr>
          <w:jc w:val="center"/>
        </w:trPr>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06EC210C" w14:textId="3F921A71" w:rsidR="00AC6234" w:rsidRPr="007C14B2" w:rsidRDefault="00AC6234" w:rsidP="000748F2">
            <w:pPr>
              <w:pStyle w:val="BodyTextIndent"/>
              <w:tabs>
                <w:tab w:val="clear" w:pos="90"/>
              </w:tabs>
              <w:spacing w:before="40" w:after="20"/>
              <w:ind w:right="342"/>
              <w:jc w:val="left"/>
              <w:rPr>
                <w:rFonts w:asciiTheme="minorHAnsi" w:hAnsiTheme="minorHAnsi" w:cs="Arial"/>
                <w:b/>
                <w:sz w:val="22"/>
                <w:szCs w:val="22"/>
              </w:rPr>
            </w:pPr>
            <w:r w:rsidRPr="007C14B2">
              <w:rPr>
                <w:rFonts w:asciiTheme="minorHAnsi" w:hAnsiTheme="minorHAnsi" w:cs="Arial"/>
                <w:sz w:val="20"/>
                <w:szCs w:val="22"/>
              </w:rPr>
              <w:t xml:space="preserve">In determining the </w:t>
            </w:r>
            <w:r w:rsidRPr="007C14B2">
              <w:rPr>
                <w:rFonts w:asciiTheme="minorHAnsi" w:hAnsiTheme="minorHAnsi" w:cs="Arial"/>
                <w:i/>
                <w:sz w:val="20"/>
                <w:szCs w:val="22"/>
              </w:rPr>
              <w:t xml:space="preserve">Percentage of Average Salary, </w:t>
            </w:r>
            <w:r w:rsidRPr="007C14B2">
              <w:rPr>
                <w:rFonts w:asciiTheme="minorHAnsi" w:hAnsiTheme="minorHAnsi" w:cs="Arial"/>
                <w:sz w:val="20"/>
                <w:szCs w:val="22"/>
              </w:rPr>
              <w:t>the</w:t>
            </w:r>
            <w:r w:rsidRPr="007C14B2">
              <w:rPr>
                <w:rFonts w:asciiTheme="minorHAnsi" w:hAnsiTheme="minorHAnsi" w:cs="Arial"/>
                <w:i/>
                <w:sz w:val="20"/>
                <w:szCs w:val="22"/>
              </w:rPr>
              <w:t xml:space="preserve"> </w:t>
            </w:r>
            <w:r w:rsidRPr="007C14B2">
              <w:rPr>
                <w:rFonts w:asciiTheme="minorHAnsi" w:hAnsiTheme="minorHAnsi" w:cs="Arial"/>
                <w:sz w:val="20"/>
                <w:szCs w:val="22"/>
              </w:rPr>
              <w:t xml:space="preserve">average </w:t>
            </w:r>
            <w:r w:rsidR="00BF62D6">
              <w:rPr>
                <w:rFonts w:asciiTheme="minorHAnsi" w:hAnsiTheme="minorHAnsi" w:cs="Arial"/>
                <w:sz w:val="20"/>
                <w:szCs w:val="22"/>
              </w:rPr>
              <w:t>S</w:t>
            </w:r>
            <w:r w:rsidRPr="007C14B2">
              <w:rPr>
                <w:rFonts w:asciiTheme="minorHAnsi" w:hAnsiTheme="minorHAnsi" w:cs="Arial"/>
                <w:sz w:val="20"/>
                <w:szCs w:val="22"/>
              </w:rPr>
              <w:t>tate empl</w:t>
            </w:r>
            <w:r w:rsidR="004973D6" w:rsidRPr="007C14B2">
              <w:rPr>
                <w:rFonts w:asciiTheme="minorHAnsi" w:hAnsiTheme="minorHAnsi" w:cs="Arial"/>
                <w:sz w:val="20"/>
                <w:szCs w:val="22"/>
              </w:rPr>
              <w:t xml:space="preserve">oyee’s years of </w:t>
            </w:r>
            <w:r w:rsidR="00BF62D6">
              <w:rPr>
                <w:rFonts w:asciiTheme="minorHAnsi" w:hAnsiTheme="minorHAnsi" w:cs="Arial"/>
                <w:sz w:val="20"/>
                <w:szCs w:val="22"/>
              </w:rPr>
              <w:t>service is</w:t>
            </w:r>
            <w:r w:rsidR="00C13D8A" w:rsidRPr="007C14B2">
              <w:rPr>
                <w:rFonts w:asciiTheme="minorHAnsi" w:hAnsiTheme="minorHAnsi" w:cs="Arial"/>
                <w:sz w:val="20"/>
                <w:szCs w:val="22"/>
              </w:rPr>
              <w:t xml:space="preserve"> 11 </w:t>
            </w:r>
            <w:r w:rsidRPr="007C14B2">
              <w:rPr>
                <w:rFonts w:asciiTheme="minorHAnsi" w:hAnsiTheme="minorHAnsi" w:cs="Arial"/>
                <w:sz w:val="20"/>
                <w:szCs w:val="22"/>
              </w:rPr>
              <w:t xml:space="preserve">years and average </w:t>
            </w:r>
            <w:r w:rsidR="00AA3E49">
              <w:rPr>
                <w:rFonts w:asciiTheme="minorHAnsi" w:hAnsiTheme="minorHAnsi" w:cs="Arial"/>
                <w:sz w:val="20"/>
                <w:szCs w:val="22"/>
              </w:rPr>
              <w:t>S</w:t>
            </w:r>
            <w:r w:rsidR="007910D4" w:rsidRPr="007C14B2">
              <w:rPr>
                <w:rFonts w:asciiTheme="minorHAnsi" w:hAnsiTheme="minorHAnsi" w:cs="Arial"/>
                <w:sz w:val="20"/>
                <w:szCs w:val="22"/>
              </w:rPr>
              <w:t>tate employee salary is $4</w:t>
            </w:r>
            <w:r w:rsidR="00707CF4" w:rsidRPr="007C14B2">
              <w:rPr>
                <w:rFonts w:asciiTheme="minorHAnsi" w:hAnsiTheme="minorHAnsi" w:cs="Arial"/>
                <w:sz w:val="20"/>
                <w:szCs w:val="22"/>
              </w:rPr>
              <w:t>7,333</w:t>
            </w:r>
            <w:r w:rsidRPr="007C14B2">
              <w:rPr>
                <w:rFonts w:asciiTheme="minorHAnsi" w:hAnsiTheme="minorHAnsi" w:cs="Arial"/>
                <w:sz w:val="20"/>
                <w:szCs w:val="22"/>
              </w:rPr>
              <w:t xml:space="preserve">.  The total benefit value is added to employees' base pay to determine </w:t>
            </w:r>
            <w:r w:rsidRPr="007C14B2">
              <w:rPr>
                <w:rFonts w:asciiTheme="minorHAnsi" w:hAnsiTheme="minorHAnsi" w:cs="Arial"/>
                <w:i/>
                <w:sz w:val="20"/>
                <w:szCs w:val="22"/>
              </w:rPr>
              <w:t>Total Compensation</w:t>
            </w:r>
            <w:r w:rsidRPr="007C14B2">
              <w:rPr>
                <w:rFonts w:asciiTheme="minorHAnsi" w:hAnsiTheme="minorHAnsi" w:cs="Arial"/>
                <w:sz w:val="20"/>
                <w:szCs w:val="22"/>
              </w:rPr>
              <w:t>.</w:t>
            </w:r>
          </w:p>
        </w:tc>
      </w:tr>
      <w:tr w:rsidR="00AC6234" w:rsidRPr="007C14B2" w14:paraId="2A0F5C21" w14:textId="77777777" w:rsidTr="00B52602">
        <w:trPr>
          <w:jc w:val="center"/>
        </w:trPr>
        <w:tc>
          <w:tcPr>
            <w:tcW w:w="3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FFBE2" w14:textId="77777777" w:rsidR="00AC6234" w:rsidRPr="007C14B2" w:rsidRDefault="00AC6234" w:rsidP="000748F2">
            <w:pPr>
              <w:pStyle w:val="BodyTextIndent"/>
              <w:tabs>
                <w:tab w:val="clear" w:pos="90"/>
              </w:tabs>
              <w:spacing w:before="40" w:after="20"/>
              <w:jc w:val="center"/>
              <w:rPr>
                <w:rFonts w:asciiTheme="minorHAnsi" w:hAnsiTheme="minorHAnsi" w:cs="Arial"/>
                <w:b/>
                <w:sz w:val="22"/>
                <w:szCs w:val="22"/>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322F0463" w14:textId="77777777" w:rsidR="00AC6234" w:rsidRPr="007C14B2" w:rsidRDefault="00AC6234" w:rsidP="000748F2">
            <w:pPr>
              <w:pStyle w:val="BodyTextIndent"/>
              <w:tabs>
                <w:tab w:val="clear" w:pos="90"/>
              </w:tabs>
              <w:spacing w:before="40" w:after="20"/>
              <w:ind w:right="72"/>
              <w:jc w:val="right"/>
              <w:rPr>
                <w:rFonts w:asciiTheme="minorHAnsi" w:hAnsiTheme="minorHAnsi" w:cs="Arial"/>
                <w:b/>
                <w:szCs w:val="22"/>
              </w:rPr>
            </w:pPr>
            <w:r w:rsidRPr="007C14B2">
              <w:rPr>
                <w:rFonts w:asciiTheme="minorHAnsi" w:hAnsiTheme="minorHAnsi" w:cs="Arial"/>
                <w:b/>
                <w:szCs w:val="22"/>
              </w:rPr>
              <w:t>Average Base Pay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C82A66" w14:textId="77777777" w:rsidR="00AC6234" w:rsidRPr="007C14B2" w:rsidRDefault="007910D4" w:rsidP="00456603">
            <w:pPr>
              <w:pStyle w:val="BodyTextIndent"/>
              <w:spacing w:before="40" w:after="20"/>
              <w:ind w:right="342"/>
              <w:jc w:val="right"/>
              <w:rPr>
                <w:rFonts w:asciiTheme="minorHAnsi" w:hAnsiTheme="minorHAnsi" w:cs="Arial"/>
                <w:b/>
                <w:szCs w:val="22"/>
              </w:rPr>
            </w:pPr>
            <w:r w:rsidRPr="007C14B2">
              <w:rPr>
                <w:rFonts w:asciiTheme="minorHAnsi" w:hAnsiTheme="minorHAnsi" w:cs="Arial"/>
                <w:b/>
                <w:szCs w:val="22"/>
              </w:rPr>
              <w:t>$</w:t>
            </w:r>
            <w:r w:rsidR="00E544D4" w:rsidRPr="007C14B2">
              <w:rPr>
                <w:rFonts w:asciiTheme="minorHAnsi" w:hAnsiTheme="minorHAnsi" w:cs="Arial"/>
                <w:b/>
                <w:szCs w:val="22"/>
              </w:rPr>
              <w:t>47,333</w:t>
            </w:r>
          </w:p>
        </w:tc>
      </w:tr>
      <w:tr w:rsidR="00AC6234" w:rsidRPr="007C14B2" w14:paraId="281B627C" w14:textId="77777777" w:rsidTr="00B52602">
        <w:trPr>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E25FF" w14:textId="77777777" w:rsidR="00AC6234" w:rsidRPr="007C14B2" w:rsidRDefault="00AC6234" w:rsidP="000748F2">
            <w:pPr>
              <w:pStyle w:val="BodyTextIndent"/>
              <w:tabs>
                <w:tab w:val="clear" w:pos="90"/>
              </w:tabs>
              <w:spacing w:before="40" w:after="20"/>
              <w:jc w:val="center"/>
              <w:rPr>
                <w:rFonts w:asciiTheme="minorHAnsi" w:hAnsiTheme="minorHAnsi" w:cs="Arial"/>
                <w:b/>
                <w:sz w:val="22"/>
                <w:szCs w:val="22"/>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13147078" w14:textId="77777777" w:rsidR="00AC6234" w:rsidRPr="007C14B2" w:rsidRDefault="00AC6234" w:rsidP="000748F2">
            <w:pPr>
              <w:pStyle w:val="BodyTextIndent"/>
              <w:tabs>
                <w:tab w:val="clear" w:pos="90"/>
              </w:tabs>
              <w:spacing w:before="40" w:after="20"/>
              <w:ind w:right="72"/>
              <w:jc w:val="right"/>
              <w:rPr>
                <w:rFonts w:asciiTheme="minorHAnsi" w:hAnsiTheme="minorHAnsi" w:cs="Arial"/>
                <w:b/>
                <w:szCs w:val="22"/>
              </w:rPr>
            </w:pPr>
            <w:r w:rsidRPr="007C14B2">
              <w:rPr>
                <w:rFonts w:asciiTheme="minorHAnsi" w:hAnsiTheme="minorHAnsi" w:cs="Arial"/>
                <w:b/>
                <w:szCs w:val="22"/>
              </w:rPr>
              <w:t>Average Benefit Value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2B745A" w14:textId="77777777" w:rsidR="00AC6234" w:rsidRPr="007C14B2" w:rsidRDefault="009D757C" w:rsidP="00456603">
            <w:pPr>
              <w:pStyle w:val="BodyTextIndent"/>
              <w:spacing w:before="40" w:after="20"/>
              <w:ind w:right="342"/>
              <w:jc w:val="right"/>
              <w:rPr>
                <w:rFonts w:asciiTheme="minorHAnsi" w:hAnsiTheme="minorHAnsi" w:cs="Arial"/>
                <w:b/>
                <w:szCs w:val="22"/>
              </w:rPr>
            </w:pPr>
            <w:r w:rsidRPr="007C14B2">
              <w:rPr>
                <w:rFonts w:asciiTheme="minorHAnsi" w:hAnsiTheme="minorHAnsi" w:cs="Arial"/>
                <w:b/>
                <w:szCs w:val="22"/>
              </w:rPr>
              <w:t>$26,437</w:t>
            </w:r>
          </w:p>
        </w:tc>
      </w:tr>
      <w:tr w:rsidR="00AC6234" w:rsidRPr="00DC17A3" w14:paraId="0B026A2D" w14:textId="77777777" w:rsidTr="00B52602">
        <w:trPr>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DF4F5" w14:textId="77777777" w:rsidR="00AC6234" w:rsidRPr="007C14B2" w:rsidRDefault="00AC6234" w:rsidP="000748F2">
            <w:pPr>
              <w:pStyle w:val="BodyTextIndent"/>
              <w:tabs>
                <w:tab w:val="clear" w:pos="90"/>
              </w:tabs>
              <w:spacing w:before="40" w:after="20"/>
              <w:jc w:val="center"/>
              <w:rPr>
                <w:rFonts w:asciiTheme="minorHAnsi" w:hAnsiTheme="minorHAnsi" w:cs="Arial"/>
                <w:b/>
                <w:sz w:val="22"/>
                <w:szCs w:val="22"/>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6FCB2089" w14:textId="77777777" w:rsidR="00AC6234" w:rsidRPr="007C14B2" w:rsidRDefault="00AC6234" w:rsidP="000748F2">
            <w:pPr>
              <w:pStyle w:val="BodyTextIndent"/>
              <w:tabs>
                <w:tab w:val="clear" w:pos="90"/>
              </w:tabs>
              <w:spacing w:before="40" w:after="20"/>
              <w:ind w:right="72"/>
              <w:jc w:val="right"/>
              <w:rPr>
                <w:rFonts w:asciiTheme="minorHAnsi" w:hAnsiTheme="minorHAnsi" w:cs="Arial"/>
                <w:b/>
                <w:szCs w:val="22"/>
              </w:rPr>
            </w:pPr>
            <w:r w:rsidRPr="007C14B2">
              <w:rPr>
                <w:rFonts w:asciiTheme="minorHAnsi" w:hAnsiTheme="minorHAnsi" w:cs="Arial"/>
                <w:b/>
                <w:szCs w:val="22"/>
              </w:rPr>
              <w:t>Average Total Compensation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AC1730" w14:textId="77777777" w:rsidR="00AC6234" w:rsidRPr="007C14B2" w:rsidRDefault="009D757C" w:rsidP="00456603">
            <w:pPr>
              <w:pStyle w:val="BodyTextIndent"/>
              <w:spacing w:before="40" w:after="20"/>
              <w:ind w:right="342"/>
              <w:jc w:val="right"/>
              <w:rPr>
                <w:rFonts w:asciiTheme="minorHAnsi" w:hAnsiTheme="minorHAnsi" w:cs="Arial"/>
                <w:b/>
                <w:szCs w:val="22"/>
              </w:rPr>
            </w:pPr>
            <w:r w:rsidRPr="007C14B2">
              <w:rPr>
                <w:rFonts w:asciiTheme="minorHAnsi" w:hAnsiTheme="minorHAnsi" w:cs="Arial"/>
                <w:b/>
                <w:szCs w:val="22"/>
              </w:rPr>
              <w:t>$73,770</w:t>
            </w:r>
          </w:p>
        </w:tc>
      </w:tr>
      <w:tr w:rsidR="00456603" w:rsidRPr="00DC17A3" w14:paraId="587FC7EF" w14:textId="77777777" w:rsidTr="00B52602">
        <w:trPr>
          <w:jc w:val="center"/>
        </w:trPr>
        <w:tc>
          <w:tcPr>
            <w:tcW w:w="8370" w:type="dxa"/>
            <w:gridSpan w:val="4"/>
            <w:tcBorders>
              <w:top w:val="single" w:sz="4" w:space="0" w:color="auto"/>
              <w:left w:val="nil"/>
              <w:bottom w:val="nil"/>
              <w:right w:val="nil"/>
            </w:tcBorders>
            <w:shd w:val="clear" w:color="auto" w:fill="auto"/>
          </w:tcPr>
          <w:p w14:paraId="04C398F3" w14:textId="77777777" w:rsidR="003A440A" w:rsidRPr="003A440A" w:rsidRDefault="003A440A" w:rsidP="003A440A">
            <w:pPr>
              <w:pStyle w:val="BodyTextIndent"/>
              <w:tabs>
                <w:tab w:val="clear" w:pos="90"/>
              </w:tabs>
              <w:jc w:val="left"/>
              <w:rPr>
                <w:rFonts w:asciiTheme="minorHAnsi" w:hAnsiTheme="minorHAnsi" w:cs="Arial"/>
                <w:i/>
                <w:sz w:val="12"/>
                <w:szCs w:val="12"/>
              </w:rPr>
            </w:pPr>
          </w:p>
          <w:p w14:paraId="76AFFCBD" w14:textId="00BCFB14" w:rsidR="00456603" w:rsidRPr="00456603" w:rsidRDefault="00456603" w:rsidP="003A440A">
            <w:pPr>
              <w:pStyle w:val="BodyTextIndent"/>
              <w:tabs>
                <w:tab w:val="clear" w:pos="90"/>
              </w:tabs>
              <w:rPr>
                <w:rFonts w:asciiTheme="minorHAnsi" w:hAnsiTheme="minorHAnsi" w:cs="Arial"/>
                <w:i/>
                <w:sz w:val="18"/>
              </w:rPr>
            </w:pPr>
            <w:r w:rsidRPr="00456603">
              <w:rPr>
                <w:rFonts w:asciiTheme="minorHAnsi" w:hAnsiTheme="minorHAnsi" w:cs="Arial"/>
                <w:i/>
                <w:sz w:val="18"/>
              </w:rPr>
              <w:t>Sources: Office of State Human Resources, State Health Plan, Office of State Budget and Management</w:t>
            </w:r>
            <w:r>
              <w:rPr>
                <w:rFonts w:asciiTheme="minorHAnsi" w:hAnsiTheme="minorHAnsi" w:cs="Arial"/>
                <w:i/>
                <w:sz w:val="18"/>
              </w:rPr>
              <w:t xml:space="preserve"> </w:t>
            </w:r>
            <w:r w:rsidRPr="00456603">
              <w:rPr>
                <w:rFonts w:asciiTheme="minorHAnsi" w:hAnsiTheme="minorHAnsi" w:cs="Arial"/>
                <w:i/>
                <w:sz w:val="18"/>
              </w:rPr>
              <w:t>and the N</w:t>
            </w:r>
            <w:r w:rsidR="00BF62D6">
              <w:rPr>
                <w:rFonts w:asciiTheme="minorHAnsi" w:hAnsiTheme="minorHAnsi" w:cs="Arial"/>
                <w:i/>
                <w:sz w:val="18"/>
              </w:rPr>
              <w:t>.</w:t>
            </w:r>
            <w:r w:rsidRPr="00456603">
              <w:rPr>
                <w:rFonts w:asciiTheme="minorHAnsi" w:hAnsiTheme="minorHAnsi" w:cs="Arial"/>
                <w:i/>
                <w:sz w:val="18"/>
              </w:rPr>
              <w:t>C</w:t>
            </w:r>
            <w:r w:rsidR="00BF62D6">
              <w:rPr>
                <w:rFonts w:asciiTheme="minorHAnsi" w:hAnsiTheme="minorHAnsi" w:cs="Arial"/>
                <w:i/>
                <w:sz w:val="18"/>
              </w:rPr>
              <w:t>.</w:t>
            </w:r>
            <w:r w:rsidRPr="00456603">
              <w:rPr>
                <w:rFonts w:asciiTheme="minorHAnsi" w:hAnsiTheme="minorHAnsi" w:cs="Arial"/>
                <w:i/>
                <w:sz w:val="18"/>
              </w:rPr>
              <w:t xml:space="preserve"> Retirement Systems Division</w:t>
            </w:r>
          </w:p>
        </w:tc>
      </w:tr>
    </w:tbl>
    <w:p w14:paraId="3925FD9B" w14:textId="77777777" w:rsidR="00BB2AAD" w:rsidRPr="00F40949" w:rsidRDefault="00BB2AAD" w:rsidP="00456603">
      <w:pPr>
        <w:pStyle w:val="BodyTextIndent"/>
        <w:ind w:firstLine="720"/>
        <w:rPr>
          <w:rFonts w:ascii="Arial" w:hAnsi="Arial" w:cs="Arial"/>
          <w:sz w:val="12"/>
          <w:szCs w:val="12"/>
        </w:rPr>
      </w:pPr>
    </w:p>
    <w:p w14:paraId="017EFEBA" w14:textId="4A9786D7" w:rsidR="00C73EA1" w:rsidRPr="00456603" w:rsidRDefault="00D66D3B" w:rsidP="00F40949">
      <w:pPr>
        <w:pStyle w:val="BodyTextIndent"/>
        <w:rPr>
          <w:rFonts w:asciiTheme="minorHAnsi" w:hAnsiTheme="minorHAnsi" w:cs="Arial"/>
          <w:sz w:val="22"/>
          <w:szCs w:val="24"/>
        </w:rPr>
      </w:pPr>
      <w:r w:rsidRPr="00456603">
        <w:rPr>
          <w:rFonts w:asciiTheme="minorHAnsi" w:hAnsiTheme="minorHAnsi" w:cs="Arial"/>
          <w:sz w:val="22"/>
          <w:szCs w:val="24"/>
        </w:rPr>
        <w:t xml:space="preserve">Once Average Total Compensation is </w:t>
      </w:r>
      <w:r w:rsidR="00B91E1A" w:rsidRPr="00456603">
        <w:rPr>
          <w:rFonts w:asciiTheme="minorHAnsi" w:hAnsiTheme="minorHAnsi" w:cs="Arial"/>
          <w:sz w:val="22"/>
          <w:szCs w:val="24"/>
        </w:rPr>
        <w:t>derived</w:t>
      </w:r>
      <w:r w:rsidRPr="00456603">
        <w:rPr>
          <w:rFonts w:asciiTheme="minorHAnsi" w:hAnsiTheme="minorHAnsi" w:cs="Arial"/>
          <w:sz w:val="22"/>
          <w:szCs w:val="24"/>
        </w:rPr>
        <w:t xml:space="preserve">, Salary and Benefits can in turn be calculated as a </w:t>
      </w:r>
      <w:r w:rsidRPr="00456603">
        <w:rPr>
          <w:rFonts w:asciiTheme="minorHAnsi" w:hAnsiTheme="minorHAnsi" w:cs="Arial"/>
          <w:i/>
          <w:sz w:val="22"/>
          <w:szCs w:val="24"/>
        </w:rPr>
        <w:t>Percentage of Total Compensation</w:t>
      </w:r>
      <w:r w:rsidRPr="00456603">
        <w:rPr>
          <w:rFonts w:asciiTheme="minorHAnsi" w:hAnsiTheme="minorHAnsi" w:cs="Arial"/>
          <w:sz w:val="22"/>
          <w:szCs w:val="24"/>
        </w:rPr>
        <w:t xml:space="preserve">.  This allows for comparisons to be made between </w:t>
      </w:r>
      <w:r w:rsidR="00BF62D6">
        <w:rPr>
          <w:rFonts w:asciiTheme="minorHAnsi" w:hAnsiTheme="minorHAnsi" w:cs="Arial"/>
          <w:sz w:val="22"/>
          <w:szCs w:val="24"/>
        </w:rPr>
        <w:t>North Carolina</w:t>
      </w:r>
      <w:r w:rsidRPr="00456603">
        <w:rPr>
          <w:rFonts w:asciiTheme="minorHAnsi" w:hAnsiTheme="minorHAnsi" w:cs="Arial"/>
          <w:sz w:val="22"/>
          <w:szCs w:val="24"/>
        </w:rPr>
        <w:t xml:space="preserve">’s Average Percentage of Total Compensation and national trends, as seen </w:t>
      </w:r>
      <w:r w:rsidR="007444E9" w:rsidRPr="00456603">
        <w:rPr>
          <w:rFonts w:asciiTheme="minorHAnsi" w:hAnsiTheme="minorHAnsi" w:cs="Arial"/>
          <w:sz w:val="22"/>
          <w:szCs w:val="24"/>
        </w:rPr>
        <w:t>in Table 2</w:t>
      </w:r>
      <w:r w:rsidRPr="00456603">
        <w:rPr>
          <w:rFonts w:asciiTheme="minorHAnsi" w:hAnsiTheme="minorHAnsi" w:cs="Arial"/>
          <w:sz w:val="22"/>
          <w:szCs w:val="24"/>
        </w:rPr>
        <w:t>.</w:t>
      </w:r>
      <w:r w:rsidR="00EF16F9" w:rsidRPr="00456603">
        <w:rPr>
          <w:rFonts w:asciiTheme="minorHAnsi" w:hAnsiTheme="minorHAnsi" w:cs="Arial"/>
          <w:sz w:val="22"/>
          <w:szCs w:val="24"/>
        </w:rPr>
        <w:t xml:space="preserve">  This analysis indicates that </w:t>
      </w:r>
      <w:r w:rsidR="00EF16F9" w:rsidRPr="00456603">
        <w:rPr>
          <w:rFonts w:asciiTheme="minorHAnsi" w:hAnsiTheme="minorHAnsi" w:cs="Arial"/>
          <w:sz w:val="22"/>
          <w:szCs w:val="24"/>
        </w:rPr>
        <w:lastRenderedPageBreak/>
        <w:t>North Carolina’s</w:t>
      </w:r>
      <w:r w:rsidR="006F6F2B" w:rsidRPr="00456603">
        <w:rPr>
          <w:rFonts w:asciiTheme="minorHAnsi" w:hAnsiTheme="minorHAnsi" w:cs="Arial"/>
          <w:sz w:val="22"/>
          <w:szCs w:val="24"/>
        </w:rPr>
        <w:t xml:space="preserve"> salary and wages generally do not make up </w:t>
      </w:r>
      <w:r w:rsidR="0058695E" w:rsidRPr="00456603">
        <w:rPr>
          <w:rFonts w:asciiTheme="minorHAnsi" w:hAnsiTheme="minorHAnsi" w:cs="Arial"/>
          <w:sz w:val="22"/>
          <w:szCs w:val="24"/>
        </w:rPr>
        <w:t xml:space="preserve">quite </w:t>
      </w:r>
      <w:r w:rsidR="006F6F2B" w:rsidRPr="00456603">
        <w:rPr>
          <w:rFonts w:asciiTheme="minorHAnsi" w:hAnsiTheme="minorHAnsi" w:cs="Arial"/>
          <w:sz w:val="22"/>
          <w:szCs w:val="24"/>
        </w:rPr>
        <w:t xml:space="preserve">as large a portion of total compensation as is seen nationally, while </w:t>
      </w:r>
      <w:r w:rsidR="00BF62D6">
        <w:rPr>
          <w:rFonts w:asciiTheme="minorHAnsi" w:hAnsiTheme="minorHAnsi" w:cs="Arial"/>
          <w:sz w:val="22"/>
          <w:szCs w:val="24"/>
        </w:rPr>
        <w:t xml:space="preserve">the </w:t>
      </w:r>
      <w:r w:rsidR="00AA3E49">
        <w:rPr>
          <w:rFonts w:asciiTheme="minorHAnsi" w:hAnsiTheme="minorHAnsi" w:cs="Arial"/>
          <w:sz w:val="22"/>
          <w:szCs w:val="24"/>
        </w:rPr>
        <w:t>S</w:t>
      </w:r>
      <w:r w:rsidR="00BF62D6">
        <w:rPr>
          <w:rFonts w:asciiTheme="minorHAnsi" w:hAnsiTheme="minorHAnsi" w:cs="Arial"/>
          <w:sz w:val="22"/>
          <w:szCs w:val="24"/>
        </w:rPr>
        <w:t>tate</w:t>
      </w:r>
      <w:r w:rsidR="006F6F2B" w:rsidRPr="00456603">
        <w:rPr>
          <w:rFonts w:asciiTheme="minorHAnsi" w:hAnsiTheme="minorHAnsi" w:cs="Arial"/>
          <w:sz w:val="22"/>
          <w:szCs w:val="24"/>
        </w:rPr>
        <w:t>’s</w:t>
      </w:r>
      <w:r w:rsidR="00EF16F9" w:rsidRPr="00456603">
        <w:rPr>
          <w:rFonts w:asciiTheme="minorHAnsi" w:hAnsiTheme="minorHAnsi" w:cs="Arial"/>
          <w:sz w:val="22"/>
          <w:szCs w:val="24"/>
        </w:rPr>
        <w:t xml:space="preserve"> paid time off</w:t>
      </w:r>
      <w:r w:rsidR="001E0DFC" w:rsidRPr="00456603">
        <w:rPr>
          <w:rFonts w:asciiTheme="minorHAnsi" w:hAnsiTheme="minorHAnsi" w:cs="Arial"/>
          <w:sz w:val="22"/>
          <w:szCs w:val="24"/>
        </w:rPr>
        <w:t xml:space="preserve"> and retirement</w:t>
      </w:r>
      <w:r w:rsidR="00EF16F9" w:rsidRPr="00456603">
        <w:rPr>
          <w:rFonts w:asciiTheme="minorHAnsi" w:hAnsiTheme="minorHAnsi" w:cs="Arial"/>
          <w:sz w:val="22"/>
          <w:szCs w:val="24"/>
        </w:rPr>
        <w:t xml:space="preserve"> benefits generally outpace national averages when expressed as a per</w:t>
      </w:r>
      <w:r w:rsidR="007444E9" w:rsidRPr="00456603">
        <w:rPr>
          <w:rFonts w:asciiTheme="minorHAnsi" w:hAnsiTheme="minorHAnsi" w:cs="Arial"/>
          <w:sz w:val="22"/>
          <w:szCs w:val="24"/>
        </w:rPr>
        <w:t>centage of total compensation. N</w:t>
      </w:r>
      <w:r w:rsidR="00BF62D6">
        <w:rPr>
          <w:rFonts w:asciiTheme="minorHAnsi" w:hAnsiTheme="minorHAnsi" w:cs="Arial"/>
          <w:sz w:val="22"/>
          <w:szCs w:val="24"/>
        </w:rPr>
        <w:t>orth Carolina</w:t>
      </w:r>
      <w:r w:rsidR="007444E9" w:rsidRPr="00456603">
        <w:rPr>
          <w:rFonts w:asciiTheme="minorHAnsi" w:hAnsiTheme="minorHAnsi" w:cs="Arial"/>
          <w:sz w:val="22"/>
          <w:szCs w:val="24"/>
        </w:rPr>
        <w:t>’s portion of total compensation dedicated to health insurance</w:t>
      </w:r>
      <w:r w:rsidR="001E0DFC" w:rsidRPr="00456603">
        <w:rPr>
          <w:rFonts w:asciiTheme="minorHAnsi" w:hAnsiTheme="minorHAnsi" w:cs="Arial"/>
          <w:sz w:val="22"/>
          <w:szCs w:val="24"/>
        </w:rPr>
        <w:t xml:space="preserve"> and </w:t>
      </w:r>
      <w:r w:rsidR="00BF62D6">
        <w:rPr>
          <w:rFonts w:asciiTheme="minorHAnsi" w:hAnsiTheme="minorHAnsi" w:cs="Arial"/>
          <w:sz w:val="22"/>
          <w:szCs w:val="24"/>
        </w:rPr>
        <w:t>S</w:t>
      </w:r>
      <w:r w:rsidR="001E0DFC" w:rsidRPr="00456603">
        <w:rPr>
          <w:rFonts w:asciiTheme="minorHAnsi" w:hAnsiTheme="minorHAnsi" w:cs="Arial"/>
          <w:sz w:val="22"/>
          <w:szCs w:val="24"/>
        </w:rPr>
        <w:t xml:space="preserve">ocial </w:t>
      </w:r>
      <w:r w:rsidR="00BF62D6">
        <w:rPr>
          <w:rFonts w:asciiTheme="minorHAnsi" w:hAnsiTheme="minorHAnsi" w:cs="Arial"/>
          <w:sz w:val="22"/>
          <w:szCs w:val="24"/>
        </w:rPr>
        <w:t>S</w:t>
      </w:r>
      <w:r w:rsidR="001E0DFC" w:rsidRPr="00456603">
        <w:rPr>
          <w:rFonts w:asciiTheme="minorHAnsi" w:hAnsiTheme="minorHAnsi" w:cs="Arial"/>
          <w:sz w:val="22"/>
          <w:szCs w:val="24"/>
        </w:rPr>
        <w:t>ecurity</w:t>
      </w:r>
      <w:r w:rsidR="007444E9" w:rsidRPr="00456603">
        <w:rPr>
          <w:rFonts w:asciiTheme="minorHAnsi" w:hAnsiTheme="minorHAnsi" w:cs="Arial"/>
          <w:sz w:val="22"/>
          <w:szCs w:val="24"/>
        </w:rPr>
        <w:t xml:space="preserve"> lag</w:t>
      </w:r>
      <w:r w:rsidR="001E0DFC" w:rsidRPr="00456603">
        <w:rPr>
          <w:rFonts w:asciiTheme="minorHAnsi" w:hAnsiTheme="minorHAnsi" w:cs="Arial"/>
          <w:sz w:val="22"/>
          <w:szCs w:val="24"/>
        </w:rPr>
        <w:t xml:space="preserve">s the national average. </w:t>
      </w:r>
      <w:r w:rsidR="00B91E1A" w:rsidRPr="00456603">
        <w:rPr>
          <w:rFonts w:asciiTheme="minorHAnsi" w:hAnsiTheme="minorHAnsi" w:cs="Arial"/>
          <w:sz w:val="22"/>
          <w:szCs w:val="24"/>
        </w:rPr>
        <w:t>Note that this analysis generally includes only annually budgeted compensation items; other “variable” compensation and benefits such as overtime pay, workers compensation and unemployment</w:t>
      </w:r>
      <w:r w:rsidR="00BF62D6">
        <w:rPr>
          <w:rFonts w:asciiTheme="minorHAnsi" w:hAnsiTheme="minorHAnsi" w:cs="Arial"/>
          <w:sz w:val="22"/>
          <w:szCs w:val="24"/>
        </w:rPr>
        <w:t>,</w:t>
      </w:r>
      <w:r w:rsidR="00B91E1A" w:rsidRPr="00456603">
        <w:rPr>
          <w:rFonts w:asciiTheme="minorHAnsi" w:hAnsiTheme="minorHAnsi" w:cs="Arial"/>
          <w:sz w:val="22"/>
          <w:szCs w:val="24"/>
        </w:rPr>
        <w:t xml:space="preserve"> are not included.</w:t>
      </w:r>
    </w:p>
    <w:p w14:paraId="73F888A9" w14:textId="77777777" w:rsidR="0038480B" w:rsidRDefault="0038480B" w:rsidP="002010B7">
      <w:pPr>
        <w:pStyle w:val="BodyTextIndent"/>
        <w:jc w:val="left"/>
        <w:rPr>
          <w:rFonts w:asciiTheme="minorHAnsi" w:hAnsiTheme="minorHAnsi" w:cs="Arial"/>
          <w:sz w:val="22"/>
          <w:szCs w:val="24"/>
        </w:rPr>
      </w:pPr>
    </w:p>
    <w:p w14:paraId="209FB348" w14:textId="77777777" w:rsidR="00CC4177" w:rsidRPr="00AA3497" w:rsidRDefault="003F705A" w:rsidP="000748F2">
      <w:pPr>
        <w:pStyle w:val="BodyTextIndent"/>
        <w:spacing w:after="120"/>
        <w:jc w:val="center"/>
        <w:rPr>
          <w:rFonts w:asciiTheme="minorHAnsi" w:hAnsiTheme="minorHAnsi" w:cs="Arial"/>
          <w:b/>
          <w:szCs w:val="24"/>
        </w:rPr>
      </w:pPr>
      <w:r w:rsidRPr="00AA3497">
        <w:rPr>
          <w:rFonts w:asciiTheme="minorHAnsi" w:hAnsiTheme="minorHAnsi" w:cs="Arial"/>
          <w:b/>
          <w:sz w:val="22"/>
          <w:szCs w:val="24"/>
        </w:rPr>
        <w:t>Table 2</w:t>
      </w:r>
      <w:r w:rsidR="00497D12" w:rsidRPr="00AA3497">
        <w:rPr>
          <w:rFonts w:asciiTheme="minorHAnsi" w:hAnsiTheme="minorHAnsi" w:cs="Arial"/>
          <w:b/>
          <w:sz w:val="22"/>
          <w:szCs w:val="24"/>
        </w:rPr>
        <w:t xml:space="preserve">: </w:t>
      </w:r>
      <w:r w:rsidR="00AA3497">
        <w:rPr>
          <w:rFonts w:asciiTheme="minorHAnsi" w:hAnsiTheme="minorHAnsi" w:cs="Arial"/>
          <w:b/>
          <w:sz w:val="22"/>
          <w:szCs w:val="24"/>
        </w:rPr>
        <w:t>Salary and Benefits as a P</w:t>
      </w:r>
      <w:r w:rsidR="00AA3497" w:rsidRPr="00AA3497">
        <w:rPr>
          <w:rFonts w:asciiTheme="minorHAnsi" w:hAnsiTheme="minorHAnsi" w:cs="Arial"/>
          <w:b/>
          <w:sz w:val="22"/>
          <w:szCs w:val="24"/>
        </w:rPr>
        <w:t>ercentage of TOTAL COMPENSATION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520"/>
        <w:gridCol w:w="2430"/>
        <w:gridCol w:w="1514"/>
      </w:tblGrid>
      <w:tr w:rsidR="00F571F3" w:rsidRPr="00DC17A3" w14:paraId="60E42201" w14:textId="77777777" w:rsidTr="00B52602">
        <w:trPr>
          <w:trHeight w:val="1043"/>
        </w:trPr>
        <w:tc>
          <w:tcPr>
            <w:tcW w:w="2160" w:type="dxa"/>
            <w:tcBorders>
              <w:top w:val="single" w:sz="4" w:space="0" w:color="auto"/>
              <w:left w:val="single" w:sz="4" w:space="0" w:color="auto"/>
              <w:bottom w:val="single" w:sz="4" w:space="0" w:color="auto"/>
              <w:right w:val="single" w:sz="4" w:space="0" w:color="auto"/>
            </w:tcBorders>
            <w:shd w:val="clear" w:color="auto" w:fill="DAEEF3"/>
          </w:tcPr>
          <w:p w14:paraId="29AD9C9C" w14:textId="77777777" w:rsidR="00F571F3" w:rsidRPr="00F37412" w:rsidRDefault="00F571F3" w:rsidP="00F37412">
            <w:pPr>
              <w:pStyle w:val="BodyTextIndent"/>
              <w:spacing w:before="40" w:after="20"/>
              <w:jc w:val="center"/>
              <w:rPr>
                <w:rFonts w:asciiTheme="minorHAnsi" w:hAnsiTheme="minorHAnsi" w:cs="Arial"/>
                <w:b/>
                <w:sz w:val="22"/>
                <w:szCs w:val="22"/>
              </w:rPr>
            </w:pPr>
          </w:p>
          <w:p w14:paraId="045DE325" w14:textId="77777777" w:rsidR="00F571F3" w:rsidRPr="00F37412" w:rsidRDefault="00F37412" w:rsidP="00F37412">
            <w:pPr>
              <w:pStyle w:val="BodyTextIndent"/>
              <w:spacing w:before="40" w:after="20"/>
              <w:jc w:val="center"/>
              <w:rPr>
                <w:rFonts w:asciiTheme="minorHAnsi" w:hAnsiTheme="minorHAnsi" w:cs="Arial"/>
                <w:b/>
                <w:sz w:val="22"/>
                <w:szCs w:val="22"/>
              </w:rPr>
            </w:pPr>
            <w:r w:rsidRPr="00F37412">
              <w:rPr>
                <w:rFonts w:asciiTheme="minorHAnsi" w:hAnsiTheme="minorHAnsi" w:cs="Arial"/>
                <w:b/>
                <w:sz w:val="22"/>
                <w:szCs w:val="22"/>
              </w:rPr>
              <w:t>Benefit</w:t>
            </w:r>
          </w:p>
          <w:p w14:paraId="20DFA715" w14:textId="77777777" w:rsidR="00F571F3" w:rsidRPr="00F37412" w:rsidRDefault="00F37412" w:rsidP="00F37412">
            <w:pPr>
              <w:pStyle w:val="BodyTextIndent"/>
              <w:spacing w:before="40" w:after="20"/>
              <w:jc w:val="center"/>
              <w:rPr>
                <w:rFonts w:asciiTheme="minorHAnsi" w:hAnsiTheme="minorHAnsi" w:cs="Arial"/>
                <w:b/>
                <w:sz w:val="22"/>
                <w:szCs w:val="22"/>
              </w:rPr>
            </w:pPr>
            <w:r w:rsidRPr="00F37412">
              <w:rPr>
                <w:rFonts w:asciiTheme="minorHAnsi" w:hAnsiTheme="minorHAnsi" w:cs="Arial"/>
                <w:b/>
                <w:sz w:val="22"/>
                <w:szCs w:val="22"/>
              </w:rPr>
              <w:t>Category</w:t>
            </w:r>
          </w:p>
        </w:tc>
        <w:tc>
          <w:tcPr>
            <w:tcW w:w="2520" w:type="dxa"/>
            <w:tcBorders>
              <w:top w:val="single" w:sz="4" w:space="0" w:color="auto"/>
              <w:left w:val="single" w:sz="4" w:space="0" w:color="auto"/>
              <w:bottom w:val="single" w:sz="4" w:space="0" w:color="auto"/>
              <w:right w:val="single" w:sz="4" w:space="0" w:color="auto"/>
            </w:tcBorders>
            <w:shd w:val="clear" w:color="auto" w:fill="DAEEF3"/>
          </w:tcPr>
          <w:p w14:paraId="3F19A3A6" w14:textId="77777777" w:rsidR="00AE2039" w:rsidRPr="00F37412" w:rsidRDefault="00F37412" w:rsidP="00F37412">
            <w:pPr>
              <w:pStyle w:val="BodyTextIndent"/>
              <w:spacing w:before="40" w:after="20"/>
              <w:jc w:val="center"/>
              <w:rPr>
                <w:rFonts w:asciiTheme="minorHAnsi" w:hAnsiTheme="minorHAnsi" w:cs="Arial"/>
                <w:b/>
                <w:sz w:val="22"/>
                <w:szCs w:val="22"/>
              </w:rPr>
            </w:pPr>
            <w:r>
              <w:rPr>
                <w:rFonts w:asciiTheme="minorHAnsi" w:hAnsiTheme="minorHAnsi" w:cs="Arial"/>
                <w:b/>
                <w:sz w:val="22"/>
                <w:szCs w:val="22"/>
              </w:rPr>
              <w:t>BLS</w:t>
            </w:r>
          </w:p>
          <w:p w14:paraId="55A7FB09" w14:textId="77777777" w:rsidR="00F571F3" w:rsidRPr="00F37412" w:rsidRDefault="00F37412" w:rsidP="00F37412">
            <w:pPr>
              <w:pStyle w:val="BodyTextIndent"/>
              <w:spacing w:before="40" w:after="20"/>
              <w:jc w:val="center"/>
              <w:rPr>
                <w:rFonts w:asciiTheme="minorHAnsi" w:hAnsiTheme="minorHAnsi" w:cs="Arial"/>
                <w:b/>
                <w:sz w:val="22"/>
                <w:szCs w:val="22"/>
              </w:rPr>
            </w:pPr>
            <w:r>
              <w:rPr>
                <w:rFonts w:asciiTheme="minorHAnsi" w:hAnsiTheme="minorHAnsi" w:cs="Arial"/>
                <w:b/>
                <w:sz w:val="22"/>
                <w:szCs w:val="22"/>
              </w:rPr>
              <w:t>Percentage o</w:t>
            </w:r>
            <w:r w:rsidRPr="00F37412">
              <w:rPr>
                <w:rFonts w:asciiTheme="minorHAnsi" w:hAnsiTheme="minorHAnsi" w:cs="Arial"/>
                <w:b/>
                <w:sz w:val="22"/>
                <w:szCs w:val="22"/>
              </w:rPr>
              <w:t>f Total Compensation</w:t>
            </w:r>
          </w:p>
          <w:p w14:paraId="2856590B" w14:textId="77777777" w:rsidR="009A090F" w:rsidRPr="00F37412" w:rsidRDefault="00F37412" w:rsidP="00F37412">
            <w:pPr>
              <w:pStyle w:val="BodyTextIndent"/>
              <w:spacing w:before="40" w:after="20"/>
              <w:jc w:val="center"/>
              <w:rPr>
                <w:rFonts w:asciiTheme="minorHAnsi" w:hAnsiTheme="minorHAnsi" w:cs="Arial"/>
                <w:b/>
                <w:sz w:val="22"/>
                <w:szCs w:val="22"/>
              </w:rPr>
            </w:pPr>
            <w:r w:rsidRPr="00F37412">
              <w:rPr>
                <w:rFonts w:asciiTheme="minorHAnsi" w:hAnsiTheme="minorHAnsi" w:cs="Arial"/>
                <w:b/>
                <w:sz w:val="22"/>
                <w:szCs w:val="22"/>
              </w:rPr>
              <w:t>201</w:t>
            </w:r>
            <w:r w:rsidR="007910D4">
              <w:rPr>
                <w:rFonts w:asciiTheme="minorHAnsi" w:hAnsiTheme="minorHAnsi" w:cs="Arial"/>
                <w:b/>
                <w:sz w:val="22"/>
                <w:szCs w:val="22"/>
              </w:rPr>
              <w:t>6</w:t>
            </w:r>
          </w:p>
        </w:tc>
        <w:tc>
          <w:tcPr>
            <w:tcW w:w="2430" w:type="dxa"/>
            <w:tcBorders>
              <w:top w:val="single" w:sz="4" w:space="0" w:color="auto"/>
              <w:left w:val="single" w:sz="4" w:space="0" w:color="auto"/>
              <w:bottom w:val="single" w:sz="4" w:space="0" w:color="auto"/>
              <w:right w:val="single" w:sz="4" w:space="0" w:color="auto"/>
            </w:tcBorders>
            <w:shd w:val="clear" w:color="auto" w:fill="DAEEF3"/>
          </w:tcPr>
          <w:p w14:paraId="13A2CD7F" w14:textId="77777777" w:rsidR="00F571F3" w:rsidRPr="00F37412" w:rsidRDefault="00F37412" w:rsidP="00F37412">
            <w:pPr>
              <w:pStyle w:val="BodyTextIndent"/>
              <w:spacing w:before="40" w:after="20"/>
              <w:jc w:val="center"/>
              <w:rPr>
                <w:rFonts w:asciiTheme="minorHAnsi" w:hAnsiTheme="minorHAnsi" w:cs="Arial"/>
                <w:b/>
                <w:sz w:val="22"/>
                <w:szCs w:val="22"/>
              </w:rPr>
            </w:pPr>
            <w:r>
              <w:rPr>
                <w:rFonts w:asciiTheme="minorHAnsi" w:hAnsiTheme="minorHAnsi" w:cs="Arial"/>
                <w:b/>
                <w:sz w:val="22"/>
                <w:szCs w:val="22"/>
              </w:rPr>
              <w:t>N.C. Average Percentage o</w:t>
            </w:r>
            <w:r w:rsidRPr="00F37412">
              <w:rPr>
                <w:rFonts w:asciiTheme="minorHAnsi" w:hAnsiTheme="minorHAnsi" w:cs="Arial"/>
                <w:b/>
                <w:sz w:val="22"/>
                <w:szCs w:val="22"/>
              </w:rPr>
              <w:t>f Total Compensation</w:t>
            </w:r>
          </w:p>
          <w:p w14:paraId="67B23416" w14:textId="77777777" w:rsidR="009A090F" w:rsidRPr="00F37412" w:rsidRDefault="00F37412" w:rsidP="00F37412">
            <w:pPr>
              <w:pStyle w:val="BodyTextIndent"/>
              <w:spacing w:before="40" w:after="20"/>
              <w:jc w:val="center"/>
              <w:rPr>
                <w:rFonts w:asciiTheme="minorHAnsi" w:hAnsiTheme="minorHAnsi" w:cs="Arial"/>
                <w:b/>
                <w:sz w:val="22"/>
                <w:szCs w:val="22"/>
              </w:rPr>
            </w:pPr>
            <w:r w:rsidRPr="00F37412">
              <w:rPr>
                <w:rFonts w:asciiTheme="minorHAnsi" w:hAnsiTheme="minorHAnsi" w:cs="Arial"/>
                <w:b/>
                <w:sz w:val="22"/>
                <w:szCs w:val="22"/>
              </w:rPr>
              <w:t>201</w:t>
            </w:r>
            <w:r w:rsidR="00784BC9">
              <w:rPr>
                <w:rFonts w:asciiTheme="minorHAnsi" w:hAnsiTheme="minorHAnsi" w:cs="Arial"/>
                <w:b/>
                <w:sz w:val="22"/>
                <w:szCs w:val="22"/>
              </w:rPr>
              <w:t>7</w:t>
            </w:r>
          </w:p>
        </w:tc>
        <w:tc>
          <w:tcPr>
            <w:tcW w:w="1514" w:type="dxa"/>
            <w:tcBorders>
              <w:top w:val="single" w:sz="4" w:space="0" w:color="auto"/>
              <w:left w:val="single" w:sz="4" w:space="0" w:color="auto"/>
              <w:bottom w:val="single" w:sz="4" w:space="0" w:color="auto"/>
              <w:right w:val="single" w:sz="4" w:space="0" w:color="auto"/>
            </w:tcBorders>
            <w:shd w:val="clear" w:color="auto" w:fill="DAEEF3"/>
          </w:tcPr>
          <w:p w14:paraId="3A851D9D" w14:textId="77777777" w:rsidR="00F571F3" w:rsidRPr="00F37412" w:rsidRDefault="00F37412" w:rsidP="00F37412">
            <w:pPr>
              <w:pStyle w:val="BodyTextIndent"/>
              <w:spacing w:before="40" w:after="20"/>
              <w:jc w:val="center"/>
              <w:rPr>
                <w:rFonts w:asciiTheme="minorHAnsi" w:hAnsiTheme="minorHAnsi" w:cs="Arial"/>
                <w:b/>
                <w:sz w:val="22"/>
                <w:szCs w:val="22"/>
              </w:rPr>
            </w:pPr>
            <w:r w:rsidRPr="00F37412">
              <w:rPr>
                <w:rFonts w:asciiTheme="minorHAnsi" w:hAnsiTheme="minorHAnsi" w:cs="Arial"/>
                <w:b/>
                <w:sz w:val="22"/>
                <w:szCs w:val="22"/>
              </w:rPr>
              <w:t>N.C.</w:t>
            </w:r>
          </w:p>
          <w:p w14:paraId="1FCDDFE9" w14:textId="77777777" w:rsidR="00F571F3" w:rsidRPr="00F37412" w:rsidRDefault="00F37412" w:rsidP="00F37412">
            <w:pPr>
              <w:pStyle w:val="BodyTextIndent"/>
              <w:spacing w:before="40" w:after="20"/>
              <w:jc w:val="center"/>
              <w:rPr>
                <w:rFonts w:asciiTheme="minorHAnsi" w:hAnsiTheme="minorHAnsi" w:cs="Arial"/>
                <w:b/>
                <w:sz w:val="22"/>
                <w:szCs w:val="22"/>
              </w:rPr>
            </w:pPr>
            <w:r w:rsidRPr="00F37412">
              <w:rPr>
                <w:rFonts w:asciiTheme="minorHAnsi" w:hAnsiTheme="minorHAnsi" w:cs="Arial"/>
                <w:b/>
                <w:sz w:val="22"/>
                <w:szCs w:val="22"/>
              </w:rPr>
              <w:t>Change</w:t>
            </w:r>
          </w:p>
          <w:p w14:paraId="3813B93F" w14:textId="77777777" w:rsidR="00F571F3" w:rsidRPr="00F37412" w:rsidRDefault="00F37412" w:rsidP="00F37412">
            <w:pPr>
              <w:pStyle w:val="BodyTextIndent"/>
              <w:spacing w:before="40" w:after="20"/>
              <w:jc w:val="center"/>
              <w:rPr>
                <w:rFonts w:asciiTheme="minorHAnsi" w:hAnsiTheme="minorHAnsi" w:cs="Arial"/>
                <w:b/>
                <w:sz w:val="22"/>
                <w:szCs w:val="22"/>
              </w:rPr>
            </w:pPr>
            <w:r w:rsidRPr="00F37412">
              <w:rPr>
                <w:rFonts w:asciiTheme="minorHAnsi" w:hAnsiTheme="minorHAnsi" w:cs="Arial"/>
                <w:b/>
                <w:sz w:val="22"/>
                <w:szCs w:val="22"/>
              </w:rPr>
              <w:t>From</w:t>
            </w:r>
          </w:p>
          <w:p w14:paraId="67B68A4A" w14:textId="77777777" w:rsidR="00F571F3" w:rsidRPr="00F37412" w:rsidRDefault="0064661A" w:rsidP="00F37412">
            <w:pPr>
              <w:pStyle w:val="BodyTextIndent"/>
              <w:spacing w:before="40" w:after="20"/>
              <w:jc w:val="center"/>
              <w:rPr>
                <w:rFonts w:asciiTheme="minorHAnsi" w:hAnsiTheme="minorHAnsi" w:cs="Arial"/>
                <w:b/>
                <w:sz w:val="22"/>
                <w:szCs w:val="22"/>
              </w:rPr>
            </w:pPr>
            <w:r w:rsidRPr="00A168FA">
              <w:rPr>
                <w:rFonts w:asciiTheme="minorHAnsi" w:hAnsiTheme="minorHAnsi" w:cs="Arial"/>
                <w:b/>
                <w:sz w:val="22"/>
                <w:szCs w:val="22"/>
              </w:rPr>
              <w:t>201</w:t>
            </w:r>
            <w:r w:rsidR="00784BC9" w:rsidRPr="00A168FA">
              <w:rPr>
                <w:rFonts w:asciiTheme="minorHAnsi" w:hAnsiTheme="minorHAnsi" w:cs="Arial"/>
                <w:b/>
                <w:sz w:val="22"/>
                <w:szCs w:val="22"/>
              </w:rPr>
              <w:t>6</w:t>
            </w:r>
          </w:p>
        </w:tc>
      </w:tr>
      <w:tr w:rsidR="00F571F3" w:rsidRPr="00453E1E" w14:paraId="727C772F" w14:textId="77777777" w:rsidTr="00B52602">
        <w:tc>
          <w:tcPr>
            <w:tcW w:w="2160" w:type="dxa"/>
            <w:tcBorders>
              <w:top w:val="single" w:sz="4" w:space="0" w:color="auto"/>
              <w:left w:val="single" w:sz="4" w:space="0" w:color="auto"/>
              <w:bottom w:val="single" w:sz="4" w:space="0" w:color="auto"/>
              <w:right w:val="single" w:sz="4" w:space="0" w:color="auto"/>
            </w:tcBorders>
          </w:tcPr>
          <w:p w14:paraId="2AF97A7F" w14:textId="3824D76E" w:rsidR="00F571F3" w:rsidRPr="00F37412" w:rsidRDefault="00BF62D6" w:rsidP="00F37412">
            <w:pPr>
              <w:pStyle w:val="BodyTextIndent"/>
              <w:spacing w:before="40" w:after="20"/>
              <w:jc w:val="left"/>
              <w:rPr>
                <w:rFonts w:asciiTheme="minorHAnsi" w:hAnsiTheme="minorHAnsi" w:cs="Arial"/>
                <w:b/>
                <w:sz w:val="22"/>
                <w:szCs w:val="22"/>
              </w:rPr>
            </w:pPr>
            <w:r>
              <w:rPr>
                <w:rFonts w:asciiTheme="minorHAnsi" w:hAnsiTheme="minorHAnsi" w:cs="Arial"/>
                <w:b/>
                <w:sz w:val="22"/>
                <w:szCs w:val="22"/>
              </w:rPr>
              <w:t>Salary and</w:t>
            </w:r>
            <w:r w:rsidR="00F571F3" w:rsidRPr="00F37412">
              <w:rPr>
                <w:rFonts w:asciiTheme="minorHAnsi" w:hAnsiTheme="minorHAnsi" w:cs="Arial"/>
                <w:b/>
                <w:sz w:val="22"/>
                <w:szCs w:val="22"/>
              </w:rPr>
              <w:t xml:space="preserve"> Wages</w:t>
            </w:r>
          </w:p>
        </w:tc>
        <w:tc>
          <w:tcPr>
            <w:tcW w:w="2520" w:type="dxa"/>
            <w:tcBorders>
              <w:top w:val="single" w:sz="4" w:space="0" w:color="auto"/>
              <w:left w:val="single" w:sz="4" w:space="0" w:color="auto"/>
              <w:bottom w:val="single" w:sz="4" w:space="0" w:color="auto"/>
              <w:right w:val="single" w:sz="4" w:space="0" w:color="auto"/>
            </w:tcBorders>
          </w:tcPr>
          <w:p w14:paraId="3FDD36D3" w14:textId="77777777" w:rsidR="00F571F3" w:rsidRPr="007C14B2" w:rsidRDefault="009D757C"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70.9%</w:t>
            </w:r>
          </w:p>
        </w:tc>
        <w:tc>
          <w:tcPr>
            <w:tcW w:w="2430" w:type="dxa"/>
            <w:tcBorders>
              <w:top w:val="single" w:sz="4" w:space="0" w:color="auto"/>
              <w:left w:val="single" w:sz="4" w:space="0" w:color="auto"/>
              <w:bottom w:val="single" w:sz="4" w:space="0" w:color="auto"/>
              <w:right w:val="single" w:sz="4" w:space="0" w:color="auto"/>
            </w:tcBorders>
          </w:tcPr>
          <w:p w14:paraId="248D0A94" w14:textId="77777777" w:rsidR="00F571F3" w:rsidRPr="007C14B2" w:rsidRDefault="009D757C"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64.9</w:t>
            </w:r>
            <w:r w:rsidR="00F571F3" w:rsidRPr="007C14B2">
              <w:rPr>
                <w:rFonts w:asciiTheme="minorHAnsi" w:hAnsiTheme="minorHAnsi" w:cs="Arial"/>
                <w:b/>
                <w:sz w:val="22"/>
                <w:szCs w:val="22"/>
              </w:rPr>
              <w:t>%</w:t>
            </w:r>
          </w:p>
        </w:tc>
        <w:tc>
          <w:tcPr>
            <w:tcW w:w="1514" w:type="dxa"/>
            <w:tcBorders>
              <w:top w:val="single" w:sz="4" w:space="0" w:color="auto"/>
              <w:left w:val="single" w:sz="4" w:space="0" w:color="auto"/>
              <w:bottom w:val="single" w:sz="4" w:space="0" w:color="auto"/>
              <w:right w:val="single" w:sz="4" w:space="0" w:color="auto"/>
            </w:tcBorders>
          </w:tcPr>
          <w:p w14:paraId="51DBA602" w14:textId="77777777" w:rsidR="00F571F3" w:rsidRPr="007C14B2" w:rsidRDefault="003E2991"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-0.</w:t>
            </w:r>
            <w:r w:rsidR="00A168FA" w:rsidRPr="007C14B2">
              <w:rPr>
                <w:rFonts w:asciiTheme="minorHAnsi" w:hAnsiTheme="minorHAnsi" w:cs="Arial"/>
                <w:b/>
                <w:sz w:val="22"/>
                <w:szCs w:val="22"/>
              </w:rPr>
              <w:t>6</w:t>
            </w:r>
            <w:r w:rsidR="00F571F3" w:rsidRPr="007C14B2">
              <w:rPr>
                <w:rFonts w:asciiTheme="minorHAnsi" w:hAnsiTheme="minorHAnsi" w:cs="Arial"/>
                <w:b/>
                <w:sz w:val="22"/>
                <w:szCs w:val="22"/>
              </w:rPr>
              <w:t>%</w:t>
            </w:r>
          </w:p>
        </w:tc>
      </w:tr>
      <w:tr w:rsidR="00AE2039" w:rsidRPr="00453E1E" w14:paraId="3503D12C" w14:textId="77777777" w:rsidTr="00B52602">
        <w:tc>
          <w:tcPr>
            <w:tcW w:w="2160" w:type="dxa"/>
            <w:tcBorders>
              <w:top w:val="single" w:sz="4" w:space="0" w:color="auto"/>
              <w:left w:val="single" w:sz="4" w:space="0" w:color="auto"/>
              <w:bottom w:val="single" w:sz="4" w:space="0" w:color="auto"/>
              <w:right w:val="single" w:sz="4" w:space="0" w:color="auto"/>
            </w:tcBorders>
          </w:tcPr>
          <w:p w14:paraId="2BF54BD3" w14:textId="77777777" w:rsidR="00AE2039" w:rsidRPr="00F37412" w:rsidRDefault="00AE2039" w:rsidP="00F37412">
            <w:pPr>
              <w:pStyle w:val="BodyTextIndent"/>
              <w:spacing w:before="40" w:after="20"/>
              <w:jc w:val="left"/>
              <w:rPr>
                <w:rFonts w:asciiTheme="minorHAnsi" w:hAnsiTheme="minorHAnsi" w:cs="Arial"/>
                <w:b/>
                <w:sz w:val="22"/>
                <w:szCs w:val="22"/>
              </w:rPr>
            </w:pPr>
            <w:r w:rsidRPr="00F37412">
              <w:rPr>
                <w:rFonts w:asciiTheme="minorHAnsi" w:hAnsiTheme="minorHAnsi" w:cs="Arial"/>
                <w:b/>
                <w:sz w:val="22"/>
                <w:szCs w:val="22"/>
              </w:rPr>
              <w:t>Paid Time Off</w:t>
            </w:r>
          </w:p>
        </w:tc>
        <w:tc>
          <w:tcPr>
            <w:tcW w:w="2520" w:type="dxa"/>
            <w:tcBorders>
              <w:top w:val="single" w:sz="4" w:space="0" w:color="auto"/>
              <w:left w:val="single" w:sz="4" w:space="0" w:color="auto"/>
              <w:bottom w:val="single" w:sz="4" w:space="0" w:color="auto"/>
              <w:right w:val="single" w:sz="4" w:space="0" w:color="auto"/>
            </w:tcBorders>
          </w:tcPr>
          <w:p w14:paraId="7C6A99F7" w14:textId="77777777" w:rsidR="00AE2039" w:rsidRPr="007C14B2" w:rsidRDefault="001E0DFC"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7.</w:t>
            </w:r>
            <w:r w:rsidR="009D757C" w:rsidRPr="007C14B2">
              <w:rPr>
                <w:rFonts w:asciiTheme="minorHAnsi" w:hAnsiTheme="minorHAnsi" w:cs="Arial"/>
                <w:b/>
                <w:sz w:val="22"/>
                <w:szCs w:val="22"/>
              </w:rPr>
              <w:t>4</w:t>
            </w:r>
            <w:r w:rsidR="00AE2039" w:rsidRPr="007C14B2">
              <w:rPr>
                <w:rFonts w:asciiTheme="minorHAnsi" w:hAnsiTheme="minorHAnsi" w:cs="Arial"/>
                <w:b/>
                <w:sz w:val="22"/>
                <w:szCs w:val="22"/>
              </w:rPr>
              <w:t>%</w:t>
            </w:r>
          </w:p>
        </w:tc>
        <w:tc>
          <w:tcPr>
            <w:tcW w:w="2430" w:type="dxa"/>
            <w:tcBorders>
              <w:top w:val="single" w:sz="4" w:space="0" w:color="auto"/>
              <w:left w:val="single" w:sz="4" w:space="0" w:color="auto"/>
              <w:bottom w:val="single" w:sz="4" w:space="0" w:color="auto"/>
              <w:right w:val="single" w:sz="4" w:space="0" w:color="auto"/>
            </w:tcBorders>
          </w:tcPr>
          <w:p w14:paraId="20A1A167" w14:textId="77777777" w:rsidR="00AE2039" w:rsidRPr="007C14B2" w:rsidRDefault="009D757C"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11.0</w:t>
            </w:r>
            <w:r w:rsidR="00DB545E" w:rsidRPr="007C14B2">
              <w:rPr>
                <w:rFonts w:asciiTheme="minorHAnsi" w:hAnsiTheme="minorHAnsi" w:cs="Arial"/>
                <w:b/>
                <w:sz w:val="22"/>
                <w:szCs w:val="22"/>
              </w:rPr>
              <w:t>%</w:t>
            </w:r>
          </w:p>
        </w:tc>
        <w:tc>
          <w:tcPr>
            <w:tcW w:w="1514" w:type="dxa"/>
            <w:tcBorders>
              <w:top w:val="single" w:sz="4" w:space="0" w:color="auto"/>
              <w:left w:val="single" w:sz="4" w:space="0" w:color="auto"/>
              <w:bottom w:val="single" w:sz="4" w:space="0" w:color="auto"/>
              <w:right w:val="single" w:sz="4" w:space="0" w:color="auto"/>
            </w:tcBorders>
          </w:tcPr>
          <w:p w14:paraId="73B9ABE1" w14:textId="77777777" w:rsidR="00AE2039" w:rsidRPr="007C14B2" w:rsidRDefault="007910D4"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w:t>
            </w:r>
            <w:r w:rsidR="00A168FA" w:rsidRPr="007C14B2">
              <w:rPr>
                <w:rFonts w:asciiTheme="minorHAnsi" w:hAnsiTheme="minorHAnsi" w:cs="Arial"/>
                <w:b/>
                <w:sz w:val="22"/>
                <w:szCs w:val="22"/>
              </w:rPr>
              <w:t>.1%</w:t>
            </w:r>
          </w:p>
        </w:tc>
      </w:tr>
      <w:tr w:rsidR="00F571F3" w:rsidRPr="00453E1E" w14:paraId="2F9D50D8" w14:textId="77777777" w:rsidTr="00B52602">
        <w:tc>
          <w:tcPr>
            <w:tcW w:w="2160" w:type="dxa"/>
            <w:tcBorders>
              <w:top w:val="single" w:sz="4" w:space="0" w:color="auto"/>
              <w:left w:val="single" w:sz="4" w:space="0" w:color="auto"/>
              <w:bottom w:val="single" w:sz="4" w:space="0" w:color="auto"/>
              <w:right w:val="single" w:sz="4" w:space="0" w:color="auto"/>
            </w:tcBorders>
          </w:tcPr>
          <w:p w14:paraId="6E7C5754" w14:textId="77777777" w:rsidR="00F571F3" w:rsidRPr="00F37412" w:rsidRDefault="00F571F3" w:rsidP="00F37412">
            <w:pPr>
              <w:pStyle w:val="BodyTextIndent"/>
              <w:spacing w:before="40" w:after="20"/>
              <w:jc w:val="left"/>
              <w:rPr>
                <w:rFonts w:asciiTheme="minorHAnsi" w:hAnsiTheme="minorHAnsi" w:cs="Arial"/>
                <w:b/>
                <w:sz w:val="22"/>
                <w:szCs w:val="22"/>
              </w:rPr>
            </w:pPr>
            <w:r w:rsidRPr="00F37412">
              <w:rPr>
                <w:rFonts w:asciiTheme="minorHAnsi" w:hAnsiTheme="minorHAnsi" w:cs="Arial"/>
                <w:b/>
                <w:sz w:val="22"/>
                <w:szCs w:val="22"/>
              </w:rPr>
              <w:t>Health Insurance</w:t>
            </w:r>
          </w:p>
        </w:tc>
        <w:tc>
          <w:tcPr>
            <w:tcW w:w="2520" w:type="dxa"/>
            <w:tcBorders>
              <w:top w:val="single" w:sz="4" w:space="0" w:color="auto"/>
              <w:left w:val="single" w:sz="4" w:space="0" w:color="auto"/>
              <w:bottom w:val="single" w:sz="4" w:space="0" w:color="auto"/>
              <w:right w:val="single" w:sz="4" w:space="0" w:color="auto"/>
            </w:tcBorders>
          </w:tcPr>
          <w:p w14:paraId="332F2342" w14:textId="77777777" w:rsidR="00F571F3" w:rsidRPr="007C14B2" w:rsidRDefault="003E2991"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8.</w:t>
            </w:r>
            <w:r w:rsidR="00FE14F5" w:rsidRPr="007C14B2">
              <w:rPr>
                <w:rFonts w:asciiTheme="minorHAnsi" w:hAnsiTheme="minorHAnsi" w:cs="Arial"/>
                <w:b/>
                <w:sz w:val="22"/>
                <w:szCs w:val="22"/>
              </w:rPr>
              <w:t>7</w:t>
            </w:r>
            <w:r w:rsidR="00F571F3" w:rsidRPr="007C14B2">
              <w:rPr>
                <w:rFonts w:asciiTheme="minorHAnsi" w:hAnsiTheme="minorHAnsi" w:cs="Arial"/>
                <w:b/>
                <w:sz w:val="22"/>
                <w:szCs w:val="22"/>
              </w:rPr>
              <w:t>%</w:t>
            </w:r>
          </w:p>
        </w:tc>
        <w:tc>
          <w:tcPr>
            <w:tcW w:w="2430" w:type="dxa"/>
            <w:tcBorders>
              <w:top w:val="single" w:sz="4" w:space="0" w:color="auto"/>
              <w:left w:val="single" w:sz="4" w:space="0" w:color="auto"/>
              <w:bottom w:val="single" w:sz="4" w:space="0" w:color="auto"/>
              <w:right w:val="single" w:sz="4" w:space="0" w:color="auto"/>
            </w:tcBorders>
          </w:tcPr>
          <w:p w14:paraId="32686AA0" w14:textId="77777777" w:rsidR="00F571F3" w:rsidRPr="007C14B2" w:rsidRDefault="007910D4"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8.2</w:t>
            </w:r>
            <w:r w:rsidR="00F571F3" w:rsidRPr="007C14B2">
              <w:rPr>
                <w:rFonts w:asciiTheme="minorHAnsi" w:hAnsiTheme="minorHAnsi" w:cs="Arial"/>
                <w:b/>
                <w:sz w:val="22"/>
                <w:szCs w:val="22"/>
              </w:rPr>
              <w:t>%</w:t>
            </w:r>
          </w:p>
        </w:tc>
        <w:tc>
          <w:tcPr>
            <w:tcW w:w="1514" w:type="dxa"/>
            <w:tcBorders>
              <w:top w:val="single" w:sz="4" w:space="0" w:color="auto"/>
              <w:left w:val="single" w:sz="4" w:space="0" w:color="auto"/>
              <w:bottom w:val="single" w:sz="4" w:space="0" w:color="auto"/>
              <w:right w:val="single" w:sz="4" w:space="0" w:color="auto"/>
            </w:tcBorders>
          </w:tcPr>
          <w:p w14:paraId="6ACF592F" w14:textId="77777777" w:rsidR="00F571F3" w:rsidRPr="007C14B2" w:rsidRDefault="00A168FA" w:rsidP="00A168FA">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w:t>
            </w:r>
          </w:p>
        </w:tc>
      </w:tr>
      <w:tr w:rsidR="00F571F3" w:rsidRPr="00453E1E" w14:paraId="405B3B61" w14:textId="77777777" w:rsidTr="00B52602">
        <w:tc>
          <w:tcPr>
            <w:tcW w:w="2160" w:type="dxa"/>
            <w:tcBorders>
              <w:top w:val="single" w:sz="4" w:space="0" w:color="auto"/>
              <w:left w:val="single" w:sz="4" w:space="0" w:color="auto"/>
              <w:bottom w:val="single" w:sz="4" w:space="0" w:color="auto"/>
              <w:right w:val="single" w:sz="4" w:space="0" w:color="auto"/>
            </w:tcBorders>
          </w:tcPr>
          <w:p w14:paraId="4133302E" w14:textId="77777777" w:rsidR="00F571F3" w:rsidRPr="00F37412" w:rsidRDefault="00F571F3" w:rsidP="00F37412">
            <w:pPr>
              <w:pStyle w:val="BodyTextIndent"/>
              <w:spacing w:before="40" w:after="20"/>
              <w:jc w:val="left"/>
              <w:rPr>
                <w:rFonts w:asciiTheme="minorHAnsi" w:hAnsiTheme="minorHAnsi" w:cs="Arial"/>
                <w:b/>
                <w:sz w:val="22"/>
                <w:szCs w:val="22"/>
              </w:rPr>
            </w:pPr>
            <w:r w:rsidRPr="00F37412">
              <w:rPr>
                <w:rFonts w:asciiTheme="minorHAnsi" w:hAnsiTheme="minorHAnsi" w:cs="Arial"/>
                <w:b/>
                <w:sz w:val="22"/>
                <w:szCs w:val="22"/>
              </w:rPr>
              <w:t>Retirement</w:t>
            </w:r>
          </w:p>
        </w:tc>
        <w:tc>
          <w:tcPr>
            <w:tcW w:w="2520" w:type="dxa"/>
            <w:tcBorders>
              <w:top w:val="single" w:sz="4" w:space="0" w:color="auto"/>
              <w:left w:val="single" w:sz="4" w:space="0" w:color="auto"/>
              <w:bottom w:val="single" w:sz="4" w:space="0" w:color="auto"/>
              <w:right w:val="single" w:sz="4" w:space="0" w:color="auto"/>
            </w:tcBorders>
          </w:tcPr>
          <w:p w14:paraId="63CC3A03" w14:textId="77777777" w:rsidR="00F571F3" w:rsidRPr="007C14B2" w:rsidRDefault="009D757C"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5.5</w:t>
            </w:r>
            <w:r w:rsidR="00DB545E" w:rsidRPr="007C14B2">
              <w:rPr>
                <w:rFonts w:asciiTheme="minorHAnsi" w:hAnsiTheme="minorHAnsi" w:cs="Arial"/>
                <w:b/>
                <w:sz w:val="22"/>
                <w:szCs w:val="22"/>
              </w:rPr>
              <w:t>%</w:t>
            </w:r>
          </w:p>
        </w:tc>
        <w:tc>
          <w:tcPr>
            <w:tcW w:w="2430" w:type="dxa"/>
            <w:tcBorders>
              <w:top w:val="single" w:sz="4" w:space="0" w:color="auto"/>
              <w:left w:val="single" w:sz="4" w:space="0" w:color="auto"/>
              <w:bottom w:val="single" w:sz="4" w:space="0" w:color="auto"/>
              <w:right w:val="single" w:sz="4" w:space="0" w:color="auto"/>
            </w:tcBorders>
          </w:tcPr>
          <w:p w14:paraId="2CDA751C" w14:textId="77777777" w:rsidR="00F571F3" w:rsidRPr="007C14B2" w:rsidRDefault="007910D4"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10</w:t>
            </w:r>
            <w:r w:rsidR="009D757C" w:rsidRPr="007C14B2">
              <w:rPr>
                <w:rFonts w:asciiTheme="minorHAnsi" w:hAnsiTheme="minorHAnsi" w:cs="Arial"/>
                <w:b/>
                <w:sz w:val="22"/>
                <w:szCs w:val="22"/>
              </w:rPr>
              <w:t>.9</w:t>
            </w:r>
            <w:r w:rsidR="00F571F3" w:rsidRPr="007C14B2">
              <w:rPr>
                <w:rFonts w:asciiTheme="minorHAnsi" w:hAnsiTheme="minorHAnsi" w:cs="Arial"/>
                <w:b/>
                <w:sz w:val="22"/>
                <w:szCs w:val="22"/>
              </w:rPr>
              <w:t>%</w:t>
            </w:r>
          </w:p>
        </w:tc>
        <w:tc>
          <w:tcPr>
            <w:tcW w:w="1514" w:type="dxa"/>
            <w:tcBorders>
              <w:top w:val="single" w:sz="4" w:space="0" w:color="auto"/>
              <w:left w:val="single" w:sz="4" w:space="0" w:color="auto"/>
              <w:bottom w:val="single" w:sz="4" w:space="0" w:color="auto"/>
              <w:right w:val="single" w:sz="4" w:space="0" w:color="auto"/>
            </w:tcBorders>
          </w:tcPr>
          <w:p w14:paraId="53CB7BDA" w14:textId="77777777" w:rsidR="00F571F3" w:rsidRPr="007C14B2" w:rsidRDefault="007444E9"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w:t>
            </w:r>
            <w:r w:rsidR="007910D4" w:rsidRPr="007C14B2">
              <w:rPr>
                <w:rFonts w:asciiTheme="minorHAnsi" w:hAnsiTheme="minorHAnsi" w:cs="Arial"/>
                <w:b/>
                <w:sz w:val="22"/>
                <w:szCs w:val="22"/>
              </w:rPr>
              <w:t>0</w:t>
            </w:r>
            <w:r w:rsidR="00A168FA" w:rsidRPr="007C14B2">
              <w:rPr>
                <w:rFonts w:asciiTheme="minorHAnsi" w:hAnsiTheme="minorHAnsi" w:cs="Arial"/>
                <w:b/>
                <w:sz w:val="22"/>
                <w:szCs w:val="22"/>
              </w:rPr>
              <w:t>.7</w:t>
            </w:r>
            <w:r w:rsidRPr="007C14B2">
              <w:rPr>
                <w:rFonts w:asciiTheme="minorHAnsi" w:hAnsiTheme="minorHAnsi" w:cs="Arial"/>
                <w:b/>
                <w:sz w:val="22"/>
                <w:szCs w:val="22"/>
              </w:rPr>
              <w:t>%</w:t>
            </w:r>
          </w:p>
        </w:tc>
      </w:tr>
      <w:tr w:rsidR="00F571F3" w:rsidRPr="00453E1E" w14:paraId="4A455A3E" w14:textId="77777777" w:rsidTr="00B52602">
        <w:tc>
          <w:tcPr>
            <w:tcW w:w="2160" w:type="dxa"/>
            <w:tcBorders>
              <w:top w:val="single" w:sz="4" w:space="0" w:color="auto"/>
              <w:left w:val="single" w:sz="4" w:space="0" w:color="auto"/>
              <w:bottom w:val="single" w:sz="4" w:space="0" w:color="auto"/>
              <w:right w:val="single" w:sz="4" w:space="0" w:color="auto"/>
            </w:tcBorders>
          </w:tcPr>
          <w:p w14:paraId="0701C245" w14:textId="77777777" w:rsidR="00F571F3" w:rsidRPr="00F37412" w:rsidRDefault="00F571F3" w:rsidP="00F37412">
            <w:pPr>
              <w:pStyle w:val="BodyTextIndent"/>
              <w:spacing w:before="40" w:after="20"/>
              <w:jc w:val="left"/>
              <w:rPr>
                <w:rFonts w:asciiTheme="minorHAnsi" w:hAnsiTheme="minorHAnsi" w:cs="Arial"/>
                <w:b/>
                <w:sz w:val="22"/>
                <w:szCs w:val="22"/>
              </w:rPr>
            </w:pPr>
            <w:r w:rsidRPr="00F37412">
              <w:rPr>
                <w:rFonts w:asciiTheme="minorHAnsi" w:hAnsiTheme="minorHAnsi" w:cs="Arial"/>
                <w:b/>
                <w:sz w:val="22"/>
                <w:szCs w:val="22"/>
              </w:rPr>
              <w:t>OASI-DI (Social Security)</w:t>
            </w:r>
          </w:p>
        </w:tc>
        <w:tc>
          <w:tcPr>
            <w:tcW w:w="2520" w:type="dxa"/>
            <w:tcBorders>
              <w:top w:val="single" w:sz="4" w:space="0" w:color="auto"/>
              <w:left w:val="single" w:sz="4" w:space="0" w:color="auto"/>
              <w:bottom w:val="single" w:sz="4" w:space="0" w:color="auto"/>
              <w:right w:val="single" w:sz="4" w:space="0" w:color="auto"/>
            </w:tcBorders>
          </w:tcPr>
          <w:p w14:paraId="69869639" w14:textId="77777777" w:rsidR="00F571F3" w:rsidRPr="007C14B2" w:rsidRDefault="007910D4"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7.</w:t>
            </w:r>
            <w:r w:rsidR="009D757C" w:rsidRPr="007C14B2">
              <w:rPr>
                <w:rFonts w:asciiTheme="minorHAnsi" w:hAnsiTheme="minorHAnsi" w:cs="Arial"/>
                <w:b/>
                <w:sz w:val="22"/>
                <w:szCs w:val="22"/>
              </w:rPr>
              <w:t>6</w:t>
            </w:r>
            <w:r w:rsidR="00F571F3" w:rsidRPr="007C14B2">
              <w:rPr>
                <w:rFonts w:asciiTheme="minorHAnsi" w:hAnsiTheme="minorHAnsi" w:cs="Arial"/>
                <w:b/>
                <w:sz w:val="22"/>
                <w:szCs w:val="22"/>
              </w:rPr>
              <w:t>%</w:t>
            </w:r>
          </w:p>
        </w:tc>
        <w:tc>
          <w:tcPr>
            <w:tcW w:w="2430" w:type="dxa"/>
            <w:tcBorders>
              <w:top w:val="single" w:sz="4" w:space="0" w:color="auto"/>
              <w:left w:val="single" w:sz="4" w:space="0" w:color="auto"/>
              <w:bottom w:val="single" w:sz="4" w:space="0" w:color="auto"/>
              <w:right w:val="single" w:sz="4" w:space="0" w:color="auto"/>
            </w:tcBorders>
          </w:tcPr>
          <w:p w14:paraId="6B3DFBA5" w14:textId="77777777" w:rsidR="00F571F3" w:rsidRPr="007C14B2" w:rsidRDefault="003E2991"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5.0</w:t>
            </w:r>
            <w:r w:rsidR="00DB545E" w:rsidRPr="007C14B2">
              <w:rPr>
                <w:rFonts w:asciiTheme="minorHAnsi" w:hAnsiTheme="minorHAnsi" w:cs="Arial"/>
                <w:b/>
                <w:sz w:val="22"/>
                <w:szCs w:val="22"/>
              </w:rPr>
              <w:t>%</w:t>
            </w:r>
          </w:p>
        </w:tc>
        <w:tc>
          <w:tcPr>
            <w:tcW w:w="1514" w:type="dxa"/>
            <w:tcBorders>
              <w:top w:val="single" w:sz="4" w:space="0" w:color="auto"/>
              <w:left w:val="single" w:sz="4" w:space="0" w:color="auto"/>
              <w:bottom w:val="single" w:sz="4" w:space="0" w:color="auto"/>
              <w:right w:val="single" w:sz="4" w:space="0" w:color="auto"/>
            </w:tcBorders>
          </w:tcPr>
          <w:p w14:paraId="43EBDB35" w14:textId="77777777" w:rsidR="00F571F3" w:rsidRPr="007C14B2" w:rsidRDefault="007910D4" w:rsidP="00F37412">
            <w:pPr>
              <w:pStyle w:val="BodyTextIndent"/>
              <w:spacing w:before="40" w:after="20"/>
              <w:jc w:val="center"/>
              <w:rPr>
                <w:rFonts w:asciiTheme="minorHAnsi" w:hAnsiTheme="minorHAnsi" w:cs="Arial"/>
                <w:b/>
                <w:sz w:val="22"/>
                <w:szCs w:val="22"/>
              </w:rPr>
            </w:pPr>
            <w:r w:rsidRPr="007C14B2">
              <w:rPr>
                <w:rFonts w:asciiTheme="minorHAnsi" w:hAnsiTheme="minorHAnsi" w:cs="Arial"/>
                <w:b/>
                <w:sz w:val="22"/>
                <w:szCs w:val="22"/>
              </w:rPr>
              <w:t>---</w:t>
            </w:r>
          </w:p>
        </w:tc>
      </w:tr>
      <w:tr w:rsidR="00F37412" w:rsidRPr="00453E1E" w14:paraId="6640D57F" w14:textId="77777777" w:rsidTr="00B52602">
        <w:tc>
          <w:tcPr>
            <w:tcW w:w="8624" w:type="dxa"/>
            <w:gridSpan w:val="4"/>
            <w:tcBorders>
              <w:top w:val="single" w:sz="4" w:space="0" w:color="auto"/>
              <w:left w:val="nil"/>
              <w:bottom w:val="nil"/>
              <w:right w:val="nil"/>
            </w:tcBorders>
          </w:tcPr>
          <w:p w14:paraId="72564770" w14:textId="77777777" w:rsidR="003A440A" w:rsidRPr="003A440A" w:rsidRDefault="003A440A" w:rsidP="003A440A">
            <w:pPr>
              <w:pStyle w:val="BodyTextIndent"/>
              <w:tabs>
                <w:tab w:val="clear" w:pos="90"/>
              </w:tabs>
              <w:ind w:left="-14"/>
              <w:rPr>
                <w:rFonts w:ascii="Arial" w:hAnsi="Arial" w:cs="Arial"/>
                <w:i/>
                <w:sz w:val="12"/>
                <w:szCs w:val="12"/>
              </w:rPr>
            </w:pPr>
          </w:p>
          <w:p w14:paraId="61A3DC21" w14:textId="135C3E6D" w:rsidR="00F37412" w:rsidRPr="003A440A" w:rsidRDefault="00F37412" w:rsidP="003A440A">
            <w:pPr>
              <w:pStyle w:val="BodyTextIndent"/>
              <w:tabs>
                <w:tab w:val="clear" w:pos="90"/>
              </w:tabs>
              <w:ind w:left="-14"/>
              <w:rPr>
                <w:rFonts w:asciiTheme="minorHAnsi" w:hAnsiTheme="minorHAnsi" w:cstheme="minorHAnsi"/>
                <w:i/>
                <w:sz w:val="20"/>
              </w:rPr>
            </w:pPr>
            <w:r w:rsidRPr="003A440A">
              <w:rPr>
                <w:rFonts w:asciiTheme="minorHAnsi" w:hAnsiTheme="minorHAnsi" w:cstheme="minorHAnsi"/>
                <w:i/>
                <w:sz w:val="18"/>
              </w:rPr>
              <w:t>Sources:  Office of State Human Resources, Office of State Budget and Management and the N</w:t>
            </w:r>
            <w:r w:rsidR="00BF62D6">
              <w:rPr>
                <w:rFonts w:asciiTheme="minorHAnsi" w:hAnsiTheme="minorHAnsi" w:cstheme="minorHAnsi"/>
                <w:i/>
                <w:sz w:val="18"/>
              </w:rPr>
              <w:t>.</w:t>
            </w:r>
            <w:r w:rsidRPr="003A440A">
              <w:rPr>
                <w:rFonts w:asciiTheme="minorHAnsi" w:hAnsiTheme="minorHAnsi" w:cstheme="minorHAnsi"/>
                <w:i/>
                <w:sz w:val="18"/>
              </w:rPr>
              <w:t>C</w:t>
            </w:r>
            <w:r w:rsidR="00BF62D6">
              <w:rPr>
                <w:rFonts w:asciiTheme="minorHAnsi" w:hAnsiTheme="minorHAnsi" w:cstheme="minorHAnsi"/>
                <w:i/>
                <w:sz w:val="18"/>
              </w:rPr>
              <w:t>.</w:t>
            </w:r>
            <w:r w:rsidRPr="003A440A">
              <w:rPr>
                <w:rFonts w:asciiTheme="minorHAnsi" w:hAnsiTheme="minorHAnsi" w:cstheme="minorHAnsi"/>
                <w:i/>
                <w:sz w:val="18"/>
              </w:rPr>
              <w:t xml:space="preserve"> Retirement Systems Div</w:t>
            </w:r>
            <w:r w:rsidR="00BF62D6">
              <w:rPr>
                <w:rFonts w:asciiTheme="minorHAnsi" w:hAnsiTheme="minorHAnsi" w:cstheme="minorHAnsi"/>
                <w:i/>
                <w:sz w:val="18"/>
              </w:rPr>
              <w:t>ision</w:t>
            </w:r>
            <w:r w:rsidRPr="003A440A">
              <w:rPr>
                <w:rFonts w:asciiTheme="minorHAnsi" w:hAnsiTheme="minorHAnsi" w:cstheme="minorHAnsi"/>
                <w:i/>
                <w:sz w:val="18"/>
              </w:rPr>
              <w:t>, U.S. DOL Bureau of Labor Statistics “Employer Costs for Emplo</w:t>
            </w:r>
            <w:r w:rsidR="007910D4" w:rsidRPr="003A440A">
              <w:rPr>
                <w:rFonts w:asciiTheme="minorHAnsi" w:hAnsiTheme="minorHAnsi" w:cstheme="minorHAnsi"/>
                <w:i/>
                <w:sz w:val="18"/>
              </w:rPr>
              <w:t xml:space="preserve">yee Compensation – </w:t>
            </w:r>
            <w:r w:rsidR="00FE14F5" w:rsidRPr="003A440A">
              <w:rPr>
                <w:rFonts w:asciiTheme="minorHAnsi" w:hAnsiTheme="minorHAnsi" w:cstheme="minorHAnsi"/>
                <w:i/>
                <w:sz w:val="18"/>
              </w:rPr>
              <w:t>December 2017</w:t>
            </w:r>
          </w:p>
        </w:tc>
      </w:tr>
    </w:tbl>
    <w:p w14:paraId="604B5E79" w14:textId="77777777" w:rsidR="00465F21" w:rsidRDefault="00465F21">
      <w:pPr>
        <w:rPr>
          <w:rFonts w:ascii="Arial" w:hAnsi="Arial" w:cs="Arial"/>
          <w:b/>
          <w:bCs/>
          <w:sz w:val="24"/>
        </w:rPr>
      </w:pPr>
    </w:p>
    <w:p w14:paraId="46743308" w14:textId="77777777" w:rsidR="008727D5" w:rsidRDefault="008727D5" w:rsidP="002C515E">
      <w:pPr>
        <w:pStyle w:val="BodyTextIndent"/>
        <w:jc w:val="left"/>
        <w:rPr>
          <w:rFonts w:ascii="Arial" w:hAnsi="Arial" w:cs="Arial"/>
          <w:sz w:val="20"/>
        </w:rPr>
      </w:pPr>
    </w:p>
    <w:p w14:paraId="72D68309" w14:textId="77777777" w:rsidR="00465F21" w:rsidRPr="0091612E" w:rsidRDefault="00E32A20" w:rsidP="006A4EF5">
      <w:pPr>
        <w:pStyle w:val="BodyTextIndent"/>
        <w:pBdr>
          <w:bottom w:val="single" w:sz="4" w:space="1" w:color="auto"/>
        </w:pBdr>
        <w:rPr>
          <w:rFonts w:asciiTheme="minorHAnsi" w:hAnsiTheme="minorHAnsi" w:cs="Arial"/>
          <w:b/>
          <w:color w:val="000000" w:themeColor="text1"/>
          <w:sz w:val="28"/>
          <w:u w:val="single"/>
        </w:rPr>
      </w:pPr>
      <w:r w:rsidRPr="0091612E">
        <w:rPr>
          <w:rFonts w:asciiTheme="minorHAnsi" w:hAnsiTheme="minorHAnsi" w:cs="Arial"/>
          <w:b/>
          <w:bCs/>
          <w:color w:val="000000" w:themeColor="text1"/>
          <w:sz w:val="28"/>
        </w:rPr>
        <w:t>IV</w:t>
      </w:r>
      <w:r w:rsidR="00465F21" w:rsidRPr="0091612E">
        <w:rPr>
          <w:rFonts w:asciiTheme="minorHAnsi" w:hAnsiTheme="minorHAnsi" w:cs="Arial"/>
          <w:b/>
          <w:bCs/>
          <w:color w:val="000000" w:themeColor="text1"/>
          <w:sz w:val="28"/>
        </w:rPr>
        <w:t>.</w:t>
      </w:r>
      <w:r w:rsidR="008B4416" w:rsidRPr="0091612E">
        <w:rPr>
          <w:rFonts w:asciiTheme="minorHAnsi" w:hAnsiTheme="minorHAnsi" w:cs="Arial"/>
          <w:color w:val="000000" w:themeColor="text1"/>
          <w:sz w:val="28"/>
        </w:rPr>
        <w:tab/>
      </w:r>
      <w:r w:rsidR="00465F21" w:rsidRPr="0091612E">
        <w:rPr>
          <w:rFonts w:asciiTheme="minorHAnsi" w:hAnsiTheme="minorHAnsi" w:cs="Arial"/>
          <w:b/>
          <w:bCs/>
          <w:color w:val="000000" w:themeColor="text1"/>
          <w:sz w:val="28"/>
        </w:rPr>
        <w:t>ECONOMIC REVIEW</w:t>
      </w:r>
    </w:p>
    <w:p w14:paraId="2A6DD4E6" w14:textId="77777777" w:rsidR="00465F21" w:rsidRPr="003A440A" w:rsidRDefault="00465F21">
      <w:pPr>
        <w:jc w:val="both"/>
        <w:rPr>
          <w:rFonts w:asciiTheme="minorHAnsi" w:hAnsiTheme="minorHAnsi" w:cstheme="minorHAnsi"/>
          <w:i/>
          <w:szCs w:val="22"/>
        </w:rPr>
      </w:pPr>
    </w:p>
    <w:p w14:paraId="528D534B" w14:textId="74BCD18B" w:rsidR="00465F21" w:rsidRPr="00B77655" w:rsidRDefault="00465F21" w:rsidP="00B77655">
      <w:pPr>
        <w:jc w:val="both"/>
        <w:rPr>
          <w:rFonts w:asciiTheme="minorHAnsi" w:hAnsiTheme="minorHAnsi" w:cs="Arial"/>
          <w:b/>
          <w:bCs/>
          <w:sz w:val="24"/>
        </w:rPr>
      </w:pPr>
      <w:r w:rsidRPr="00B77655">
        <w:rPr>
          <w:rFonts w:asciiTheme="minorHAnsi" w:hAnsiTheme="minorHAnsi" w:cs="Arial"/>
          <w:b/>
          <w:bCs/>
          <w:sz w:val="24"/>
        </w:rPr>
        <w:t xml:space="preserve">Wage </w:t>
      </w:r>
      <w:r w:rsidR="00BF62D6">
        <w:rPr>
          <w:rFonts w:asciiTheme="minorHAnsi" w:hAnsiTheme="minorHAnsi" w:cs="Arial"/>
          <w:b/>
          <w:bCs/>
          <w:sz w:val="24"/>
        </w:rPr>
        <w:t>and</w:t>
      </w:r>
      <w:r w:rsidRPr="00B77655">
        <w:rPr>
          <w:rFonts w:asciiTheme="minorHAnsi" w:hAnsiTheme="minorHAnsi" w:cs="Arial"/>
          <w:b/>
          <w:bCs/>
          <w:sz w:val="24"/>
        </w:rPr>
        <w:t xml:space="preserve"> Salary Trends</w:t>
      </w:r>
    </w:p>
    <w:p w14:paraId="12C158FD" w14:textId="722881FA" w:rsidR="00465F21" w:rsidRPr="006A4EF5" w:rsidRDefault="004F29EF" w:rsidP="003A440A">
      <w:pPr>
        <w:pStyle w:val="BodyText"/>
        <w:rPr>
          <w:rFonts w:asciiTheme="minorHAnsi" w:hAnsiTheme="minorHAnsi" w:cs="Arial"/>
        </w:rPr>
      </w:pPr>
      <w:r>
        <w:rPr>
          <w:rFonts w:asciiTheme="minorHAnsi" w:hAnsiTheme="minorHAnsi" w:cs="Arial"/>
        </w:rPr>
        <w:t>OSHR uses the annual Mercer Human Resources Consulting U.S. Compensation Planning Survey to benchmark and track average market movement. F</w:t>
      </w:r>
      <w:r w:rsidR="00C20E6C" w:rsidRPr="006A4EF5">
        <w:rPr>
          <w:rFonts w:asciiTheme="minorHAnsi" w:hAnsiTheme="minorHAnsi" w:cs="Arial"/>
        </w:rPr>
        <w:t xml:space="preserve">or calendar year </w:t>
      </w:r>
      <w:r w:rsidR="00734155">
        <w:rPr>
          <w:rFonts w:asciiTheme="minorHAnsi" w:hAnsiTheme="minorHAnsi" w:cs="Arial"/>
        </w:rPr>
        <w:t>201</w:t>
      </w:r>
      <w:r w:rsidR="00707CF4">
        <w:rPr>
          <w:rFonts w:asciiTheme="minorHAnsi" w:hAnsiTheme="minorHAnsi" w:cs="Arial"/>
        </w:rPr>
        <w:t>7,</w:t>
      </w:r>
      <w:r w:rsidR="00734155">
        <w:rPr>
          <w:rFonts w:asciiTheme="minorHAnsi" w:hAnsiTheme="minorHAnsi" w:cs="Arial"/>
        </w:rPr>
        <w:t xml:space="preserve"> projected </w:t>
      </w:r>
      <w:r w:rsidR="00465F21" w:rsidRPr="006A4EF5">
        <w:rPr>
          <w:rFonts w:asciiTheme="minorHAnsi" w:hAnsiTheme="minorHAnsi" w:cs="Arial"/>
        </w:rPr>
        <w:t>base pay i</w:t>
      </w:r>
      <w:r w:rsidR="005C62CE" w:rsidRPr="006A4EF5">
        <w:rPr>
          <w:rFonts w:asciiTheme="minorHAnsi" w:hAnsiTheme="minorHAnsi" w:cs="Arial"/>
        </w:rPr>
        <w:t xml:space="preserve">ncrease budgets </w:t>
      </w:r>
      <w:r w:rsidR="00734155">
        <w:rPr>
          <w:rFonts w:asciiTheme="minorHAnsi" w:hAnsiTheme="minorHAnsi" w:cs="Arial"/>
        </w:rPr>
        <w:t xml:space="preserve">are </w:t>
      </w:r>
      <w:r w:rsidR="005C62CE" w:rsidRPr="006A4EF5">
        <w:rPr>
          <w:rFonts w:asciiTheme="minorHAnsi" w:hAnsiTheme="minorHAnsi" w:cs="Arial"/>
        </w:rPr>
        <w:t>shown in Table 3</w:t>
      </w:r>
      <w:r w:rsidR="00930161" w:rsidRPr="006A4EF5">
        <w:rPr>
          <w:rFonts w:asciiTheme="minorHAnsi" w:hAnsiTheme="minorHAnsi" w:cs="Arial"/>
        </w:rPr>
        <w:t>.</w:t>
      </w:r>
      <w:r w:rsidR="00465F21" w:rsidRPr="006A4EF5">
        <w:rPr>
          <w:rFonts w:asciiTheme="minorHAnsi" w:hAnsiTheme="minorHAnsi" w:cs="Arial"/>
        </w:rPr>
        <w:t xml:space="preserve"> Figures include merit, across-the-board, and cost-of-living pay increases</w:t>
      </w:r>
      <w:r>
        <w:rPr>
          <w:rFonts w:asciiTheme="minorHAnsi" w:hAnsiTheme="minorHAnsi" w:cs="Arial"/>
        </w:rPr>
        <w:t xml:space="preserve"> (average includes $0 adjustments)</w:t>
      </w:r>
      <w:r w:rsidR="00465F21" w:rsidRPr="006A4EF5">
        <w:rPr>
          <w:rFonts w:asciiTheme="minorHAnsi" w:hAnsiTheme="minorHAnsi" w:cs="Arial"/>
        </w:rPr>
        <w:t>.</w:t>
      </w:r>
    </w:p>
    <w:p w14:paraId="1E7F953D" w14:textId="77777777" w:rsidR="000B5C14" w:rsidRDefault="000B5C14" w:rsidP="00402C39">
      <w:pPr>
        <w:spacing w:after="120"/>
        <w:jc w:val="both"/>
        <w:rPr>
          <w:rFonts w:asciiTheme="minorHAnsi" w:hAnsiTheme="minorHAnsi" w:cs="Arial"/>
        </w:rPr>
      </w:pPr>
    </w:p>
    <w:p w14:paraId="1F8D08E6" w14:textId="1D4C2FA4" w:rsidR="00465F21" w:rsidRPr="00402C39" w:rsidRDefault="00402C39" w:rsidP="000748F2">
      <w:pPr>
        <w:spacing w:after="120"/>
        <w:jc w:val="center"/>
        <w:rPr>
          <w:rFonts w:asciiTheme="minorHAnsi" w:hAnsiTheme="minorHAnsi" w:cs="Arial"/>
          <w:b/>
          <w:bCs/>
        </w:rPr>
      </w:pPr>
      <w:r w:rsidRPr="00402C39">
        <w:rPr>
          <w:rFonts w:asciiTheme="minorHAnsi" w:hAnsiTheme="minorHAnsi" w:cs="Arial"/>
          <w:b/>
        </w:rPr>
        <w:t xml:space="preserve">Table 3: </w:t>
      </w:r>
      <w:r w:rsidRPr="00402C39">
        <w:rPr>
          <w:rFonts w:asciiTheme="minorHAnsi" w:hAnsiTheme="minorHAnsi" w:cs="Arial"/>
          <w:b/>
          <w:bCs/>
        </w:rPr>
        <w:t xml:space="preserve">Projected </w:t>
      </w:r>
      <w:r w:rsidR="009F5F1C">
        <w:rPr>
          <w:rFonts w:asciiTheme="minorHAnsi" w:hAnsiTheme="minorHAnsi" w:cs="Arial"/>
          <w:b/>
          <w:bCs/>
        </w:rPr>
        <w:t>and</w:t>
      </w:r>
      <w:r w:rsidRPr="00402C39">
        <w:rPr>
          <w:rFonts w:asciiTheme="minorHAnsi" w:hAnsiTheme="minorHAnsi" w:cs="Arial"/>
          <w:b/>
          <w:bCs/>
        </w:rPr>
        <w:t xml:space="preserve"> Actual Base Pay Increase Budgets</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1782"/>
        <w:gridCol w:w="1782"/>
        <w:gridCol w:w="1934"/>
        <w:gridCol w:w="1761"/>
      </w:tblGrid>
      <w:tr w:rsidR="00465F21" w:rsidRPr="00402C39" w14:paraId="17F9CAD3" w14:textId="77777777" w:rsidTr="00B52602">
        <w:trPr>
          <w:trHeight w:val="321"/>
          <w:jc w:val="center"/>
        </w:trPr>
        <w:tc>
          <w:tcPr>
            <w:tcW w:w="2077" w:type="dxa"/>
            <w:shd w:val="clear" w:color="auto" w:fill="DAEEF3"/>
          </w:tcPr>
          <w:p w14:paraId="009B1AD4" w14:textId="77777777" w:rsidR="00465F21" w:rsidRPr="00402C39" w:rsidRDefault="00465F21" w:rsidP="00402C39">
            <w:pPr>
              <w:spacing w:before="40" w:after="20"/>
              <w:jc w:val="both"/>
              <w:rPr>
                <w:rFonts w:asciiTheme="minorHAnsi" w:hAnsiTheme="minorHAnsi" w:cs="Arial"/>
                <w:b/>
                <w:iCs/>
                <w:szCs w:val="22"/>
              </w:rPr>
            </w:pPr>
            <w:r w:rsidRPr="00402C39">
              <w:rPr>
                <w:rFonts w:asciiTheme="minorHAnsi" w:hAnsiTheme="minorHAnsi" w:cs="Arial"/>
                <w:b/>
                <w:iCs/>
                <w:szCs w:val="22"/>
              </w:rPr>
              <w:t>National Firm</w:t>
            </w:r>
          </w:p>
        </w:tc>
        <w:tc>
          <w:tcPr>
            <w:tcW w:w="1782" w:type="dxa"/>
            <w:shd w:val="clear" w:color="auto" w:fill="DAEEF3"/>
          </w:tcPr>
          <w:p w14:paraId="5960DE21" w14:textId="77777777" w:rsidR="00465F21" w:rsidRPr="00402C39" w:rsidRDefault="00E94ECA" w:rsidP="00376DAB">
            <w:pPr>
              <w:spacing w:before="40" w:after="20"/>
              <w:jc w:val="center"/>
              <w:rPr>
                <w:rFonts w:asciiTheme="minorHAnsi" w:hAnsiTheme="minorHAnsi" w:cs="Arial"/>
                <w:b/>
                <w:iCs/>
                <w:szCs w:val="22"/>
              </w:rPr>
            </w:pPr>
            <w:r w:rsidRPr="00402C39">
              <w:rPr>
                <w:rFonts w:asciiTheme="minorHAnsi" w:hAnsiTheme="minorHAnsi" w:cs="Arial"/>
                <w:b/>
                <w:iCs/>
                <w:szCs w:val="22"/>
              </w:rPr>
              <w:t>201</w:t>
            </w:r>
            <w:r w:rsidR="00F0191D">
              <w:rPr>
                <w:rFonts w:asciiTheme="minorHAnsi" w:hAnsiTheme="minorHAnsi" w:cs="Arial"/>
                <w:b/>
                <w:iCs/>
                <w:szCs w:val="22"/>
              </w:rPr>
              <w:t>5</w:t>
            </w:r>
            <w:r w:rsidR="00A84E50" w:rsidRPr="00402C39">
              <w:rPr>
                <w:rFonts w:asciiTheme="minorHAnsi" w:hAnsiTheme="minorHAnsi" w:cs="Arial"/>
                <w:b/>
                <w:iCs/>
                <w:szCs w:val="22"/>
              </w:rPr>
              <w:t xml:space="preserve"> </w:t>
            </w:r>
            <w:r w:rsidR="00465F21" w:rsidRPr="00402C39">
              <w:rPr>
                <w:rFonts w:asciiTheme="minorHAnsi" w:hAnsiTheme="minorHAnsi" w:cs="Arial"/>
                <w:b/>
                <w:iCs/>
                <w:szCs w:val="22"/>
              </w:rPr>
              <w:t>Actual</w:t>
            </w:r>
          </w:p>
        </w:tc>
        <w:tc>
          <w:tcPr>
            <w:tcW w:w="1782" w:type="dxa"/>
            <w:shd w:val="clear" w:color="auto" w:fill="DAEEF3"/>
          </w:tcPr>
          <w:p w14:paraId="74366AC8" w14:textId="77777777" w:rsidR="00465F21" w:rsidRPr="00402C39" w:rsidRDefault="00E94ECA" w:rsidP="00376DAB">
            <w:pPr>
              <w:spacing w:before="40" w:after="20"/>
              <w:jc w:val="center"/>
              <w:rPr>
                <w:rFonts w:asciiTheme="minorHAnsi" w:hAnsiTheme="minorHAnsi" w:cs="Arial"/>
                <w:b/>
                <w:iCs/>
                <w:szCs w:val="22"/>
              </w:rPr>
            </w:pPr>
            <w:r w:rsidRPr="00402C39">
              <w:rPr>
                <w:rFonts w:asciiTheme="minorHAnsi" w:hAnsiTheme="minorHAnsi" w:cs="Arial"/>
                <w:b/>
                <w:iCs/>
                <w:szCs w:val="22"/>
              </w:rPr>
              <w:t>201</w:t>
            </w:r>
            <w:r w:rsidR="00F0191D">
              <w:rPr>
                <w:rFonts w:asciiTheme="minorHAnsi" w:hAnsiTheme="minorHAnsi" w:cs="Arial"/>
                <w:b/>
                <w:iCs/>
                <w:szCs w:val="22"/>
              </w:rPr>
              <w:t>6</w:t>
            </w:r>
            <w:r w:rsidR="00465F21" w:rsidRPr="00402C39">
              <w:rPr>
                <w:rFonts w:asciiTheme="minorHAnsi" w:hAnsiTheme="minorHAnsi" w:cs="Arial"/>
                <w:b/>
                <w:iCs/>
                <w:szCs w:val="22"/>
              </w:rPr>
              <w:t xml:space="preserve"> Actual </w:t>
            </w:r>
          </w:p>
        </w:tc>
        <w:tc>
          <w:tcPr>
            <w:tcW w:w="1934" w:type="dxa"/>
            <w:shd w:val="clear" w:color="auto" w:fill="DAEEF3"/>
          </w:tcPr>
          <w:p w14:paraId="66AB7B4E" w14:textId="77777777" w:rsidR="00465F21" w:rsidRPr="00402C39" w:rsidRDefault="00734155" w:rsidP="00734155">
            <w:pPr>
              <w:spacing w:before="40" w:after="20"/>
              <w:jc w:val="center"/>
              <w:rPr>
                <w:rFonts w:asciiTheme="minorHAnsi" w:hAnsiTheme="minorHAnsi" w:cs="Arial"/>
                <w:b/>
                <w:iCs/>
                <w:szCs w:val="22"/>
              </w:rPr>
            </w:pPr>
            <w:r>
              <w:rPr>
                <w:rFonts w:asciiTheme="minorHAnsi" w:hAnsiTheme="minorHAnsi" w:cs="Arial"/>
                <w:b/>
                <w:iCs/>
                <w:szCs w:val="22"/>
              </w:rPr>
              <w:t>201</w:t>
            </w:r>
            <w:r w:rsidR="00F0191D">
              <w:rPr>
                <w:rFonts w:asciiTheme="minorHAnsi" w:hAnsiTheme="minorHAnsi" w:cs="Arial"/>
                <w:b/>
                <w:iCs/>
                <w:szCs w:val="22"/>
              </w:rPr>
              <w:t>7</w:t>
            </w:r>
            <w:r w:rsidR="004B220D" w:rsidRPr="00402C39">
              <w:rPr>
                <w:rFonts w:asciiTheme="minorHAnsi" w:hAnsiTheme="minorHAnsi" w:cs="Arial"/>
                <w:b/>
                <w:iCs/>
                <w:szCs w:val="22"/>
              </w:rPr>
              <w:t xml:space="preserve"> </w:t>
            </w:r>
            <w:r>
              <w:rPr>
                <w:rFonts w:asciiTheme="minorHAnsi" w:hAnsiTheme="minorHAnsi" w:cs="Arial"/>
                <w:b/>
                <w:iCs/>
                <w:szCs w:val="22"/>
              </w:rPr>
              <w:t>Actual</w:t>
            </w:r>
          </w:p>
        </w:tc>
        <w:tc>
          <w:tcPr>
            <w:tcW w:w="1761" w:type="dxa"/>
            <w:shd w:val="clear" w:color="auto" w:fill="DAEEF3"/>
          </w:tcPr>
          <w:p w14:paraId="5BA65AE4" w14:textId="77777777" w:rsidR="00465F21" w:rsidRPr="00402C39" w:rsidRDefault="00734155" w:rsidP="00402C39">
            <w:pPr>
              <w:spacing w:before="40" w:after="20"/>
              <w:jc w:val="center"/>
              <w:rPr>
                <w:rFonts w:asciiTheme="minorHAnsi" w:hAnsiTheme="minorHAnsi" w:cs="Arial"/>
                <w:b/>
                <w:iCs/>
                <w:szCs w:val="22"/>
              </w:rPr>
            </w:pPr>
            <w:r>
              <w:rPr>
                <w:rFonts w:asciiTheme="minorHAnsi" w:hAnsiTheme="minorHAnsi" w:cs="Arial"/>
                <w:b/>
                <w:iCs/>
                <w:szCs w:val="22"/>
              </w:rPr>
              <w:t>201</w:t>
            </w:r>
            <w:r w:rsidR="00F0191D">
              <w:rPr>
                <w:rFonts w:asciiTheme="minorHAnsi" w:hAnsiTheme="minorHAnsi" w:cs="Arial"/>
                <w:b/>
                <w:iCs/>
                <w:szCs w:val="22"/>
              </w:rPr>
              <w:t>8</w:t>
            </w:r>
            <w:r w:rsidR="00465F21" w:rsidRPr="00402C39">
              <w:rPr>
                <w:rFonts w:asciiTheme="minorHAnsi" w:hAnsiTheme="minorHAnsi" w:cs="Arial"/>
                <w:b/>
                <w:iCs/>
                <w:szCs w:val="22"/>
              </w:rPr>
              <w:t xml:space="preserve"> Projected</w:t>
            </w:r>
          </w:p>
        </w:tc>
      </w:tr>
      <w:tr w:rsidR="00465F21" w:rsidRPr="00402C39" w14:paraId="6745B87E" w14:textId="77777777" w:rsidTr="00B52602">
        <w:trPr>
          <w:trHeight w:val="387"/>
          <w:jc w:val="center"/>
        </w:trPr>
        <w:tc>
          <w:tcPr>
            <w:tcW w:w="2077" w:type="dxa"/>
          </w:tcPr>
          <w:p w14:paraId="64E6CD01" w14:textId="77777777" w:rsidR="00465F21" w:rsidRPr="00402C39" w:rsidRDefault="00465F21" w:rsidP="00402C39">
            <w:pPr>
              <w:spacing w:before="40" w:after="20"/>
              <w:jc w:val="both"/>
              <w:rPr>
                <w:rFonts w:asciiTheme="minorHAnsi" w:hAnsiTheme="minorHAnsi" w:cs="Arial"/>
                <w:szCs w:val="22"/>
              </w:rPr>
            </w:pPr>
            <w:r w:rsidRPr="00402C39">
              <w:rPr>
                <w:rFonts w:asciiTheme="minorHAnsi" w:hAnsiTheme="minorHAnsi" w:cs="Arial"/>
                <w:szCs w:val="22"/>
              </w:rPr>
              <w:t>William Mercer</w:t>
            </w:r>
          </w:p>
        </w:tc>
        <w:tc>
          <w:tcPr>
            <w:tcW w:w="1782" w:type="dxa"/>
          </w:tcPr>
          <w:p w14:paraId="05537CBA" w14:textId="77777777" w:rsidR="00465F21" w:rsidRPr="007C14B2" w:rsidRDefault="00734155" w:rsidP="00402C39">
            <w:pPr>
              <w:spacing w:before="40" w:after="20"/>
              <w:jc w:val="center"/>
              <w:rPr>
                <w:rFonts w:asciiTheme="minorHAnsi" w:hAnsiTheme="minorHAnsi" w:cs="Arial"/>
                <w:szCs w:val="22"/>
              </w:rPr>
            </w:pPr>
            <w:r w:rsidRPr="007C14B2">
              <w:rPr>
                <w:rFonts w:asciiTheme="minorHAnsi" w:hAnsiTheme="minorHAnsi" w:cs="Arial"/>
                <w:szCs w:val="22"/>
              </w:rPr>
              <w:t>2.</w:t>
            </w:r>
            <w:r w:rsidR="00F0191D" w:rsidRPr="007C14B2">
              <w:rPr>
                <w:rFonts w:asciiTheme="minorHAnsi" w:hAnsiTheme="minorHAnsi" w:cs="Arial"/>
                <w:szCs w:val="22"/>
              </w:rPr>
              <w:t>8</w:t>
            </w:r>
            <w:r w:rsidR="00465F21" w:rsidRPr="007C14B2">
              <w:rPr>
                <w:rFonts w:asciiTheme="minorHAnsi" w:hAnsiTheme="minorHAnsi" w:cs="Arial"/>
                <w:szCs w:val="22"/>
              </w:rPr>
              <w:t>%</w:t>
            </w:r>
          </w:p>
        </w:tc>
        <w:tc>
          <w:tcPr>
            <w:tcW w:w="1782" w:type="dxa"/>
          </w:tcPr>
          <w:p w14:paraId="6EE4AB7B" w14:textId="77777777" w:rsidR="00465F21" w:rsidRPr="007C14B2" w:rsidRDefault="00734155" w:rsidP="00402C39">
            <w:pPr>
              <w:spacing w:before="40" w:after="20"/>
              <w:jc w:val="center"/>
              <w:rPr>
                <w:rFonts w:asciiTheme="minorHAnsi" w:hAnsiTheme="minorHAnsi" w:cs="Arial"/>
                <w:szCs w:val="22"/>
              </w:rPr>
            </w:pPr>
            <w:r w:rsidRPr="007C14B2">
              <w:rPr>
                <w:rFonts w:asciiTheme="minorHAnsi" w:hAnsiTheme="minorHAnsi" w:cs="Arial"/>
                <w:szCs w:val="22"/>
              </w:rPr>
              <w:t>2.8</w:t>
            </w:r>
            <w:r w:rsidR="00465F21" w:rsidRPr="007C14B2">
              <w:rPr>
                <w:rFonts w:asciiTheme="minorHAnsi" w:hAnsiTheme="minorHAnsi" w:cs="Arial"/>
                <w:szCs w:val="22"/>
              </w:rPr>
              <w:t>%</w:t>
            </w:r>
          </w:p>
        </w:tc>
        <w:tc>
          <w:tcPr>
            <w:tcW w:w="1934" w:type="dxa"/>
          </w:tcPr>
          <w:p w14:paraId="55938B90" w14:textId="77777777" w:rsidR="00465F21" w:rsidRPr="007C14B2" w:rsidRDefault="00734155" w:rsidP="00402C39">
            <w:pPr>
              <w:spacing w:before="40" w:after="20"/>
              <w:jc w:val="center"/>
              <w:rPr>
                <w:rFonts w:asciiTheme="minorHAnsi" w:hAnsiTheme="minorHAnsi" w:cs="Arial"/>
                <w:szCs w:val="22"/>
              </w:rPr>
            </w:pPr>
            <w:r w:rsidRPr="007C14B2">
              <w:rPr>
                <w:rFonts w:asciiTheme="minorHAnsi" w:hAnsiTheme="minorHAnsi" w:cs="Arial"/>
                <w:szCs w:val="22"/>
              </w:rPr>
              <w:t>2.</w:t>
            </w:r>
            <w:r w:rsidR="00F0191D" w:rsidRPr="007C14B2">
              <w:rPr>
                <w:rFonts w:asciiTheme="minorHAnsi" w:hAnsiTheme="minorHAnsi" w:cs="Arial"/>
                <w:szCs w:val="22"/>
              </w:rPr>
              <w:t>8</w:t>
            </w:r>
            <w:r w:rsidR="00465F21" w:rsidRPr="007C14B2">
              <w:rPr>
                <w:rFonts w:asciiTheme="minorHAnsi" w:hAnsiTheme="minorHAnsi" w:cs="Arial"/>
                <w:szCs w:val="22"/>
              </w:rPr>
              <w:t>%</w:t>
            </w:r>
          </w:p>
        </w:tc>
        <w:tc>
          <w:tcPr>
            <w:tcW w:w="1761" w:type="dxa"/>
          </w:tcPr>
          <w:p w14:paraId="185DF326" w14:textId="77777777" w:rsidR="00465F21" w:rsidRPr="007C14B2" w:rsidRDefault="00376DAB" w:rsidP="00402C39">
            <w:pPr>
              <w:spacing w:before="40" w:after="20"/>
              <w:jc w:val="center"/>
              <w:rPr>
                <w:rFonts w:asciiTheme="minorHAnsi" w:hAnsiTheme="minorHAnsi" w:cs="Arial"/>
                <w:szCs w:val="22"/>
              </w:rPr>
            </w:pPr>
            <w:r w:rsidRPr="007C14B2">
              <w:rPr>
                <w:rFonts w:asciiTheme="minorHAnsi" w:hAnsiTheme="minorHAnsi" w:cs="Arial"/>
                <w:szCs w:val="22"/>
              </w:rPr>
              <w:t>2.9</w:t>
            </w:r>
            <w:r w:rsidR="00465F21" w:rsidRPr="007C14B2">
              <w:rPr>
                <w:rFonts w:asciiTheme="minorHAnsi" w:hAnsiTheme="minorHAnsi" w:cs="Arial"/>
                <w:szCs w:val="22"/>
              </w:rPr>
              <w:t>%</w:t>
            </w:r>
          </w:p>
        </w:tc>
      </w:tr>
    </w:tbl>
    <w:p w14:paraId="0804BB19" w14:textId="77777777" w:rsidR="003A440A" w:rsidRPr="003A440A" w:rsidRDefault="00465F21" w:rsidP="003A440A">
      <w:pPr>
        <w:jc w:val="both"/>
        <w:rPr>
          <w:rFonts w:ascii="Arial" w:hAnsi="Arial" w:cs="Arial"/>
          <w:sz w:val="12"/>
          <w:szCs w:val="12"/>
        </w:rPr>
      </w:pPr>
      <w:r w:rsidRPr="003A440A">
        <w:rPr>
          <w:rFonts w:ascii="Arial" w:hAnsi="Arial" w:cs="Arial"/>
          <w:sz w:val="12"/>
          <w:szCs w:val="12"/>
        </w:rPr>
        <w:t xml:space="preserve">  </w:t>
      </w:r>
    </w:p>
    <w:p w14:paraId="4713BFE7" w14:textId="3E1A5526" w:rsidR="00B52602" w:rsidRDefault="00465F21" w:rsidP="00B52602">
      <w:pPr>
        <w:jc w:val="both"/>
        <w:rPr>
          <w:rFonts w:asciiTheme="minorHAnsi" w:hAnsiTheme="minorHAnsi" w:cs="Arial"/>
          <w:i/>
          <w:sz w:val="18"/>
        </w:rPr>
      </w:pPr>
      <w:r w:rsidRPr="003A440A">
        <w:rPr>
          <w:rFonts w:asciiTheme="minorHAnsi" w:hAnsiTheme="minorHAnsi" w:cs="Arial"/>
          <w:i/>
          <w:sz w:val="18"/>
        </w:rPr>
        <w:t xml:space="preserve">   </w:t>
      </w:r>
      <w:r w:rsidR="00BF62D6">
        <w:rPr>
          <w:rFonts w:asciiTheme="minorHAnsi" w:hAnsiTheme="minorHAnsi" w:cs="Arial"/>
          <w:i/>
          <w:sz w:val="18"/>
        </w:rPr>
        <w:t xml:space="preserve"> </w:t>
      </w:r>
      <w:r w:rsidRPr="003A440A">
        <w:rPr>
          <w:rFonts w:asciiTheme="minorHAnsi" w:hAnsiTheme="minorHAnsi" w:cs="Arial"/>
          <w:i/>
          <w:sz w:val="18"/>
        </w:rPr>
        <w:t>Source:  Mercer Hum</w:t>
      </w:r>
      <w:r w:rsidR="00C20E6C" w:rsidRPr="003A440A">
        <w:rPr>
          <w:rFonts w:asciiTheme="minorHAnsi" w:hAnsiTheme="minorHAnsi" w:cs="Arial"/>
          <w:i/>
          <w:sz w:val="18"/>
        </w:rPr>
        <w:t xml:space="preserve">an Resources Consulting </w:t>
      </w:r>
      <w:r w:rsidR="00734155" w:rsidRPr="003A440A">
        <w:rPr>
          <w:rFonts w:asciiTheme="minorHAnsi" w:hAnsiTheme="minorHAnsi" w:cs="Arial"/>
          <w:i/>
          <w:sz w:val="18"/>
        </w:rPr>
        <w:t>201</w:t>
      </w:r>
      <w:r w:rsidR="00F0191D" w:rsidRPr="003A440A">
        <w:rPr>
          <w:rFonts w:asciiTheme="minorHAnsi" w:hAnsiTheme="minorHAnsi" w:cs="Arial"/>
          <w:i/>
          <w:sz w:val="18"/>
        </w:rPr>
        <w:t>7</w:t>
      </w:r>
      <w:r w:rsidR="00734155" w:rsidRPr="003A440A">
        <w:rPr>
          <w:rFonts w:asciiTheme="minorHAnsi" w:hAnsiTheme="minorHAnsi" w:cs="Arial"/>
          <w:i/>
          <w:sz w:val="18"/>
        </w:rPr>
        <w:t>-201</w:t>
      </w:r>
      <w:r w:rsidR="00F0191D" w:rsidRPr="003A440A">
        <w:rPr>
          <w:rFonts w:asciiTheme="minorHAnsi" w:hAnsiTheme="minorHAnsi" w:cs="Arial"/>
          <w:i/>
          <w:sz w:val="18"/>
        </w:rPr>
        <w:t>8</w:t>
      </w:r>
      <w:r w:rsidRPr="003A440A">
        <w:rPr>
          <w:rFonts w:asciiTheme="minorHAnsi" w:hAnsiTheme="minorHAnsi" w:cs="Arial"/>
          <w:i/>
          <w:sz w:val="18"/>
        </w:rPr>
        <w:t xml:space="preserve"> U</w:t>
      </w:r>
      <w:r w:rsidR="00BF62D6">
        <w:rPr>
          <w:rFonts w:asciiTheme="minorHAnsi" w:hAnsiTheme="minorHAnsi" w:cs="Arial"/>
          <w:i/>
          <w:sz w:val="18"/>
        </w:rPr>
        <w:t>.</w:t>
      </w:r>
      <w:r w:rsidRPr="003A440A">
        <w:rPr>
          <w:rFonts w:asciiTheme="minorHAnsi" w:hAnsiTheme="minorHAnsi" w:cs="Arial"/>
          <w:i/>
          <w:sz w:val="18"/>
        </w:rPr>
        <w:t>S</w:t>
      </w:r>
      <w:r w:rsidR="00BF62D6">
        <w:rPr>
          <w:rFonts w:asciiTheme="minorHAnsi" w:hAnsiTheme="minorHAnsi" w:cs="Arial"/>
          <w:i/>
          <w:sz w:val="18"/>
        </w:rPr>
        <w:t>.</w:t>
      </w:r>
      <w:r w:rsidRPr="003A440A">
        <w:rPr>
          <w:rFonts w:asciiTheme="minorHAnsi" w:hAnsiTheme="minorHAnsi" w:cs="Arial"/>
          <w:i/>
          <w:sz w:val="18"/>
        </w:rPr>
        <w:t xml:space="preserve"> Compensation Planning Survey</w:t>
      </w:r>
      <w:r w:rsidR="00376DAB" w:rsidRPr="003A440A">
        <w:rPr>
          <w:rFonts w:asciiTheme="minorHAnsi" w:hAnsiTheme="minorHAnsi" w:cs="Arial"/>
          <w:i/>
          <w:sz w:val="18"/>
        </w:rPr>
        <w:t xml:space="preserve"> Preliminary Report</w:t>
      </w:r>
    </w:p>
    <w:p w14:paraId="2499B506" w14:textId="2449F975" w:rsidR="00B52602" w:rsidRPr="003A440A" w:rsidRDefault="00B52602" w:rsidP="00B52602">
      <w:pPr>
        <w:jc w:val="both"/>
        <w:rPr>
          <w:rFonts w:asciiTheme="minorHAnsi" w:hAnsiTheme="minorHAnsi" w:cs="Arial"/>
          <w:i/>
          <w:sz w:val="18"/>
        </w:rPr>
      </w:pPr>
      <w:r>
        <w:rPr>
          <w:rFonts w:ascii="Arial" w:hAnsi="Arial" w:cs="Arial"/>
        </w:rPr>
        <w:t xml:space="preserve">  </w:t>
      </w:r>
      <w:r w:rsidR="00BF62D6">
        <w:rPr>
          <w:rFonts w:ascii="Arial" w:hAnsi="Arial" w:cs="Arial"/>
        </w:rPr>
        <w:t xml:space="preserve"> </w:t>
      </w:r>
      <w:r w:rsidRPr="003A440A">
        <w:rPr>
          <w:rFonts w:asciiTheme="minorHAnsi" w:hAnsiTheme="minorHAnsi" w:cs="Arial"/>
          <w:i/>
          <w:sz w:val="18"/>
        </w:rPr>
        <w:t xml:space="preserve">Note:  The above are projected and actual base pay salary increase percentages of payroll.  </w:t>
      </w:r>
    </w:p>
    <w:p w14:paraId="4210EA0F" w14:textId="77777777" w:rsidR="00B657F7" w:rsidRPr="00BF62D6" w:rsidRDefault="00B657F7" w:rsidP="002010B7">
      <w:pPr>
        <w:rPr>
          <w:rFonts w:asciiTheme="minorHAnsi" w:hAnsiTheme="minorHAnsi" w:cstheme="minorHAnsi"/>
          <w:i/>
          <w:szCs w:val="22"/>
        </w:rPr>
      </w:pPr>
    </w:p>
    <w:p w14:paraId="1DF00EA1" w14:textId="5ABF8656" w:rsidR="00465F21" w:rsidRPr="006A4EF5" w:rsidRDefault="00465F21" w:rsidP="003A440A">
      <w:pPr>
        <w:jc w:val="both"/>
        <w:rPr>
          <w:rFonts w:asciiTheme="minorHAnsi" w:hAnsiTheme="minorHAnsi" w:cs="Arial"/>
          <w:szCs w:val="22"/>
        </w:rPr>
      </w:pPr>
      <w:r w:rsidRPr="006A4EF5">
        <w:rPr>
          <w:rFonts w:asciiTheme="minorHAnsi" w:hAnsiTheme="minorHAnsi" w:cs="Arial"/>
          <w:szCs w:val="22"/>
        </w:rPr>
        <w:t>Projected and actual wage increases remained fairly stable at the national</w:t>
      </w:r>
      <w:r w:rsidR="00E94ECA" w:rsidRPr="006A4EF5">
        <w:rPr>
          <w:rFonts w:asciiTheme="minorHAnsi" w:hAnsiTheme="minorHAnsi" w:cs="Arial"/>
          <w:szCs w:val="22"/>
        </w:rPr>
        <w:t xml:space="preserve"> level for the </w:t>
      </w:r>
      <w:r w:rsidR="00686A35">
        <w:rPr>
          <w:rFonts w:asciiTheme="minorHAnsi" w:hAnsiTheme="minorHAnsi" w:cs="Arial"/>
          <w:szCs w:val="22"/>
        </w:rPr>
        <w:t>better</w:t>
      </w:r>
      <w:r w:rsidR="00E94ECA" w:rsidRPr="006A4EF5">
        <w:rPr>
          <w:rFonts w:asciiTheme="minorHAnsi" w:hAnsiTheme="minorHAnsi" w:cs="Arial"/>
          <w:szCs w:val="22"/>
        </w:rPr>
        <w:t xml:space="preserve"> part of 2000-2009</w:t>
      </w:r>
      <w:r w:rsidRPr="006A4EF5">
        <w:rPr>
          <w:rFonts w:asciiTheme="minorHAnsi" w:hAnsiTheme="minorHAnsi" w:cs="Arial"/>
          <w:szCs w:val="22"/>
        </w:rPr>
        <w:t xml:space="preserve"> at or about the 4% percent level. </w:t>
      </w:r>
      <w:r w:rsidR="008C3A6F" w:rsidRPr="006A4EF5">
        <w:rPr>
          <w:rFonts w:asciiTheme="minorHAnsi" w:hAnsiTheme="minorHAnsi" w:cs="Arial"/>
          <w:szCs w:val="22"/>
        </w:rPr>
        <w:t>However, with</w:t>
      </w:r>
      <w:r w:rsidRPr="006A4EF5">
        <w:rPr>
          <w:rFonts w:asciiTheme="minorHAnsi" w:hAnsiTheme="minorHAnsi" w:cs="Arial"/>
          <w:szCs w:val="22"/>
        </w:rPr>
        <w:t xml:space="preserve"> </w:t>
      </w:r>
      <w:r w:rsidR="000438CB" w:rsidRPr="006A4EF5">
        <w:rPr>
          <w:rFonts w:asciiTheme="minorHAnsi" w:hAnsiTheme="minorHAnsi" w:cs="Arial"/>
          <w:szCs w:val="22"/>
        </w:rPr>
        <w:t>worsening</w:t>
      </w:r>
      <w:r w:rsidRPr="006A4EF5">
        <w:rPr>
          <w:rFonts w:asciiTheme="minorHAnsi" w:hAnsiTheme="minorHAnsi" w:cs="Arial"/>
          <w:szCs w:val="22"/>
        </w:rPr>
        <w:t xml:space="preserve"> economic conditions</w:t>
      </w:r>
      <w:r w:rsidR="00734155">
        <w:rPr>
          <w:rFonts w:asciiTheme="minorHAnsi" w:hAnsiTheme="minorHAnsi" w:cs="Arial"/>
          <w:szCs w:val="22"/>
        </w:rPr>
        <w:t xml:space="preserve"> at the end of that decade</w:t>
      </w:r>
      <w:r w:rsidRPr="006A4EF5">
        <w:rPr>
          <w:rFonts w:asciiTheme="minorHAnsi" w:hAnsiTheme="minorHAnsi" w:cs="Arial"/>
          <w:szCs w:val="22"/>
        </w:rPr>
        <w:t>, actual wage increases</w:t>
      </w:r>
      <w:r w:rsidR="00336ACD" w:rsidRPr="006A4EF5">
        <w:rPr>
          <w:rFonts w:asciiTheme="minorHAnsi" w:hAnsiTheme="minorHAnsi" w:cs="Arial"/>
          <w:szCs w:val="22"/>
        </w:rPr>
        <w:t xml:space="preserve"> declined dramatically in 2</w:t>
      </w:r>
      <w:r w:rsidR="00E94ECA" w:rsidRPr="006A4EF5">
        <w:rPr>
          <w:rFonts w:asciiTheme="minorHAnsi" w:hAnsiTheme="minorHAnsi" w:cs="Arial"/>
          <w:szCs w:val="22"/>
        </w:rPr>
        <w:t>009.  They have increased slightly each year since</w:t>
      </w:r>
      <w:r w:rsidR="00336ACD" w:rsidRPr="006A4EF5">
        <w:rPr>
          <w:rFonts w:asciiTheme="minorHAnsi" w:hAnsiTheme="minorHAnsi" w:cs="Arial"/>
          <w:szCs w:val="22"/>
        </w:rPr>
        <w:t>, but still are not approaching historical levels</w:t>
      </w:r>
      <w:r w:rsidR="00E94ECA" w:rsidRPr="006A4EF5">
        <w:rPr>
          <w:rFonts w:asciiTheme="minorHAnsi" w:hAnsiTheme="minorHAnsi" w:cs="Arial"/>
          <w:szCs w:val="22"/>
        </w:rPr>
        <w:t xml:space="preserve">. </w:t>
      </w:r>
      <w:r w:rsidRPr="006A4EF5">
        <w:rPr>
          <w:rFonts w:asciiTheme="minorHAnsi" w:hAnsiTheme="minorHAnsi" w:cs="Arial"/>
          <w:szCs w:val="22"/>
        </w:rPr>
        <w:t xml:space="preserve">Analysis of data from a variety of national consulting and business firms </w:t>
      </w:r>
      <w:r w:rsidR="00E94ECA" w:rsidRPr="007C14B2">
        <w:rPr>
          <w:rFonts w:asciiTheme="minorHAnsi" w:hAnsiTheme="minorHAnsi" w:cs="Arial"/>
          <w:szCs w:val="22"/>
        </w:rPr>
        <w:t xml:space="preserve">in the </w:t>
      </w:r>
      <w:r w:rsidR="00E94ECA" w:rsidRPr="00BF62D6">
        <w:rPr>
          <w:rFonts w:asciiTheme="minorHAnsi" w:hAnsiTheme="minorHAnsi" w:cs="Arial"/>
          <w:szCs w:val="22"/>
        </w:rPr>
        <w:t>Mercer Huma</w:t>
      </w:r>
      <w:r w:rsidR="00734155" w:rsidRPr="00BF62D6">
        <w:rPr>
          <w:rFonts w:asciiTheme="minorHAnsi" w:hAnsiTheme="minorHAnsi" w:cs="Arial"/>
          <w:szCs w:val="22"/>
        </w:rPr>
        <w:t>n Resources Consulting 201</w:t>
      </w:r>
      <w:r w:rsidR="00F0191D" w:rsidRPr="00BF62D6">
        <w:rPr>
          <w:rFonts w:asciiTheme="minorHAnsi" w:hAnsiTheme="minorHAnsi" w:cs="Arial"/>
          <w:szCs w:val="22"/>
        </w:rPr>
        <w:t>7</w:t>
      </w:r>
      <w:r w:rsidR="00734155" w:rsidRPr="00BF62D6">
        <w:rPr>
          <w:rFonts w:asciiTheme="minorHAnsi" w:hAnsiTheme="minorHAnsi" w:cs="Arial"/>
          <w:szCs w:val="22"/>
        </w:rPr>
        <w:t>-201</w:t>
      </w:r>
      <w:r w:rsidR="00F0191D" w:rsidRPr="00BF62D6">
        <w:rPr>
          <w:rFonts w:asciiTheme="minorHAnsi" w:hAnsiTheme="minorHAnsi" w:cs="Arial"/>
          <w:szCs w:val="22"/>
        </w:rPr>
        <w:t>8</w:t>
      </w:r>
      <w:r w:rsidR="00734155" w:rsidRPr="00BF62D6">
        <w:rPr>
          <w:rFonts w:asciiTheme="minorHAnsi" w:hAnsiTheme="minorHAnsi" w:cs="Arial"/>
          <w:szCs w:val="22"/>
        </w:rPr>
        <w:t xml:space="preserve"> </w:t>
      </w:r>
      <w:r w:rsidR="00E94ECA" w:rsidRPr="00BF62D6">
        <w:rPr>
          <w:rFonts w:asciiTheme="minorHAnsi" w:hAnsiTheme="minorHAnsi" w:cs="Arial"/>
          <w:szCs w:val="22"/>
        </w:rPr>
        <w:t>U</w:t>
      </w:r>
      <w:r w:rsidR="00BF62D6" w:rsidRPr="00BF62D6">
        <w:rPr>
          <w:rFonts w:asciiTheme="minorHAnsi" w:hAnsiTheme="minorHAnsi" w:cs="Arial"/>
          <w:szCs w:val="22"/>
        </w:rPr>
        <w:t>.</w:t>
      </w:r>
      <w:r w:rsidR="00E94ECA" w:rsidRPr="00BF62D6">
        <w:rPr>
          <w:rFonts w:asciiTheme="minorHAnsi" w:hAnsiTheme="minorHAnsi" w:cs="Arial"/>
          <w:szCs w:val="22"/>
        </w:rPr>
        <w:t>S</w:t>
      </w:r>
      <w:r w:rsidR="00BF62D6" w:rsidRPr="00BF62D6">
        <w:rPr>
          <w:rFonts w:asciiTheme="minorHAnsi" w:hAnsiTheme="minorHAnsi" w:cs="Arial"/>
          <w:szCs w:val="22"/>
        </w:rPr>
        <w:t>.</w:t>
      </w:r>
      <w:r w:rsidR="00E94ECA" w:rsidRPr="00BF62D6">
        <w:rPr>
          <w:rFonts w:asciiTheme="minorHAnsi" w:hAnsiTheme="minorHAnsi" w:cs="Arial"/>
          <w:szCs w:val="22"/>
        </w:rPr>
        <w:t xml:space="preserve"> Compensation Planning Survey</w:t>
      </w:r>
      <w:r w:rsidR="00E94ECA" w:rsidRPr="007C14B2">
        <w:rPr>
          <w:rFonts w:asciiTheme="minorHAnsi" w:hAnsiTheme="minorHAnsi" w:cs="Arial"/>
          <w:i/>
          <w:szCs w:val="22"/>
        </w:rPr>
        <w:t xml:space="preserve"> </w:t>
      </w:r>
      <w:r w:rsidRPr="007C14B2">
        <w:rPr>
          <w:rFonts w:asciiTheme="minorHAnsi" w:hAnsiTheme="minorHAnsi" w:cs="Arial"/>
          <w:szCs w:val="22"/>
        </w:rPr>
        <w:t>places the projected budgeted average wage inc</w:t>
      </w:r>
      <w:r w:rsidR="00C20E6C" w:rsidRPr="007C14B2">
        <w:rPr>
          <w:rFonts w:asciiTheme="minorHAnsi" w:hAnsiTheme="minorHAnsi" w:cs="Arial"/>
          <w:szCs w:val="22"/>
        </w:rPr>
        <w:t xml:space="preserve">rease for </w:t>
      </w:r>
      <w:r w:rsidR="00734155" w:rsidRPr="007C14B2">
        <w:rPr>
          <w:rFonts w:asciiTheme="minorHAnsi" w:hAnsiTheme="minorHAnsi" w:cs="Arial"/>
          <w:b/>
          <w:i/>
          <w:szCs w:val="22"/>
        </w:rPr>
        <w:t>201</w:t>
      </w:r>
      <w:r w:rsidR="00F0191D" w:rsidRPr="007C14B2">
        <w:rPr>
          <w:rFonts w:asciiTheme="minorHAnsi" w:hAnsiTheme="minorHAnsi" w:cs="Arial"/>
          <w:b/>
          <w:i/>
          <w:szCs w:val="22"/>
        </w:rPr>
        <w:t>8</w:t>
      </w:r>
      <w:r w:rsidR="00686A35" w:rsidRPr="007C14B2">
        <w:rPr>
          <w:rFonts w:asciiTheme="minorHAnsi" w:hAnsiTheme="minorHAnsi" w:cs="Arial"/>
          <w:b/>
          <w:i/>
          <w:szCs w:val="22"/>
        </w:rPr>
        <w:t xml:space="preserve"> at 2.9</w:t>
      </w:r>
      <w:r w:rsidRPr="007C14B2">
        <w:rPr>
          <w:rFonts w:asciiTheme="minorHAnsi" w:hAnsiTheme="minorHAnsi" w:cs="Arial"/>
          <w:b/>
          <w:i/>
          <w:szCs w:val="22"/>
        </w:rPr>
        <w:t>%</w:t>
      </w:r>
      <w:r w:rsidR="00734155" w:rsidRPr="007C14B2">
        <w:rPr>
          <w:rFonts w:asciiTheme="minorHAnsi" w:hAnsiTheme="minorHAnsi" w:cs="Arial"/>
          <w:b/>
          <w:i/>
          <w:szCs w:val="22"/>
        </w:rPr>
        <w:t>, only slightly higher than 201</w:t>
      </w:r>
      <w:r w:rsidR="00F0191D" w:rsidRPr="007C14B2">
        <w:rPr>
          <w:rFonts w:asciiTheme="minorHAnsi" w:hAnsiTheme="minorHAnsi" w:cs="Arial"/>
          <w:b/>
          <w:i/>
          <w:szCs w:val="22"/>
        </w:rPr>
        <w:t>7</w:t>
      </w:r>
      <w:r w:rsidR="00686A35" w:rsidRPr="007C14B2">
        <w:rPr>
          <w:rFonts w:asciiTheme="minorHAnsi" w:hAnsiTheme="minorHAnsi" w:cs="Arial"/>
          <w:b/>
          <w:i/>
          <w:szCs w:val="22"/>
        </w:rPr>
        <w:t xml:space="preserve">’s </w:t>
      </w:r>
      <w:r w:rsidR="00734155" w:rsidRPr="007C14B2">
        <w:rPr>
          <w:rFonts w:asciiTheme="minorHAnsi" w:hAnsiTheme="minorHAnsi" w:cs="Arial"/>
          <w:b/>
          <w:i/>
          <w:szCs w:val="22"/>
        </w:rPr>
        <w:t>actual increase of 2.8</w:t>
      </w:r>
      <w:r w:rsidR="00686A35" w:rsidRPr="007C14B2">
        <w:rPr>
          <w:rFonts w:asciiTheme="minorHAnsi" w:hAnsiTheme="minorHAnsi" w:cs="Arial"/>
          <w:b/>
          <w:i/>
          <w:szCs w:val="22"/>
        </w:rPr>
        <w:t>%</w:t>
      </w:r>
      <w:r w:rsidR="00BF62D6" w:rsidRPr="00BF62D6">
        <w:rPr>
          <w:rFonts w:asciiTheme="minorHAnsi" w:hAnsiTheme="minorHAnsi" w:cs="Arial"/>
          <w:i/>
          <w:szCs w:val="22"/>
        </w:rPr>
        <w:t>,</w:t>
      </w:r>
      <w:r w:rsidR="004F29EF" w:rsidRPr="007C14B2">
        <w:rPr>
          <w:rFonts w:asciiTheme="minorHAnsi" w:hAnsiTheme="minorHAnsi" w:cs="Arial"/>
          <w:b/>
          <w:i/>
          <w:szCs w:val="22"/>
        </w:rPr>
        <w:t xml:space="preserve"> </w:t>
      </w:r>
      <w:r w:rsidR="004F29EF" w:rsidRPr="007C14B2">
        <w:rPr>
          <w:rFonts w:asciiTheme="minorHAnsi" w:hAnsiTheme="minorHAnsi" w:cs="Arial"/>
          <w:szCs w:val="22"/>
        </w:rPr>
        <w:t>as seen in Table 3 above.</w:t>
      </w:r>
    </w:p>
    <w:p w14:paraId="1D6DED6A" w14:textId="77777777" w:rsidR="00336ACD" w:rsidRPr="006A4EF5" w:rsidRDefault="00336ACD" w:rsidP="003A440A">
      <w:pPr>
        <w:jc w:val="both"/>
        <w:rPr>
          <w:rFonts w:asciiTheme="minorHAnsi" w:hAnsiTheme="minorHAnsi" w:cs="Arial"/>
          <w:strike/>
          <w:szCs w:val="22"/>
        </w:rPr>
      </w:pPr>
    </w:p>
    <w:p w14:paraId="1D39B475" w14:textId="417949CA" w:rsidR="00465F21" w:rsidRPr="006A4EF5" w:rsidRDefault="00465F21" w:rsidP="003A440A">
      <w:pPr>
        <w:pStyle w:val="MAPS"/>
        <w:jc w:val="both"/>
        <w:rPr>
          <w:rFonts w:asciiTheme="minorHAnsi" w:hAnsiTheme="minorHAnsi" w:cs="Arial"/>
          <w:sz w:val="22"/>
          <w:szCs w:val="22"/>
        </w:rPr>
      </w:pPr>
      <w:r w:rsidRPr="006A4EF5">
        <w:rPr>
          <w:rFonts w:asciiTheme="minorHAnsi" w:hAnsiTheme="minorHAnsi" w:cs="Arial"/>
          <w:sz w:val="22"/>
          <w:szCs w:val="22"/>
        </w:rPr>
        <w:t xml:space="preserve">In North Carolina, annual salary increases for </w:t>
      </w:r>
      <w:r w:rsidR="00BF62D6">
        <w:rPr>
          <w:rFonts w:asciiTheme="minorHAnsi" w:hAnsiTheme="minorHAnsi" w:cs="Arial"/>
          <w:sz w:val="22"/>
          <w:szCs w:val="22"/>
        </w:rPr>
        <w:t>S</w:t>
      </w:r>
      <w:r w:rsidRPr="006A4EF5">
        <w:rPr>
          <w:rFonts w:asciiTheme="minorHAnsi" w:hAnsiTheme="minorHAnsi" w:cs="Arial"/>
          <w:sz w:val="22"/>
          <w:szCs w:val="22"/>
        </w:rPr>
        <w:t xml:space="preserve">tate employees were less than </w:t>
      </w:r>
      <w:r w:rsidR="00C33A69" w:rsidRPr="00C45495">
        <w:rPr>
          <w:rFonts w:asciiTheme="minorHAnsi" w:hAnsiTheme="minorHAnsi" w:cs="Arial"/>
          <w:sz w:val="22"/>
          <w:szCs w:val="22"/>
        </w:rPr>
        <w:t xml:space="preserve">the </w:t>
      </w:r>
      <w:r w:rsidRPr="006A4EF5">
        <w:rPr>
          <w:rFonts w:asciiTheme="minorHAnsi" w:hAnsiTheme="minorHAnsi" w:cs="Arial"/>
          <w:sz w:val="22"/>
          <w:szCs w:val="22"/>
        </w:rPr>
        <w:t xml:space="preserve">average market movement in </w:t>
      </w:r>
      <w:r w:rsidR="000C6292" w:rsidRPr="006A4EF5">
        <w:rPr>
          <w:rFonts w:asciiTheme="minorHAnsi" w:hAnsiTheme="minorHAnsi" w:cs="Arial"/>
          <w:sz w:val="22"/>
          <w:szCs w:val="22"/>
        </w:rPr>
        <w:t xml:space="preserve">all but </w:t>
      </w:r>
      <w:r w:rsidR="00734155">
        <w:rPr>
          <w:rFonts w:asciiTheme="minorHAnsi" w:hAnsiTheme="minorHAnsi" w:cs="Arial"/>
          <w:sz w:val="22"/>
          <w:szCs w:val="22"/>
        </w:rPr>
        <w:t>one</w:t>
      </w:r>
      <w:r w:rsidR="000C6292" w:rsidRPr="006A4EF5">
        <w:rPr>
          <w:rFonts w:asciiTheme="minorHAnsi" w:hAnsiTheme="minorHAnsi" w:cs="Arial"/>
          <w:sz w:val="22"/>
          <w:szCs w:val="22"/>
        </w:rPr>
        <w:t xml:space="preserve"> of the last </w:t>
      </w:r>
      <w:r w:rsidR="00BF62D6">
        <w:rPr>
          <w:rFonts w:asciiTheme="minorHAnsi" w:hAnsiTheme="minorHAnsi" w:cs="Arial"/>
          <w:sz w:val="22"/>
          <w:szCs w:val="22"/>
        </w:rPr>
        <w:t>10</w:t>
      </w:r>
      <w:r w:rsidR="00EB466E" w:rsidRPr="006A4EF5">
        <w:rPr>
          <w:rFonts w:asciiTheme="minorHAnsi" w:hAnsiTheme="minorHAnsi" w:cs="Arial"/>
          <w:sz w:val="22"/>
          <w:szCs w:val="22"/>
        </w:rPr>
        <w:t xml:space="preserve"> years</w:t>
      </w:r>
      <w:r w:rsidR="00B91E1A" w:rsidRPr="006A4EF5">
        <w:rPr>
          <w:rFonts w:asciiTheme="minorHAnsi" w:hAnsiTheme="minorHAnsi" w:cs="Arial"/>
          <w:sz w:val="22"/>
          <w:szCs w:val="22"/>
        </w:rPr>
        <w:t>.  Even w</w:t>
      </w:r>
      <w:r w:rsidRPr="006A4EF5">
        <w:rPr>
          <w:rFonts w:asciiTheme="minorHAnsi" w:hAnsiTheme="minorHAnsi" w:cs="Arial"/>
          <w:sz w:val="22"/>
          <w:szCs w:val="22"/>
        </w:rPr>
        <w:t xml:space="preserve">hen factoring in the </w:t>
      </w:r>
      <w:r w:rsidR="006365EE" w:rsidRPr="006A4EF5">
        <w:rPr>
          <w:rFonts w:asciiTheme="minorHAnsi" w:hAnsiTheme="minorHAnsi" w:cs="Arial"/>
          <w:sz w:val="22"/>
          <w:szCs w:val="22"/>
        </w:rPr>
        <w:t>above-mark</w:t>
      </w:r>
      <w:r w:rsidR="00A26984">
        <w:rPr>
          <w:rFonts w:asciiTheme="minorHAnsi" w:hAnsiTheme="minorHAnsi" w:cs="Arial"/>
          <w:sz w:val="22"/>
          <w:szCs w:val="22"/>
        </w:rPr>
        <w:t xml:space="preserve">et legislative </w:t>
      </w:r>
      <w:r w:rsidR="00A26984" w:rsidRPr="007C14B2">
        <w:rPr>
          <w:rFonts w:asciiTheme="minorHAnsi" w:hAnsiTheme="minorHAnsi" w:cs="Arial"/>
          <w:color w:val="000000" w:themeColor="text1"/>
          <w:sz w:val="22"/>
          <w:szCs w:val="22"/>
        </w:rPr>
        <w:t xml:space="preserve">increase in </w:t>
      </w:r>
      <w:r w:rsidR="006365EE" w:rsidRPr="007C14B2">
        <w:rPr>
          <w:rFonts w:asciiTheme="minorHAnsi" w:hAnsiTheme="minorHAnsi" w:cs="Arial"/>
          <w:color w:val="000000" w:themeColor="text1"/>
          <w:sz w:val="22"/>
          <w:szCs w:val="22"/>
        </w:rPr>
        <w:t xml:space="preserve">2007, </w:t>
      </w:r>
      <w:r w:rsidRPr="007C14B2">
        <w:rPr>
          <w:rFonts w:asciiTheme="minorHAnsi" w:hAnsiTheme="minorHAnsi" w:cs="Arial"/>
          <w:color w:val="000000" w:themeColor="text1"/>
          <w:sz w:val="22"/>
          <w:szCs w:val="22"/>
        </w:rPr>
        <w:t xml:space="preserve">salary increases in </w:t>
      </w:r>
      <w:r w:rsidR="00BF62D6">
        <w:rPr>
          <w:rFonts w:asciiTheme="minorHAnsi" w:hAnsiTheme="minorHAnsi" w:cs="Arial"/>
          <w:color w:val="000000" w:themeColor="text1"/>
          <w:sz w:val="22"/>
          <w:szCs w:val="22"/>
        </w:rPr>
        <w:t>S</w:t>
      </w:r>
      <w:r w:rsidRPr="007C14B2">
        <w:rPr>
          <w:rFonts w:asciiTheme="minorHAnsi" w:hAnsiTheme="minorHAnsi" w:cs="Arial"/>
          <w:color w:val="000000" w:themeColor="text1"/>
          <w:sz w:val="22"/>
          <w:szCs w:val="22"/>
        </w:rPr>
        <w:t xml:space="preserve">tate government have </w:t>
      </w:r>
      <w:r w:rsidR="00B91E1A" w:rsidRPr="007C14B2">
        <w:rPr>
          <w:rFonts w:asciiTheme="minorHAnsi" w:hAnsiTheme="minorHAnsi" w:cs="Arial"/>
          <w:color w:val="000000" w:themeColor="text1"/>
          <w:sz w:val="22"/>
          <w:szCs w:val="22"/>
        </w:rPr>
        <w:t xml:space="preserve">still </w:t>
      </w:r>
      <w:r w:rsidRPr="007C14B2">
        <w:rPr>
          <w:rFonts w:asciiTheme="minorHAnsi" w:hAnsiTheme="minorHAnsi" w:cs="Arial"/>
          <w:color w:val="000000" w:themeColor="text1"/>
          <w:sz w:val="22"/>
          <w:szCs w:val="22"/>
        </w:rPr>
        <w:t xml:space="preserve">cumulatively trailed average market increases by </w:t>
      </w:r>
      <w:r w:rsidR="00A26984" w:rsidRPr="007C14B2">
        <w:rPr>
          <w:rFonts w:asciiTheme="minorHAnsi" w:hAnsiTheme="minorHAnsi" w:cs="Arial"/>
          <w:color w:val="000000" w:themeColor="text1"/>
          <w:sz w:val="22"/>
          <w:szCs w:val="22"/>
        </w:rPr>
        <w:t>17</w:t>
      </w:r>
      <w:r w:rsidRPr="007C14B2">
        <w:rPr>
          <w:rFonts w:asciiTheme="minorHAnsi" w:hAnsiTheme="minorHAnsi" w:cs="Arial"/>
          <w:color w:val="000000" w:themeColor="text1"/>
          <w:sz w:val="22"/>
          <w:szCs w:val="22"/>
        </w:rPr>
        <w:t xml:space="preserve">% </w:t>
      </w:r>
      <w:r w:rsidR="004147BC" w:rsidRPr="007C14B2">
        <w:rPr>
          <w:rFonts w:asciiTheme="minorHAnsi" w:hAnsiTheme="minorHAnsi" w:cs="Arial"/>
          <w:color w:val="000000" w:themeColor="text1"/>
          <w:sz w:val="22"/>
          <w:szCs w:val="22"/>
        </w:rPr>
        <w:t xml:space="preserve">since </w:t>
      </w:r>
      <w:r w:rsidR="00A26984" w:rsidRPr="007C14B2">
        <w:rPr>
          <w:rFonts w:asciiTheme="minorHAnsi" w:hAnsiTheme="minorHAnsi" w:cs="Arial"/>
          <w:color w:val="000000" w:themeColor="text1"/>
          <w:sz w:val="22"/>
          <w:szCs w:val="22"/>
        </w:rPr>
        <w:t>2007</w:t>
      </w:r>
      <w:r w:rsidRPr="007C14B2">
        <w:rPr>
          <w:rFonts w:asciiTheme="minorHAnsi" w:hAnsiTheme="minorHAnsi" w:cs="Arial"/>
          <w:color w:val="000000" w:themeColor="text1"/>
          <w:sz w:val="22"/>
          <w:szCs w:val="22"/>
        </w:rPr>
        <w:t>.</w:t>
      </w:r>
      <w:r w:rsidR="005C62CE" w:rsidRPr="007C14B2">
        <w:rPr>
          <w:rFonts w:asciiTheme="minorHAnsi" w:hAnsiTheme="minorHAnsi" w:cs="Arial"/>
          <w:color w:val="000000" w:themeColor="text1"/>
          <w:sz w:val="22"/>
          <w:szCs w:val="22"/>
        </w:rPr>
        <w:t xml:space="preserve"> A history </w:t>
      </w:r>
      <w:r w:rsidR="005C62CE" w:rsidRPr="006A4EF5">
        <w:rPr>
          <w:rFonts w:asciiTheme="minorHAnsi" w:hAnsiTheme="minorHAnsi" w:cs="Arial"/>
          <w:sz w:val="22"/>
          <w:szCs w:val="22"/>
        </w:rPr>
        <w:t>of legislative increases and chart comparing legislative increases to average market movement is included in the appendix of this report.</w:t>
      </w:r>
    </w:p>
    <w:p w14:paraId="4A672EC0" w14:textId="75C9B02A" w:rsidR="00EB466E" w:rsidRPr="00A0601B" w:rsidRDefault="00EB466E" w:rsidP="00F06C1A">
      <w:pPr>
        <w:pStyle w:val="BodyTextIndent"/>
        <w:rPr>
          <w:rFonts w:asciiTheme="minorHAnsi" w:hAnsiTheme="minorHAnsi" w:cstheme="minorHAnsi"/>
          <w:i/>
          <w:sz w:val="22"/>
          <w:szCs w:val="22"/>
        </w:rPr>
      </w:pPr>
    </w:p>
    <w:p w14:paraId="73796552" w14:textId="77777777" w:rsidR="00465F21" w:rsidRPr="00911EA6" w:rsidRDefault="00465F21" w:rsidP="006A4EF5">
      <w:pPr>
        <w:jc w:val="both"/>
        <w:rPr>
          <w:rFonts w:asciiTheme="minorHAnsi" w:hAnsiTheme="minorHAnsi" w:cs="Arial"/>
          <w:b/>
          <w:bCs/>
          <w:sz w:val="24"/>
        </w:rPr>
      </w:pPr>
      <w:r w:rsidRPr="00911EA6">
        <w:rPr>
          <w:rFonts w:asciiTheme="minorHAnsi" w:hAnsiTheme="minorHAnsi" w:cs="Arial"/>
          <w:b/>
          <w:bCs/>
          <w:sz w:val="24"/>
        </w:rPr>
        <w:t>Consumer Price and Employment Cost Indices</w:t>
      </w:r>
      <w:r w:rsidR="00A26984" w:rsidRPr="00911EA6">
        <w:rPr>
          <w:rFonts w:asciiTheme="minorHAnsi" w:hAnsiTheme="minorHAnsi" w:cs="Arial"/>
          <w:b/>
          <w:bCs/>
          <w:sz w:val="24"/>
        </w:rPr>
        <w:t xml:space="preserve"> </w:t>
      </w:r>
    </w:p>
    <w:p w14:paraId="58B51878" w14:textId="0CDD6F89" w:rsidR="00465F21" w:rsidRPr="00911EA6" w:rsidRDefault="00465F21" w:rsidP="003A440A">
      <w:pPr>
        <w:jc w:val="both"/>
        <w:rPr>
          <w:rFonts w:asciiTheme="minorHAnsi" w:hAnsiTheme="minorHAnsi" w:cs="Arial"/>
          <w:szCs w:val="22"/>
        </w:rPr>
      </w:pPr>
      <w:r w:rsidRPr="00911EA6">
        <w:rPr>
          <w:rFonts w:asciiTheme="minorHAnsi" w:hAnsiTheme="minorHAnsi" w:cs="Arial"/>
          <w:szCs w:val="22"/>
        </w:rPr>
        <w:t xml:space="preserve">In addition to general labor market movement, </w:t>
      </w:r>
      <w:r w:rsidRPr="007C14B2">
        <w:rPr>
          <w:rFonts w:asciiTheme="minorHAnsi" w:hAnsiTheme="minorHAnsi" w:cs="Arial"/>
          <w:szCs w:val="22"/>
        </w:rPr>
        <w:t>the increase in the Consumer Price Index-Urban (CPI-U) for the 12-month period</w:t>
      </w:r>
      <w:r w:rsidR="00C6455B" w:rsidRPr="007C14B2">
        <w:rPr>
          <w:rFonts w:asciiTheme="minorHAnsi" w:hAnsiTheme="minorHAnsi" w:cs="Arial"/>
          <w:szCs w:val="22"/>
        </w:rPr>
        <w:t xml:space="preserve"> ending in </w:t>
      </w:r>
      <w:r w:rsidR="00872250" w:rsidRPr="007C14B2">
        <w:rPr>
          <w:rFonts w:asciiTheme="minorHAnsi" w:hAnsiTheme="minorHAnsi" w:cs="Arial"/>
          <w:szCs w:val="22"/>
        </w:rPr>
        <w:t>December 2017</w:t>
      </w:r>
      <w:r w:rsidR="00A71734" w:rsidRPr="007C14B2">
        <w:rPr>
          <w:rFonts w:asciiTheme="minorHAnsi" w:hAnsiTheme="minorHAnsi" w:cs="Arial"/>
          <w:szCs w:val="22"/>
        </w:rPr>
        <w:t xml:space="preserve"> </w:t>
      </w:r>
      <w:r w:rsidR="00C6455B" w:rsidRPr="007C14B2">
        <w:rPr>
          <w:rFonts w:asciiTheme="minorHAnsi" w:hAnsiTheme="minorHAnsi" w:cs="Arial"/>
          <w:szCs w:val="22"/>
        </w:rPr>
        <w:t xml:space="preserve">was </w:t>
      </w:r>
      <w:r w:rsidR="00911EA6" w:rsidRPr="007C14B2">
        <w:rPr>
          <w:rFonts w:asciiTheme="minorHAnsi" w:hAnsiTheme="minorHAnsi" w:cs="Arial"/>
          <w:szCs w:val="22"/>
        </w:rPr>
        <w:t>2.</w:t>
      </w:r>
      <w:r w:rsidR="00872250" w:rsidRPr="007C14B2">
        <w:rPr>
          <w:rFonts w:asciiTheme="minorHAnsi" w:hAnsiTheme="minorHAnsi" w:cs="Arial"/>
          <w:szCs w:val="22"/>
        </w:rPr>
        <w:t>5</w:t>
      </w:r>
      <w:r w:rsidR="00DC07CF" w:rsidRPr="007C14B2">
        <w:rPr>
          <w:rFonts w:asciiTheme="minorHAnsi" w:hAnsiTheme="minorHAnsi" w:cs="Arial"/>
          <w:szCs w:val="22"/>
        </w:rPr>
        <w:t>%</w:t>
      </w:r>
      <w:r w:rsidRPr="007C14B2">
        <w:rPr>
          <w:rFonts w:asciiTheme="minorHAnsi" w:hAnsiTheme="minorHAnsi" w:cs="Arial"/>
          <w:szCs w:val="22"/>
        </w:rPr>
        <w:t>.</w:t>
      </w:r>
      <w:r w:rsidRPr="007C14B2">
        <w:rPr>
          <w:rFonts w:asciiTheme="minorHAnsi" w:hAnsiTheme="minorHAnsi" w:cs="Arial"/>
          <w:b/>
          <w:szCs w:val="22"/>
        </w:rPr>
        <w:t xml:space="preserve"> </w:t>
      </w:r>
      <w:r w:rsidRPr="007C14B2">
        <w:rPr>
          <w:rFonts w:asciiTheme="minorHAnsi" w:hAnsiTheme="minorHAnsi" w:cs="Arial"/>
          <w:szCs w:val="22"/>
        </w:rPr>
        <w:t>This percentage</w:t>
      </w:r>
      <w:r w:rsidRPr="00911EA6">
        <w:rPr>
          <w:rFonts w:asciiTheme="minorHAnsi" w:hAnsiTheme="minorHAnsi" w:cs="Arial"/>
          <w:szCs w:val="22"/>
        </w:rPr>
        <w:t xml:space="preserve"> measures the average change over a specific period of time in the prices paid by urban consumers for goods and services.   The CPI-U includes all urban consumers that are roughly 87% of the populatio</w:t>
      </w:r>
      <w:r w:rsidR="005C62CE" w:rsidRPr="00911EA6">
        <w:rPr>
          <w:rFonts w:asciiTheme="minorHAnsi" w:hAnsiTheme="minorHAnsi" w:cs="Arial"/>
          <w:szCs w:val="22"/>
        </w:rPr>
        <w:t>n in the United States.  M</w:t>
      </w:r>
      <w:r w:rsidRPr="00911EA6">
        <w:rPr>
          <w:rFonts w:asciiTheme="minorHAnsi" w:hAnsiTheme="minorHAnsi" w:cs="Arial"/>
          <w:szCs w:val="22"/>
        </w:rPr>
        <w:t xml:space="preserve">ost pay increases for </w:t>
      </w:r>
      <w:r w:rsidR="00BF62D6">
        <w:rPr>
          <w:rFonts w:asciiTheme="minorHAnsi" w:hAnsiTheme="minorHAnsi" w:cs="Arial"/>
          <w:szCs w:val="22"/>
        </w:rPr>
        <w:t>S</w:t>
      </w:r>
      <w:r w:rsidRPr="00911EA6">
        <w:rPr>
          <w:rFonts w:asciiTheme="minorHAnsi" w:hAnsiTheme="minorHAnsi" w:cs="Arial"/>
          <w:szCs w:val="22"/>
        </w:rPr>
        <w:t xml:space="preserve">tate employees have included a cost-of-living component, </w:t>
      </w:r>
      <w:r w:rsidR="00A71734" w:rsidRPr="00911EA6">
        <w:rPr>
          <w:rFonts w:asciiTheme="minorHAnsi" w:hAnsiTheme="minorHAnsi" w:cs="Arial"/>
          <w:szCs w:val="22"/>
        </w:rPr>
        <w:t>but</w:t>
      </w:r>
      <w:r w:rsidR="005C62CE" w:rsidRPr="00911EA6">
        <w:rPr>
          <w:rFonts w:asciiTheme="minorHAnsi" w:hAnsiTheme="minorHAnsi" w:cs="Arial"/>
          <w:szCs w:val="22"/>
        </w:rPr>
        <w:t xml:space="preserve"> these have never been reflective of CPI</w:t>
      </w:r>
      <w:r w:rsidR="00BF62D6">
        <w:rPr>
          <w:rFonts w:asciiTheme="minorHAnsi" w:hAnsiTheme="minorHAnsi" w:cs="Arial"/>
          <w:szCs w:val="22"/>
        </w:rPr>
        <w:t>-U</w:t>
      </w:r>
      <w:r w:rsidR="00DC17A3" w:rsidRPr="00911EA6">
        <w:rPr>
          <w:rFonts w:asciiTheme="minorHAnsi" w:hAnsiTheme="minorHAnsi" w:cs="Arial"/>
          <w:szCs w:val="22"/>
        </w:rPr>
        <w:t xml:space="preserve">. </w:t>
      </w:r>
    </w:p>
    <w:p w14:paraId="3678AA22" w14:textId="77777777" w:rsidR="00465F21" w:rsidRPr="00911EA6" w:rsidRDefault="00465F21" w:rsidP="003A440A">
      <w:pPr>
        <w:jc w:val="both"/>
        <w:rPr>
          <w:rFonts w:asciiTheme="minorHAnsi" w:hAnsiTheme="minorHAnsi" w:cs="Arial"/>
          <w:szCs w:val="22"/>
        </w:rPr>
      </w:pPr>
    </w:p>
    <w:p w14:paraId="4E239B77" w14:textId="6FEE372B" w:rsidR="005C62CE" w:rsidRDefault="005C62CE" w:rsidP="003A440A">
      <w:pPr>
        <w:jc w:val="both"/>
        <w:rPr>
          <w:rFonts w:asciiTheme="minorHAnsi" w:hAnsiTheme="minorHAnsi" w:cs="Arial"/>
          <w:szCs w:val="22"/>
        </w:rPr>
      </w:pPr>
      <w:r w:rsidRPr="007C14B2">
        <w:rPr>
          <w:rFonts w:asciiTheme="minorHAnsi" w:hAnsiTheme="minorHAnsi" w:cs="Arial"/>
          <w:szCs w:val="22"/>
        </w:rPr>
        <w:t>T</w:t>
      </w:r>
      <w:r w:rsidR="00465F21" w:rsidRPr="007C14B2">
        <w:rPr>
          <w:rFonts w:asciiTheme="minorHAnsi" w:hAnsiTheme="minorHAnsi" w:cs="Arial"/>
          <w:szCs w:val="22"/>
        </w:rPr>
        <w:t>he cost-of-living portion of annual legisla</w:t>
      </w:r>
      <w:r w:rsidR="00C6455B" w:rsidRPr="007C14B2">
        <w:rPr>
          <w:rFonts w:asciiTheme="minorHAnsi" w:hAnsiTheme="minorHAnsi" w:cs="Arial"/>
          <w:szCs w:val="22"/>
        </w:rPr>
        <w:t xml:space="preserve">tive increases from </w:t>
      </w:r>
      <w:r w:rsidR="00911EA6" w:rsidRPr="007C14B2">
        <w:rPr>
          <w:rFonts w:asciiTheme="minorHAnsi" w:hAnsiTheme="minorHAnsi" w:cs="Arial"/>
          <w:szCs w:val="22"/>
        </w:rPr>
        <w:t>2007 to 2016</w:t>
      </w:r>
      <w:r w:rsidR="00465F21" w:rsidRPr="007C14B2">
        <w:rPr>
          <w:rFonts w:asciiTheme="minorHAnsi" w:hAnsiTheme="minorHAnsi" w:cs="Arial"/>
          <w:szCs w:val="22"/>
        </w:rPr>
        <w:t xml:space="preserve"> </w:t>
      </w:r>
      <w:r w:rsidR="00B13FF4" w:rsidRPr="007C14B2">
        <w:rPr>
          <w:rFonts w:asciiTheme="minorHAnsi" w:hAnsiTheme="minorHAnsi" w:cs="Arial"/>
          <w:szCs w:val="22"/>
        </w:rPr>
        <w:t>trailed</w:t>
      </w:r>
      <w:r w:rsidR="00465F21" w:rsidRPr="007C14B2">
        <w:rPr>
          <w:rFonts w:asciiTheme="minorHAnsi" w:hAnsiTheme="minorHAnsi" w:cs="Arial"/>
          <w:szCs w:val="22"/>
        </w:rPr>
        <w:t xml:space="preserve"> the CPI-U percentages for the same time period</w:t>
      </w:r>
      <w:r w:rsidR="00C6455B" w:rsidRPr="007C14B2">
        <w:rPr>
          <w:rFonts w:asciiTheme="minorHAnsi" w:hAnsiTheme="minorHAnsi" w:cs="Arial"/>
          <w:szCs w:val="22"/>
        </w:rPr>
        <w:t xml:space="preserve">, with </w:t>
      </w:r>
      <w:r w:rsidR="00911EA6" w:rsidRPr="007C14B2">
        <w:rPr>
          <w:rFonts w:asciiTheme="minorHAnsi" w:hAnsiTheme="minorHAnsi" w:cs="Arial"/>
          <w:szCs w:val="22"/>
        </w:rPr>
        <w:t xml:space="preserve">the exception of </w:t>
      </w:r>
      <w:r w:rsidR="00B13FF4" w:rsidRPr="007C14B2">
        <w:rPr>
          <w:rFonts w:asciiTheme="minorHAnsi" w:hAnsiTheme="minorHAnsi" w:cs="Arial"/>
          <w:szCs w:val="22"/>
        </w:rPr>
        <w:t>2014</w:t>
      </w:r>
      <w:r w:rsidR="00465F21" w:rsidRPr="007C14B2">
        <w:rPr>
          <w:rFonts w:asciiTheme="minorHAnsi" w:hAnsiTheme="minorHAnsi" w:cs="Arial"/>
          <w:szCs w:val="22"/>
        </w:rPr>
        <w:t xml:space="preserve">.  This differential reflects that compensation for </w:t>
      </w:r>
      <w:r w:rsidR="00AA3E49">
        <w:rPr>
          <w:rFonts w:asciiTheme="minorHAnsi" w:hAnsiTheme="minorHAnsi" w:cs="Arial"/>
          <w:szCs w:val="22"/>
        </w:rPr>
        <w:t>S</w:t>
      </w:r>
      <w:r w:rsidR="00465F21" w:rsidRPr="007C14B2">
        <w:rPr>
          <w:rFonts w:asciiTheme="minorHAnsi" w:hAnsiTheme="minorHAnsi" w:cs="Arial"/>
          <w:szCs w:val="22"/>
        </w:rPr>
        <w:t xml:space="preserve">tate employees has historically not kept pace with the </w:t>
      </w:r>
      <w:r w:rsidR="00BF62D6">
        <w:rPr>
          <w:rFonts w:asciiTheme="minorHAnsi" w:hAnsiTheme="minorHAnsi" w:cs="Arial"/>
          <w:szCs w:val="22"/>
        </w:rPr>
        <w:t>C</w:t>
      </w:r>
      <w:r w:rsidR="00465F21" w:rsidRPr="007C14B2">
        <w:rPr>
          <w:rFonts w:asciiTheme="minorHAnsi" w:hAnsiTheme="minorHAnsi" w:cs="Arial"/>
          <w:szCs w:val="22"/>
        </w:rPr>
        <w:t xml:space="preserve">onsumer </w:t>
      </w:r>
      <w:r w:rsidR="00BF62D6">
        <w:rPr>
          <w:rFonts w:asciiTheme="minorHAnsi" w:hAnsiTheme="minorHAnsi" w:cs="Arial"/>
          <w:szCs w:val="22"/>
        </w:rPr>
        <w:t>P</w:t>
      </w:r>
      <w:r w:rsidR="00465F21" w:rsidRPr="007C14B2">
        <w:rPr>
          <w:rFonts w:asciiTheme="minorHAnsi" w:hAnsiTheme="minorHAnsi" w:cs="Arial"/>
          <w:szCs w:val="22"/>
        </w:rPr>
        <w:t xml:space="preserve">rice </w:t>
      </w:r>
      <w:r w:rsidR="00BF62D6">
        <w:rPr>
          <w:rFonts w:asciiTheme="minorHAnsi" w:hAnsiTheme="minorHAnsi" w:cs="Arial"/>
          <w:szCs w:val="22"/>
        </w:rPr>
        <w:t>I</w:t>
      </w:r>
      <w:r w:rsidR="00465F21" w:rsidRPr="007C14B2">
        <w:rPr>
          <w:rFonts w:asciiTheme="minorHAnsi" w:hAnsiTheme="minorHAnsi" w:cs="Arial"/>
          <w:szCs w:val="22"/>
        </w:rPr>
        <w:t xml:space="preserve">ndex.  </w:t>
      </w:r>
      <w:r w:rsidR="001E5A01" w:rsidRPr="007C14B2">
        <w:rPr>
          <w:rFonts w:asciiTheme="minorHAnsi" w:hAnsiTheme="minorHAnsi" w:cs="Arial"/>
          <w:szCs w:val="22"/>
        </w:rPr>
        <w:t>Even when factoring in above-market le</w:t>
      </w:r>
      <w:r w:rsidR="00911EA6" w:rsidRPr="007C14B2">
        <w:rPr>
          <w:rFonts w:asciiTheme="minorHAnsi" w:hAnsiTheme="minorHAnsi" w:cs="Arial"/>
          <w:szCs w:val="22"/>
        </w:rPr>
        <w:t xml:space="preserve">gislative increases in </w:t>
      </w:r>
      <w:r w:rsidR="001E5A01" w:rsidRPr="007C14B2">
        <w:rPr>
          <w:rFonts w:asciiTheme="minorHAnsi" w:hAnsiTheme="minorHAnsi" w:cs="Arial"/>
          <w:szCs w:val="22"/>
        </w:rPr>
        <w:t xml:space="preserve">2007, salary increases in </w:t>
      </w:r>
      <w:r w:rsidR="00BF62D6">
        <w:rPr>
          <w:rFonts w:asciiTheme="minorHAnsi" w:hAnsiTheme="minorHAnsi" w:cs="Arial"/>
          <w:szCs w:val="22"/>
        </w:rPr>
        <w:t>S</w:t>
      </w:r>
      <w:r w:rsidR="001E5A01" w:rsidRPr="007C14B2">
        <w:rPr>
          <w:rFonts w:asciiTheme="minorHAnsi" w:hAnsiTheme="minorHAnsi" w:cs="Arial"/>
          <w:szCs w:val="22"/>
        </w:rPr>
        <w:t>tate government have still cumulatively</w:t>
      </w:r>
      <w:r w:rsidR="00911EA6" w:rsidRPr="007C14B2">
        <w:rPr>
          <w:rFonts w:asciiTheme="minorHAnsi" w:hAnsiTheme="minorHAnsi" w:cs="Arial"/>
          <w:szCs w:val="22"/>
        </w:rPr>
        <w:t xml:space="preserve"> trailed CPI</w:t>
      </w:r>
      <w:r w:rsidR="00BF62D6">
        <w:rPr>
          <w:rFonts w:asciiTheme="minorHAnsi" w:hAnsiTheme="minorHAnsi" w:cs="Arial"/>
          <w:szCs w:val="22"/>
        </w:rPr>
        <w:t>-U</w:t>
      </w:r>
      <w:r w:rsidR="00911EA6" w:rsidRPr="007C14B2">
        <w:rPr>
          <w:rFonts w:asciiTheme="minorHAnsi" w:hAnsiTheme="minorHAnsi" w:cs="Arial"/>
          <w:szCs w:val="22"/>
        </w:rPr>
        <w:t xml:space="preserve"> by 9.5</w:t>
      </w:r>
      <w:r w:rsidR="001E5A01" w:rsidRPr="007C14B2">
        <w:rPr>
          <w:rFonts w:asciiTheme="minorHAnsi" w:hAnsiTheme="minorHAnsi" w:cs="Arial"/>
          <w:szCs w:val="22"/>
        </w:rPr>
        <w:t xml:space="preserve">% over the last </w:t>
      </w:r>
      <w:r w:rsidR="00BF62D6">
        <w:rPr>
          <w:rFonts w:asciiTheme="minorHAnsi" w:hAnsiTheme="minorHAnsi" w:cs="Arial"/>
          <w:szCs w:val="22"/>
        </w:rPr>
        <w:t>10</w:t>
      </w:r>
      <w:r w:rsidR="001E5A01" w:rsidRPr="007C14B2">
        <w:rPr>
          <w:rFonts w:asciiTheme="minorHAnsi" w:hAnsiTheme="minorHAnsi" w:cs="Arial"/>
          <w:szCs w:val="22"/>
        </w:rPr>
        <w:t xml:space="preserve"> years, </w:t>
      </w:r>
      <w:r w:rsidR="00C6455B" w:rsidRPr="007C14B2">
        <w:rPr>
          <w:rFonts w:asciiTheme="minorHAnsi" w:hAnsiTheme="minorHAnsi" w:cs="Arial"/>
          <w:szCs w:val="22"/>
        </w:rPr>
        <w:t xml:space="preserve">effectively </w:t>
      </w:r>
      <w:r w:rsidR="001E5A01" w:rsidRPr="007C14B2">
        <w:rPr>
          <w:rFonts w:asciiTheme="minorHAnsi" w:hAnsiTheme="minorHAnsi" w:cs="Arial"/>
          <w:szCs w:val="22"/>
        </w:rPr>
        <w:t xml:space="preserve">decreasing </w:t>
      </w:r>
      <w:r w:rsidR="00465F21" w:rsidRPr="007C14B2">
        <w:rPr>
          <w:rFonts w:asciiTheme="minorHAnsi" w:hAnsiTheme="minorHAnsi" w:cs="Arial"/>
          <w:szCs w:val="22"/>
        </w:rPr>
        <w:t>employee</w:t>
      </w:r>
      <w:r w:rsidR="00A413B1" w:rsidRPr="007C14B2">
        <w:rPr>
          <w:rFonts w:asciiTheme="minorHAnsi" w:hAnsiTheme="minorHAnsi" w:cs="Arial"/>
          <w:szCs w:val="22"/>
        </w:rPr>
        <w:t xml:space="preserve"> “buying power</w:t>
      </w:r>
      <w:r w:rsidR="001E5A01" w:rsidRPr="007C14B2">
        <w:rPr>
          <w:rFonts w:asciiTheme="minorHAnsi" w:hAnsiTheme="minorHAnsi" w:cs="Arial"/>
          <w:szCs w:val="22"/>
        </w:rPr>
        <w:t>.”</w:t>
      </w:r>
      <w:r w:rsidRPr="007C14B2">
        <w:rPr>
          <w:rFonts w:asciiTheme="minorHAnsi" w:hAnsiTheme="minorHAnsi" w:cs="Arial"/>
          <w:szCs w:val="22"/>
        </w:rPr>
        <w:t xml:space="preserve"> A chart comparing legislative increases with CPI</w:t>
      </w:r>
      <w:r w:rsidR="00BF62D6">
        <w:rPr>
          <w:rFonts w:asciiTheme="minorHAnsi" w:hAnsiTheme="minorHAnsi" w:cs="Arial"/>
          <w:szCs w:val="22"/>
        </w:rPr>
        <w:t>-U</w:t>
      </w:r>
      <w:r w:rsidRPr="007C14B2">
        <w:rPr>
          <w:rFonts w:asciiTheme="minorHAnsi" w:hAnsiTheme="minorHAnsi" w:cs="Arial"/>
          <w:szCs w:val="22"/>
        </w:rPr>
        <w:t xml:space="preserve"> is included in the appendix of this report.</w:t>
      </w:r>
    </w:p>
    <w:p w14:paraId="4AAFB46D" w14:textId="77777777" w:rsidR="006F220B" w:rsidRPr="006A4EF5" w:rsidRDefault="006F220B" w:rsidP="002010B7">
      <w:pPr>
        <w:rPr>
          <w:rFonts w:asciiTheme="minorHAnsi" w:hAnsiTheme="minorHAnsi" w:cs="Arial"/>
        </w:rPr>
      </w:pPr>
    </w:p>
    <w:p w14:paraId="51A9A5A5" w14:textId="26111887" w:rsidR="00465F21" w:rsidRPr="006A4EF5" w:rsidRDefault="00465F21">
      <w:pPr>
        <w:pStyle w:val="Heading2"/>
        <w:ind w:left="0"/>
        <w:rPr>
          <w:rFonts w:asciiTheme="minorHAnsi" w:hAnsiTheme="minorHAnsi" w:cs="Arial"/>
          <w:i w:val="0"/>
          <w:iCs/>
          <w:sz w:val="24"/>
        </w:rPr>
      </w:pPr>
      <w:r w:rsidRPr="006A4EF5">
        <w:rPr>
          <w:rFonts w:asciiTheme="minorHAnsi" w:hAnsiTheme="minorHAnsi" w:cs="Arial"/>
          <w:b/>
          <w:bCs/>
          <w:i w:val="0"/>
          <w:iCs/>
          <w:sz w:val="24"/>
        </w:rPr>
        <w:t xml:space="preserve">Recruitment </w:t>
      </w:r>
      <w:r w:rsidR="00BF62D6">
        <w:rPr>
          <w:rFonts w:asciiTheme="minorHAnsi" w:hAnsiTheme="minorHAnsi" w:cs="Arial"/>
          <w:b/>
          <w:bCs/>
          <w:i w:val="0"/>
          <w:iCs/>
          <w:sz w:val="24"/>
        </w:rPr>
        <w:t>and</w:t>
      </w:r>
      <w:r w:rsidRPr="006A4EF5">
        <w:rPr>
          <w:rFonts w:asciiTheme="minorHAnsi" w:hAnsiTheme="minorHAnsi" w:cs="Arial"/>
          <w:b/>
          <w:bCs/>
          <w:i w:val="0"/>
          <w:iCs/>
          <w:sz w:val="24"/>
        </w:rPr>
        <w:t xml:space="preserve"> Retention</w:t>
      </w:r>
      <w:r w:rsidRPr="006A4EF5">
        <w:rPr>
          <w:rFonts w:asciiTheme="minorHAnsi" w:hAnsiTheme="minorHAnsi" w:cs="Arial"/>
          <w:i w:val="0"/>
          <w:iCs/>
          <w:sz w:val="24"/>
        </w:rPr>
        <w:t xml:space="preserve"> </w:t>
      </w:r>
    </w:p>
    <w:p w14:paraId="744481EE" w14:textId="11D63E54" w:rsidR="00465F21" w:rsidRPr="006A4EF5" w:rsidRDefault="00465F21" w:rsidP="003A440A">
      <w:pPr>
        <w:pStyle w:val="BodyTextIndent"/>
        <w:rPr>
          <w:rFonts w:asciiTheme="minorHAnsi" w:hAnsiTheme="minorHAnsi" w:cs="Arial"/>
          <w:sz w:val="22"/>
        </w:rPr>
      </w:pPr>
      <w:r w:rsidRPr="006A4EF5">
        <w:rPr>
          <w:rFonts w:asciiTheme="minorHAnsi" w:hAnsiTheme="minorHAnsi" w:cs="Arial"/>
          <w:sz w:val="22"/>
        </w:rPr>
        <w:t xml:space="preserve">Many factors affect the capacity of an organization to recruit and retain a competent and qualified workforce.  Given the </w:t>
      </w:r>
      <w:r w:rsidR="009A4EFD" w:rsidRPr="006A4EF5">
        <w:rPr>
          <w:rFonts w:asciiTheme="minorHAnsi" w:hAnsiTheme="minorHAnsi" w:cs="Arial"/>
          <w:sz w:val="22"/>
        </w:rPr>
        <w:t xml:space="preserve">organizational and </w:t>
      </w:r>
      <w:r w:rsidRPr="006A4EF5">
        <w:rPr>
          <w:rFonts w:asciiTheme="minorHAnsi" w:hAnsiTheme="minorHAnsi" w:cs="Arial"/>
          <w:sz w:val="22"/>
        </w:rPr>
        <w:t xml:space="preserve">occupational diversity of North Carolina's </w:t>
      </w:r>
      <w:r w:rsidR="00BF62D6">
        <w:rPr>
          <w:rFonts w:asciiTheme="minorHAnsi" w:hAnsiTheme="minorHAnsi" w:cs="Arial"/>
          <w:sz w:val="22"/>
        </w:rPr>
        <w:t>S</w:t>
      </w:r>
      <w:r w:rsidRPr="006A4EF5">
        <w:rPr>
          <w:rFonts w:asciiTheme="minorHAnsi" w:hAnsiTheme="minorHAnsi" w:cs="Arial"/>
          <w:sz w:val="22"/>
        </w:rPr>
        <w:t xml:space="preserve">tate government, </w:t>
      </w:r>
      <w:r w:rsidR="00E05A02" w:rsidRPr="006A4EF5">
        <w:rPr>
          <w:rFonts w:asciiTheme="minorHAnsi" w:hAnsiTheme="minorHAnsi" w:cs="Arial"/>
          <w:sz w:val="22"/>
        </w:rPr>
        <w:t>there is no “one size fits all” solution to the myriad recruitment and retention issues facing its managers</w:t>
      </w:r>
      <w:r w:rsidRPr="006A4EF5">
        <w:rPr>
          <w:rFonts w:asciiTheme="minorHAnsi" w:hAnsiTheme="minorHAnsi" w:cs="Arial"/>
          <w:sz w:val="22"/>
        </w:rPr>
        <w:t xml:space="preserve">.  </w:t>
      </w:r>
    </w:p>
    <w:p w14:paraId="0339833F" w14:textId="77777777" w:rsidR="00ED62AD" w:rsidRPr="006A4EF5" w:rsidRDefault="00ED62AD" w:rsidP="003A440A">
      <w:pPr>
        <w:pStyle w:val="BodyTextIndent"/>
        <w:rPr>
          <w:rFonts w:asciiTheme="minorHAnsi" w:hAnsiTheme="minorHAnsi" w:cs="Arial"/>
          <w:sz w:val="22"/>
        </w:rPr>
      </w:pPr>
    </w:p>
    <w:p w14:paraId="506CBE0F" w14:textId="669B204F" w:rsidR="00025142" w:rsidRPr="006A4EF5" w:rsidRDefault="00025142" w:rsidP="003A440A">
      <w:pPr>
        <w:pStyle w:val="BodyTextIndent"/>
        <w:rPr>
          <w:rFonts w:asciiTheme="minorHAnsi" w:hAnsiTheme="minorHAnsi" w:cs="Arial"/>
          <w:sz w:val="22"/>
        </w:rPr>
      </w:pPr>
      <w:r w:rsidRPr="006A4EF5">
        <w:rPr>
          <w:rFonts w:asciiTheme="minorHAnsi" w:hAnsiTheme="minorHAnsi" w:cs="Arial"/>
          <w:sz w:val="22"/>
        </w:rPr>
        <w:t xml:space="preserve">A key challenge to the </w:t>
      </w:r>
      <w:r w:rsidR="00BF62D6">
        <w:rPr>
          <w:rFonts w:asciiTheme="minorHAnsi" w:hAnsiTheme="minorHAnsi" w:cs="Arial"/>
          <w:sz w:val="22"/>
        </w:rPr>
        <w:t>S</w:t>
      </w:r>
      <w:r w:rsidRPr="006A4EF5">
        <w:rPr>
          <w:rFonts w:asciiTheme="minorHAnsi" w:hAnsiTheme="minorHAnsi" w:cs="Arial"/>
          <w:sz w:val="22"/>
        </w:rPr>
        <w:t xml:space="preserve">tate and employers in general is the “silver tsunami” </w:t>
      </w:r>
      <w:r w:rsidR="004F29EF" w:rsidRPr="00C45495">
        <w:rPr>
          <w:rFonts w:asciiTheme="minorHAnsi" w:hAnsiTheme="minorHAnsi" w:cs="Arial"/>
          <w:sz w:val="22"/>
        </w:rPr>
        <w:t>occur</w:t>
      </w:r>
      <w:r w:rsidR="00D14017" w:rsidRPr="00C45495">
        <w:rPr>
          <w:rFonts w:asciiTheme="minorHAnsi" w:hAnsiTheme="minorHAnsi" w:cs="Arial"/>
          <w:sz w:val="22"/>
        </w:rPr>
        <w:t>r</w:t>
      </w:r>
      <w:r w:rsidR="004F29EF" w:rsidRPr="00C45495">
        <w:rPr>
          <w:rFonts w:asciiTheme="minorHAnsi" w:hAnsiTheme="minorHAnsi" w:cs="Arial"/>
          <w:sz w:val="22"/>
        </w:rPr>
        <w:t>ing</w:t>
      </w:r>
      <w:r w:rsidRPr="00D14017">
        <w:rPr>
          <w:rFonts w:asciiTheme="minorHAnsi" w:hAnsiTheme="minorHAnsi" w:cs="Arial"/>
          <w:color w:val="FF0000"/>
          <w:sz w:val="22"/>
        </w:rPr>
        <w:t xml:space="preserve"> </w:t>
      </w:r>
      <w:r w:rsidRPr="006A4EF5">
        <w:rPr>
          <w:rFonts w:asciiTheme="minorHAnsi" w:hAnsiTheme="minorHAnsi" w:cs="Arial"/>
          <w:sz w:val="22"/>
        </w:rPr>
        <w:t xml:space="preserve">as the </w:t>
      </w:r>
      <w:r w:rsidR="00BF62D6">
        <w:rPr>
          <w:rFonts w:asciiTheme="minorHAnsi" w:hAnsiTheme="minorHAnsi" w:cs="Arial"/>
          <w:sz w:val="22"/>
        </w:rPr>
        <w:t>B</w:t>
      </w:r>
      <w:r w:rsidRPr="006A4EF5">
        <w:rPr>
          <w:rFonts w:asciiTheme="minorHAnsi" w:hAnsiTheme="minorHAnsi" w:cs="Arial"/>
          <w:sz w:val="22"/>
        </w:rPr>
        <w:t xml:space="preserve">aby </w:t>
      </w:r>
      <w:r w:rsidR="00BF62D6">
        <w:rPr>
          <w:rFonts w:asciiTheme="minorHAnsi" w:hAnsiTheme="minorHAnsi" w:cs="Arial"/>
          <w:sz w:val="22"/>
        </w:rPr>
        <w:t>B</w:t>
      </w:r>
      <w:r w:rsidRPr="006A4EF5">
        <w:rPr>
          <w:rFonts w:asciiTheme="minorHAnsi" w:hAnsiTheme="minorHAnsi" w:cs="Arial"/>
          <w:sz w:val="22"/>
        </w:rPr>
        <w:t xml:space="preserve">oomer generation ages out of the workforce.  It is anticipated that in the next </w:t>
      </w:r>
      <w:r w:rsidR="00BF62D6">
        <w:rPr>
          <w:rFonts w:asciiTheme="minorHAnsi" w:hAnsiTheme="minorHAnsi" w:cs="Arial"/>
          <w:sz w:val="22"/>
        </w:rPr>
        <w:t>10</w:t>
      </w:r>
      <w:r w:rsidRPr="006A4EF5">
        <w:rPr>
          <w:rFonts w:asciiTheme="minorHAnsi" w:hAnsiTheme="minorHAnsi" w:cs="Arial"/>
          <w:sz w:val="22"/>
        </w:rPr>
        <w:t xml:space="preserve"> to </w:t>
      </w:r>
      <w:r w:rsidR="00BF62D6">
        <w:rPr>
          <w:rFonts w:asciiTheme="minorHAnsi" w:hAnsiTheme="minorHAnsi" w:cs="Arial"/>
          <w:sz w:val="22"/>
        </w:rPr>
        <w:t>20</w:t>
      </w:r>
      <w:r w:rsidRPr="006A4EF5">
        <w:rPr>
          <w:rFonts w:asciiTheme="minorHAnsi" w:hAnsiTheme="minorHAnsi" w:cs="Arial"/>
          <w:sz w:val="22"/>
        </w:rPr>
        <w:t xml:space="preserve"> years this will mean a tremendous and potentially crippling loss of organizational knowledge as senior employees leave the workforce at an accelerated pace.  An analysis of this anticipated trend is included in the “Turnover Rates” section of this report.</w:t>
      </w:r>
    </w:p>
    <w:p w14:paraId="76C42BCD" w14:textId="77777777" w:rsidR="00025142" w:rsidRPr="006A4EF5" w:rsidRDefault="00025142" w:rsidP="003A440A">
      <w:pPr>
        <w:pStyle w:val="BodyTextIndent"/>
        <w:rPr>
          <w:rFonts w:asciiTheme="minorHAnsi" w:hAnsiTheme="minorHAnsi" w:cs="Arial"/>
          <w:sz w:val="22"/>
        </w:rPr>
      </w:pPr>
    </w:p>
    <w:p w14:paraId="5ED14CF5" w14:textId="759EEAF9" w:rsidR="00233206" w:rsidRDefault="00FB3339" w:rsidP="003A440A">
      <w:pPr>
        <w:pStyle w:val="BodyTextIndent"/>
        <w:rPr>
          <w:rFonts w:asciiTheme="minorHAnsi" w:hAnsiTheme="minorHAnsi" w:cs="Arial"/>
          <w:sz w:val="22"/>
        </w:rPr>
      </w:pPr>
      <w:r w:rsidRPr="006A4EF5">
        <w:rPr>
          <w:rFonts w:asciiTheme="minorHAnsi" w:hAnsiTheme="minorHAnsi" w:cs="Arial"/>
          <w:sz w:val="22"/>
        </w:rPr>
        <w:t xml:space="preserve">A significant improvement for </w:t>
      </w:r>
      <w:r w:rsidR="00BF62D6">
        <w:rPr>
          <w:rFonts w:asciiTheme="minorHAnsi" w:hAnsiTheme="minorHAnsi" w:cs="Arial"/>
          <w:sz w:val="22"/>
        </w:rPr>
        <w:t>S</w:t>
      </w:r>
      <w:r w:rsidRPr="006A4EF5">
        <w:rPr>
          <w:rFonts w:asciiTheme="minorHAnsi" w:hAnsiTheme="minorHAnsi" w:cs="Arial"/>
          <w:sz w:val="22"/>
        </w:rPr>
        <w:t>tate government recruitment occurred when the State of North Carolina launched the Enterprise e-Recruit system on January 9</w:t>
      </w:r>
      <w:r w:rsidR="007D194F">
        <w:rPr>
          <w:rFonts w:asciiTheme="minorHAnsi" w:hAnsiTheme="minorHAnsi" w:cs="Arial"/>
          <w:sz w:val="22"/>
        </w:rPr>
        <w:t>,</w:t>
      </w:r>
      <w:r w:rsidRPr="006A4EF5">
        <w:rPr>
          <w:rFonts w:asciiTheme="minorHAnsi" w:hAnsiTheme="minorHAnsi" w:cs="Arial"/>
          <w:sz w:val="22"/>
        </w:rPr>
        <w:t xml:space="preserve"> 2012.  The State was successful in moving from a resource intensive application process to an automated process that significantly increased efficiencies and produced a better overall customer experience.  The system has been fully implemented by all Cabinet and Council of State Agencies and supports </w:t>
      </w:r>
      <w:r w:rsidR="00122B8E">
        <w:rPr>
          <w:rFonts w:asciiTheme="minorHAnsi" w:hAnsiTheme="minorHAnsi" w:cs="Arial"/>
          <w:sz w:val="22"/>
        </w:rPr>
        <w:t>the full recruitment lifecycle with between 800,000 and 1,000,000 applications submitted annually since its inception.</w:t>
      </w:r>
    </w:p>
    <w:p w14:paraId="1E824C04" w14:textId="77777777" w:rsidR="00A74913" w:rsidRPr="00B52602" w:rsidRDefault="00A74913" w:rsidP="00C45495">
      <w:pPr>
        <w:pStyle w:val="BodyTextIndent"/>
        <w:rPr>
          <w:rFonts w:asciiTheme="minorHAnsi" w:hAnsiTheme="minorHAnsi" w:cstheme="minorHAnsi"/>
          <w:sz w:val="22"/>
          <w:szCs w:val="22"/>
        </w:rPr>
      </w:pPr>
    </w:p>
    <w:p w14:paraId="07AAF658" w14:textId="77777777" w:rsidR="0038480B" w:rsidRPr="00B52602" w:rsidRDefault="0038480B" w:rsidP="00C45495">
      <w:pPr>
        <w:pStyle w:val="BodyTextIndent"/>
        <w:rPr>
          <w:rFonts w:asciiTheme="minorHAnsi" w:hAnsiTheme="minorHAnsi" w:cstheme="minorHAnsi"/>
          <w:sz w:val="22"/>
          <w:szCs w:val="22"/>
        </w:rPr>
      </w:pPr>
    </w:p>
    <w:p w14:paraId="13CB302C" w14:textId="77777777" w:rsidR="00465F21" w:rsidRPr="006A4EF5" w:rsidRDefault="00465F21" w:rsidP="006A4EF5">
      <w:pPr>
        <w:pStyle w:val="BodyTextIndent"/>
        <w:pBdr>
          <w:bottom w:val="single" w:sz="4" w:space="1" w:color="auto"/>
        </w:pBdr>
        <w:rPr>
          <w:rFonts w:asciiTheme="minorHAnsi" w:hAnsiTheme="minorHAnsi" w:cs="Arial"/>
          <w:b/>
          <w:sz w:val="28"/>
          <w:u w:val="single"/>
        </w:rPr>
      </w:pPr>
      <w:r w:rsidRPr="006A4EF5">
        <w:rPr>
          <w:rFonts w:asciiTheme="minorHAnsi" w:hAnsiTheme="minorHAnsi" w:cs="Arial"/>
          <w:b/>
          <w:bCs/>
          <w:sz w:val="28"/>
        </w:rPr>
        <w:t>V</w:t>
      </w:r>
      <w:r w:rsidR="008B4416" w:rsidRPr="006A4EF5">
        <w:rPr>
          <w:rFonts w:asciiTheme="minorHAnsi" w:hAnsiTheme="minorHAnsi" w:cs="Arial"/>
          <w:b/>
          <w:bCs/>
          <w:sz w:val="28"/>
        </w:rPr>
        <w:t>.</w:t>
      </w:r>
      <w:r w:rsidR="008B4416" w:rsidRPr="006A4EF5">
        <w:rPr>
          <w:rFonts w:asciiTheme="minorHAnsi" w:hAnsiTheme="minorHAnsi" w:cs="Arial"/>
          <w:b/>
          <w:bCs/>
          <w:sz w:val="28"/>
        </w:rPr>
        <w:tab/>
      </w:r>
      <w:r w:rsidRPr="006A4EF5">
        <w:rPr>
          <w:rFonts w:asciiTheme="minorHAnsi" w:hAnsiTheme="minorHAnsi" w:cs="Arial"/>
          <w:b/>
          <w:bCs/>
          <w:sz w:val="28"/>
        </w:rPr>
        <w:t xml:space="preserve">BASE PAY - LABOR MARKET </w:t>
      </w:r>
      <w:r w:rsidR="00E32A20" w:rsidRPr="006A4EF5">
        <w:rPr>
          <w:rFonts w:asciiTheme="minorHAnsi" w:hAnsiTheme="minorHAnsi" w:cs="Arial"/>
          <w:b/>
          <w:bCs/>
          <w:sz w:val="28"/>
        </w:rPr>
        <w:t>ANALYSIS</w:t>
      </w:r>
      <w:r w:rsidRPr="006A4EF5">
        <w:rPr>
          <w:rFonts w:asciiTheme="minorHAnsi" w:hAnsiTheme="minorHAnsi" w:cs="Arial"/>
          <w:sz w:val="28"/>
          <w:u w:val="single"/>
        </w:rPr>
        <w:t xml:space="preserve"> </w:t>
      </w:r>
    </w:p>
    <w:p w14:paraId="7503CC8A" w14:textId="77777777" w:rsidR="00465F21" w:rsidRPr="00B52602" w:rsidRDefault="00465F21">
      <w:pPr>
        <w:tabs>
          <w:tab w:val="right" w:pos="-900"/>
        </w:tabs>
        <w:jc w:val="both"/>
        <w:rPr>
          <w:rFonts w:asciiTheme="minorHAnsi" w:hAnsiTheme="minorHAnsi" w:cstheme="minorHAnsi"/>
          <w:b/>
          <w:szCs w:val="22"/>
        </w:rPr>
      </w:pPr>
    </w:p>
    <w:p w14:paraId="2DCAD20E" w14:textId="77777777" w:rsidR="00465F21" w:rsidRPr="006A4EF5" w:rsidRDefault="00465F21" w:rsidP="006A4EF5">
      <w:pPr>
        <w:pStyle w:val="Heading1"/>
        <w:tabs>
          <w:tab w:val="right" w:pos="-810"/>
        </w:tabs>
        <w:rPr>
          <w:rFonts w:asciiTheme="minorHAnsi" w:hAnsiTheme="minorHAnsi" w:cs="Arial"/>
          <w:b/>
          <w:iCs/>
          <w:u w:val="none"/>
        </w:rPr>
      </w:pPr>
      <w:r w:rsidRPr="006A4EF5">
        <w:rPr>
          <w:rFonts w:asciiTheme="minorHAnsi" w:hAnsiTheme="minorHAnsi" w:cs="Arial"/>
          <w:b/>
          <w:iCs/>
          <w:u w:val="none"/>
        </w:rPr>
        <w:t>Methodology</w:t>
      </w:r>
    </w:p>
    <w:p w14:paraId="58E929BE" w14:textId="77777777" w:rsidR="00E64F51" w:rsidRPr="006A4EF5" w:rsidRDefault="00465F21" w:rsidP="00B52602">
      <w:pPr>
        <w:pStyle w:val="BodyText"/>
        <w:rPr>
          <w:rFonts w:asciiTheme="minorHAnsi" w:hAnsiTheme="minorHAnsi" w:cs="Arial"/>
        </w:rPr>
      </w:pPr>
      <w:r w:rsidRPr="006A4EF5">
        <w:rPr>
          <w:rFonts w:asciiTheme="minorHAnsi" w:hAnsiTheme="minorHAnsi" w:cs="Arial"/>
        </w:rPr>
        <w:t xml:space="preserve">Public and private sector organizations rely upon salary </w:t>
      </w:r>
      <w:r w:rsidR="001D0567" w:rsidRPr="006A4EF5">
        <w:rPr>
          <w:rFonts w:asciiTheme="minorHAnsi" w:hAnsiTheme="minorHAnsi" w:cs="Arial"/>
        </w:rPr>
        <w:t xml:space="preserve">and benefits </w:t>
      </w:r>
      <w:r w:rsidRPr="006A4EF5">
        <w:rPr>
          <w:rFonts w:asciiTheme="minorHAnsi" w:hAnsiTheme="minorHAnsi" w:cs="Arial"/>
        </w:rPr>
        <w:t xml:space="preserve">surveys to ensure that they are making informed decisions about employee </w:t>
      </w:r>
      <w:r w:rsidR="001D0567" w:rsidRPr="006A4EF5">
        <w:rPr>
          <w:rFonts w:asciiTheme="minorHAnsi" w:hAnsiTheme="minorHAnsi" w:cs="Arial"/>
        </w:rPr>
        <w:t xml:space="preserve">total </w:t>
      </w:r>
      <w:r w:rsidRPr="006A4EF5">
        <w:rPr>
          <w:rFonts w:asciiTheme="minorHAnsi" w:hAnsiTheme="minorHAnsi" w:cs="Arial"/>
        </w:rPr>
        <w:t xml:space="preserve">compensation in terms of cost-effectiveness, recruitment and retention.  Sound </w:t>
      </w:r>
      <w:r w:rsidR="001D0567" w:rsidRPr="006A4EF5">
        <w:rPr>
          <w:rFonts w:asciiTheme="minorHAnsi" w:hAnsiTheme="minorHAnsi" w:cs="Arial"/>
        </w:rPr>
        <w:t xml:space="preserve">total </w:t>
      </w:r>
      <w:r w:rsidRPr="006A4EF5">
        <w:rPr>
          <w:rFonts w:asciiTheme="minorHAnsi" w:hAnsiTheme="minorHAnsi" w:cs="Arial"/>
        </w:rPr>
        <w:t xml:space="preserve">compensation practices ultimately result in a workforce </w:t>
      </w:r>
      <w:r w:rsidRPr="006A4EF5">
        <w:rPr>
          <w:rFonts w:asciiTheme="minorHAnsi" w:hAnsiTheme="minorHAnsi" w:cs="Arial"/>
        </w:rPr>
        <w:lastRenderedPageBreak/>
        <w:t xml:space="preserve">comprised of competent, skilled employees across multiple occupational areas.  Their collective knowledge, skills and </w:t>
      </w:r>
      <w:r w:rsidR="000B3851" w:rsidRPr="006A4EF5">
        <w:rPr>
          <w:rFonts w:asciiTheme="minorHAnsi" w:hAnsiTheme="minorHAnsi" w:cs="Arial"/>
        </w:rPr>
        <w:t>abilities</w:t>
      </w:r>
      <w:r w:rsidRPr="006A4EF5">
        <w:rPr>
          <w:rFonts w:asciiTheme="minorHAnsi" w:hAnsiTheme="minorHAnsi" w:cs="Arial"/>
        </w:rPr>
        <w:t xml:space="preserve"> directly relate to the accomplishment of the organization’s mission and vision.  Salary surveys are therefore critical in pricing jobs, diagnosing compensation problems, determining wage parity with market competitors, and in monitoring internal pay equity.  Survey data is also essential to organizations in terms of analyzing pay trends, identifying effective pay practices, and establishing a systematic method for setting competitive pay ranges for job classes.</w:t>
      </w:r>
    </w:p>
    <w:p w14:paraId="03F342E2" w14:textId="77777777" w:rsidR="00E64F51" w:rsidRPr="006A4EF5" w:rsidRDefault="00E64F51" w:rsidP="00E64F51">
      <w:pPr>
        <w:pStyle w:val="BodyText"/>
        <w:jc w:val="left"/>
        <w:rPr>
          <w:rFonts w:asciiTheme="minorHAnsi" w:hAnsiTheme="minorHAnsi" w:cs="Arial"/>
        </w:rPr>
      </w:pPr>
    </w:p>
    <w:p w14:paraId="265977F3" w14:textId="46D6AAA6" w:rsidR="00E64F51" w:rsidRPr="006A4EF5" w:rsidRDefault="00E64F51" w:rsidP="00B52602">
      <w:pPr>
        <w:pStyle w:val="BodyText"/>
        <w:rPr>
          <w:rFonts w:asciiTheme="minorHAnsi" w:hAnsiTheme="minorHAnsi" w:cs="Arial"/>
        </w:rPr>
      </w:pPr>
      <w:r w:rsidRPr="006A4EF5">
        <w:rPr>
          <w:rFonts w:asciiTheme="minorHAnsi" w:hAnsiTheme="minorHAnsi" w:cs="Arial"/>
        </w:rPr>
        <w:t xml:space="preserve">With the implementation of the MarketPay </w:t>
      </w:r>
      <w:r w:rsidR="004E23B2">
        <w:rPr>
          <w:rFonts w:asciiTheme="minorHAnsi" w:hAnsiTheme="minorHAnsi" w:cs="Arial"/>
        </w:rPr>
        <w:t xml:space="preserve">market </w:t>
      </w:r>
      <w:r w:rsidR="007251AA">
        <w:rPr>
          <w:rFonts w:asciiTheme="minorHAnsi" w:hAnsiTheme="minorHAnsi" w:cs="Arial"/>
        </w:rPr>
        <w:t>analysis</w:t>
      </w:r>
      <w:r w:rsidRPr="006A4EF5">
        <w:rPr>
          <w:rFonts w:asciiTheme="minorHAnsi" w:hAnsiTheme="minorHAnsi" w:cs="Arial"/>
        </w:rPr>
        <w:t xml:space="preserve"> tool, OSHR is now able to</w:t>
      </w:r>
      <w:r w:rsidR="00BF62D6">
        <w:rPr>
          <w:rFonts w:asciiTheme="minorHAnsi" w:hAnsiTheme="minorHAnsi" w:cs="Arial"/>
        </w:rPr>
        <w:t xml:space="preserve"> quickly and efficiently market-</w:t>
      </w:r>
      <w:r w:rsidRPr="006A4EF5">
        <w:rPr>
          <w:rFonts w:asciiTheme="minorHAnsi" w:hAnsiTheme="minorHAnsi" w:cs="Arial"/>
        </w:rPr>
        <w:t>price jobs and model compensation structures both for the purposes of the Statewide Compensation System Project and ongoing maintenance of the system. A list of surveys to which OSHR subscribes and for which the data is accessible in MarketPay is located in the appendix.</w:t>
      </w:r>
    </w:p>
    <w:p w14:paraId="515B6052" w14:textId="77777777" w:rsidR="00800D74" w:rsidRPr="006A4EF5" w:rsidRDefault="00800D74" w:rsidP="00B52602">
      <w:pPr>
        <w:jc w:val="both"/>
        <w:rPr>
          <w:rFonts w:asciiTheme="minorHAnsi" w:hAnsiTheme="minorHAnsi" w:cs="Arial"/>
          <w:strike/>
          <w:color w:val="FF0000"/>
        </w:rPr>
      </w:pPr>
    </w:p>
    <w:p w14:paraId="398B08B9" w14:textId="77777777" w:rsidR="00465F21" w:rsidRPr="006A4EF5" w:rsidRDefault="00465F21" w:rsidP="00B52602">
      <w:pPr>
        <w:pStyle w:val="BodyText"/>
        <w:rPr>
          <w:rFonts w:asciiTheme="minorHAnsi" w:hAnsiTheme="minorHAnsi" w:cs="Arial"/>
        </w:rPr>
      </w:pPr>
      <w:r w:rsidRPr="006A4EF5">
        <w:rPr>
          <w:rFonts w:asciiTheme="minorHAnsi" w:hAnsiTheme="minorHAnsi" w:cs="Arial"/>
        </w:rPr>
        <w:t xml:space="preserve">Professional survey methodology standards </w:t>
      </w:r>
      <w:r w:rsidR="00E64F51" w:rsidRPr="006A4EF5">
        <w:rPr>
          <w:rFonts w:asciiTheme="minorHAnsi" w:hAnsiTheme="minorHAnsi" w:cs="Arial"/>
        </w:rPr>
        <w:t>are</w:t>
      </w:r>
      <w:r w:rsidRPr="006A4EF5">
        <w:rPr>
          <w:rFonts w:asciiTheme="minorHAnsi" w:hAnsiTheme="minorHAnsi" w:cs="Arial"/>
        </w:rPr>
        <w:t xml:space="preserve"> used to collect and analyze available salary survey data or to conduct surveys to gather pertinent market information.  Survey methodology recognizes the following concepts that have been defined for informational purposes:</w:t>
      </w:r>
    </w:p>
    <w:p w14:paraId="25DA805E" w14:textId="77777777" w:rsidR="00465F21" w:rsidRPr="006A4EF5" w:rsidRDefault="00465F21" w:rsidP="002010B7">
      <w:pPr>
        <w:ind w:left="450"/>
        <w:rPr>
          <w:rFonts w:asciiTheme="minorHAnsi" w:hAnsiTheme="minorHAnsi" w:cs="Arial"/>
        </w:rPr>
      </w:pPr>
    </w:p>
    <w:p w14:paraId="4A7B63D9" w14:textId="7B1385E8" w:rsidR="00465F21" w:rsidRPr="00A01A6D" w:rsidRDefault="00465F21" w:rsidP="00B52602">
      <w:pPr>
        <w:numPr>
          <w:ilvl w:val="0"/>
          <w:numId w:val="4"/>
        </w:numPr>
        <w:tabs>
          <w:tab w:val="clear" w:pos="360"/>
        </w:tabs>
        <w:spacing w:after="120"/>
        <w:ind w:left="540" w:hanging="180"/>
        <w:jc w:val="both"/>
        <w:rPr>
          <w:rFonts w:asciiTheme="minorHAnsi" w:hAnsiTheme="minorHAnsi" w:cs="Arial"/>
        </w:rPr>
      </w:pPr>
      <w:r w:rsidRPr="006A4EF5">
        <w:rPr>
          <w:rFonts w:asciiTheme="minorHAnsi" w:hAnsiTheme="minorHAnsi" w:cs="Arial"/>
          <w:i/>
        </w:rPr>
        <w:t xml:space="preserve">Market </w:t>
      </w:r>
      <w:r w:rsidR="00E64F51" w:rsidRPr="006A4EF5">
        <w:rPr>
          <w:rFonts w:asciiTheme="minorHAnsi" w:hAnsiTheme="minorHAnsi" w:cs="Arial"/>
          <w:i/>
        </w:rPr>
        <w:t>Base Salary</w:t>
      </w:r>
      <w:r w:rsidR="004E23B2">
        <w:rPr>
          <w:rFonts w:asciiTheme="minorHAnsi" w:hAnsiTheme="minorHAnsi" w:cs="Arial"/>
          <w:i/>
        </w:rPr>
        <w:t xml:space="preserve"> Average</w:t>
      </w:r>
      <w:r w:rsidRPr="006A4EF5">
        <w:rPr>
          <w:rFonts w:asciiTheme="minorHAnsi" w:hAnsiTheme="minorHAnsi" w:cs="Arial"/>
          <w:i/>
        </w:rPr>
        <w:t xml:space="preserve"> </w:t>
      </w:r>
      <w:r w:rsidRPr="006A4EF5">
        <w:rPr>
          <w:rFonts w:asciiTheme="minorHAnsi" w:hAnsiTheme="minorHAnsi" w:cs="Arial"/>
        </w:rPr>
        <w:t xml:space="preserve">is the average rate of pay that competitors have reported through surveying in a </w:t>
      </w:r>
      <w:r w:rsidR="004E23B2">
        <w:rPr>
          <w:rFonts w:asciiTheme="minorHAnsi" w:hAnsiTheme="minorHAnsi" w:cs="Arial"/>
        </w:rPr>
        <w:t>job</w:t>
      </w:r>
      <w:r w:rsidR="00BF62D6">
        <w:rPr>
          <w:rFonts w:asciiTheme="minorHAnsi" w:hAnsiTheme="minorHAnsi" w:cs="Arial"/>
        </w:rPr>
        <w:t xml:space="preserve"> similar to that found in S</w:t>
      </w:r>
      <w:r w:rsidRPr="006A4EF5">
        <w:rPr>
          <w:rFonts w:asciiTheme="minorHAnsi" w:hAnsiTheme="minorHAnsi" w:cs="Arial"/>
        </w:rPr>
        <w:t>tate government.</w:t>
      </w:r>
    </w:p>
    <w:p w14:paraId="7AB26388" w14:textId="0F8EC763" w:rsidR="00465F21" w:rsidRPr="00A01A6D" w:rsidRDefault="00465F21" w:rsidP="00B52602">
      <w:pPr>
        <w:numPr>
          <w:ilvl w:val="0"/>
          <w:numId w:val="4"/>
        </w:numPr>
        <w:tabs>
          <w:tab w:val="clear" w:pos="360"/>
        </w:tabs>
        <w:spacing w:after="120"/>
        <w:ind w:left="540" w:hanging="180"/>
        <w:jc w:val="both"/>
        <w:rPr>
          <w:rFonts w:asciiTheme="minorHAnsi" w:hAnsiTheme="minorHAnsi" w:cs="Arial"/>
        </w:rPr>
      </w:pPr>
      <w:r w:rsidRPr="006A4EF5">
        <w:rPr>
          <w:rFonts w:asciiTheme="minorHAnsi" w:hAnsiTheme="minorHAnsi" w:cs="Arial"/>
          <w:i/>
        </w:rPr>
        <w:t>Labor Market Pay Gap</w:t>
      </w:r>
      <w:r w:rsidRPr="006A4EF5">
        <w:rPr>
          <w:rFonts w:asciiTheme="minorHAnsi" w:hAnsiTheme="minorHAnsi" w:cs="Arial"/>
        </w:rPr>
        <w:t xml:space="preserve"> is the relationship expressed in percentage terms between the </w:t>
      </w:r>
      <w:r w:rsidR="00AA3E49">
        <w:rPr>
          <w:rFonts w:asciiTheme="minorHAnsi" w:hAnsiTheme="minorHAnsi" w:cs="Arial"/>
        </w:rPr>
        <w:t>S</w:t>
      </w:r>
      <w:r w:rsidRPr="006A4EF5">
        <w:rPr>
          <w:rFonts w:asciiTheme="minorHAnsi" w:hAnsiTheme="minorHAnsi" w:cs="Arial"/>
        </w:rPr>
        <w:t>tate’s average salary for a benchmark class and the average wage reported for a relevant labor market for that class.</w:t>
      </w:r>
    </w:p>
    <w:p w14:paraId="28A1413C" w14:textId="2BA7892F" w:rsidR="00465F21" w:rsidRPr="006A4EF5" w:rsidRDefault="00465F21" w:rsidP="00B52602">
      <w:pPr>
        <w:numPr>
          <w:ilvl w:val="0"/>
          <w:numId w:val="4"/>
        </w:numPr>
        <w:tabs>
          <w:tab w:val="clear" w:pos="360"/>
        </w:tabs>
        <w:ind w:left="540" w:hanging="180"/>
        <w:jc w:val="both"/>
        <w:rPr>
          <w:rFonts w:asciiTheme="minorHAnsi" w:hAnsiTheme="minorHAnsi" w:cs="Arial"/>
          <w:i/>
        </w:rPr>
      </w:pPr>
      <w:r w:rsidRPr="006A4EF5">
        <w:rPr>
          <w:rFonts w:asciiTheme="minorHAnsi" w:hAnsiTheme="minorHAnsi" w:cs="Arial"/>
          <w:i/>
        </w:rPr>
        <w:t>Turnover Rate</w:t>
      </w:r>
      <w:r w:rsidRPr="006A4EF5">
        <w:rPr>
          <w:rFonts w:asciiTheme="minorHAnsi" w:hAnsiTheme="minorHAnsi" w:cs="Arial"/>
        </w:rPr>
        <w:t xml:space="preserve"> is a percentage reflecting all separations from employment for both voluntary and involuntary reasons compared to the total numb</w:t>
      </w:r>
      <w:r w:rsidR="00BF62D6">
        <w:rPr>
          <w:rFonts w:asciiTheme="minorHAnsi" w:hAnsiTheme="minorHAnsi" w:cs="Arial"/>
        </w:rPr>
        <w:t>er of employees over a span of one</w:t>
      </w:r>
      <w:r w:rsidRPr="006A4EF5">
        <w:rPr>
          <w:rFonts w:asciiTheme="minorHAnsi" w:hAnsiTheme="minorHAnsi" w:cs="Arial"/>
        </w:rPr>
        <w:t xml:space="preserve"> year. </w:t>
      </w:r>
    </w:p>
    <w:p w14:paraId="4D5052C5" w14:textId="77777777" w:rsidR="00D34F06" w:rsidRPr="00B52602" w:rsidRDefault="00D34F06" w:rsidP="00D34F06">
      <w:pPr>
        <w:rPr>
          <w:rFonts w:asciiTheme="minorHAnsi" w:hAnsiTheme="minorHAnsi"/>
          <w:szCs w:val="22"/>
        </w:rPr>
      </w:pPr>
    </w:p>
    <w:p w14:paraId="1D841D58" w14:textId="77777777" w:rsidR="00465F21" w:rsidRPr="006A4EF5" w:rsidRDefault="001F27D2" w:rsidP="006F220B">
      <w:pPr>
        <w:pStyle w:val="Heading5"/>
        <w:rPr>
          <w:rFonts w:asciiTheme="minorHAnsi" w:hAnsiTheme="minorHAnsi" w:cs="Arial"/>
          <w:b/>
          <w:bCs/>
          <w:i w:val="0"/>
        </w:rPr>
      </w:pPr>
      <w:r w:rsidRPr="006A4EF5">
        <w:rPr>
          <w:rFonts w:asciiTheme="minorHAnsi" w:hAnsiTheme="minorHAnsi" w:cs="Arial"/>
          <w:b/>
          <w:bCs/>
          <w:i w:val="0"/>
        </w:rPr>
        <w:t>Findings</w:t>
      </w:r>
    </w:p>
    <w:p w14:paraId="70668146" w14:textId="72D755DB" w:rsidR="00465F21" w:rsidRDefault="00465F21" w:rsidP="00B52602">
      <w:pPr>
        <w:pStyle w:val="BodyText"/>
        <w:rPr>
          <w:rFonts w:asciiTheme="minorHAnsi" w:hAnsiTheme="minorHAnsi" w:cs="Arial"/>
          <w:szCs w:val="22"/>
        </w:rPr>
      </w:pPr>
      <w:bookmarkStart w:id="1" w:name="_Hlk512326714"/>
      <w:r w:rsidRPr="007C14B2">
        <w:rPr>
          <w:rFonts w:asciiTheme="minorHAnsi" w:hAnsiTheme="minorHAnsi" w:cs="Arial"/>
          <w:szCs w:val="22"/>
        </w:rPr>
        <w:t>Market data</w:t>
      </w:r>
      <w:r w:rsidR="007C14B2" w:rsidRPr="007C14B2">
        <w:rPr>
          <w:rFonts w:asciiTheme="minorHAnsi" w:hAnsiTheme="minorHAnsi" w:cs="Arial"/>
          <w:szCs w:val="22"/>
        </w:rPr>
        <w:t xml:space="preserve"> was</w:t>
      </w:r>
      <w:r w:rsidRPr="007C14B2">
        <w:rPr>
          <w:rFonts w:asciiTheme="minorHAnsi" w:hAnsiTheme="minorHAnsi" w:cs="Arial"/>
          <w:szCs w:val="22"/>
        </w:rPr>
        <w:t xml:space="preserve"> collected for </w:t>
      </w:r>
      <w:r w:rsidR="00FD0952" w:rsidRPr="007C14B2">
        <w:rPr>
          <w:rFonts w:asciiTheme="minorHAnsi" w:hAnsiTheme="minorHAnsi" w:cs="Arial"/>
          <w:szCs w:val="22"/>
        </w:rPr>
        <w:t>2</w:t>
      </w:r>
      <w:r w:rsidR="00344B4E">
        <w:rPr>
          <w:rFonts w:asciiTheme="minorHAnsi" w:hAnsiTheme="minorHAnsi" w:cs="Arial"/>
          <w:szCs w:val="22"/>
        </w:rPr>
        <w:t>8</w:t>
      </w:r>
      <w:r w:rsidR="001D4CFB" w:rsidRPr="007C14B2">
        <w:rPr>
          <w:rFonts w:asciiTheme="minorHAnsi" w:hAnsiTheme="minorHAnsi" w:cs="Arial"/>
          <w:szCs w:val="22"/>
        </w:rPr>
        <w:t xml:space="preserve"> </w:t>
      </w:r>
      <w:r w:rsidRPr="007C14B2">
        <w:rPr>
          <w:rFonts w:asciiTheme="minorHAnsi" w:hAnsiTheme="minorHAnsi" w:cs="Arial"/>
          <w:szCs w:val="22"/>
        </w:rPr>
        <w:t>benchmark classes</w:t>
      </w:r>
      <w:r w:rsidR="00B657F7" w:rsidRPr="007C14B2">
        <w:rPr>
          <w:rFonts w:asciiTheme="minorHAnsi" w:hAnsiTheme="minorHAnsi" w:cs="Arial"/>
          <w:szCs w:val="22"/>
        </w:rPr>
        <w:t xml:space="preserve"> </w:t>
      </w:r>
      <w:r w:rsidR="006E1E01" w:rsidRPr="007C14B2">
        <w:rPr>
          <w:rFonts w:asciiTheme="minorHAnsi" w:hAnsiTheme="minorHAnsi" w:cs="Arial"/>
          <w:szCs w:val="22"/>
        </w:rPr>
        <w:t>representing approximate</w:t>
      </w:r>
      <w:r w:rsidR="00B657F7" w:rsidRPr="007C14B2">
        <w:rPr>
          <w:rFonts w:asciiTheme="minorHAnsi" w:hAnsiTheme="minorHAnsi" w:cs="Arial"/>
          <w:szCs w:val="22"/>
        </w:rPr>
        <w:t xml:space="preserve">ly </w:t>
      </w:r>
      <w:r w:rsidR="009B5A9D">
        <w:rPr>
          <w:rFonts w:asciiTheme="minorHAnsi" w:hAnsiTheme="minorHAnsi" w:cs="Arial"/>
          <w:szCs w:val="22"/>
        </w:rPr>
        <w:t>21.6</w:t>
      </w:r>
      <w:r w:rsidR="00181168" w:rsidRPr="007C14B2">
        <w:rPr>
          <w:rFonts w:asciiTheme="minorHAnsi" w:hAnsiTheme="minorHAnsi" w:cs="Arial"/>
          <w:szCs w:val="22"/>
        </w:rPr>
        <w:t>%</w:t>
      </w:r>
      <w:r w:rsidR="00B657F7" w:rsidRPr="007C14B2">
        <w:rPr>
          <w:rFonts w:asciiTheme="minorHAnsi" w:hAnsiTheme="minorHAnsi" w:cs="Arial"/>
          <w:szCs w:val="22"/>
        </w:rPr>
        <w:t xml:space="preserve"> of the </w:t>
      </w:r>
      <w:r w:rsidR="009B5A9D">
        <w:rPr>
          <w:rFonts w:asciiTheme="minorHAnsi" w:hAnsiTheme="minorHAnsi" w:cs="Arial"/>
          <w:szCs w:val="22"/>
        </w:rPr>
        <w:t>S</w:t>
      </w:r>
      <w:r w:rsidR="00B657F7" w:rsidRPr="007C14B2">
        <w:rPr>
          <w:rFonts w:asciiTheme="minorHAnsi" w:hAnsiTheme="minorHAnsi" w:cs="Arial"/>
          <w:szCs w:val="22"/>
        </w:rPr>
        <w:t>tate’s workforce</w:t>
      </w:r>
      <w:r w:rsidR="00C73DAE" w:rsidRPr="007C14B2">
        <w:rPr>
          <w:rFonts w:asciiTheme="minorHAnsi" w:hAnsiTheme="minorHAnsi" w:cs="Arial"/>
          <w:szCs w:val="22"/>
        </w:rPr>
        <w:t xml:space="preserve"> (agencies only, universities not included)</w:t>
      </w:r>
      <w:r w:rsidR="00F576EC" w:rsidRPr="007C14B2">
        <w:rPr>
          <w:rFonts w:asciiTheme="minorHAnsi" w:hAnsiTheme="minorHAnsi" w:cs="Arial"/>
          <w:szCs w:val="22"/>
        </w:rPr>
        <w:t xml:space="preserve"> with jobs from each of 18 major Job Families</w:t>
      </w:r>
      <w:r w:rsidR="007C14B2" w:rsidRPr="007C14B2">
        <w:rPr>
          <w:rFonts w:asciiTheme="minorHAnsi" w:hAnsiTheme="minorHAnsi" w:cs="Arial"/>
          <w:szCs w:val="22"/>
        </w:rPr>
        <w:t>. T</w:t>
      </w:r>
      <w:r w:rsidRPr="007C14B2">
        <w:rPr>
          <w:rFonts w:asciiTheme="minorHAnsi" w:hAnsiTheme="minorHAnsi" w:cs="Arial"/>
          <w:szCs w:val="22"/>
        </w:rPr>
        <w:t>his report indicate</w:t>
      </w:r>
      <w:r w:rsidR="007C14B2" w:rsidRPr="007C14B2">
        <w:rPr>
          <w:rFonts w:asciiTheme="minorHAnsi" w:hAnsiTheme="minorHAnsi" w:cs="Arial"/>
          <w:szCs w:val="22"/>
        </w:rPr>
        <w:t>s</w:t>
      </w:r>
      <w:r w:rsidRPr="007C14B2">
        <w:rPr>
          <w:rFonts w:asciiTheme="minorHAnsi" w:hAnsiTheme="minorHAnsi" w:cs="Arial"/>
          <w:szCs w:val="22"/>
        </w:rPr>
        <w:t xml:space="preserve"> that the </w:t>
      </w:r>
      <w:r w:rsidR="00FD0952" w:rsidRPr="007C14B2">
        <w:rPr>
          <w:rFonts w:asciiTheme="minorHAnsi" w:hAnsiTheme="minorHAnsi" w:cs="Arial"/>
          <w:szCs w:val="22"/>
        </w:rPr>
        <w:t>201</w:t>
      </w:r>
      <w:r w:rsidR="00755AAD" w:rsidRPr="007C14B2">
        <w:rPr>
          <w:rFonts w:asciiTheme="minorHAnsi" w:hAnsiTheme="minorHAnsi" w:cs="Arial"/>
          <w:szCs w:val="22"/>
        </w:rPr>
        <w:t>7</w:t>
      </w:r>
      <w:r w:rsidR="00085A73" w:rsidRPr="007C14B2">
        <w:rPr>
          <w:rFonts w:asciiTheme="minorHAnsi" w:hAnsiTheme="minorHAnsi" w:cs="Arial"/>
          <w:szCs w:val="22"/>
        </w:rPr>
        <w:t xml:space="preserve"> </w:t>
      </w:r>
      <w:r w:rsidRPr="007C14B2">
        <w:rPr>
          <w:rFonts w:asciiTheme="minorHAnsi" w:hAnsiTheme="minorHAnsi" w:cs="Arial"/>
          <w:szCs w:val="22"/>
        </w:rPr>
        <w:t xml:space="preserve">average wage for </w:t>
      </w:r>
      <w:r w:rsidR="00F576EC" w:rsidRPr="007C14B2">
        <w:rPr>
          <w:rFonts w:asciiTheme="minorHAnsi" w:hAnsiTheme="minorHAnsi" w:cs="Arial"/>
          <w:szCs w:val="22"/>
        </w:rPr>
        <w:t>1</w:t>
      </w:r>
      <w:r w:rsidR="00344B4E">
        <w:rPr>
          <w:rFonts w:asciiTheme="minorHAnsi" w:hAnsiTheme="minorHAnsi" w:cs="Arial"/>
          <w:szCs w:val="22"/>
        </w:rPr>
        <w:t>4</w:t>
      </w:r>
      <w:r w:rsidR="00F576EC" w:rsidRPr="007C14B2">
        <w:rPr>
          <w:rFonts w:asciiTheme="minorHAnsi" w:hAnsiTheme="minorHAnsi" w:cs="Arial"/>
          <w:szCs w:val="22"/>
        </w:rPr>
        <w:t xml:space="preserve"> of the 28</w:t>
      </w:r>
      <w:r w:rsidR="004A1ABF" w:rsidRPr="007C14B2">
        <w:rPr>
          <w:rFonts w:asciiTheme="minorHAnsi" w:hAnsiTheme="minorHAnsi" w:cs="Arial"/>
          <w:szCs w:val="22"/>
        </w:rPr>
        <w:t xml:space="preserve"> (</w:t>
      </w:r>
      <w:r w:rsidR="00F576EC" w:rsidRPr="007C14B2">
        <w:rPr>
          <w:rFonts w:asciiTheme="minorHAnsi" w:hAnsiTheme="minorHAnsi" w:cs="Arial"/>
          <w:szCs w:val="22"/>
        </w:rPr>
        <w:t>5</w:t>
      </w:r>
      <w:r w:rsidR="00344B4E">
        <w:rPr>
          <w:rFonts w:asciiTheme="minorHAnsi" w:hAnsiTheme="minorHAnsi" w:cs="Arial"/>
          <w:szCs w:val="22"/>
        </w:rPr>
        <w:t>0</w:t>
      </w:r>
      <w:r w:rsidR="00226C57" w:rsidRPr="007C14B2">
        <w:rPr>
          <w:rFonts w:asciiTheme="minorHAnsi" w:hAnsiTheme="minorHAnsi" w:cs="Arial"/>
          <w:szCs w:val="22"/>
        </w:rPr>
        <w:t xml:space="preserve">%) classes </w:t>
      </w:r>
      <w:r w:rsidR="00226C57" w:rsidRPr="007C14B2">
        <w:rPr>
          <w:rFonts w:asciiTheme="minorHAnsi" w:hAnsiTheme="minorHAnsi" w:cs="Arial"/>
          <w:color w:val="000000" w:themeColor="text1"/>
          <w:szCs w:val="22"/>
        </w:rPr>
        <w:t xml:space="preserve">trailed </w:t>
      </w:r>
      <w:r w:rsidR="00C45495" w:rsidRPr="007C14B2">
        <w:rPr>
          <w:rFonts w:asciiTheme="minorHAnsi" w:hAnsiTheme="minorHAnsi" w:cs="Arial"/>
          <w:color w:val="000000" w:themeColor="text1"/>
          <w:szCs w:val="22"/>
        </w:rPr>
        <w:t>their</w:t>
      </w:r>
      <w:r w:rsidR="005E2989" w:rsidRPr="007C14B2">
        <w:rPr>
          <w:rFonts w:asciiTheme="minorHAnsi" w:hAnsiTheme="minorHAnsi" w:cs="Arial"/>
          <w:color w:val="000000" w:themeColor="text1"/>
          <w:szCs w:val="22"/>
        </w:rPr>
        <w:t xml:space="preserve"> composite market </w:t>
      </w:r>
      <w:r w:rsidR="00C45495" w:rsidRPr="007C14B2">
        <w:rPr>
          <w:rFonts w:asciiTheme="minorHAnsi" w:hAnsiTheme="minorHAnsi" w:cs="Arial"/>
          <w:color w:val="000000" w:themeColor="text1"/>
          <w:szCs w:val="22"/>
        </w:rPr>
        <w:t>rates</w:t>
      </w:r>
      <w:r w:rsidR="00226C57" w:rsidRPr="007C14B2">
        <w:rPr>
          <w:rFonts w:asciiTheme="minorHAnsi" w:hAnsiTheme="minorHAnsi" w:cs="Arial"/>
          <w:color w:val="000000" w:themeColor="text1"/>
          <w:szCs w:val="22"/>
        </w:rPr>
        <w:t xml:space="preserve"> by </w:t>
      </w:r>
      <w:r w:rsidR="00E64F51" w:rsidRPr="007C14B2">
        <w:rPr>
          <w:rFonts w:asciiTheme="minorHAnsi" w:hAnsiTheme="minorHAnsi" w:cs="Arial"/>
          <w:color w:val="000000" w:themeColor="text1"/>
          <w:szCs w:val="22"/>
        </w:rPr>
        <w:t>at least 10</w:t>
      </w:r>
      <w:r w:rsidR="00C73DAE" w:rsidRPr="007C14B2">
        <w:rPr>
          <w:rFonts w:asciiTheme="minorHAnsi" w:hAnsiTheme="minorHAnsi" w:cs="Arial"/>
          <w:color w:val="000000" w:themeColor="text1"/>
          <w:szCs w:val="22"/>
        </w:rPr>
        <w:t xml:space="preserve">%. </w:t>
      </w:r>
      <w:bookmarkEnd w:id="1"/>
      <w:r w:rsidR="002B37DE" w:rsidRPr="007C14B2">
        <w:rPr>
          <w:rFonts w:asciiTheme="minorHAnsi" w:hAnsiTheme="minorHAnsi" w:cs="Arial"/>
          <w:color w:val="000000" w:themeColor="text1"/>
          <w:szCs w:val="22"/>
        </w:rPr>
        <w:t>Table 4</w:t>
      </w:r>
      <w:r w:rsidRPr="007C14B2">
        <w:rPr>
          <w:rFonts w:asciiTheme="minorHAnsi" w:hAnsiTheme="minorHAnsi" w:cs="Arial"/>
          <w:color w:val="000000" w:themeColor="text1"/>
          <w:szCs w:val="22"/>
        </w:rPr>
        <w:t xml:space="preserve"> lists </w:t>
      </w:r>
      <w:r w:rsidR="00C73DAE" w:rsidRPr="007C14B2">
        <w:rPr>
          <w:rFonts w:asciiTheme="minorHAnsi" w:hAnsiTheme="minorHAnsi" w:cs="Arial"/>
          <w:color w:val="000000" w:themeColor="text1"/>
          <w:szCs w:val="22"/>
        </w:rPr>
        <w:t>the benchmark</w:t>
      </w:r>
      <w:r w:rsidRPr="007C14B2">
        <w:rPr>
          <w:rFonts w:asciiTheme="minorHAnsi" w:hAnsiTheme="minorHAnsi" w:cs="Arial"/>
          <w:color w:val="000000" w:themeColor="text1"/>
          <w:szCs w:val="22"/>
        </w:rPr>
        <w:t xml:space="preserve"> classes that trail the market</w:t>
      </w:r>
      <w:r w:rsidR="004F29EF" w:rsidRPr="007C14B2">
        <w:rPr>
          <w:rFonts w:asciiTheme="minorHAnsi" w:hAnsiTheme="minorHAnsi" w:cs="Arial"/>
          <w:color w:val="000000" w:themeColor="text1"/>
          <w:szCs w:val="22"/>
        </w:rPr>
        <w:t xml:space="preserve"> by greater than 10%</w:t>
      </w:r>
      <w:r w:rsidRPr="007C14B2">
        <w:rPr>
          <w:rFonts w:asciiTheme="minorHAnsi" w:hAnsiTheme="minorHAnsi" w:cs="Arial"/>
          <w:color w:val="000000" w:themeColor="text1"/>
          <w:szCs w:val="22"/>
        </w:rPr>
        <w:t xml:space="preserve"> as shown under “Market Pay Gap</w:t>
      </w:r>
      <w:r w:rsidR="009B5A9D">
        <w:rPr>
          <w:rFonts w:asciiTheme="minorHAnsi" w:hAnsiTheme="minorHAnsi" w:cs="Arial"/>
          <w:color w:val="000000" w:themeColor="text1"/>
          <w:szCs w:val="22"/>
        </w:rPr>
        <w:t>.”</w:t>
      </w:r>
      <w:r w:rsidRPr="007C14B2">
        <w:rPr>
          <w:rFonts w:asciiTheme="minorHAnsi" w:hAnsiTheme="minorHAnsi" w:cs="Arial"/>
          <w:color w:val="000000" w:themeColor="text1"/>
          <w:szCs w:val="22"/>
        </w:rPr>
        <w:t xml:space="preserve">  Data indicatin</w:t>
      </w:r>
      <w:r w:rsidR="00BC203C" w:rsidRPr="007C14B2">
        <w:rPr>
          <w:rFonts w:asciiTheme="minorHAnsi" w:hAnsiTheme="minorHAnsi" w:cs="Arial"/>
          <w:color w:val="000000" w:themeColor="text1"/>
          <w:szCs w:val="22"/>
        </w:rPr>
        <w:t xml:space="preserve">g turnover for fiscal year </w:t>
      </w:r>
      <w:r w:rsidR="00FD0952" w:rsidRPr="007C14B2">
        <w:rPr>
          <w:rFonts w:asciiTheme="minorHAnsi" w:hAnsiTheme="minorHAnsi" w:cs="Arial"/>
          <w:color w:val="000000" w:themeColor="text1"/>
          <w:szCs w:val="22"/>
        </w:rPr>
        <w:t>201</w:t>
      </w:r>
      <w:r w:rsidR="00755AAD" w:rsidRPr="007C14B2">
        <w:rPr>
          <w:rFonts w:asciiTheme="minorHAnsi" w:hAnsiTheme="minorHAnsi" w:cs="Arial"/>
          <w:color w:val="000000" w:themeColor="text1"/>
          <w:szCs w:val="22"/>
        </w:rPr>
        <w:t>6</w:t>
      </w:r>
      <w:r w:rsidR="00FD0952" w:rsidRPr="007C14B2">
        <w:rPr>
          <w:rFonts w:asciiTheme="minorHAnsi" w:hAnsiTheme="minorHAnsi" w:cs="Arial"/>
          <w:szCs w:val="22"/>
        </w:rPr>
        <w:t>-201</w:t>
      </w:r>
      <w:r w:rsidR="00755AAD" w:rsidRPr="007C14B2">
        <w:rPr>
          <w:rFonts w:asciiTheme="minorHAnsi" w:hAnsiTheme="minorHAnsi" w:cs="Arial"/>
          <w:szCs w:val="22"/>
        </w:rPr>
        <w:t>7</w:t>
      </w:r>
      <w:r w:rsidR="00FD0952" w:rsidRPr="007C14B2">
        <w:rPr>
          <w:rFonts w:asciiTheme="minorHAnsi" w:hAnsiTheme="minorHAnsi" w:cs="Arial"/>
          <w:szCs w:val="22"/>
        </w:rPr>
        <w:t xml:space="preserve"> </w:t>
      </w:r>
      <w:r w:rsidRPr="007C14B2">
        <w:rPr>
          <w:rFonts w:asciiTheme="minorHAnsi" w:hAnsiTheme="minorHAnsi" w:cs="Arial"/>
          <w:szCs w:val="22"/>
        </w:rPr>
        <w:t>also have been included to give a more complete view of potential recruitment and retention issues for these classes.</w:t>
      </w:r>
      <w:r w:rsidR="006D79FE" w:rsidRPr="007C14B2">
        <w:rPr>
          <w:rFonts w:asciiTheme="minorHAnsi" w:hAnsiTheme="minorHAnsi" w:cs="Arial"/>
          <w:szCs w:val="22"/>
        </w:rPr>
        <w:t xml:space="preserve"> Additional data can be found in the appendix.</w:t>
      </w:r>
    </w:p>
    <w:p w14:paraId="277A3F23" w14:textId="77777777" w:rsidR="00C33A69" w:rsidRDefault="00C33A69" w:rsidP="00B52602">
      <w:pPr>
        <w:pStyle w:val="BodyText"/>
        <w:rPr>
          <w:rFonts w:asciiTheme="minorHAnsi" w:hAnsiTheme="minorHAnsi" w:cs="Arial"/>
          <w:szCs w:val="22"/>
        </w:rPr>
      </w:pPr>
    </w:p>
    <w:p w14:paraId="17D4D9FD" w14:textId="77777777" w:rsidR="00C33A69" w:rsidRPr="00C45495" w:rsidRDefault="00C33A69" w:rsidP="00B52602">
      <w:pPr>
        <w:pStyle w:val="BodyText"/>
        <w:rPr>
          <w:rFonts w:asciiTheme="minorHAnsi" w:hAnsiTheme="minorHAnsi" w:cs="Arial"/>
          <w:szCs w:val="22"/>
        </w:rPr>
      </w:pPr>
      <w:r w:rsidRPr="00C45495">
        <w:rPr>
          <w:rFonts w:asciiTheme="minorHAnsi" w:hAnsiTheme="minorHAnsi" w:cs="Arial"/>
          <w:szCs w:val="22"/>
        </w:rPr>
        <w:t xml:space="preserve">Note: </w:t>
      </w:r>
      <w:r w:rsidR="00561846" w:rsidRPr="00C45495">
        <w:rPr>
          <w:rFonts w:asciiTheme="minorHAnsi" w:hAnsiTheme="minorHAnsi" w:cs="Arial"/>
          <w:szCs w:val="22"/>
        </w:rPr>
        <w:t xml:space="preserve"> Findings</w:t>
      </w:r>
      <w:r w:rsidRPr="00C45495">
        <w:rPr>
          <w:rFonts w:asciiTheme="minorHAnsi" w:hAnsiTheme="minorHAnsi" w:cs="Arial"/>
          <w:szCs w:val="22"/>
        </w:rPr>
        <w:t xml:space="preserve"> based on actual market average base salary vs. current State average base salary.  This survey data will be more comparably based in the new Statewide Compensation</w:t>
      </w:r>
      <w:r w:rsidR="009E3054" w:rsidRPr="00C45495">
        <w:rPr>
          <w:rFonts w:asciiTheme="minorHAnsi" w:hAnsiTheme="minorHAnsi" w:cs="Arial"/>
          <w:szCs w:val="22"/>
        </w:rPr>
        <w:t xml:space="preserve"> Program due to using it in maintaining </w:t>
      </w:r>
      <w:r w:rsidRPr="00C45495">
        <w:rPr>
          <w:rFonts w:asciiTheme="minorHAnsi" w:hAnsiTheme="minorHAnsi" w:cs="Arial"/>
          <w:szCs w:val="22"/>
        </w:rPr>
        <w:t>the new pay structures.</w:t>
      </w:r>
      <w:r w:rsidR="00561846" w:rsidRPr="00C45495">
        <w:rPr>
          <w:rFonts w:asciiTheme="minorHAnsi" w:hAnsiTheme="minorHAnsi" w:cs="Arial"/>
          <w:szCs w:val="22"/>
        </w:rPr>
        <w:t xml:space="preserve">  Midpoints are develop</w:t>
      </w:r>
      <w:r w:rsidR="00C45495" w:rsidRPr="00C45495">
        <w:rPr>
          <w:rFonts w:asciiTheme="minorHAnsi" w:hAnsiTheme="minorHAnsi" w:cs="Arial"/>
          <w:szCs w:val="22"/>
        </w:rPr>
        <w:t>ed from the average base salary,</w:t>
      </w:r>
      <w:r w:rsidR="00561846" w:rsidRPr="00C45495">
        <w:rPr>
          <w:rFonts w:asciiTheme="minorHAnsi" w:hAnsiTheme="minorHAnsi" w:cs="Arial"/>
          <w:szCs w:val="22"/>
        </w:rPr>
        <w:t xml:space="preserve"> which is why organizations aspire to getting their employees to the average market rate.</w:t>
      </w:r>
    </w:p>
    <w:p w14:paraId="5BBB8232" w14:textId="77777777" w:rsidR="00233206" w:rsidRDefault="00233206">
      <w:pPr>
        <w:rPr>
          <w:rFonts w:asciiTheme="minorHAnsi" w:hAnsiTheme="minorHAnsi" w:cs="Arial"/>
          <w:b/>
          <w:sz w:val="24"/>
        </w:rPr>
      </w:pPr>
    </w:p>
    <w:p w14:paraId="437E9659" w14:textId="77777777" w:rsidR="0038480B" w:rsidRDefault="0038480B">
      <w:pPr>
        <w:rPr>
          <w:rFonts w:asciiTheme="minorHAnsi" w:hAnsiTheme="minorHAnsi" w:cs="Arial"/>
          <w:b/>
          <w:sz w:val="24"/>
        </w:rPr>
      </w:pPr>
    </w:p>
    <w:p w14:paraId="6A5ABA88" w14:textId="77777777" w:rsidR="0038480B" w:rsidRDefault="0038480B">
      <w:pPr>
        <w:rPr>
          <w:rFonts w:asciiTheme="minorHAnsi" w:hAnsiTheme="minorHAnsi" w:cs="Arial"/>
          <w:b/>
          <w:sz w:val="24"/>
        </w:rPr>
      </w:pPr>
    </w:p>
    <w:p w14:paraId="35B2EA52" w14:textId="77777777" w:rsidR="0038480B" w:rsidRDefault="0038480B">
      <w:pPr>
        <w:rPr>
          <w:rFonts w:asciiTheme="minorHAnsi" w:hAnsiTheme="minorHAnsi" w:cs="Arial"/>
          <w:b/>
          <w:sz w:val="24"/>
        </w:rPr>
      </w:pPr>
    </w:p>
    <w:p w14:paraId="2BD40962" w14:textId="77777777" w:rsidR="0038480B" w:rsidRDefault="0038480B">
      <w:pPr>
        <w:rPr>
          <w:rFonts w:asciiTheme="minorHAnsi" w:hAnsiTheme="minorHAnsi" w:cs="Arial"/>
          <w:b/>
          <w:sz w:val="24"/>
        </w:rPr>
      </w:pPr>
    </w:p>
    <w:p w14:paraId="0078B3EC" w14:textId="77777777" w:rsidR="0038480B" w:rsidRDefault="0038480B">
      <w:pPr>
        <w:rPr>
          <w:rFonts w:asciiTheme="minorHAnsi" w:hAnsiTheme="minorHAnsi" w:cs="Arial"/>
          <w:b/>
          <w:sz w:val="24"/>
        </w:rPr>
      </w:pPr>
    </w:p>
    <w:p w14:paraId="319B0481" w14:textId="77777777" w:rsidR="0038480B" w:rsidRDefault="0038480B">
      <w:pPr>
        <w:rPr>
          <w:rFonts w:asciiTheme="minorHAnsi" w:hAnsiTheme="minorHAnsi" w:cs="Arial"/>
          <w:b/>
          <w:sz w:val="24"/>
        </w:rPr>
      </w:pPr>
    </w:p>
    <w:p w14:paraId="2308A34E" w14:textId="77777777" w:rsidR="0038480B" w:rsidRDefault="0038480B">
      <w:pPr>
        <w:rPr>
          <w:rFonts w:asciiTheme="minorHAnsi" w:hAnsiTheme="minorHAnsi" w:cs="Arial"/>
          <w:b/>
          <w:sz w:val="24"/>
        </w:rPr>
      </w:pPr>
    </w:p>
    <w:p w14:paraId="1D6DAF88" w14:textId="77777777" w:rsidR="00C45495" w:rsidRDefault="00C45495">
      <w:pPr>
        <w:rPr>
          <w:rFonts w:asciiTheme="minorHAnsi" w:hAnsiTheme="minorHAnsi" w:cs="Arial"/>
          <w:b/>
          <w:sz w:val="24"/>
        </w:rPr>
      </w:pPr>
    </w:p>
    <w:p w14:paraId="13F3BB7B" w14:textId="77777777" w:rsidR="00465F21" w:rsidRPr="00402C39" w:rsidRDefault="00402C39" w:rsidP="008A4568">
      <w:pPr>
        <w:spacing w:after="120"/>
        <w:jc w:val="center"/>
        <w:rPr>
          <w:rFonts w:asciiTheme="minorHAnsi" w:hAnsiTheme="minorHAnsi" w:cs="Arial"/>
          <w:b/>
          <w:i/>
          <w:iCs/>
          <w:sz w:val="28"/>
        </w:rPr>
      </w:pPr>
      <w:r w:rsidRPr="00402C39">
        <w:rPr>
          <w:rFonts w:asciiTheme="minorHAnsi" w:hAnsiTheme="minorHAnsi" w:cs="Arial"/>
          <w:b/>
          <w:sz w:val="24"/>
        </w:rPr>
        <w:lastRenderedPageBreak/>
        <w:t>Table 4</w:t>
      </w:r>
      <w:r w:rsidRPr="00402C39">
        <w:rPr>
          <w:rFonts w:asciiTheme="minorHAnsi" w:hAnsiTheme="minorHAnsi" w:cs="Arial"/>
          <w:b/>
          <w:i/>
          <w:iCs/>
          <w:sz w:val="28"/>
        </w:rPr>
        <w:t xml:space="preserve">: </w:t>
      </w:r>
      <w:r w:rsidRPr="00402C39">
        <w:rPr>
          <w:rFonts w:asciiTheme="minorHAnsi" w:hAnsiTheme="minorHAnsi" w:cs="Arial"/>
          <w:b/>
          <w:bCs/>
        </w:rPr>
        <w:t>Selected Benchmark Classes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07"/>
        <w:gridCol w:w="1403"/>
        <w:gridCol w:w="1440"/>
        <w:gridCol w:w="1530"/>
        <w:gridCol w:w="1170"/>
      </w:tblGrid>
      <w:tr w:rsidR="00755AAD" w:rsidRPr="00755AAD" w14:paraId="774190BE" w14:textId="77777777" w:rsidTr="00B52602">
        <w:trPr>
          <w:trHeight w:val="585"/>
        </w:trPr>
        <w:tc>
          <w:tcPr>
            <w:tcW w:w="3145" w:type="dxa"/>
            <w:shd w:val="clear" w:color="000000" w:fill="B7DEE8"/>
            <w:vAlign w:val="center"/>
            <w:hideMark/>
          </w:tcPr>
          <w:p w14:paraId="33A061BB" w14:textId="77777777" w:rsidR="00755AAD" w:rsidRPr="00755AAD" w:rsidRDefault="00755AAD" w:rsidP="00755AAD">
            <w:pPr>
              <w:rPr>
                <w:rFonts w:ascii="Calibri" w:hAnsi="Calibri" w:cs="Calibri"/>
                <w:b/>
                <w:bCs/>
                <w:color w:val="000000"/>
                <w:szCs w:val="22"/>
              </w:rPr>
            </w:pPr>
            <w:r w:rsidRPr="00755AAD">
              <w:rPr>
                <w:rFonts w:ascii="Calibri" w:hAnsi="Calibri" w:cs="Calibri"/>
                <w:b/>
                <w:bCs/>
                <w:color w:val="000000"/>
                <w:szCs w:val="22"/>
              </w:rPr>
              <w:t>Job Title</w:t>
            </w:r>
          </w:p>
        </w:tc>
        <w:tc>
          <w:tcPr>
            <w:tcW w:w="1207" w:type="dxa"/>
            <w:shd w:val="clear" w:color="000000" w:fill="B7DEE8"/>
            <w:vAlign w:val="center"/>
            <w:hideMark/>
          </w:tcPr>
          <w:p w14:paraId="2AD2000A" w14:textId="77777777" w:rsidR="00755AAD" w:rsidRPr="00755AAD" w:rsidRDefault="00755AAD" w:rsidP="00755AAD">
            <w:pPr>
              <w:jc w:val="center"/>
              <w:rPr>
                <w:rFonts w:ascii="Calibri" w:hAnsi="Calibri" w:cs="Calibri"/>
                <w:b/>
                <w:bCs/>
                <w:color w:val="000000"/>
                <w:szCs w:val="22"/>
              </w:rPr>
            </w:pPr>
            <w:r w:rsidRPr="00755AAD">
              <w:rPr>
                <w:rFonts w:ascii="Calibri" w:hAnsi="Calibri" w:cs="Calibri"/>
                <w:b/>
                <w:bCs/>
                <w:color w:val="000000"/>
                <w:szCs w:val="22"/>
              </w:rPr>
              <w:t>Number of Employees</w:t>
            </w:r>
          </w:p>
        </w:tc>
        <w:tc>
          <w:tcPr>
            <w:tcW w:w="1403" w:type="dxa"/>
            <w:shd w:val="clear" w:color="000000" w:fill="B7DEE8"/>
            <w:vAlign w:val="center"/>
            <w:hideMark/>
          </w:tcPr>
          <w:p w14:paraId="55584B32" w14:textId="77777777" w:rsidR="00755AAD" w:rsidRPr="00755AAD" w:rsidRDefault="00755AAD" w:rsidP="00755AAD">
            <w:pPr>
              <w:jc w:val="center"/>
              <w:rPr>
                <w:rFonts w:ascii="Calibri" w:hAnsi="Calibri" w:cs="Calibri"/>
                <w:b/>
                <w:bCs/>
                <w:color w:val="000000"/>
                <w:szCs w:val="22"/>
              </w:rPr>
            </w:pPr>
            <w:r w:rsidRPr="00755AAD">
              <w:rPr>
                <w:rFonts w:ascii="Calibri" w:hAnsi="Calibri" w:cs="Calibri"/>
                <w:b/>
                <w:bCs/>
                <w:color w:val="000000"/>
                <w:szCs w:val="22"/>
              </w:rPr>
              <w:t>Base Salary Avg</w:t>
            </w:r>
          </w:p>
        </w:tc>
        <w:tc>
          <w:tcPr>
            <w:tcW w:w="1440" w:type="dxa"/>
            <w:shd w:val="clear" w:color="000000" w:fill="B7DEE8"/>
            <w:vAlign w:val="center"/>
            <w:hideMark/>
          </w:tcPr>
          <w:p w14:paraId="3749B144" w14:textId="77777777" w:rsidR="00755AAD" w:rsidRPr="00755AAD" w:rsidRDefault="00755AAD" w:rsidP="00755AAD">
            <w:pPr>
              <w:jc w:val="center"/>
              <w:rPr>
                <w:rFonts w:ascii="Calibri" w:hAnsi="Calibri" w:cs="Calibri"/>
                <w:b/>
                <w:bCs/>
                <w:color w:val="000000"/>
                <w:szCs w:val="22"/>
              </w:rPr>
            </w:pPr>
            <w:r w:rsidRPr="00755AAD">
              <w:rPr>
                <w:rFonts w:ascii="Calibri" w:hAnsi="Calibri" w:cs="Calibri"/>
                <w:b/>
                <w:bCs/>
                <w:color w:val="000000"/>
                <w:szCs w:val="22"/>
              </w:rPr>
              <w:t>Market Base Salary Avg</w:t>
            </w:r>
          </w:p>
        </w:tc>
        <w:tc>
          <w:tcPr>
            <w:tcW w:w="1530" w:type="dxa"/>
            <w:shd w:val="clear" w:color="000000" w:fill="B7DEE8"/>
            <w:vAlign w:val="center"/>
            <w:hideMark/>
          </w:tcPr>
          <w:p w14:paraId="212255AC" w14:textId="77777777" w:rsidR="00755AAD" w:rsidRPr="00755AAD" w:rsidRDefault="00755AAD" w:rsidP="00755AAD">
            <w:pPr>
              <w:jc w:val="center"/>
              <w:rPr>
                <w:rFonts w:ascii="Calibri" w:hAnsi="Calibri" w:cs="Calibri"/>
                <w:b/>
                <w:bCs/>
                <w:color w:val="000000"/>
                <w:szCs w:val="22"/>
              </w:rPr>
            </w:pPr>
            <w:r w:rsidRPr="00755AAD">
              <w:rPr>
                <w:rFonts w:ascii="Calibri" w:hAnsi="Calibri" w:cs="Calibri"/>
                <w:b/>
                <w:bCs/>
                <w:color w:val="000000"/>
                <w:szCs w:val="22"/>
              </w:rPr>
              <w:t>Labor Market Pay Gap</w:t>
            </w:r>
          </w:p>
        </w:tc>
        <w:tc>
          <w:tcPr>
            <w:tcW w:w="1170" w:type="dxa"/>
            <w:shd w:val="clear" w:color="000000" w:fill="B7DEE8"/>
            <w:vAlign w:val="center"/>
            <w:hideMark/>
          </w:tcPr>
          <w:p w14:paraId="3D3D6467" w14:textId="77777777" w:rsidR="00755AAD" w:rsidRPr="00755AAD" w:rsidRDefault="00755AAD" w:rsidP="00755AAD">
            <w:pPr>
              <w:jc w:val="center"/>
              <w:rPr>
                <w:rFonts w:ascii="Calibri" w:hAnsi="Calibri" w:cs="Calibri"/>
                <w:b/>
                <w:bCs/>
                <w:color w:val="000000"/>
                <w:szCs w:val="22"/>
              </w:rPr>
            </w:pPr>
            <w:r w:rsidRPr="00755AAD">
              <w:rPr>
                <w:rFonts w:ascii="Calibri" w:hAnsi="Calibri" w:cs="Calibri"/>
                <w:b/>
                <w:bCs/>
                <w:color w:val="000000"/>
                <w:szCs w:val="22"/>
              </w:rPr>
              <w:t>FY16/17</w:t>
            </w:r>
          </w:p>
        </w:tc>
      </w:tr>
      <w:tr w:rsidR="00344B4E" w:rsidRPr="00755AAD" w14:paraId="6D254400" w14:textId="77777777" w:rsidTr="00B52602">
        <w:trPr>
          <w:trHeight w:val="315"/>
        </w:trPr>
        <w:tc>
          <w:tcPr>
            <w:tcW w:w="3145" w:type="dxa"/>
            <w:shd w:val="clear" w:color="auto" w:fill="auto"/>
            <w:noWrap/>
            <w:vAlign w:val="center"/>
          </w:tcPr>
          <w:p w14:paraId="413539F3" w14:textId="6F882E34" w:rsidR="00344B4E" w:rsidRPr="00755AAD" w:rsidRDefault="00344B4E" w:rsidP="00344B4E">
            <w:pPr>
              <w:rPr>
                <w:rFonts w:ascii="Calibri" w:hAnsi="Calibri" w:cs="Calibri"/>
                <w:color w:val="000000"/>
                <w:szCs w:val="22"/>
              </w:rPr>
            </w:pPr>
            <w:r w:rsidRPr="00344B4E">
              <w:rPr>
                <w:rFonts w:asciiTheme="minorHAnsi" w:hAnsiTheme="minorHAnsi" w:cstheme="minorHAnsi"/>
                <w:color w:val="000000"/>
                <w:szCs w:val="22"/>
              </w:rPr>
              <w:t>Attorney III</w:t>
            </w:r>
          </w:p>
        </w:tc>
        <w:tc>
          <w:tcPr>
            <w:tcW w:w="1207" w:type="dxa"/>
            <w:shd w:val="clear" w:color="auto" w:fill="auto"/>
            <w:noWrap/>
            <w:vAlign w:val="bottom"/>
          </w:tcPr>
          <w:p w14:paraId="31FCF1D9" w14:textId="5661649F" w:rsidR="00344B4E" w:rsidRPr="00755AAD" w:rsidRDefault="00344B4E" w:rsidP="00344B4E">
            <w:pPr>
              <w:jc w:val="right"/>
              <w:rPr>
                <w:rFonts w:ascii="Arial" w:hAnsi="Arial" w:cs="Arial"/>
                <w:color w:val="000000"/>
                <w:sz w:val="18"/>
                <w:szCs w:val="18"/>
              </w:rPr>
            </w:pPr>
            <w:r w:rsidRPr="00344B4E">
              <w:rPr>
                <w:rFonts w:asciiTheme="minorHAnsi" w:hAnsiTheme="minorHAnsi" w:cstheme="minorHAnsi"/>
                <w:szCs w:val="22"/>
              </w:rPr>
              <w:t>132</w:t>
            </w:r>
          </w:p>
        </w:tc>
        <w:tc>
          <w:tcPr>
            <w:tcW w:w="1403" w:type="dxa"/>
            <w:shd w:val="clear" w:color="auto" w:fill="auto"/>
            <w:noWrap/>
            <w:vAlign w:val="bottom"/>
          </w:tcPr>
          <w:p w14:paraId="4FD6F21D" w14:textId="0178075C" w:rsidR="00344B4E" w:rsidRPr="00755AAD" w:rsidRDefault="009B5A9D" w:rsidP="00344B4E">
            <w:pPr>
              <w:jc w:val="right"/>
              <w:rPr>
                <w:rFonts w:ascii="Arial" w:hAnsi="Arial" w:cs="Arial"/>
                <w:color w:val="000000"/>
                <w:sz w:val="18"/>
                <w:szCs w:val="18"/>
              </w:rPr>
            </w:pPr>
            <w:r>
              <w:rPr>
                <w:rFonts w:asciiTheme="minorHAnsi" w:hAnsiTheme="minorHAnsi" w:cstheme="minorHAnsi"/>
                <w:szCs w:val="22"/>
              </w:rPr>
              <w:t>$</w:t>
            </w:r>
            <w:r w:rsidR="00344B4E" w:rsidRPr="00344B4E">
              <w:rPr>
                <w:rFonts w:asciiTheme="minorHAnsi" w:hAnsiTheme="minorHAnsi" w:cstheme="minorHAnsi"/>
                <w:szCs w:val="22"/>
              </w:rPr>
              <w:t>89,454</w:t>
            </w:r>
          </w:p>
        </w:tc>
        <w:tc>
          <w:tcPr>
            <w:tcW w:w="1440" w:type="dxa"/>
            <w:shd w:val="clear" w:color="auto" w:fill="auto"/>
            <w:noWrap/>
            <w:vAlign w:val="bottom"/>
          </w:tcPr>
          <w:p w14:paraId="04132C0A" w14:textId="3D175223" w:rsidR="00344B4E" w:rsidRPr="00755AAD" w:rsidRDefault="00344B4E" w:rsidP="00344B4E">
            <w:pPr>
              <w:jc w:val="right"/>
              <w:rPr>
                <w:rFonts w:ascii="Calibri" w:hAnsi="Calibri" w:cs="Calibri"/>
                <w:color w:val="000000"/>
                <w:szCs w:val="22"/>
              </w:rPr>
            </w:pPr>
            <w:r w:rsidRPr="00344B4E">
              <w:rPr>
                <w:rFonts w:asciiTheme="minorHAnsi" w:hAnsiTheme="minorHAnsi" w:cstheme="minorHAnsi"/>
                <w:szCs w:val="22"/>
              </w:rPr>
              <w:t>$106,257</w:t>
            </w:r>
          </w:p>
        </w:tc>
        <w:tc>
          <w:tcPr>
            <w:tcW w:w="1530" w:type="dxa"/>
            <w:shd w:val="clear" w:color="auto" w:fill="auto"/>
            <w:noWrap/>
            <w:vAlign w:val="bottom"/>
          </w:tcPr>
          <w:p w14:paraId="6E8D2584" w14:textId="42B6DE0F" w:rsidR="00344B4E" w:rsidRPr="00755AAD" w:rsidRDefault="00344B4E" w:rsidP="00344B4E">
            <w:pPr>
              <w:jc w:val="right"/>
              <w:rPr>
                <w:rFonts w:ascii="Calibri" w:hAnsi="Calibri" w:cs="Calibri"/>
                <w:color w:val="000000"/>
                <w:szCs w:val="22"/>
              </w:rPr>
            </w:pPr>
            <w:r w:rsidRPr="00344B4E">
              <w:rPr>
                <w:rFonts w:asciiTheme="minorHAnsi" w:hAnsiTheme="minorHAnsi" w:cstheme="minorHAnsi"/>
                <w:szCs w:val="22"/>
              </w:rPr>
              <w:t>-18.78%</w:t>
            </w:r>
          </w:p>
        </w:tc>
        <w:tc>
          <w:tcPr>
            <w:tcW w:w="1170" w:type="dxa"/>
            <w:shd w:val="clear" w:color="auto" w:fill="auto"/>
            <w:noWrap/>
            <w:vAlign w:val="bottom"/>
          </w:tcPr>
          <w:p w14:paraId="37E52766" w14:textId="7C71BB04" w:rsidR="00344B4E" w:rsidRPr="00755AAD" w:rsidRDefault="00344B4E" w:rsidP="00344B4E">
            <w:pPr>
              <w:jc w:val="right"/>
              <w:rPr>
                <w:rFonts w:ascii="Calibri" w:hAnsi="Calibri" w:cs="Calibri"/>
                <w:color w:val="000000"/>
                <w:szCs w:val="22"/>
              </w:rPr>
            </w:pPr>
            <w:r w:rsidRPr="00344B4E">
              <w:rPr>
                <w:rFonts w:asciiTheme="minorHAnsi" w:hAnsiTheme="minorHAnsi" w:cstheme="minorHAnsi"/>
                <w:szCs w:val="22"/>
              </w:rPr>
              <w:t>5.88%</w:t>
            </w:r>
          </w:p>
        </w:tc>
      </w:tr>
      <w:tr w:rsidR="00344B4E" w:rsidRPr="00755AAD" w14:paraId="544F3054" w14:textId="77777777" w:rsidTr="00B52602">
        <w:trPr>
          <w:trHeight w:val="315"/>
        </w:trPr>
        <w:tc>
          <w:tcPr>
            <w:tcW w:w="3145" w:type="dxa"/>
            <w:shd w:val="clear" w:color="auto" w:fill="auto"/>
            <w:noWrap/>
            <w:vAlign w:val="center"/>
            <w:hideMark/>
          </w:tcPr>
          <w:p w14:paraId="295AB43F"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Executive Assistant I</w:t>
            </w:r>
          </w:p>
        </w:tc>
        <w:tc>
          <w:tcPr>
            <w:tcW w:w="1207" w:type="dxa"/>
            <w:shd w:val="clear" w:color="auto" w:fill="auto"/>
            <w:noWrap/>
            <w:vAlign w:val="bottom"/>
            <w:hideMark/>
          </w:tcPr>
          <w:p w14:paraId="17C1AC08"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40</w:t>
            </w:r>
          </w:p>
        </w:tc>
        <w:tc>
          <w:tcPr>
            <w:tcW w:w="1403" w:type="dxa"/>
            <w:shd w:val="clear" w:color="auto" w:fill="auto"/>
            <w:noWrap/>
            <w:vAlign w:val="bottom"/>
            <w:hideMark/>
          </w:tcPr>
          <w:p w14:paraId="7BF16BE5" w14:textId="63A136BF"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45,558</w:t>
            </w:r>
          </w:p>
        </w:tc>
        <w:tc>
          <w:tcPr>
            <w:tcW w:w="1440" w:type="dxa"/>
            <w:shd w:val="clear" w:color="auto" w:fill="auto"/>
            <w:noWrap/>
            <w:vAlign w:val="center"/>
            <w:hideMark/>
          </w:tcPr>
          <w:p w14:paraId="77C52AD9"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59,916</w:t>
            </w:r>
          </w:p>
        </w:tc>
        <w:tc>
          <w:tcPr>
            <w:tcW w:w="1530" w:type="dxa"/>
            <w:shd w:val="clear" w:color="auto" w:fill="auto"/>
            <w:noWrap/>
            <w:vAlign w:val="center"/>
            <w:hideMark/>
          </w:tcPr>
          <w:p w14:paraId="6209AE02"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-31.52%</w:t>
            </w:r>
          </w:p>
        </w:tc>
        <w:tc>
          <w:tcPr>
            <w:tcW w:w="1170" w:type="dxa"/>
            <w:shd w:val="clear" w:color="auto" w:fill="auto"/>
            <w:noWrap/>
            <w:vAlign w:val="center"/>
            <w:hideMark/>
          </w:tcPr>
          <w:p w14:paraId="28656137"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15.80%</w:t>
            </w:r>
          </w:p>
        </w:tc>
      </w:tr>
      <w:tr w:rsidR="00344B4E" w:rsidRPr="00755AAD" w14:paraId="699E5D78" w14:textId="77777777" w:rsidTr="00B52602">
        <w:trPr>
          <w:trHeight w:val="315"/>
        </w:trPr>
        <w:tc>
          <w:tcPr>
            <w:tcW w:w="3145" w:type="dxa"/>
            <w:shd w:val="clear" w:color="auto" w:fill="auto"/>
            <w:noWrap/>
            <w:vAlign w:val="center"/>
            <w:hideMark/>
          </w:tcPr>
          <w:p w14:paraId="7CFDECF0"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Chemist I</w:t>
            </w:r>
          </w:p>
        </w:tc>
        <w:tc>
          <w:tcPr>
            <w:tcW w:w="1207" w:type="dxa"/>
            <w:shd w:val="clear" w:color="auto" w:fill="auto"/>
            <w:noWrap/>
            <w:vAlign w:val="bottom"/>
            <w:hideMark/>
          </w:tcPr>
          <w:p w14:paraId="3477BF01"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32</w:t>
            </w:r>
          </w:p>
        </w:tc>
        <w:tc>
          <w:tcPr>
            <w:tcW w:w="1403" w:type="dxa"/>
            <w:shd w:val="clear" w:color="auto" w:fill="auto"/>
            <w:noWrap/>
            <w:vAlign w:val="bottom"/>
            <w:hideMark/>
          </w:tcPr>
          <w:p w14:paraId="70E7611A" w14:textId="08DEFBAD"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50,326</w:t>
            </w:r>
          </w:p>
        </w:tc>
        <w:tc>
          <w:tcPr>
            <w:tcW w:w="1440" w:type="dxa"/>
            <w:shd w:val="clear" w:color="auto" w:fill="auto"/>
            <w:noWrap/>
            <w:vAlign w:val="center"/>
            <w:hideMark/>
          </w:tcPr>
          <w:p w14:paraId="7785172E"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60,778</w:t>
            </w:r>
          </w:p>
        </w:tc>
        <w:tc>
          <w:tcPr>
            <w:tcW w:w="1530" w:type="dxa"/>
            <w:shd w:val="clear" w:color="auto" w:fill="auto"/>
            <w:noWrap/>
            <w:vAlign w:val="center"/>
            <w:hideMark/>
          </w:tcPr>
          <w:p w14:paraId="47D73FEA"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-20.77%</w:t>
            </w:r>
          </w:p>
        </w:tc>
        <w:tc>
          <w:tcPr>
            <w:tcW w:w="1170" w:type="dxa"/>
            <w:shd w:val="clear" w:color="auto" w:fill="auto"/>
            <w:noWrap/>
            <w:vAlign w:val="center"/>
            <w:hideMark/>
          </w:tcPr>
          <w:p w14:paraId="27BBC5C2"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6.30%</w:t>
            </w:r>
          </w:p>
        </w:tc>
      </w:tr>
      <w:tr w:rsidR="00344B4E" w:rsidRPr="00755AAD" w14:paraId="71165FBB" w14:textId="77777777" w:rsidTr="00B52602">
        <w:trPr>
          <w:trHeight w:val="315"/>
        </w:trPr>
        <w:tc>
          <w:tcPr>
            <w:tcW w:w="3145" w:type="dxa"/>
            <w:shd w:val="clear" w:color="auto" w:fill="auto"/>
            <w:noWrap/>
            <w:vAlign w:val="center"/>
            <w:hideMark/>
          </w:tcPr>
          <w:p w14:paraId="7B74B50F"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Staff Development Specialist II</w:t>
            </w:r>
          </w:p>
        </w:tc>
        <w:tc>
          <w:tcPr>
            <w:tcW w:w="1207" w:type="dxa"/>
            <w:shd w:val="clear" w:color="auto" w:fill="auto"/>
            <w:noWrap/>
            <w:vAlign w:val="bottom"/>
            <w:hideMark/>
          </w:tcPr>
          <w:p w14:paraId="4752F2F1"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38</w:t>
            </w:r>
          </w:p>
        </w:tc>
        <w:tc>
          <w:tcPr>
            <w:tcW w:w="1403" w:type="dxa"/>
            <w:shd w:val="clear" w:color="auto" w:fill="auto"/>
            <w:noWrap/>
            <w:vAlign w:val="bottom"/>
            <w:hideMark/>
          </w:tcPr>
          <w:p w14:paraId="543ED001" w14:textId="56D2937C"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49,586</w:t>
            </w:r>
          </w:p>
        </w:tc>
        <w:tc>
          <w:tcPr>
            <w:tcW w:w="1440" w:type="dxa"/>
            <w:shd w:val="clear" w:color="auto" w:fill="auto"/>
            <w:noWrap/>
            <w:vAlign w:val="center"/>
            <w:hideMark/>
          </w:tcPr>
          <w:p w14:paraId="08BEA902"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59,468</w:t>
            </w:r>
          </w:p>
        </w:tc>
        <w:tc>
          <w:tcPr>
            <w:tcW w:w="1530" w:type="dxa"/>
            <w:shd w:val="clear" w:color="auto" w:fill="auto"/>
            <w:noWrap/>
            <w:vAlign w:val="center"/>
            <w:hideMark/>
          </w:tcPr>
          <w:p w14:paraId="156661C2"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-19.93%</w:t>
            </w:r>
          </w:p>
        </w:tc>
        <w:tc>
          <w:tcPr>
            <w:tcW w:w="1170" w:type="dxa"/>
            <w:shd w:val="clear" w:color="auto" w:fill="auto"/>
            <w:noWrap/>
            <w:vAlign w:val="center"/>
            <w:hideMark/>
          </w:tcPr>
          <w:p w14:paraId="13C11384"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14.70%</w:t>
            </w:r>
          </w:p>
        </w:tc>
      </w:tr>
      <w:tr w:rsidR="00344B4E" w:rsidRPr="00755AAD" w14:paraId="55429542" w14:textId="77777777" w:rsidTr="00B52602">
        <w:trPr>
          <w:trHeight w:val="315"/>
        </w:trPr>
        <w:tc>
          <w:tcPr>
            <w:tcW w:w="3145" w:type="dxa"/>
            <w:shd w:val="clear" w:color="auto" w:fill="auto"/>
            <w:noWrap/>
            <w:vAlign w:val="center"/>
            <w:hideMark/>
          </w:tcPr>
          <w:p w14:paraId="02636C4B"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Social Worker III</w:t>
            </w:r>
          </w:p>
        </w:tc>
        <w:tc>
          <w:tcPr>
            <w:tcW w:w="1207" w:type="dxa"/>
            <w:shd w:val="clear" w:color="auto" w:fill="auto"/>
            <w:noWrap/>
            <w:vAlign w:val="bottom"/>
            <w:hideMark/>
          </w:tcPr>
          <w:p w14:paraId="3B3E2754"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126</w:t>
            </w:r>
          </w:p>
        </w:tc>
        <w:tc>
          <w:tcPr>
            <w:tcW w:w="1403" w:type="dxa"/>
            <w:shd w:val="clear" w:color="auto" w:fill="auto"/>
            <w:noWrap/>
            <w:vAlign w:val="bottom"/>
            <w:hideMark/>
          </w:tcPr>
          <w:p w14:paraId="5A779031" w14:textId="5AC8DC9F"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47,953</w:t>
            </w:r>
          </w:p>
        </w:tc>
        <w:tc>
          <w:tcPr>
            <w:tcW w:w="1440" w:type="dxa"/>
            <w:shd w:val="clear" w:color="auto" w:fill="auto"/>
            <w:noWrap/>
            <w:vAlign w:val="center"/>
            <w:hideMark/>
          </w:tcPr>
          <w:p w14:paraId="37E38E01"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57,272</w:t>
            </w:r>
          </w:p>
        </w:tc>
        <w:tc>
          <w:tcPr>
            <w:tcW w:w="1530" w:type="dxa"/>
            <w:shd w:val="clear" w:color="auto" w:fill="auto"/>
            <w:noWrap/>
            <w:vAlign w:val="center"/>
            <w:hideMark/>
          </w:tcPr>
          <w:p w14:paraId="2FCB8CEA"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-19.43%</w:t>
            </w:r>
          </w:p>
        </w:tc>
        <w:tc>
          <w:tcPr>
            <w:tcW w:w="1170" w:type="dxa"/>
            <w:shd w:val="clear" w:color="auto" w:fill="auto"/>
            <w:noWrap/>
            <w:vAlign w:val="center"/>
            <w:hideMark/>
          </w:tcPr>
          <w:p w14:paraId="2EE9AA9A"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7.30%</w:t>
            </w:r>
          </w:p>
        </w:tc>
      </w:tr>
      <w:tr w:rsidR="00344B4E" w:rsidRPr="00755AAD" w14:paraId="3D1B587C" w14:textId="77777777" w:rsidTr="00B52602">
        <w:trPr>
          <w:trHeight w:val="315"/>
        </w:trPr>
        <w:tc>
          <w:tcPr>
            <w:tcW w:w="3145" w:type="dxa"/>
            <w:shd w:val="clear" w:color="auto" w:fill="auto"/>
            <w:noWrap/>
            <w:vAlign w:val="center"/>
            <w:hideMark/>
          </w:tcPr>
          <w:p w14:paraId="7664F178"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Staff Psychologist</w:t>
            </w:r>
          </w:p>
        </w:tc>
        <w:tc>
          <w:tcPr>
            <w:tcW w:w="1207" w:type="dxa"/>
            <w:shd w:val="clear" w:color="auto" w:fill="auto"/>
            <w:noWrap/>
            <w:vAlign w:val="bottom"/>
            <w:hideMark/>
          </w:tcPr>
          <w:p w14:paraId="19908966"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87</w:t>
            </w:r>
          </w:p>
        </w:tc>
        <w:tc>
          <w:tcPr>
            <w:tcW w:w="1403" w:type="dxa"/>
            <w:shd w:val="clear" w:color="auto" w:fill="auto"/>
            <w:noWrap/>
            <w:vAlign w:val="bottom"/>
            <w:hideMark/>
          </w:tcPr>
          <w:p w14:paraId="58F3CAD2" w14:textId="4A59521B"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59,200</w:t>
            </w:r>
          </w:p>
        </w:tc>
        <w:tc>
          <w:tcPr>
            <w:tcW w:w="1440" w:type="dxa"/>
            <w:shd w:val="clear" w:color="auto" w:fill="auto"/>
            <w:noWrap/>
            <w:vAlign w:val="center"/>
            <w:hideMark/>
          </w:tcPr>
          <w:p w14:paraId="1BB8C00B"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90,702</w:t>
            </w:r>
          </w:p>
        </w:tc>
        <w:tc>
          <w:tcPr>
            <w:tcW w:w="1530" w:type="dxa"/>
            <w:shd w:val="clear" w:color="auto" w:fill="auto"/>
            <w:noWrap/>
            <w:vAlign w:val="center"/>
            <w:hideMark/>
          </w:tcPr>
          <w:p w14:paraId="19AC331A"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-53.21%</w:t>
            </w:r>
          </w:p>
        </w:tc>
        <w:tc>
          <w:tcPr>
            <w:tcW w:w="1170" w:type="dxa"/>
            <w:shd w:val="clear" w:color="auto" w:fill="auto"/>
            <w:noWrap/>
            <w:vAlign w:val="center"/>
            <w:hideMark/>
          </w:tcPr>
          <w:p w14:paraId="7E311C65"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16.10%</w:t>
            </w:r>
          </w:p>
        </w:tc>
      </w:tr>
      <w:tr w:rsidR="00344B4E" w:rsidRPr="00755AAD" w14:paraId="703DD7C7" w14:textId="77777777" w:rsidTr="00B52602">
        <w:trPr>
          <w:trHeight w:val="315"/>
        </w:trPr>
        <w:tc>
          <w:tcPr>
            <w:tcW w:w="3145" w:type="dxa"/>
            <w:shd w:val="clear" w:color="auto" w:fill="auto"/>
            <w:noWrap/>
            <w:vAlign w:val="center"/>
            <w:hideMark/>
          </w:tcPr>
          <w:p w14:paraId="5D1E6862" w14:textId="60573F7F" w:rsidR="00344B4E" w:rsidRPr="00755AAD" w:rsidRDefault="009B5A9D" w:rsidP="00344B4E">
            <w:pPr>
              <w:rPr>
                <w:rFonts w:ascii="Calibri" w:hAnsi="Calibri" w:cs="Calibri"/>
                <w:color w:val="000000"/>
                <w:szCs w:val="22"/>
              </w:rPr>
            </w:pPr>
            <w:r>
              <w:rPr>
                <w:rFonts w:ascii="Calibri" w:hAnsi="Calibri" w:cs="Calibri"/>
                <w:color w:val="000000"/>
                <w:szCs w:val="22"/>
              </w:rPr>
              <w:t>Info and</w:t>
            </w:r>
            <w:r w:rsidR="00344B4E" w:rsidRPr="00755AAD">
              <w:rPr>
                <w:rFonts w:ascii="Calibri" w:hAnsi="Calibri" w:cs="Calibri"/>
                <w:color w:val="000000"/>
                <w:szCs w:val="22"/>
              </w:rPr>
              <w:t xml:space="preserve"> Communications Spec II</w:t>
            </w:r>
          </w:p>
        </w:tc>
        <w:tc>
          <w:tcPr>
            <w:tcW w:w="1207" w:type="dxa"/>
            <w:shd w:val="clear" w:color="auto" w:fill="auto"/>
            <w:noWrap/>
            <w:vAlign w:val="bottom"/>
            <w:hideMark/>
          </w:tcPr>
          <w:p w14:paraId="7297618C"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46</w:t>
            </w:r>
          </w:p>
        </w:tc>
        <w:tc>
          <w:tcPr>
            <w:tcW w:w="1403" w:type="dxa"/>
            <w:shd w:val="clear" w:color="auto" w:fill="auto"/>
            <w:noWrap/>
            <w:vAlign w:val="bottom"/>
            <w:hideMark/>
          </w:tcPr>
          <w:p w14:paraId="348631EB" w14:textId="0BE452B9"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49,115</w:t>
            </w:r>
          </w:p>
        </w:tc>
        <w:tc>
          <w:tcPr>
            <w:tcW w:w="1440" w:type="dxa"/>
            <w:shd w:val="clear" w:color="auto" w:fill="auto"/>
            <w:noWrap/>
            <w:vAlign w:val="center"/>
            <w:hideMark/>
          </w:tcPr>
          <w:p w14:paraId="1B35DA2B"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56,897</w:t>
            </w:r>
          </w:p>
        </w:tc>
        <w:tc>
          <w:tcPr>
            <w:tcW w:w="1530" w:type="dxa"/>
            <w:shd w:val="clear" w:color="auto" w:fill="auto"/>
            <w:noWrap/>
            <w:vAlign w:val="center"/>
            <w:hideMark/>
          </w:tcPr>
          <w:p w14:paraId="7BFF5645"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-15.84%</w:t>
            </w:r>
          </w:p>
        </w:tc>
        <w:tc>
          <w:tcPr>
            <w:tcW w:w="1170" w:type="dxa"/>
            <w:shd w:val="clear" w:color="auto" w:fill="auto"/>
            <w:noWrap/>
            <w:vAlign w:val="center"/>
            <w:hideMark/>
          </w:tcPr>
          <w:p w14:paraId="0D9D8D2E"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19.60%</w:t>
            </w:r>
          </w:p>
        </w:tc>
      </w:tr>
      <w:tr w:rsidR="00344B4E" w:rsidRPr="00755AAD" w14:paraId="48C01D77" w14:textId="77777777" w:rsidTr="00B52602">
        <w:trPr>
          <w:trHeight w:val="315"/>
        </w:trPr>
        <w:tc>
          <w:tcPr>
            <w:tcW w:w="3145" w:type="dxa"/>
            <w:shd w:val="clear" w:color="auto" w:fill="auto"/>
            <w:noWrap/>
            <w:vAlign w:val="center"/>
            <w:hideMark/>
          </w:tcPr>
          <w:p w14:paraId="0F8BE4BB"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Public Safety Officer</w:t>
            </w:r>
          </w:p>
        </w:tc>
        <w:tc>
          <w:tcPr>
            <w:tcW w:w="1207" w:type="dxa"/>
            <w:shd w:val="clear" w:color="auto" w:fill="auto"/>
            <w:noWrap/>
            <w:vAlign w:val="bottom"/>
            <w:hideMark/>
          </w:tcPr>
          <w:p w14:paraId="04D2A218"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70</w:t>
            </w:r>
          </w:p>
        </w:tc>
        <w:tc>
          <w:tcPr>
            <w:tcW w:w="1403" w:type="dxa"/>
            <w:shd w:val="clear" w:color="auto" w:fill="auto"/>
            <w:noWrap/>
            <w:vAlign w:val="bottom"/>
            <w:hideMark/>
          </w:tcPr>
          <w:p w14:paraId="1FA12320" w14:textId="003F695A"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39,070</w:t>
            </w:r>
          </w:p>
        </w:tc>
        <w:tc>
          <w:tcPr>
            <w:tcW w:w="1440" w:type="dxa"/>
            <w:shd w:val="clear" w:color="auto" w:fill="auto"/>
            <w:noWrap/>
            <w:vAlign w:val="center"/>
            <w:hideMark/>
          </w:tcPr>
          <w:p w14:paraId="03CD4324"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50,925</w:t>
            </w:r>
          </w:p>
        </w:tc>
        <w:tc>
          <w:tcPr>
            <w:tcW w:w="1530" w:type="dxa"/>
            <w:shd w:val="clear" w:color="auto" w:fill="auto"/>
            <w:noWrap/>
            <w:vAlign w:val="center"/>
            <w:hideMark/>
          </w:tcPr>
          <w:p w14:paraId="74957E9D"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-30.34%</w:t>
            </w:r>
          </w:p>
        </w:tc>
        <w:tc>
          <w:tcPr>
            <w:tcW w:w="1170" w:type="dxa"/>
            <w:shd w:val="clear" w:color="auto" w:fill="auto"/>
            <w:noWrap/>
            <w:vAlign w:val="center"/>
            <w:hideMark/>
          </w:tcPr>
          <w:p w14:paraId="26273244"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10.00%</w:t>
            </w:r>
          </w:p>
        </w:tc>
      </w:tr>
      <w:tr w:rsidR="00344B4E" w:rsidRPr="00755AAD" w14:paraId="5B8F557E" w14:textId="77777777" w:rsidTr="00B52602">
        <w:trPr>
          <w:trHeight w:val="315"/>
        </w:trPr>
        <w:tc>
          <w:tcPr>
            <w:tcW w:w="3145" w:type="dxa"/>
            <w:shd w:val="clear" w:color="auto" w:fill="auto"/>
            <w:noWrap/>
            <w:vAlign w:val="center"/>
            <w:hideMark/>
          </w:tcPr>
          <w:p w14:paraId="0D373201"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Paralegal</w:t>
            </w:r>
            <w:r w:rsidRPr="00755AAD">
              <w:rPr>
                <w:rFonts w:cs="Calibri"/>
                <w:color w:val="000000"/>
                <w:sz w:val="16"/>
                <w:szCs w:val="16"/>
              </w:rPr>
              <w:t> </w:t>
            </w:r>
          </w:p>
        </w:tc>
        <w:tc>
          <w:tcPr>
            <w:tcW w:w="1207" w:type="dxa"/>
            <w:shd w:val="clear" w:color="auto" w:fill="auto"/>
            <w:noWrap/>
            <w:vAlign w:val="bottom"/>
            <w:hideMark/>
          </w:tcPr>
          <w:p w14:paraId="198606B0"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5</w:t>
            </w:r>
          </w:p>
        </w:tc>
        <w:tc>
          <w:tcPr>
            <w:tcW w:w="1403" w:type="dxa"/>
            <w:shd w:val="clear" w:color="auto" w:fill="auto"/>
            <w:noWrap/>
            <w:vAlign w:val="bottom"/>
            <w:hideMark/>
          </w:tcPr>
          <w:p w14:paraId="45BB5BDD" w14:textId="0CFFADD2"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45,845</w:t>
            </w:r>
          </w:p>
        </w:tc>
        <w:tc>
          <w:tcPr>
            <w:tcW w:w="1440" w:type="dxa"/>
            <w:shd w:val="clear" w:color="auto" w:fill="auto"/>
            <w:noWrap/>
            <w:vAlign w:val="center"/>
            <w:hideMark/>
          </w:tcPr>
          <w:p w14:paraId="3FC00387"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61,784</w:t>
            </w:r>
          </w:p>
        </w:tc>
        <w:tc>
          <w:tcPr>
            <w:tcW w:w="1530" w:type="dxa"/>
            <w:shd w:val="clear" w:color="auto" w:fill="auto"/>
            <w:noWrap/>
            <w:vAlign w:val="center"/>
            <w:hideMark/>
          </w:tcPr>
          <w:p w14:paraId="44542E81"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-34.77%</w:t>
            </w:r>
          </w:p>
        </w:tc>
        <w:tc>
          <w:tcPr>
            <w:tcW w:w="1170" w:type="dxa"/>
            <w:shd w:val="clear" w:color="auto" w:fill="auto"/>
            <w:noWrap/>
            <w:vAlign w:val="center"/>
            <w:hideMark/>
          </w:tcPr>
          <w:p w14:paraId="6C88EA3F"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0.00%</w:t>
            </w:r>
          </w:p>
        </w:tc>
      </w:tr>
      <w:tr w:rsidR="00344B4E" w:rsidRPr="00755AAD" w14:paraId="0A8BC68A" w14:textId="77777777" w:rsidTr="00B52602">
        <w:trPr>
          <w:trHeight w:val="315"/>
        </w:trPr>
        <w:tc>
          <w:tcPr>
            <w:tcW w:w="3145" w:type="dxa"/>
            <w:shd w:val="clear" w:color="auto" w:fill="auto"/>
            <w:noWrap/>
            <w:vAlign w:val="center"/>
            <w:hideMark/>
          </w:tcPr>
          <w:p w14:paraId="24CF9E1D"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Museum Curator</w:t>
            </w:r>
          </w:p>
        </w:tc>
        <w:tc>
          <w:tcPr>
            <w:tcW w:w="1207" w:type="dxa"/>
            <w:shd w:val="clear" w:color="auto" w:fill="auto"/>
            <w:noWrap/>
            <w:vAlign w:val="bottom"/>
            <w:hideMark/>
          </w:tcPr>
          <w:p w14:paraId="4BF1821F"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12</w:t>
            </w:r>
          </w:p>
        </w:tc>
        <w:tc>
          <w:tcPr>
            <w:tcW w:w="1403" w:type="dxa"/>
            <w:shd w:val="clear" w:color="auto" w:fill="auto"/>
            <w:noWrap/>
            <w:vAlign w:val="bottom"/>
            <w:hideMark/>
          </w:tcPr>
          <w:p w14:paraId="0B19B2F6" w14:textId="652423DC"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46,910</w:t>
            </w:r>
          </w:p>
        </w:tc>
        <w:tc>
          <w:tcPr>
            <w:tcW w:w="1440" w:type="dxa"/>
            <w:shd w:val="clear" w:color="auto" w:fill="auto"/>
            <w:noWrap/>
            <w:vAlign w:val="center"/>
            <w:hideMark/>
          </w:tcPr>
          <w:p w14:paraId="73F336B8"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67,410</w:t>
            </w:r>
          </w:p>
        </w:tc>
        <w:tc>
          <w:tcPr>
            <w:tcW w:w="1530" w:type="dxa"/>
            <w:shd w:val="clear" w:color="auto" w:fill="auto"/>
            <w:noWrap/>
            <w:vAlign w:val="center"/>
            <w:hideMark/>
          </w:tcPr>
          <w:p w14:paraId="54872941"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-43.70%</w:t>
            </w:r>
          </w:p>
        </w:tc>
        <w:tc>
          <w:tcPr>
            <w:tcW w:w="1170" w:type="dxa"/>
            <w:shd w:val="clear" w:color="auto" w:fill="auto"/>
            <w:noWrap/>
            <w:vAlign w:val="center"/>
            <w:hideMark/>
          </w:tcPr>
          <w:p w14:paraId="6046788E"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0.00%</w:t>
            </w:r>
          </w:p>
        </w:tc>
      </w:tr>
      <w:tr w:rsidR="00344B4E" w:rsidRPr="00755AAD" w14:paraId="50D63BE4" w14:textId="77777777" w:rsidTr="00B52602">
        <w:trPr>
          <w:trHeight w:val="315"/>
        </w:trPr>
        <w:tc>
          <w:tcPr>
            <w:tcW w:w="3145" w:type="dxa"/>
            <w:shd w:val="clear" w:color="auto" w:fill="auto"/>
            <w:noWrap/>
            <w:vAlign w:val="center"/>
            <w:hideMark/>
          </w:tcPr>
          <w:p w14:paraId="2F4C65A4"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Maintenance Mechanic IV</w:t>
            </w:r>
          </w:p>
        </w:tc>
        <w:tc>
          <w:tcPr>
            <w:tcW w:w="1207" w:type="dxa"/>
            <w:shd w:val="clear" w:color="auto" w:fill="auto"/>
            <w:noWrap/>
            <w:vAlign w:val="bottom"/>
            <w:hideMark/>
          </w:tcPr>
          <w:p w14:paraId="20E3FF53"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295</w:t>
            </w:r>
          </w:p>
        </w:tc>
        <w:tc>
          <w:tcPr>
            <w:tcW w:w="1403" w:type="dxa"/>
            <w:shd w:val="clear" w:color="auto" w:fill="auto"/>
            <w:noWrap/>
            <w:vAlign w:val="bottom"/>
            <w:hideMark/>
          </w:tcPr>
          <w:p w14:paraId="65C6D636" w14:textId="0AC102A5"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40,413</w:t>
            </w:r>
          </w:p>
        </w:tc>
        <w:tc>
          <w:tcPr>
            <w:tcW w:w="1440" w:type="dxa"/>
            <w:shd w:val="clear" w:color="auto" w:fill="auto"/>
            <w:noWrap/>
            <w:vAlign w:val="center"/>
            <w:hideMark/>
          </w:tcPr>
          <w:p w14:paraId="1814C543"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60,679</w:t>
            </w:r>
          </w:p>
        </w:tc>
        <w:tc>
          <w:tcPr>
            <w:tcW w:w="1530" w:type="dxa"/>
            <w:shd w:val="clear" w:color="auto" w:fill="auto"/>
            <w:noWrap/>
            <w:vAlign w:val="center"/>
            <w:hideMark/>
          </w:tcPr>
          <w:p w14:paraId="6FE0678A"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-50.15%</w:t>
            </w:r>
          </w:p>
        </w:tc>
        <w:tc>
          <w:tcPr>
            <w:tcW w:w="1170" w:type="dxa"/>
            <w:shd w:val="clear" w:color="auto" w:fill="auto"/>
            <w:noWrap/>
            <w:vAlign w:val="center"/>
            <w:hideMark/>
          </w:tcPr>
          <w:p w14:paraId="0EF10EEC"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14.90%</w:t>
            </w:r>
          </w:p>
        </w:tc>
      </w:tr>
      <w:tr w:rsidR="00344B4E" w:rsidRPr="00755AAD" w14:paraId="3F818B40" w14:textId="77777777" w:rsidTr="00B52602">
        <w:trPr>
          <w:trHeight w:val="315"/>
        </w:trPr>
        <w:tc>
          <w:tcPr>
            <w:tcW w:w="3145" w:type="dxa"/>
            <w:shd w:val="clear" w:color="auto" w:fill="auto"/>
            <w:noWrap/>
            <w:vAlign w:val="center"/>
            <w:hideMark/>
          </w:tcPr>
          <w:p w14:paraId="45C47098" w14:textId="302B15E2" w:rsidR="00344B4E" w:rsidRPr="00755AAD" w:rsidRDefault="00344B4E" w:rsidP="00344B4E">
            <w:pPr>
              <w:rPr>
                <w:rFonts w:ascii="Calibri" w:hAnsi="Calibri" w:cs="Calibri"/>
                <w:color w:val="000000"/>
                <w:szCs w:val="22"/>
              </w:rPr>
            </w:pPr>
            <w:r w:rsidRPr="00755AAD">
              <w:rPr>
                <w:rFonts w:ascii="Calibri" w:hAnsi="Calibri" w:cs="Calibri"/>
                <w:color w:val="000000"/>
                <w:szCs w:val="22"/>
              </w:rPr>
              <w:t>Vehicle/Equipment Repair Tech</w:t>
            </w:r>
          </w:p>
        </w:tc>
        <w:tc>
          <w:tcPr>
            <w:tcW w:w="1207" w:type="dxa"/>
            <w:shd w:val="clear" w:color="auto" w:fill="auto"/>
            <w:noWrap/>
            <w:vAlign w:val="bottom"/>
            <w:hideMark/>
          </w:tcPr>
          <w:p w14:paraId="1C205E19"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460</w:t>
            </w:r>
          </w:p>
        </w:tc>
        <w:tc>
          <w:tcPr>
            <w:tcW w:w="1403" w:type="dxa"/>
            <w:shd w:val="clear" w:color="auto" w:fill="auto"/>
            <w:noWrap/>
            <w:vAlign w:val="bottom"/>
            <w:hideMark/>
          </w:tcPr>
          <w:p w14:paraId="20C6A79F" w14:textId="66222CE3"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43,063</w:t>
            </w:r>
          </w:p>
        </w:tc>
        <w:tc>
          <w:tcPr>
            <w:tcW w:w="1440" w:type="dxa"/>
            <w:shd w:val="clear" w:color="auto" w:fill="auto"/>
            <w:noWrap/>
            <w:vAlign w:val="center"/>
            <w:hideMark/>
          </w:tcPr>
          <w:p w14:paraId="00193DA1"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49,244</w:t>
            </w:r>
          </w:p>
        </w:tc>
        <w:tc>
          <w:tcPr>
            <w:tcW w:w="1530" w:type="dxa"/>
            <w:shd w:val="clear" w:color="auto" w:fill="auto"/>
            <w:noWrap/>
            <w:vAlign w:val="center"/>
            <w:hideMark/>
          </w:tcPr>
          <w:p w14:paraId="635E0C2C"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-14.35%</w:t>
            </w:r>
          </w:p>
        </w:tc>
        <w:tc>
          <w:tcPr>
            <w:tcW w:w="1170" w:type="dxa"/>
            <w:shd w:val="clear" w:color="auto" w:fill="auto"/>
            <w:noWrap/>
            <w:vAlign w:val="center"/>
            <w:hideMark/>
          </w:tcPr>
          <w:p w14:paraId="2A05E727"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7.30%</w:t>
            </w:r>
          </w:p>
        </w:tc>
      </w:tr>
      <w:tr w:rsidR="00344B4E" w:rsidRPr="00755AAD" w14:paraId="67CEE5FF" w14:textId="77777777" w:rsidTr="00B52602">
        <w:trPr>
          <w:trHeight w:val="315"/>
        </w:trPr>
        <w:tc>
          <w:tcPr>
            <w:tcW w:w="3145" w:type="dxa"/>
            <w:shd w:val="clear" w:color="auto" w:fill="auto"/>
            <w:noWrap/>
            <w:vAlign w:val="center"/>
            <w:hideMark/>
          </w:tcPr>
          <w:p w14:paraId="67C7E60C"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Administrative Officer II</w:t>
            </w:r>
          </w:p>
        </w:tc>
        <w:tc>
          <w:tcPr>
            <w:tcW w:w="1207" w:type="dxa"/>
            <w:shd w:val="clear" w:color="auto" w:fill="auto"/>
            <w:noWrap/>
            <w:vAlign w:val="bottom"/>
            <w:hideMark/>
          </w:tcPr>
          <w:p w14:paraId="7AD1455B"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210</w:t>
            </w:r>
          </w:p>
        </w:tc>
        <w:tc>
          <w:tcPr>
            <w:tcW w:w="1403" w:type="dxa"/>
            <w:shd w:val="clear" w:color="auto" w:fill="auto"/>
            <w:noWrap/>
            <w:vAlign w:val="bottom"/>
            <w:hideMark/>
          </w:tcPr>
          <w:p w14:paraId="495E9C95" w14:textId="2E2D3B98"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51,006</w:t>
            </w:r>
          </w:p>
        </w:tc>
        <w:tc>
          <w:tcPr>
            <w:tcW w:w="1440" w:type="dxa"/>
            <w:shd w:val="clear" w:color="auto" w:fill="auto"/>
            <w:noWrap/>
            <w:vAlign w:val="center"/>
            <w:hideMark/>
          </w:tcPr>
          <w:p w14:paraId="4DA9E8F4"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57,607</w:t>
            </w:r>
          </w:p>
        </w:tc>
        <w:tc>
          <w:tcPr>
            <w:tcW w:w="1530" w:type="dxa"/>
            <w:shd w:val="clear" w:color="auto" w:fill="auto"/>
            <w:noWrap/>
            <w:vAlign w:val="center"/>
            <w:hideMark/>
          </w:tcPr>
          <w:p w14:paraId="0A5AB6E7"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-12.94%</w:t>
            </w:r>
          </w:p>
        </w:tc>
        <w:tc>
          <w:tcPr>
            <w:tcW w:w="1170" w:type="dxa"/>
            <w:shd w:val="clear" w:color="auto" w:fill="auto"/>
            <w:noWrap/>
            <w:vAlign w:val="center"/>
            <w:hideMark/>
          </w:tcPr>
          <w:p w14:paraId="552782B9"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14.30%</w:t>
            </w:r>
          </w:p>
        </w:tc>
      </w:tr>
      <w:tr w:rsidR="00344B4E" w:rsidRPr="00755AAD" w14:paraId="449482BB" w14:textId="77777777" w:rsidTr="00B52602">
        <w:trPr>
          <w:trHeight w:val="315"/>
        </w:trPr>
        <w:tc>
          <w:tcPr>
            <w:tcW w:w="3145" w:type="dxa"/>
            <w:shd w:val="clear" w:color="auto" w:fill="auto"/>
            <w:noWrap/>
            <w:vAlign w:val="center"/>
            <w:hideMark/>
          </w:tcPr>
          <w:p w14:paraId="075A4BF8" w14:textId="77777777" w:rsidR="00344B4E" w:rsidRPr="00755AAD" w:rsidRDefault="00344B4E" w:rsidP="00344B4E">
            <w:pPr>
              <w:rPr>
                <w:rFonts w:ascii="Calibri" w:hAnsi="Calibri" w:cs="Calibri"/>
                <w:color w:val="000000"/>
                <w:szCs w:val="22"/>
              </w:rPr>
            </w:pPr>
            <w:r w:rsidRPr="00755AAD">
              <w:rPr>
                <w:rFonts w:ascii="Calibri" w:hAnsi="Calibri" w:cs="Calibri"/>
                <w:color w:val="000000"/>
                <w:szCs w:val="22"/>
              </w:rPr>
              <w:t>Safety Officer II</w:t>
            </w:r>
          </w:p>
        </w:tc>
        <w:tc>
          <w:tcPr>
            <w:tcW w:w="1207" w:type="dxa"/>
            <w:shd w:val="clear" w:color="auto" w:fill="auto"/>
            <w:noWrap/>
            <w:vAlign w:val="bottom"/>
            <w:hideMark/>
          </w:tcPr>
          <w:p w14:paraId="2E2124E3" w14:textId="77777777"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20</w:t>
            </w:r>
          </w:p>
        </w:tc>
        <w:tc>
          <w:tcPr>
            <w:tcW w:w="1403" w:type="dxa"/>
            <w:shd w:val="clear" w:color="auto" w:fill="auto"/>
            <w:noWrap/>
            <w:vAlign w:val="bottom"/>
            <w:hideMark/>
          </w:tcPr>
          <w:p w14:paraId="4890F05B" w14:textId="3C65054C" w:rsidR="00344B4E" w:rsidRPr="00755AAD" w:rsidRDefault="00344B4E" w:rsidP="00344B4E">
            <w:pPr>
              <w:jc w:val="right"/>
              <w:rPr>
                <w:rFonts w:ascii="Arial" w:hAnsi="Arial" w:cs="Arial"/>
                <w:color w:val="000000"/>
                <w:sz w:val="18"/>
                <w:szCs w:val="18"/>
              </w:rPr>
            </w:pPr>
            <w:r w:rsidRPr="00755AAD">
              <w:rPr>
                <w:rFonts w:ascii="Arial" w:hAnsi="Arial" w:cs="Arial"/>
                <w:color w:val="000000"/>
                <w:sz w:val="18"/>
                <w:szCs w:val="18"/>
              </w:rPr>
              <w:t>48,575</w:t>
            </w:r>
          </w:p>
        </w:tc>
        <w:tc>
          <w:tcPr>
            <w:tcW w:w="1440" w:type="dxa"/>
            <w:shd w:val="clear" w:color="auto" w:fill="auto"/>
            <w:noWrap/>
            <w:vAlign w:val="center"/>
            <w:hideMark/>
          </w:tcPr>
          <w:p w14:paraId="7B61AF5E"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60,438</w:t>
            </w:r>
          </w:p>
        </w:tc>
        <w:tc>
          <w:tcPr>
            <w:tcW w:w="1530" w:type="dxa"/>
            <w:shd w:val="clear" w:color="auto" w:fill="auto"/>
            <w:noWrap/>
            <w:vAlign w:val="center"/>
            <w:hideMark/>
          </w:tcPr>
          <w:p w14:paraId="6D91A0F5"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-24.42%</w:t>
            </w:r>
          </w:p>
        </w:tc>
        <w:tc>
          <w:tcPr>
            <w:tcW w:w="1170" w:type="dxa"/>
            <w:shd w:val="clear" w:color="auto" w:fill="auto"/>
            <w:noWrap/>
            <w:vAlign w:val="center"/>
            <w:hideMark/>
          </w:tcPr>
          <w:p w14:paraId="06D8C1EE" w14:textId="77777777" w:rsidR="00344B4E" w:rsidRPr="00755AAD" w:rsidRDefault="00344B4E" w:rsidP="00344B4E">
            <w:pPr>
              <w:jc w:val="right"/>
              <w:rPr>
                <w:rFonts w:ascii="Calibri" w:hAnsi="Calibri" w:cs="Calibri"/>
                <w:color w:val="000000"/>
                <w:szCs w:val="22"/>
              </w:rPr>
            </w:pPr>
            <w:r w:rsidRPr="00755AAD">
              <w:rPr>
                <w:rFonts w:ascii="Calibri" w:hAnsi="Calibri" w:cs="Calibri"/>
                <w:color w:val="000000"/>
                <w:szCs w:val="22"/>
              </w:rPr>
              <w:t>5.60%</w:t>
            </w:r>
          </w:p>
        </w:tc>
      </w:tr>
    </w:tbl>
    <w:p w14:paraId="10680D6A" w14:textId="77777777" w:rsidR="00465F21" w:rsidRPr="00B52602" w:rsidRDefault="009C36B7" w:rsidP="00B52602">
      <w:pPr>
        <w:spacing w:before="120"/>
        <w:jc w:val="both"/>
        <w:rPr>
          <w:rFonts w:asciiTheme="minorHAnsi" w:hAnsiTheme="minorHAnsi" w:cs="Arial"/>
          <w:i/>
          <w:iCs/>
          <w:sz w:val="18"/>
        </w:rPr>
      </w:pPr>
      <w:r w:rsidRPr="00B52602">
        <w:rPr>
          <w:rFonts w:asciiTheme="minorHAnsi" w:hAnsiTheme="minorHAnsi" w:cs="Arial"/>
          <w:i/>
          <w:sz w:val="18"/>
        </w:rPr>
        <w:t xml:space="preserve">Source: </w:t>
      </w:r>
      <w:r w:rsidR="004E23B2" w:rsidRPr="00B52602">
        <w:rPr>
          <w:rFonts w:asciiTheme="minorHAnsi" w:hAnsiTheme="minorHAnsi" w:cs="Arial"/>
          <w:i/>
          <w:sz w:val="18"/>
        </w:rPr>
        <w:t xml:space="preserve">BEACON, </w:t>
      </w:r>
      <w:r w:rsidR="003F340F" w:rsidRPr="00B52602">
        <w:rPr>
          <w:rFonts w:asciiTheme="minorHAnsi" w:hAnsiTheme="minorHAnsi" w:cs="Arial"/>
          <w:i/>
          <w:iCs/>
          <w:sz w:val="18"/>
        </w:rPr>
        <w:t>MarketPay analysis</w:t>
      </w:r>
    </w:p>
    <w:p w14:paraId="02D747F2" w14:textId="36467045" w:rsidR="00997963" w:rsidRPr="00B52602" w:rsidRDefault="00997963" w:rsidP="00B52602">
      <w:pPr>
        <w:jc w:val="both"/>
        <w:rPr>
          <w:rFonts w:asciiTheme="minorHAnsi" w:hAnsiTheme="minorHAnsi" w:cs="Arial"/>
          <w:i/>
          <w:sz w:val="18"/>
        </w:rPr>
      </w:pPr>
      <w:r w:rsidRPr="00B52602">
        <w:rPr>
          <w:rFonts w:asciiTheme="minorHAnsi" w:hAnsiTheme="minorHAnsi" w:cs="Arial"/>
          <w:i/>
          <w:sz w:val="18"/>
        </w:rPr>
        <w:t xml:space="preserve">Note:   The State's average turnover rate for all occupations in fiscal year </w:t>
      </w:r>
      <w:r w:rsidR="00447357" w:rsidRPr="00B52602">
        <w:rPr>
          <w:rFonts w:asciiTheme="minorHAnsi" w:hAnsiTheme="minorHAnsi" w:cs="Arial"/>
          <w:i/>
          <w:sz w:val="18"/>
        </w:rPr>
        <w:t>201</w:t>
      </w:r>
      <w:r w:rsidR="007A434D" w:rsidRPr="00B52602">
        <w:rPr>
          <w:rFonts w:asciiTheme="minorHAnsi" w:hAnsiTheme="minorHAnsi" w:cs="Arial"/>
          <w:i/>
          <w:sz w:val="18"/>
        </w:rPr>
        <w:t>6</w:t>
      </w:r>
      <w:r w:rsidR="00447357" w:rsidRPr="00B52602">
        <w:rPr>
          <w:rFonts w:asciiTheme="minorHAnsi" w:hAnsiTheme="minorHAnsi" w:cs="Arial"/>
          <w:i/>
          <w:sz w:val="18"/>
        </w:rPr>
        <w:t>-201</w:t>
      </w:r>
      <w:r w:rsidR="007A434D" w:rsidRPr="00B52602">
        <w:rPr>
          <w:rFonts w:asciiTheme="minorHAnsi" w:hAnsiTheme="minorHAnsi" w:cs="Arial"/>
          <w:i/>
          <w:sz w:val="18"/>
        </w:rPr>
        <w:t>7</w:t>
      </w:r>
      <w:r w:rsidRPr="00B52602">
        <w:rPr>
          <w:rFonts w:asciiTheme="minorHAnsi" w:hAnsiTheme="minorHAnsi" w:cs="Arial"/>
          <w:i/>
          <w:sz w:val="18"/>
        </w:rPr>
        <w:t xml:space="preserve"> was</w:t>
      </w:r>
      <w:r w:rsidR="004866E9" w:rsidRPr="00B52602">
        <w:rPr>
          <w:rFonts w:asciiTheme="minorHAnsi" w:hAnsiTheme="minorHAnsi" w:cs="Arial"/>
          <w:i/>
          <w:sz w:val="18"/>
        </w:rPr>
        <w:t xml:space="preserve"> determined to be</w:t>
      </w:r>
      <w:r w:rsidRPr="00B52602">
        <w:rPr>
          <w:rFonts w:asciiTheme="minorHAnsi" w:hAnsiTheme="minorHAnsi" w:cs="Arial"/>
          <w:i/>
          <w:sz w:val="18"/>
        </w:rPr>
        <w:t xml:space="preserve"> </w:t>
      </w:r>
      <w:r w:rsidR="006146B4" w:rsidRPr="00B52602">
        <w:rPr>
          <w:rFonts w:asciiTheme="minorHAnsi" w:hAnsiTheme="minorHAnsi" w:cs="Arial"/>
          <w:b/>
          <w:i/>
          <w:sz w:val="18"/>
          <w:u w:val="single"/>
        </w:rPr>
        <w:t>13.5</w:t>
      </w:r>
      <w:r w:rsidR="00127A0D" w:rsidRPr="00B52602">
        <w:rPr>
          <w:rFonts w:asciiTheme="minorHAnsi" w:hAnsiTheme="minorHAnsi" w:cs="Arial"/>
          <w:b/>
          <w:i/>
          <w:sz w:val="18"/>
          <w:u w:val="single"/>
        </w:rPr>
        <w:t>%</w:t>
      </w:r>
      <w:r w:rsidR="00B52602">
        <w:rPr>
          <w:rFonts w:asciiTheme="minorHAnsi" w:hAnsiTheme="minorHAnsi" w:cs="Arial"/>
          <w:i/>
          <w:sz w:val="18"/>
        </w:rPr>
        <w:t>.</w:t>
      </w:r>
    </w:p>
    <w:p w14:paraId="625ABB03" w14:textId="77777777" w:rsidR="003C2E92" w:rsidRPr="00472013" w:rsidRDefault="003C2E92" w:rsidP="009B5A9D">
      <w:pPr>
        <w:jc w:val="both"/>
        <w:rPr>
          <w:rFonts w:asciiTheme="minorHAnsi" w:hAnsiTheme="minorHAnsi" w:cstheme="minorHAnsi"/>
          <w:b/>
          <w:bCs/>
          <w:i/>
          <w:iCs/>
          <w:szCs w:val="22"/>
        </w:rPr>
      </w:pPr>
    </w:p>
    <w:p w14:paraId="4DC54A77" w14:textId="77777777" w:rsidR="00465F21" w:rsidRPr="00472013" w:rsidRDefault="006B752F" w:rsidP="009B5A9D">
      <w:pPr>
        <w:jc w:val="both"/>
        <w:rPr>
          <w:rFonts w:asciiTheme="minorHAnsi" w:hAnsiTheme="minorHAnsi" w:cs="Arial"/>
          <w:b/>
          <w:bCs/>
          <w:iCs/>
          <w:szCs w:val="22"/>
        </w:rPr>
      </w:pPr>
      <w:r w:rsidRPr="00472013">
        <w:rPr>
          <w:rFonts w:asciiTheme="minorHAnsi" w:hAnsiTheme="minorHAnsi" w:cs="Arial"/>
          <w:b/>
          <w:bCs/>
          <w:iCs/>
          <w:szCs w:val="22"/>
        </w:rPr>
        <w:t>New Graduates Starting Pay</w:t>
      </w:r>
    </w:p>
    <w:p w14:paraId="24C6920C" w14:textId="2E70F6F1" w:rsidR="00AF69D0" w:rsidRPr="000748F2" w:rsidRDefault="00AF69D0" w:rsidP="009B5A9D">
      <w:pPr>
        <w:jc w:val="both"/>
        <w:rPr>
          <w:rFonts w:asciiTheme="minorHAnsi" w:hAnsiTheme="minorHAnsi" w:cs="Arial"/>
          <w:bCs/>
          <w:iCs/>
          <w:szCs w:val="22"/>
        </w:rPr>
      </w:pPr>
      <w:r w:rsidRPr="00881A76">
        <w:rPr>
          <w:rFonts w:asciiTheme="minorHAnsi" w:hAnsiTheme="minorHAnsi" w:cs="Arial"/>
          <w:bCs/>
          <w:iCs/>
          <w:szCs w:val="22"/>
        </w:rPr>
        <w:t xml:space="preserve">It is critical that the </w:t>
      </w:r>
      <w:r w:rsidR="009B5A9D">
        <w:rPr>
          <w:rFonts w:asciiTheme="minorHAnsi" w:hAnsiTheme="minorHAnsi" w:cs="Arial"/>
          <w:bCs/>
          <w:iCs/>
          <w:szCs w:val="22"/>
        </w:rPr>
        <w:t>S</w:t>
      </w:r>
      <w:r w:rsidRPr="00881A76">
        <w:rPr>
          <w:rFonts w:asciiTheme="minorHAnsi" w:hAnsiTheme="minorHAnsi" w:cs="Arial"/>
          <w:bCs/>
          <w:iCs/>
          <w:szCs w:val="22"/>
        </w:rPr>
        <w:t xml:space="preserve">tate attract and retain high quality younger employees to its workforce.  With national trends showing </w:t>
      </w:r>
      <w:r w:rsidRPr="00881A76">
        <w:rPr>
          <w:rFonts w:asciiTheme="minorHAnsi" w:hAnsiTheme="minorHAnsi" w:cs="Arial"/>
          <w:bCs/>
          <w:iCs/>
          <w:color w:val="000000" w:themeColor="text1"/>
          <w:szCs w:val="22"/>
        </w:rPr>
        <w:t xml:space="preserve">a wave of retirements about to occur, younger employees will be more sought after in </w:t>
      </w:r>
      <w:r w:rsidR="00E37DAF" w:rsidRPr="00881A76">
        <w:rPr>
          <w:rFonts w:asciiTheme="minorHAnsi" w:hAnsiTheme="minorHAnsi" w:cs="Arial"/>
          <w:bCs/>
          <w:iCs/>
          <w:color w:val="000000" w:themeColor="text1"/>
          <w:szCs w:val="22"/>
        </w:rPr>
        <w:t>coming years than ever before.</w:t>
      </w:r>
      <w:r w:rsidR="00614539" w:rsidRPr="00881A76">
        <w:rPr>
          <w:rFonts w:asciiTheme="minorHAnsi" w:hAnsiTheme="minorHAnsi" w:cs="Arial"/>
          <w:bCs/>
          <w:iCs/>
          <w:color w:val="000000" w:themeColor="text1"/>
          <w:szCs w:val="22"/>
        </w:rPr>
        <w:t xml:space="preserve">  </w:t>
      </w:r>
      <w:r w:rsidR="00AF63AA" w:rsidRPr="00881A76">
        <w:rPr>
          <w:rFonts w:asciiTheme="minorHAnsi" w:hAnsiTheme="minorHAnsi" w:cs="Arial"/>
          <w:bCs/>
          <w:iCs/>
          <w:color w:val="000000" w:themeColor="text1"/>
          <w:szCs w:val="22"/>
        </w:rPr>
        <w:t xml:space="preserve">The </w:t>
      </w:r>
      <w:r w:rsidR="009B5A9D">
        <w:rPr>
          <w:rFonts w:asciiTheme="minorHAnsi" w:hAnsiTheme="minorHAnsi" w:cs="Arial"/>
          <w:bCs/>
          <w:iCs/>
          <w:color w:val="000000" w:themeColor="text1"/>
          <w:szCs w:val="22"/>
        </w:rPr>
        <w:t>S</w:t>
      </w:r>
      <w:r w:rsidR="00AF63AA" w:rsidRPr="00881A76">
        <w:rPr>
          <w:rFonts w:asciiTheme="minorHAnsi" w:hAnsiTheme="minorHAnsi" w:cs="Arial"/>
          <w:bCs/>
          <w:iCs/>
          <w:color w:val="000000" w:themeColor="text1"/>
          <w:szCs w:val="22"/>
        </w:rPr>
        <w:t xml:space="preserve">tate has shown steady improvement in recruiting from this demographic over the past five years, with </w:t>
      </w:r>
      <w:r w:rsidR="0076458E" w:rsidRPr="00881A76">
        <w:rPr>
          <w:rFonts w:asciiTheme="minorHAnsi" w:hAnsiTheme="minorHAnsi" w:cs="Arial"/>
          <w:bCs/>
          <w:iCs/>
          <w:color w:val="000000" w:themeColor="text1"/>
          <w:szCs w:val="22"/>
        </w:rPr>
        <w:t>25</w:t>
      </w:r>
      <w:r w:rsidR="000654D7" w:rsidRPr="00881A76">
        <w:rPr>
          <w:rFonts w:asciiTheme="minorHAnsi" w:hAnsiTheme="minorHAnsi" w:cs="Arial"/>
          <w:bCs/>
          <w:iCs/>
          <w:color w:val="000000" w:themeColor="text1"/>
          <w:szCs w:val="22"/>
        </w:rPr>
        <w:t xml:space="preserve">.7% of </w:t>
      </w:r>
      <w:r w:rsidR="0076458E" w:rsidRPr="00881A76">
        <w:rPr>
          <w:rFonts w:asciiTheme="minorHAnsi" w:hAnsiTheme="minorHAnsi" w:cs="Arial"/>
          <w:bCs/>
          <w:iCs/>
          <w:color w:val="000000" w:themeColor="text1"/>
          <w:szCs w:val="22"/>
        </w:rPr>
        <w:t xml:space="preserve"> total </w:t>
      </w:r>
      <w:r w:rsidR="000654D7" w:rsidRPr="00881A76">
        <w:rPr>
          <w:rFonts w:asciiTheme="minorHAnsi" w:hAnsiTheme="minorHAnsi" w:cs="Arial"/>
          <w:bCs/>
          <w:iCs/>
          <w:color w:val="000000" w:themeColor="text1"/>
          <w:szCs w:val="22"/>
        </w:rPr>
        <w:t>new hires</w:t>
      </w:r>
      <w:r w:rsidR="0076458E" w:rsidRPr="00881A76">
        <w:rPr>
          <w:rFonts w:asciiTheme="minorHAnsi" w:hAnsiTheme="minorHAnsi" w:cs="Arial"/>
          <w:bCs/>
          <w:iCs/>
          <w:color w:val="000000" w:themeColor="text1"/>
          <w:szCs w:val="22"/>
        </w:rPr>
        <w:t xml:space="preserve"> coming from this group in</w:t>
      </w:r>
      <w:r w:rsidR="000654D7" w:rsidRPr="00881A76">
        <w:rPr>
          <w:rFonts w:asciiTheme="minorHAnsi" w:hAnsiTheme="minorHAnsi" w:cs="Arial"/>
          <w:bCs/>
          <w:iCs/>
          <w:color w:val="000000" w:themeColor="text1"/>
          <w:szCs w:val="22"/>
        </w:rPr>
        <w:t xml:space="preserve"> in FY 201</w:t>
      </w:r>
      <w:r w:rsidR="0076458E" w:rsidRPr="00881A76">
        <w:rPr>
          <w:rFonts w:asciiTheme="minorHAnsi" w:hAnsiTheme="minorHAnsi" w:cs="Arial"/>
          <w:bCs/>
          <w:iCs/>
          <w:color w:val="000000" w:themeColor="text1"/>
          <w:szCs w:val="22"/>
        </w:rPr>
        <w:t>6</w:t>
      </w:r>
      <w:r w:rsidR="00AF63AA" w:rsidRPr="00881A76">
        <w:rPr>
          <w:rFonts w:asciiTheme="minorHAnsi" w:hAnsiTheme="minorHAnsi" w:cs="Arial"/>
          <w:bCs/>
          <w:iCs/>
          <w:color w:val="000000" w:themeColor="text1"/>
          <w:szCs w:val="22"/>
        </w:rPr>
        <w:t>-201</w:t>
      </w:r>
      <w:r w:rsidR="0076458E" w:rsidRPr="00881A76">
        <w:rPr>
          <w:rFonts w:asciiTheme="minorHAnsi" w:hAnsiTheme="minorHAnsi" w:cs="Arial"/>
          <w:bCs/>
          <w:iCs/>
          <w:color w:val="000000" w:themeColor="text1"/>
          <w:szCs w:val="22"/>
        </w:rPr>
        <w:t>7</w:t>
      </w:r>
      <w:r w:rsidR="00AF63AA" w:rsidRPr="00881A76">
        <w:rPr>
          <w:rFonts w:asciiTheme="minorHAnsi" w:hAnsiTheme="minorHAnsi" w:cs="Arial"/>
          <w:bCs/>
          <w:iCs/>
          <w:color w:val="000000" w:themeColor="text1"/>
          <w:szCs w:val="22"/>
        </w:rPr>
        <w:t xml:space="preserve">. </w:t>
      </w:r>
      <w:r w:rsidR="00614539" w:rsidRPr="00881A76">
        <w:rPr>
          <w:rFonts w:asciiTheme="minorHAnsi" w:hAnsiTheme="minorHAnsi" w:cs="Arial"/>
          <w:bCs/>
          <w:iCs/>
          <w:color w:val="000000" w:themeColor="text1"/>
          <w:szCs w:val="22"/>
        </w:rPr>
        <w:t>See analysis of turnover</w:t>
      </w:r>
      <w:r w:rsidR="00AF63AA" w:rsidRPr="00881A76">
        <w:rPr>
          <w:rFonts w:asciiTheme="minorHAnsi" w:hAnsiTheme="minorHAnsi" w:cs="Arial"/>
          <w:bCs/>
          <w:iCs/>
          <w:color w:val="000000" w:themeColor="text1"/>
          <w:szCs w:val="22"/>
        </w:rPr>
        <w:t xml:space="preserve"> </w:t>
      </w:r>
      <w:r w:rsidR="00AF63AA" w:rsidRPr="00881A76">
        <w:rPr>
          <w:rFonts w:asciiTheme="minorHAnsi" w:hAnsiTheme="minorHAnsi" w:cs="Arial"/>
          <w:bCs/>
          <w:iCs/>
          <w:szCs w:val="22"/>
        </w:rPr>
        <w:t>and hiring</w:t>
      </w:r>
      <w:r w:rsidR="00614539" w:rsidRPr="00881A76">
        <w:rPr>
          <w:rFonts w:asciiTheme="minorHAnsi" w:hAnsiTheme="minorHAnsi" w:cs="Arial"/>
          <w:bCs/>
          <w:iCs/>
          <w:szCs w:val="22"/>
        </w:rPr>
        <w:t xml:space="preserve"> among 18-</w:t>
      </w:r>
      <w:r w:rsidR="00D521F0" w:rsidRPr="00881A76">
        <w:rPr>
          <w:rFonts w:asciiTheme="minorHAnsi" w:hAnsiTheme="minorHAnsi" w:cs="Arial"/>
          <w:bCs/>
          <w:iCs/>
          <w:szCs w:val="22"/>
        </w:rPr>
        <w:t>25</w:t>
      </w:r>
      <w:r w:rsidR="009F5F1C">
        <w:rPr>
          <w:rFonts w:asciiTheme="minorHAnsi" w:hAnsiTheme="minorHAnsi" w:cs="Arial"/>
          <w:bCs/>
          <w:iCs/>
          <w:szCs w:val="22"/>
        </w:rPr>
        <w:t>-</w:t>
      </w:r>
      <w:r w:rsidR="00D521F0" w:rsidRPr="00881A76">
        <w:rPr>
          <w:rFonts w:asciiTheme="minorHAnsi" w:hAnsiTheme="minorHAnsi" w:cs="Arial"/>
          <w:bCs/>
          <w:iCs/>
          <w:szCs w:val="22"/>
        </w:rPr>
        <w:t>year</w:t>
      </w:r>
      <w:r w:rsidR="009F5F1C">
        <w:rPr>
          <w:rFonts w:asciiTheme="minorHAnsi" w:hAnsiTheme="minorHAnsi" w:cs="Arial"/>
          <w:bCs/>
          <w:iCs/>
          <w:szCs w:val="22"/>
        </w:rPr>
        <w:t>-</w:t>
      </w:r>
      <w:r w:rsidR="00D521F0" w:rsidRPr="00881A76">
        <w:rPr>
          <w:rFonts w:asciiTheme="minorHAnsi" w:hAnsiTheme="minorHAnsi" w:cs="Arial"/>
          <w:bCs/>
          <w:iCs/>
          <w:szCs w:val="22"/>
        </w:rPr>
        <w:t>old employees in the following section</w:t>
      </w:r>
      <w:r w:rsidR="00614539" w:rsidRPr="00881A76">
        <w:rPr>
          <w:rFonts w:asciiTheme="minorHAnsi" w:hAnsiTheme="minorHAnsi" w:cs="Arial"/>
          <w:bCs/>
          <w:iCs/>
          <w:szCs w:val="22"/>
        </w:rPr>
        <w:t>.</w:t>
      </w:r>
    </w:p>
    <w:p w14:paraId="70DD8F87" w14:textId="77777777" w:rsidR="006B752F" w:rsidRPr="000748F2" w:rsidRDefault="006B752F" w:rsidP="009B5A9D">
      <w:pPr>
        <w:jc w:val="both"/>
        <w:rPr>
          <w:rFonts w:asciiTheme="minorHAnsi" w:hAnsiTheme="minorHAnsi" w:cs="Arial"/>
          <w:bCs/>
          <w:iCs/>
          <w:szCs w:val="22"/>
        </w:rPr>
      </w:pPr>
    </w:p>
    <w:p w14:paraId="7ED81E95" w14:textId="77777777" w:rsidR="006B752F" w:rsidRDefault="006B752F" w:rsidP="009B5A9D">
      <w:pPr>
        <w:jc w:val="both"/>
        <w:rPr>
          <w:rFonts w:asciiTheme="minorHAnsi" w:hAnsiTheme="minorHAnsi" w:cs="Arial"/>
          <w:bCs/>
          <w:szCs w:val="22"/>
        </w:rPr>
      </w:pPr>
      <w:r w:rsidRPr="007251AA">
        <w:rPr>
          <w:rFonts w:asciiTheme="minorHAnsi" w:hAnsiTheme="minorHAnsi" w:cs="Arial"/>
          <w:bCs/>
          <w:iCs/>
          <w:szCs w:val="22"/>
        </w:rPr>
        <w:t>One way to address this critical issue is through establishment and maintenance of an intern and co-operative education program</w:t>
      </w:r>
      <w:r w:rsidRPr="00881A76">
        <w:rPr>
          <w:rFonts w:asciiTheme="minorHAnsi" w:hAnsiTheme="minorHAnsi" w:cs="Arial"/>
          <w:bCs/>
          <w:iCs/>
          <w:szCs w:val="22"/>
        </w:rPr>
        <w:t xml:space="preserve">. The Office of State </w:t>
      </w:r>
      <w:r w:rsidR="001D0567" w:rsidRPr="00881A76">
        <w:rPr>
          <w:rFonts w:asciiTheme="minorHAnsi" w:hAnsiTheme="minorHAnsi" w:cs="Arial"/>
          <w:bCs/>
          <w:iCs/>
          <w:szCs w:val="22"/>
        </w:rPr>
        <w:t>Human Resources</w:t>
      </w:r>
      <w:r w:rsidRPr="00881A76">
        <w:rPr>
          <w:rFonts w:asciiTheme="minorHAnsi" w:hAnsiTheme="minorHAnsi" w:cs="Arial"/>
          <w:bCs/>
          <w:iCs/>
          <w:szCs w:val="22"/>
        </w:rPr>
        <w:t xml:space="preserve"> </w:t>
      </w:r>
      <w:r w:rsidR="00881A76" w:rsidRPr="00881A76">
        <w:rPr>
          <w:rFonts w:asciiTheme="minorHAnsi" w:hAnsiTheme="minorHAnsi" w:cs="Arial"/>
          <w:bCs/>
          <w:iCs/>
          <w:szCs w:val="22"/>
        </w:rPr>
        <w:t>and the State agencies are working to support the NC Job Ready Initiative</w:t>
      </w:r>
      <w:r w:rsidRPr="00881A76">
        <w:rPr>
          <w:rFonts w:asciiTheme="minorHAnsi" w:hAnsiTheme="minorHAnsi" w:cs="Arial"/>
          <w:bCs/>
          <w:szCs w:val="22"/>
        </w:rPr>
        <w:t>.</w:t>
      </w:r>
    </w:p>
    <w:p w14:paraId="441A33BD" w14:textId="77777777" w:rsidR="0080083C" w:rsidRDefault="0080083C" w:rsidP="009B5A9D">
      <w:pPr>
        <w:jc w:val="both"/>
        <w:rPr>
          <w:rFonts w:asciiTheme="minorHAnsi" w:hAnsiTheme="minorHAnsi" w:cs="Arial"/>
          <w:bCs/>
          <w:szCs w:val="22"/>
        </w:rPr>
      </w:pPr>
    </w:p>
    <w:p w14:paraId="3C3FAC02" w14:textId="77777777" w:rsidR="0080083C" w:rsidRDefault="0080083C" w:rsidP="009B5A9D">
      <w:pPr>
        <w:jc w:val="both"/>
        <w:rPr>
          <w:rFonts w:asciiTheme="minorHAnsi" w:hAnsiTheme="minorHAnsi" w:cs="Arial"/>
          <w:bCs/>
          <w:szCs w:val="22"/>
        </w:rPr>
      </w:pPr>
      <w:r w:rsidRPr="00585E3F">
        <w:rPr>
          <w:rFonts w:asciiTheme="minorHAnsi" w:hAnsiTheme="minorHAnsi" w:cs="Arial"/>
          <w:bCs/>
          <w:szCs w:val="22"/>
        </w:rPr>
        <w:t>OSHR has also implemented a Professional Associate program to hire inexperienced candidates with relevant degrees into entry level roles and progress them to a full classification as they gain experience.</w:t>
      </w:r>
    </w:p>
    <w:p w14:paraId="71B6941A" w14:textId="77777777" w:rsidR="00755AAD" w:rsidRPr="007251AA" w:rsidRDefault="00755AAD" w:rsidP="009B5A9D">
      <w:pPr>
        <w:rPr>
          <w:rFonts w:asciiTheme="minorHAnsi" w:hAnsiTheme="minorHAnsi" w:cs="Arial"/>
          <w:bCs/>
          <w:iCs/>
          <w:szCs w:val="22"/>
        </w:rPr>
      </w:pPr>
    </w:p>
    <w:p w14:paraId="045C9F50" w14:textId="77777777" w:rsidR="00A0277D" w:rsidRPr="00472013" w:rsidRDefault="00A0277D" w:rsidP="009B5A9D">
      <w:pPr>
        <w:jc w:val="both"/>
        <w:rPr>
          <w:rFonts w:asciiTheme="minorHAnsi" w:hAnsiTheme="minorHAnsi" w:cs="Arial"/>
          <w:b/>
          <w:bCs/>
          <w:iCs/>
          <w:szCs w:val="22"/>
        </w:rPr>
      </w:pPr>
      <w:r w:rsidRPr="00472013">
        <w:rPr>
          <w:rFonts w:asciiTheme="minorHAnsi" w:hAnsiTheme="minorHAnsi" w:cs="Arial"/>
          <w:b/>
          <w:bCs/>
          <w:iCs/>
          <w:szCs w:val="22"/>
        </w:rPr>
        <w:t>Use of Salary Adjustment Funding</w:t>
      </w:r>
    </w:p>
    <w:p w14:paraId="705868E5" w14:textId="6A6B5686" w:rsidR="00A0277D" w:rsidRPr="0038480B" w:rsidRDefault="00A0277D" w:rsidP="009B5A9D">
      <w:pPr>
        <w:jc w:val="both"/>
        <w:rPr>
          <w:rFonts w:asciiTheme="minorHAnsi" w:hAnsiTheme="minorHAnsi" w:cs="Arial"/>
          <w:color w:val="000000" w:themeColor="text1"/>
          <w:szCs w:val="22"/>
        </w:rPr>
      </w:pPr>
      <w:r w:rsidRPr="0038480B">
        <w:rPr>
          <w:rFonts w:asciiTheme="minorHAnsi" w:hAnsiTheme="minorHAnsi" w:cs="Arial"/>
          <w:szCs w:val="22"/>
        </w:rPr>
        <w:t>One tool that has helped keep salaries competitive in the past is the Salary Adjustment Fund</w:t>
      </w:r>
      <w:r w:rsidR="003C4DB6" w:rsidRPr="0038480B">
        <w:rPr>
          <w:rFonts w:asciiTheme="minorHAnsi" w:hAnsiTheme="minorHAnsi" w:cs="Arial"/>
          <w:szCs w:val="22"/>
        </w:rPr>
        <w:t xml:space="preserve"> (SAF)</w:t>
      </w:r>
      <w:r w:rsidRPr="0038480B">
        <w:rPr>
          <w:rFonts w:asciiTheme="minorHAnsi" w:hAnsiTheme="minorHAnsi" w:cs="Arial"/>
          <w:szCs w:val="22"/>
        </w:rPr>
        <w:t xml:space="preserve">.  The </w:t>
      </w:r>
      <w:r w:rsidR="003C4DB6" w:rsidRPr="0038480B">
        <w:rPr>
          <w:rFonts w:asciiTheme="minorHAnsi" w:hAnsiTheme="minorHAnsi" w:cs="Arial"/>
          <w:szCs w:val="22"/>
        </w:rPr>
        <w:t>SAF</w:t>
      </w:r>
      <w:r w:rsidRPr="0038480B">
        <w:rPr>
          <w:rFonts w:asciiTheme="minorHAnsi" w:hAnsiTheme="minorHAnsi" w:cs="Arial"/>
          <w:szCs w:val="22"/>
        </w:rPr>
        <w:t xml:space="preserve"> is used to increase salaries in </w:t>
      </w:r>
      <w:r w:rsidR="003C4DB6" w:rsidRPr="0038480B">
        <w:rPr>
          <w:rFonts w:asciiTheme="minorHAnsi" w:hAnsiTheme="minorHAnsi" w:cs="Arial"/>
          <w:szCs w:val="22"/>
        </w:rPr>
        <w:t xml:space="preserve">certain </w:t>
      </w:r>
      <w:r w:rsidRPr="0038480B">
        <w:rPr>
          <w:rFonts w:asciiTheme="minorHAnsi" w:hAnsiTheme="minorHAnsi" w:cs="Arial"/>
          <w:szCs w:val="22"/>
        </w:rPr>
        <w:t xml:space="preserve">occupational </w:t>
      </w:r>
      <w:r w:rsidR="003C4DB6" w:rsidRPr="0038480B">
        <w:rPr>
          <w:rFonts w:asciiTheme="minorHAnsi" w:hAnsiTheme="minorHAnsi" w:cs="Arial"/>
          <w:szCs w:val="22"/>
        </w:rPr>
        <w:t>groups</w:t>
      </w:r>
      <w:r w:rsidRPr="0038480B">
        <w:rPr>
          <w:rFonts w:asciiTheme="minorHAnsi" w:hAnsiTheme="minorHAnsi" w:cs="Arial"/>
          <w:szCs w:val="22"/>
        </w:rPr>
        <w:t>,</w:t>
      </w:r>
      <w:r w:rsidR="001D4CFB" w:rsidRPr="0038480B">
        <w:rPr>
          <w:rFonts w:asciiTheme="minorHAnsi" w:hAnsiTheme="minorHAnsi" w:cs="Arial"/>
          <w:szCs w:val="22"/>
        </w:rPr>
        <w:t xml:space="preserve"> such as those listed in Table 4</w:t>
      </w:r>
      <w:r w:rsidRPr="0038480B">
        <w:rPr>
          <w:rFonts w:asciiTheme="minorHAnsi" w:hAnsiTheme="minorHAnsi" w:cs="Arial"/>
          <w:szCs w:val="22"/>
        </w:rPr>
        <w:t xml:space="preserve">, where some salaries are significantly below the market and turnover is trending up.  </w:t>
      </w:r>
      <w:r w:rsidR="00A76EFA" w:rsidRPr="0038480B">
        <w:rPr>
          <w:rFonts w:asciiTheme="minorHAnsi" w:hAnsiTheme="minorHAnsi" w:cs="Arial"/>
          <w:szCs w:val="22"/>
        </w:rPr>
        <w:t>Also used in this analysis is “hard to recruit positions or locations</w:t>
      </w:r>
      <w:r w:rsidR="009B5A9D">
        <w:rPr>
          <w:rFonts w:asciiTheme="minorHAnsi" w:hAnsiTheme="minorHAnsi" w:cs="Arial"/>
          <w:szCs w:val="22"/>
        </w:rPr>
        <w:t>.”</w:t>
      </w:r>
      <w:r w:rsidR="00A76EFA" w:rsidRPr="0038480B">
        <w:rPr>
          <w:rFonts w:asciiTheme="minorHAnsi" w:hAnsiTheme="minorHAnsi" w:cs="Arial"/>
          <w:szCs w:val="22"/>
        </w:rPr>
        <w:t xml:space="preserve">  </w:t>
      </w:r>
      <w:r w:rsidRPr="0038480B">
        <w:rPr>
          <w:rFonts w:asciiTheme="minorHAnsi" w:hAnsiTheme="minorHAnsi" w:cs="Arial"/>
          <w:szCs w:val="22"/>
        </w:rPr>
        <w:t xml:space="preserve">The primary funding mechanism, transferring legislative increase funds remaining after employees receive their legislative increase, is often inadequate to address occupational areas where salaries are below the market.  </w:t>
      </w:r>
      <w:r w:rsidR="0038480B" w:rsidRPr="0038480B">
        <w:rPr>
          <w:rFonts w:asciiTheme="minorHAnsi" w:hAnsiTheme="minorHAnsi" w:cstheme="minorHAnsi"/>
          <w:szCs w:val="22"/>
        </w:rPr>
        <w:t>In 2017</w:t>
      </w:r>
      <w:r w:rsidRPr="0038480B">
        <w:rPr>
          <w:rFonts w:asciiTheme="minorHAnsi" w:hAnsiTheme="minorHAnsi" w:cstheme="minorHAnsi"/>
          <w:szCs w:val="22"/>
        </w:rPr>
        <w:t>,</w:t>
      </w:r>
      <w:r w:rsidR="0038480B" w:rsidRPr="0038480B">
        <w:rPr>
          <w:rFonts w:asciiTheme="minorHAnsi" w:hAnsiTheme="minorHAnsi" w:cstheme="minorHAnsi"/>
          <w:szCs w:val="22"/>
        </w:rPr>
        <w:t xml:space="preserve"> </w:t>
      </w:r>
      <w:r w:rsidR="0038480B" w:rsidRPr="0038480B">
        <w:rPr>
          <w:rFonts w:asciiTheme="minorHAnsi" w:hAnsiTheme="minorHAnsi" w:cstheme="minorHAnsi"/>
        </w:rPr>
        <w:t xml:space="preserve">the Salary Adjustment Fund for FY2017-18 allocated $5,000,000 for salary increases in the university system and the executive, judicial and legislative branches.  </w:t>
      </w:r>
      <w:r w:rsidR="0038480B">
        <w:rPr>
          <w:rFonts w:asciiTheme="minorHAnsi" w:hAnsiTheme="minorHAnsi" w:cs="Arial"/>
          <w:szCs w:val="22"/>
        </w:rPr>
        <w:t>N</w:t>
      </w:r>
      <w:r w:rsidRPr="0038480B">
        <w:rPr>
          <w:rFonts w:asciiTheme="minorHAnsi" w:hAnsiTheme="minorHAnsi" w:cs="Arial"/>
          <w:szCs w:val="22"/>
        </w:rPr>
        <w:t>o Salary Adjustment Fund</w:t>
      </w:r>
      <w:r w:rsidR="0038480B">
        <w:rPr>
          <w:rFonts w:asciiTheme="minorHAnsi" w:hAnsiTheme="minorHAnsi" w:cs="Arial"/>
          <w:szCs w:val="22"/>
        </w:rPr>
        <w:t>ing</w:t>
      </w:r>
      <w:r w:rsidRPr="0038480B">
        <w:rPr>
          <w:rFonts w:asciiTheme="minorHAnsi" w:hAnsiTheme="minorHAnsi" w:cs="Arial"/>
          <w:szCs w:val="22"/>
        </w:rPr>
        <w:t xml:space="preserve"> w</w:t>
      </w:r>
      <w:r w:rsidR="0038480B">
        <w:rPr>
          <w:rFonts w:asciiTheme="minorHAnsi" w:hAnsiTheme="minorHAnsi" w:cs="Arial"/>
          <w:szCs w:val="22"/>
        </w:rPr>
        <w:t>as</w:t>
      </w:r>
      <w:r w:rsidRPr="0038480B">
        <w:rPr>
          <w:rFonts w:asciiTheme="minorHAnsi" w:hAnsiTheme="minorHAnsi" w:cs="Arial"/>
          <w:szCs w:val="22"/>
        </w:rPr>
        <w:t xml:space="preserve"> allocated</w:t>
      </w:r>
      <w:r w:rsidR="0038480B">
        <w:rPr>
          <w:rFonts w:asciiTheme="minorHAnsi" w:hAnsiTheme="minorHAnsi" w:cs="Arial"/>
          <w:szCs w:val="22"/>
        </w:rPr>
        <w:t xml:space="preserve"> for FY2016-2017</w:t>
      </w:r>
      <w:r w:rsidRPr="0038480B">
        <w:rPr>
          <w:rFonts w:asciiTheme="minorHAnsi" w:hAnsiTheme="minorHAnsi" w:cs="Arial"/>
          <w:szCs w:val="22"/>
        </w:rPr>
        <w:t xml:space="preserve">.  </w:t>
      </w:r>
      <w:r w:rsidR="00C45495" w:rsidRPr="0038480B">
        <w:rPr>
          <w:rFonts w:asciiTheme="minorHAnsi" w:hAnsiTheme="minorHAnsi" w:cs="Arial"/>
          <w:color w:val="000000" w:themeColor="text1"/>
          <w:szCs w:val="22"/>
        </w:rPr>
        <w:t xml:space="preserve">Metrics such as compa-ratio </w:t>
      </w:r>
      <w:r w:rsidR="00C45495" w:rsidRPr="0038480B">
        <w:rPr>
          <w:rFonts w:asciiTheme="minorHAnsi" w:hAnsiTheme="minorHAnsi" w:cs="Arial"/>
          <w:color w:val="000000" w:themeColor="text1"/>
          <w:szCs w:val="22"/>
        </w:rPr>
        <w:lastRenderedPageBreak/>
        <w:t xml:space="preserve">(salary related to market average), turnover, vacancy rates and time-to-fill (how long it takes to fill a vacancy) </w:t>
      </w:r>
      <w:r w:rsidR="0038480B" w:rsidRPr="0038480B">
        <w:rPr>
          <w:rFonts w:asciiTheme="minorHAnsi" w:hAnsiTheme="minorHAnsi" w:cs="Arial"/>
          <w:color w:val="000000" w:themeColor="text1"/>
          <w:szCs w:val="22"/>
        </w:rPr>
        <w:t>a</w:t>
      </w:r>
      <w:r w:rsidR="00C45495" w:rsidRPr="0038480B">
        <w:rPr>
          <w:rFonts w:asciiTheme="minorHAnsi" w:hAnsiTheme="minorHAnsi" w:cs="Arial"/>
          <w:color w:val="000000" w:themeColor="text1"/>
          <w:szCs w:val="22"/>
        </w:rPr>
        <w:t>re considered when making SAF distribution recommendations.</w:t>
      </w:r>
    </w:p>
    <w:p w14:paraId="0ABD192C" w14:textId="77777777" w:rsidR="00F06C1A" w:rsidRPr="00385F67" w:rsidRDefault="00F06C1A" w:rsidP="009B5A9D">
      <w:pPr>
        <w:rPr>
          <w:rFonts w:asciiTheme="minorHAnsi" w:hAnsiTheme="minorHAnsi" w:cs="Arial"/>
          <w:szCs w:val="22"/>
          <w:highlight w:val="yellow"/>
        </w:rPr>
      </w:pPr>
    </w:p>
    <w:p w14:paraId="137B69C1" w14:textId="306A68C3" w:rsidR="00F06C1A" w:rsidRPr="0038480B" w:rsidRDefault="00F06C1A" w:rsidP="009B5A9D">
      <w:pPr>
        <w:jc w:val="both"/>
        <w:rPr>
          <w:rFonts w:asciiTheme="minorHAnsi" w:hAnsiTheme="minorHAnsi" w:cs="Arial"/>
          <w:bCs/>
          <w:szCs w:val="22"/>
        </w:rPr>
      </w:pPr>
      <w:r w:rsidRPr="0038480B">
        <w:rPr>
          <w:rFonts w:asciiTheme="minorHAnsi" w:hAnsiTheme="minorHAnsi" w:cs="Arial"/>
          <w:bCs/>
          <w:szCs w:val="22"/>
        </w:rPr>
        <w:t xml:space="preserve">In order to ensure market competitiveness, </w:t>
      </w:r>
      <w:r w:rsidR="00AA3E49">
        <w:rPr>
          <w:rFonts w:asciiTheme="minorHAnsi" w:hAnsiTheme="minorHAnsi" w:cs="Arial"/>
          <w:bCs/>
          <w:szCs w:val="22"/>
        </w:rPr>
        <w:t>S</w:t>
      </w:r>
      <w:r w:rsidRPr="0038480B">
        <w:rPr>
          <w:rFonts w:asciiTheme="minorHAnsi" w:hAnsiTheme="minorHAnsi" w:cs="Arial"/>
          <w:bCs/>
          <w:szCs w:val="22"/>
        </w:rPr>
        <w:t xml:space="preserve">tate leaders should charge the Office of State </w:t>
      </w:r>
      <w:r w:rsidR="001D0567" w:rsidRPr="0038480B">
        <w:rPr>
          <w:rFonts w:asciiTheme="minorHAnsi" w:hAnsiTheme="minorHAnsi" w:cs="Arial"/>
          <w:bCs/>
          <w:szCs w:val="22"/>
        </w:rPr>
        <w:t>Human Resources</w:t>
      </w:r>
      <w:r w:rsidRPr="0038480B">
        <w:rPr>
          <w:rFonts w:asciiTheme="minorHAnsi" w:hAnsiTheme="minorHAnsi" w:cs="Arial"/>
          <w:bCs/>
          <w:szCs w:val="22"/>
        </w:rPr>
        <w:t xml:space="preserve"> (in consultation with the Office of State Budget and Management) with establishing a process to set priorities and request funding for labor market increases and salary adjustment funds based on criticality, turnover and market position. </w:t>
      </w:r>
      <w:r w:rsidR="001D0567" w:rsidRPr="0038480B">
        <w:rPr>
          <w:rFonts w:asciiTheme="minorHAnsi" w:hAnsiTheme="minorHAnsi" w:cs="Arial"/>
          <w:bCs/>
          <w:szCs w:val="22"/>
        </w:rPr>
        <w:t>OSHR</w:t>
      </w:r>
      <w:r w:rsidRPr="0038480B">
        <w:rPr>
          <w:rFonts w:asciiTheme="minorHAnsi" w:hAnsiTheme="minorHAnsi" w:cs="Arial"/>
          <w:bCs/>
          <w:szCs w:val="22"/>
        </w:rPr>
        <w:t xml:space="preserve"> and </w:t>
      </w:r>
      <w:r w:rsidR="00AA3E49">
        <w:rPr>
          <w:rFonts w:asciiTheme="minorHAnsi" w:hAnsiTheme="minorHAnsi" w:cs="Arial"/>
          <w:bCs/>
          <w:szCs w:val="22"/>
        </w:rPr>
        <w:t>S</w:t>
      </w:r>
      <w:r w:rsidRPr="0038480B">
        <w:rPr>
          <w:rFonts w:asciiTheme="minorHAnsi" w:hAnsiTheme="minorHAnsi" w:cs="Arial"/>
          <w:bCs/>
          <w:szCs w:val="22"/>
        </w:rPr>
        <w:t>tate agencies should evaluate job-specific turnover</w:t>
      </w:r>
      <w:r w:rsidR="001D4CFB" w:rsidRPr="0038480B">
        <w:rPr>
          <w:rFonts w:asciiTheme="minorHAnsi" w:hAnsiTheme="minorHAnsi" w:cs="Arial"/>
          <w:bCs/>
          <w:szCs w:val="22"/>
        </w:rPr>
        <w:t xml:space="preserve"> </w:t>
      </w:r>
      <w:r w:rsidR="009F5F1C">
        <w:rPr>
          <w:rFonts w:asciiTheme="minorHAnsi" w:hAnsiTheme="minorHAnsi" w:cs="Arial"/>
          <w:bCs/>
          <w:szCs w:val="22"/>
        </w:rPr>
        <w:t>and</w:t>
      </w:r>
      <w:r w:rsidR="001D4CFB" w:rsidRPr="0038480B">
        <w:rPr>
          <w:rFonts w:asciiTheme="minorHAnsi" w:hAnsiTheme="minorHAnsi" w:cs="Arial"/>
          <w:bCs/>
          <w:szCs w:val="22"/>
        </w:rPr>
        <w:t xml:space="preserve"> recruitment difficulties</w:t>
      </w:r>
      <w:r w:rsidRPr="0038480B">
        <w:rPr>
          <w:rFonts w:asciiTheme="minorHAnsi" w:hAnsiTheme="minorHAnsi" w:cs="Arial"/>
          <w:bCs/>
          <w:szCs w:val="22"/>
        </w:rPr>
        <w:t xml:space="preserve"> in order to identify critical needs.</w:t>
      </w:r>
      <w:r w:rsidR="00A74913" w:rsidRPr="0038480B">
        <w:rPr>
          <w:rFonts w:asciiTheme="minorHAnsi" w:hAnsiTheme="minorHAnsi" w:cs="Arial"/>
          <w:bCs/>
          <w:szCs w:val="22"/>
        </w:rPr>
        <w:t xml:space="preserve"> </w:t>
      </w:r>
    </w:p>
    <w:p w14:paraId="0094D082" w14:textId="68C46AD5" w:rsidR="00F06C1A" w:rsidRPr="00484FD2" w:rsidRDefault="00F06C1A" w:rsidP="009B5A9D">
      <w:pPr>
        <w:rPr>
          <w:rFonts w:asciiTheme="minorHAnsi" w:hAnsiTheme="minorHAnsi" w:cstheme="minorHAnsi"/>
          <w:szCs w:val="22"/>
        </w:rPr>
      </w:pPr>
    </w:p>
    <w:p w14:paraId="680FB1F6" w14:textId="77777777" w:rsidR="00465F21" w:rsidRPr="00484FD2" w:rsidRDefault="007E530E" w:rsidP="009B5A9D">
      <w:pPr>
        <w:rPr>
          <w:rFonts w:asciiTheme="minorHAnsi" w:hAnsiTheme="minorHAnsi" w:cstheme="minorHAnsi"/>
          <w:b/>
          <w:bCs/>
          <w:iCs/>
          <w:sz w:val="24"/>
        </w:rPr>
      </w:pPr>
      <w:r w:rsidRPr="00484FD2">
        <w:rPr>
          <w:rFonts w:asciiTheme="minorHAnsi" w:hAnsiTheme="minorHAnsi" w:cstheme="minorHAnsi"/>
          <w:b/>
          <w:bCs/>
          <w:iCs/>
          <w:sz w:val="24"/>
        </w:rPr>
        <w:t>A</w:t>
      </w:r>
      <w:r w:rsidR="00465F21" w:rsidRPr="00484FD2">
        <w:rPr>
          <w:rFonts w:asciiTheme="minorHAnsi" w:hAnsiTheme="minorHAnsi" w:cstheme="minorHAnsi"/>
          <w:b/>
          <w:bCs/>
          <w:iCs/>
          <w:sz w:val="24"/>
        </w:rPr>
        <w:t xml:space="preserve">dditional Analysis </w:t>
      </w:r>
    </w:p>
    <w:p w14:paraId="3D2B270D" w14:textId="77777777" w:rsidR="00465F21" w:rsidRPr="00484FD2" w:rsidRDefault="00465F21" w:rsidP="009B5A9D">
      <w:pPr>
        <w:jc w:val="both"/>
        <w:rPr>
          <w:rFonts w:asciiTheme="minorHAnsi" w:hAnsiTheme="minorHAnsi" w:cstheme="minorHAnsi"/>
          <w:iCs/>
          <w:szCs w:val="22"/>
        </w:rPr>
      </w:pPr>
    </w:p>
    <w:p w14:paraId="3B85E641" w14:textId="77777777" w:rsidR="00402C39" w:rsidRDefault="00465F21" w:rsidP="009B5A9D">
      <w:pPr>
        <w:rPr>
          <w:rFonts w:asciiTheme="minorHAnsi" w:hAnsiTheme="minorHAnsi" w:cs="Arial"/>
          <w:b/>
          <w:bCs/>
          <w:szCs w:val="22"/>
        </w:rPr>
      </w:pPr>
      <w:r w:rsidRPr="00402C39">
        <w:rPr>
          <w:rFonts w:asciiTheme="minorHAnsi" w:hAnsiTheme="minorHAnsi" w:cs="Arial"/>
          <w:b/>
          <w:bCs/>
          <w:szCs w:val="22"/>
        </w:rPr>
        <w:t>Turnover Rates and Cost</w:t>
      </w:r>
    </w:p>
    <w:p w14:paraId="1ADF1EDC" w14:textId="1B01D58E" w:rsidR="00465F21" w:rsidRDefault="00465F21" w:rsidP="009B5A9D">
      <w:pPr>
        <w:jc w:val="both"/>
        <w:rPr>
          <w:rFonts w:asciiTheme="minorHAnsi" w:hAnsiTheme="minorHAnsi" w:cs="Arial"/>
          <w:iCs/>
          <w:szCs w:val="22"/>
        </w:rPr>
      </w:pPr>
      <w:r w:rsidRPr="00402C39">
        <w:rPr>
          <w:rFonts w:asciiTheme="minorHAnsi" w:hAnsiTheme="minorHAnsi" w:cs="Arial"/>
          <w:szCs w:val="22"/>
        </w:rPr>
        <w:t>Turnover rates vary among industries, organizations, geographic locations, departments, occupations, and by employee characteristics such as age, education, and organizational tenure. For example, younger, newer, unskilled, and blue-collar employees tend to have higher turnover rates than their contrasting groups. For this reason, turnover should be calculated for various categories of interest, as well as for the organization as a whole. For example, an organization may not have a severe organization-wide turnover rate, but may have a severe departmental turnover rate or a high professional employee turnover rate, which requires a</w:t>
      </w:r>
      <w:r w:rsidR="00122B8E">
        <w:rPr>
          <w:rFonts w:asciiTheme="minorHAnsi" w:hAnsiTheme="minorHAnsi" w:cs="Arial"/>
          <w:szCs w:val="22"/>
        </w:rPr>
        <w:t>ppropriate action to alleviate (</w:t>
      </w:r>
      <w:r w:rsidRPr="00402C39">
        <w:rPr>
          <w:rFonts w:asciiTheme="minorHAnsi" w:hAnsiTheme="minorHAnsi" w:cs="Arial"/>
          <w:iCs/>
          <w:szCs w:val="22"/>
        </w:rPr>
        <w:t>Source: Society for H</w:t>
      </w:r>
      <w:r w:rsidR="00122B8E">
        <w:rPr>
          <w:rFonts w:asciiTheme="minorHAnsi" w:hAnsiTheme="minorHAnsi" w:cs="Arial"/>
          <w:iCs/>
          <w:szCs w:val="22"/>
        </w:rPr>
        <w:t>uman Resources Management).</w:t>
      </w:r>
    </w:p>
    <w:p w14:paraId="7CAFB031" w14:textId="77777777" w:rsidR="001D4CFB" w:rsidRPr="00402C39" w:rsidRDefault="001D4CFB" w:rsidP="009B5A9D">
      <w:pPr>
        <w:rPr>
          <w:rFonts w:asciiTheme="minorHAnsi" w:hAnsiTheme="minorHAnsi" w:cs="Arial"/>
          <w:szCs w:val="22"/>
        </w:rPr>
      </w:pPr>
    </w:p>
    <w:p w14:paraId="7B073292" w14:textId="77777777" w:rsidR="007D4F12" w:rsidRPr="0038480B" w:rsidRDefault="00465F21" w:rsidP="009B5A9D">
      <w:pPr>
        <w:jc w:val="both"/>
        <w:rPr>
          <w:rFonts w:asciiTheme="minorHAnsi" w:hAnsiTheme="minorHAnsi" w:cs="Arial"/>
          <w:iCs/>
          <w:color w:val="000000" w:themeColor="text1"/>
          <w:szCs w:val="22"/>
        </w:rPr>
      </w:pPr>
      <w:r w:rsidRPr="00402C39">
        <w:rPr>
          <w:rFonts w:asciiTheme="minorHAnsi" w:hAnsiTheme="minorHAnsi" w:cs="Arial"/>
          <w:iCs/>
          <w:szCs w:val="22"/>
        </w:rPr>
        <w:t>The cost to an organization for each position turnover has been estimated by experts at anywhere from 50% to 250% of the depa</w:t>
      </w:r>
      <w:r w:rsidRPr="00402C39">
        <w:rPr>
          <w:rFonts w:asciiTheme="minorHAnsi" w:hAnsiTheme="minorHAnsi" w:cs="Arial"/>
          <w:b/>
          <w:iCs/>
          <w:szCs w:val="22"/>
        </w:rPr>
        <w:t>r</w:t>
      </w:r>
      <w:r w:rsidRPr="00402C39">
        <w:rPr>
          <w:rFonts w:asciiTheme="minorHAnsi" w:hAnsiTheme="minorHAnsi" w:cs="Arial"/>
          <w:iCs/>
          <w:szCs w:val="22"/>
        </w:rPr>
        <w:t xml:space="preserve">ting employee’s annual salary depending on the type of position being filled and the performance level of the departing employee. </w:t>
      </w:r>
      <w:r w:rsidR="00803677" w:rsidRPr="00402C39">
        <w:rPr>
          <w:rFonts w:asciiTheme="minorHAnsi" w:hAnsiTheme="minorHAnsi" w:cs="Arial"/>
          <w:iCs/>
          <w:szCs w:val="22"/>
        </w:rPr>
        <w:t xml:space="preserve">The Human Capital Institute </w:t>
      </w:r>
      <w:r w:rsidR="00122B8E">
        <w:rPr>
          <w:rFonts w:asciiTheme="minorHAnsi" w:hAnsiTheme="minorHAnsi" w:cs="Arial"/>
          <w:iCs/>
          <w:szCs w:val="22"/>
        </w:rPr>
        <w:t xml:space="preserve">(HCI) </w:t>
      </w:r>
      <w:r w:rsidR="00803677" w:rsidRPr="00402C39">
        <w:rPr>
          <w:rFonts w:asciiTheme="minorHAnsi" w:hAnsiTheme="minorHAnsi" w:cs="Arial"/>
          <w:iCs/>
          <w:szCs w:val="22"/>
        </w:rPr>
        <w:t xml:space="preserve">places the </w:t>
      </w:r>
      <w:r w:rsidR="007D4F12" w:rsidRPr="00402C39">
        <w:rPr>
          <w:rFonts w:asciiTheme="minorHAnsi" w:hAnsiTheme="minorHAnsi" w:cs="Arial"/>
          <w:iCs/>
          <w:szCs w:val="22"/>
        </w:rPr>
        <w:t xml:space="preserve">average </w:t>
      </w:r>
      <w:r w:rsidR="00803677" w:rsidRPr="00402C39">
        <w:rPr>
          <w:rFonts w:asciiTheme="minorHAnsi" w:hAnsiTheme="minorHAnsi" w:cs="Arial"/>
          <w:iCs/>
          <w:szCs w:val="22"/>
        </w:rPr>
        <w:t>value of turnover at 150%</w:t>
      </w:r>
      <w:r w:rsidR="006B752F" w:rsidRPr="00402C39">
        <w:rPr>
          <w:rFonts w:asciiTheme="minorHAnsi" w:hAnsiTheme="minorHAnsi" w:cs="Arial"/>
          <w:iCs/>
          <w:szCs w:val="22"/>
        </w:rPr>
        <w:t xml:space="preserve">. Turnover of top </w:t>
      </w:r>
      <w:r w:rsidR="007D4F12" w:rsidRPr="00402C39">
        <w:rPr>
          <w:rFonts w:asciiTheme="minorHAnsi" w:hAnsiTheme="minorHAnsi" w:cs="Arial"/>
          <w:iCs/>
          <w:szCs w:val="22"/>
        </w:rPr>
        <w:t>performers may be valued at an exponentially higher rate</w:t>
      </w:r>
      <w:r w:rsidR="006B752F" w:rsidRPr="00402C39">
        <w:rPr>
          <w:rFonts w:asciiTheme="minorHAnsi" w:hAnsiTheme="minorHAnsi" w:cs="Arial"/>
          <w:iCs/>
          <w:szCs w:val="22"/>
        </w:rPr>
        <w:t xml:space="preserve">. </w:t>
      </w:r>
      <w:r w:rsidRPr="00402C39">
        <w:rPr>
          <w:rFonts w:asciiTheme="minorHAnsi" w:hAnsiTheme="minorHAnsi" w:cs="Arial"/>
          <w:iCs/>
          <w:szCs w:val="22"/>
        </w:rPr>
        <w:t xml:space="preserve">There are many factors included in estimating the cost of turnover.  Some obvious costs </w:t>
      </w:r>
      <w:r w:rsidR="003A34A3" w:rsidRPr="00402C39">
        <w:rPr>
          <w:rFonts w:asciiTheme="minorHAnsi" w:hAnsiTheme="minorHAnsi" w:cs="Arial"/>
          <w:iCs/>
          <w:szCs w:val="22"/>
        </w:rPr>
        <w:t xml:space="preserve">include advertising the vacancy; </w:t>
      </w:r>
      <w:r w:rsidRPr="00402C39">
        <w:rPr>
          <w:rFonts w:asciiTheme="minorHAnsi" w:hAnsiTheme="minorHAnsi" w:cs="Arial"/>
          <w:iCs/>
          <w:szCs w:val="22"/>
        </w:rPr>
        <w:t>salaries</w:t>
      </w:r>
      <w:r w:rsidR="003A34A3" w:rsidRPr="00402C39">
        <w:rPr>
          <w:rFonts w:asciiTheme="minorHAnsi" w:hAnsiTheme="minorHAnsi" w:cs="Arial"/>
          <w:iCs/>
          <w:szCs w:val="22"/>
        </w:rPr>
        <w:t xml:space="preserve"> of employment screening panels; and managers’</w:t>
      </w:r>
      <w:r w:rsidRPr="00402C39">
        <w:rPr>
          <w:rFonts w:asciiTheme="minorHAnsi" w:hAnsiTheme="minorHAnsi" w:cs="Arial"/>
          <w:iCs/>
          <w:szCs w:val="22"/>
        </w:rPr>
        <w:t xml:space="preserve"> time spent interviewing candidates.  Other costs are not so easily quantified such as lost productivity</w:t>
      </w:r>
      <w:r w:rsidR="007D4F12" w:rsidRPr="00402C39">
        <w:rPr>
          <w:rFonts w:asciiTheme="minorHAnsi" w:hAnsiTheme="minorHAnsi" w:cs="Arial"/>
          <w:iCs/>
          <w:szCs w:val="22"/>
        </w:rPr>
        <w:t xml:space="preserve"> – particularly during the time that a position is left vacant during recruitment --</w:t>
      </w:r>
      <w:r w:rsidRPr="00402C39">
        <w:rPr>
          <w:rFonts w:asciiTheme="minorHAnsi" w:hAnsiTheme="minorHAnsi" w:cs="Arial"/>
          <w:iCs/>
          <w:szCs w:val="22"/>
        </w:rPr>
        <w:t xml:space="preserve"> or lost knowledge from the organization.  Other costs include required </w:t>
      </w:r>
      <w:r w:rsidR="007D4F12" w:rsidRPr="00402C39">
        <w:rPr>
          <w:rFonts w:asciiTheme="minorHAnsi" w:hAnsiTheme="minorHAnsi" w:cs="Arial"/>
          <w:iCs/>
          <w:szCs w:val="22"/>
        </w:rPr>
        <w:t xml:space="preserve">onboarding, </w:t>
      </w:r>
      <w:r w:rsidRPr="00402C39">
        <w:rPr>
          <w:rFonts w:asciiTheme="minorHAnsi" w:hAnsiTheme="minorHAnsi" w:cs="Arial"/>
          <w:iCs/>
          <w:szCs w:val="22"/>
        </w:rPr>
        <w:t>training</w:t>
      </w:r>
      <w:r w:rsidR="007D4F12" w:rsidRPr="00402C39">
        <w:rPr>
          <w:rFonts w:asciiTheme="minorHAnsi" w:hAnsiTheme="minorHAnsi" w:cs="Arial"/>
          <w:iCs/>
          <w:szCs w:val="22"/>
        </w:rPr>
        <w:t xml:space="preserve">, </w:t>
      </w:r>
      <w:r w:rsidRPr="00402C39">
        <w:rPr>
          <w:rFonts w:asciiTheme="minorHAnsi" w:hAnsiTheme="minorHAnsi" w:cs="Arial"/>
          <w:iCs/>
          <w:szCs w:val="22"/>
        </w:rPr>
        <w:t>and higher rates of mistakes made by new hires</w:t>
      </w:r>
      <w:r w:rsidR="006B752F" w:rsidRPr="00402C39">
        <w:rPr>
          <w:rFonts w:asciiTheme="minorHAnsi" w:hAnsiTheme="minorHAnsi" w:cs="Arial"/>
          <w:iCs/>
          <w:szCs w:val="22"/>
        </w:rPr>
        <w:t xml:space="preserve">. </w:t>
      </w:r>
      <w:r w:rsidR="007D4F12" w:rsidRPr="00402C39">
        <w:rPr>
          <w:rFonts w:asciiTheme="minorHAnsi" w:hAnsiTheme="minorHAnsi" w:cs="Arial"/>
          <w:iCs/>
          <w:szCs w:val="22"/>
        </w:rPr>
        <w:t>The high cost of turnover presents a clear argument for agencies and universities to engage in rigorous wo</w:t>
      </w:r>
      <w:r w:rsidR="00C45495">
        <w:rPr>
          <w:rFonts w:asciiTheme="minorHAnsi" w:hAnsiTheme="minorHAnsi" w:cs="Arial"/>
          <w:iCs/>
          <w:szCs w:val="22"/>
        </w:rPr>
        <w:t>rkforce and succession</w:t>
      </w:r>
      <w:r w:rsidR="002B4667">
        <w:rPr>
          <w:rFonts w:asciiTheme="minorHAnsi" w:hAnsiTheme="minorHAnsi" w:cs="Arial"/>
          <w:iCs/>
          <w:szCs w:val="22"/>
        </w:rPr>
        <w:t xml:space="preserve"> </w:t>
      </w:r>
      <w:r w:rsidR="002B4667" w:rsidRPr="0038480B">
        <w:rPr>
          <w:rFonts w:asciiTheme="minorHAnsi" w:hAnsiTheme="minorHAnsi" w:cs="Arial"/>
          <w:iCs/>
          <w:color w:val="000000" w:themeColor="text1"/>
          <w:szCs w:val="22"/>
        </w:rPr>
        <w:t xml:space="preserve">planning. Market-based pay for critical business areas </w:t>
      </w:r>
      <w:r w:rsidR="0038480B" w:rsidRPr="0038480B">
        <w:rPr>
          <w:rFonts w:asciiTheme="minorHAnsi" w:hAnsiTheme="minorHAnsi" w:cs="Arial"/>
          <w:iCs/>
          <w:color w:val="000000" w:themeColor="text1"/>
          <w:szCs w:val="22"/>
        </w:rPr>
        <w:t xml:space="preserve">is encouraged </w:t>
      </w:r>
      <w:r w:rsidR="002B4667" w:rsidRPr="0038480B">
        <w:rPr>
          <w:rFonts w:asciiTheme="minorHAnsi" w:hAnsiTheme="minorHAnsi" w:cs="Arial"/>
          <w:iCs/>
          <w:color w:val="000000" w:themeColor="text1"/>
          <w:szCs w:val="22"/>
        </w:rPr>
        <w:t xml:space="preserve">in order to </w:t>
      </w:r>
      <w:r w:rsidR="0038480B" w:rsidRPr="0038480B">
        <w:rPr>
          <w:rFonts w:asciiTheme="minorHAnsi" w:hAnsiTheme="minorHAnsi" w:cs="Arial"/>
          <w:iCs/>
          <w:color w:val="000000" w:themeColor="text1"/>
          <w:szCs w:val="22"/>
        </w:rPr>
        <w:t>support</w:t>
      </w:r>
      <w:r w:rsidR="002B4667" w:rsidRPr="0038480B">
        <w:rPr>
          <w:rFonts w:asciiTheme="minorHAnsi" w:hAnsiTheme="minorHAnsi" w:cs="Arial"/>
          <w:iCs/>
          <w:color w:val="000000" w:themeColor="text1"/>
          <w:szCs w:val="22"/>
        </w:rPr>
        <w:t xml:space="preserve"> employee retention.</w:t>
      </w:r>
    </w:p>
    <w:p w14:paraId="5E2C0519" w14:textId="77777777" w:rsidR="00465F21" w:rsidRPr="00402C39" w:rsidRDefault="00465F21" w:rsidP="009B5A9D">
      <w:pPr>
        <w:rPr>
          <w:rFonts w:asciiTheme="minorHAnsi" w:hAnsiTheme="minorHAnsi" w:cs="Arial"/>
          <w:iCs/>
          <w:szCs w:val="22"/>
        </w:rPr>
      </w:pPr>
    </w:p>
    <w:p w14:paraId="59CC65E0" w14:textId="792D44AC" w:rsidR="00465F21" w:rsidRPr="00402C39" w:rsidRDefault="00465F21" w:rsidP="009B5A9D">
      <w:pPr>
        <w:jc w:val="both"/>
        <w:rPr>
          <w:rFonts w:asciiTheme="minorHAnsi" w:hAnsiTheme="minorHAnsi" w:cs="Arial"/>
          <w:iCs/>
          <w:szCs w:val="22"/>
        </w:rPr>
      </w:pPr>
      <w:r w:rsidRPr="00402C39">
        <w:rPr>
          <w:rFonts w:asciiTheme="minorHAnsi" w:hAnsiTheme="minorHAnsi" w:cs="Arial"/>
          <w:iCs/>
          <w:szCs w:val="22"/>
        </w:rPr>
        <w:t xml:space="preserve">Turnover is a measure of employee separations from an agency or university most often expressed as turnover rate.  Two types of turnover are tracked: Total </w:t>
      </w:r>
      <w:r w:rsidR="005F6BC7">
        <w:rPr>
          <w:rFonts w:asciiTheme="minorHAnsi" w:hAnsiTheme="minorHAnsi" w:cs="Arial"/>
          <w:iCs/>
          <w:szCs w:val="22"/>
        </w:rPr>
        <w:t>t</w:t>
      </w:r>
      <w:r w:rsidRPr="00402C39">
        <w:rPr>
          <w:rFonts w:asciiTheme="minorHAnsi" w:hAnsiTheme="minorHAnsi" w:cs="Arial"/>
          <w:iCs/>
          <w:szCs w:val="22"/>
        </w:rPr>
        <w:t xml:space="preserve">urnover and Voluntary </w:t>
      </w:r>
      <w:r w:rsidR="005F6BC7">
        <w:rPr>
          <w:rFonts w:asciiTheme="minorHAnsi" w:hAnsiTheme="minorHAnsi" w:cs="Arial"/>
          <w:iCs/>
          <w:szCs w:val="22"/>
        </w:rPr>
        <w:t>t</w:t>
      </w:r>
      <w:r w:rsidRPr="00402C39">
        <w:rPr>
          <w:rFonts w:asciiTheme="minorHAnsi" w:hAnsiTheme="minorHAnsi" w:cs="Arial"/>
          <w:iCs/>
          <w:szCs w:val="22"/>
        </w:rPr>
        <w:t xml:space="preserve">urnover.  Total turnover includes all separations for any reason.  The </w:t>
      </w:r>
      <w:r w:rsidR="005F6BC7">
        <w:rPr>
          <w:rFonts w:asciiTheme="minorHAnsi" w:hAnsiTheme="minorHAnsi" w:cs="Arial"/>
          <w:iCs/>
          <w:szCs w:val="22"/>
        </w:rPr>
        <w:t>T</w:t>
      </w:r>
      <w:r w:rsidRPr="00402C39">
        <w:rPr>
          <w:rFonts w:asciiTheme="minorHAnsi" w:hAnsiTheme="minorHAnsi" w:cs="Arial"/>
          <w:iCs/>
          <w:szCs w:val="22"/>
        </w:rPr>
        <w:t>otal turnover rate is calculated by dividing the number of separations by the total number of employees at the beginning of a fiscal year.  Voluntary turnover includes separations for reasons that the employee has control of</w:t>
      </w:r>
      <w:r w:rsidR="009B5A9D">
        <w:rPr>
          <w:rFonts w:asciiTheme="minorHAnsi" w:hAnsiTheme="minorHAnsi" w:cs="Arial"/>
          <w:iCs/>
          <w:szCs w:val="22"/>
        </w:rPr>
        <w:t>,</w:t>
      </w:r>
      <w:r w:rsidRPr="00402C39">
        <w:rPr>
          <w:rFonts w:asciiTheme="minorHAnsi" w:hAnsiTheme="minorHAnsi" w:cs="Arial"/>
          <w:iCs/>
          <w:szCs w:val="22"/>
        </w:rPr>
        <w:t xml:space="preserve"> such as resigning to take a job with another employer.  Voluntary turnover rate is calculated by dividing the number of voluntary separations by the total number of employees at the </w:t>
      </w:r>
      <w:r w:rsidR="006B752F" w:rsidRPr="00402C39">
        <w:rPr>
          <w:rFonts w:asciiTheme="minorHAnsi" w:hAnsiTheme="minorHAnsi" w:cs="Arial"/>
          <w:iCs/>
          <w:szCs w:val="22"/>
        </w:rPr>
        <w:t>beginning of the fiscal year.</w:t>
      </w:r>
    </w:p>
    <w:p w14:paraId="79D802AF" w14:textId="77777777" w:rsidR="009B5A9D" w:rsidRDefault="009B5A9D" w:rsidP="009B5A9D">
      <w:pPr>
        <w:jc w:val="both"/>
        <w:rPr>
          <w:rFonts w:asciiTheme="minorHAnsi" w:hAnsiTheme="minorHAnsi" w:cs="Arial"/>
          <w:iCs/>
          <w:szCs w:val="22"/>
        </w:rPr>
      </w:pPr>
    </w:p>
    <w:p w14:paraId="116D1B65" w14:textId="6BB0D493" w:rsidR="006B752F" w:rsidRPr="00402C39" w:rsidRDefault="006B752F" w:rsidP="009B5A9D">
      <w:pPr>
        <w:jc w:val="both"/>
        <w:rPr>
          <w:rFonts w:asciiTheme="minorHAnsi" w:hAnsiTheme="minorHAnsi" w:cs="Arial"/>
          <w:iCs/>
          <w:szCs w:val="22"/>
        </w:rPr>
      </w:pPr>
      <w:r w:rsidRPr="00402C39">
        <w:rPr>
          <w:rFonts w:asciiTheme="minorHAnsi" w:hAnsiTheme="minorHAnsi" w:cs="Arial"/>
          <w:iCs/>
          <w:szCs w:val="22"/>
        </w:rPr>
        <w:t xml:space="preserve">Statewide turnover is simply a marker by which to compare job-specific turnover. The Office of State </w:t>
      </w:r>
      <w:r w:rsidR="001D0567" w:rsidRPr="00402C39">
        <w:rPr>
          <w:rFonts w:asciiTheme="minorHAnsi" w:hAnsiTheme="minorHAnsi" w:cs="Arial"/>
          <w:iCs/>
          <w:szCs w:val="22"/>
        </w:rPr>
        <w:t>Human Resources</w:t>
      </w:r>
      <w:r w:rsidRPr="00402C39">
        <w:rPr>
          <w:rFonts w:asciiTheme="minorHAnsi" w:hAnsiTheme="minorHAnsi" w:cs="Arial"/>
          <w:iCs/>
          <w:szCs w:val="22"/>
        </w:rPr>
        <w:t xml:space="preserve"> should work with agencies and universities to evaluate job-specific turnover and the reasons behind it, which may or may not relate to pay.</w:t>
      </w:r>
    </w:p>
    <w:p w14:paraId="21C09D14" w14:textId="3945B254" w:rsidR="00701D37" w:rsidRDefault="00701D37" w:rsidP="00DC1117">
      <w:pPr>
        <w:ind w:firstLine="720"/>
        <w:jc w:val="both"/>
        <w:rPr>
          <w:rFonts w:ascii="Arial" w:hAnsi="Arial" w:cs="Arial"/>
          <w:iCs/>
          <w:sz w:val="24"/>
        </w:rPr>
      </w:pPr>
    </w:p>
    <w:p w14:paraId="41D7169C" w14:textId="63FFC772" w:rsidR="009B5A9D" w:rsidRDefault="009B5A9D" w:rsidP="00DC1117">
      <w:pPr>
        <w:ind w:firstLine="720"/>
        <w:jc w:val="both"/>
        <w:rPr>
          <w:rFonts w:ascii="Arial" w:hAnsi="Arial" w:cs="Arial"/>
          <w:iCs/>
          <w:sz w:val="24"/>
        </w:rPr>
      </w:pPr>
    </w:p>
    <w:p w14:paraId="66934F88" w14:textId="77777777" w:rsidR="009F5F1C" w:rsidRDefault="009F5F1C" w:rsidP="00DC1117">
      <w:pPr>
        <w:ind w:firstLine="720"/>
        <w:jc w:val="both"/>
        <w:rPr>
          <w:rFonts w:ascii="Arial" w:hAnsi="Arial" w:cs="Arial"/>
          <w:iCs/>
          <w:sz w:val="24"/>
        </w:rPr>
      </w:pPr>
    </w:p>
    <w:p w14:paraId="7556C242" w14:textId="77777777" w:rsidR="00465F21" w:rsidRPr="00402C39" w:rsidRDefault="002B37DE" w:rsidP="008A4568">
      <w:pPr>
        <w:spacing w:after="120"/>
        <w:jc w:val="center"/>
        <w:rPr>
          <w:rFonts w:asciiTheme="minorHAnsi" w:hAnsiTheme="minorHAnsi" w:cs="Arial"/>
          <w:b/>
          <w:iCs/>
          <w:szCs w:val="22"/>
        </w:rPr>
      </w:pPr>
      <w:r w:rsidRPr="00402C39">
        <w:rPr>
          <w:rFonts w:asciiTheme="minorHAnsi" w:hAnsiTheme="minorHAnsi" w:cs="Arial"/>
          <w:b/>
          <w:iCs/>
          <w:szCs w:val="22"/>
        </w:rPr>
        <w:lastRenderedPageBreak/>
        <w:t>Table 5</w:t>
      </w:r>
      <w:r w:rsidR="00DC1117" w:rsidRPr="00402C39">
        <w:rPr>
          <w:rFonts w:asciiTheme="minorHAnsi" w:hAnsiTheme="minorHAnsi" w:cs="Arial"/>
          <w:b/>
          <w:iCs/>
          <w:szCs w:val="22"/>
        </w:rPr>
        <w:t xml:space="preserve">: </w:t>
      </w:r>
      <w:r w:rsidR="00465F21" w:rsidRPr="00402C39">
        <w:rPr>
          <w:rFonts w:asciiTheme="minorHAnsi" w:hAnsiTheme="minorHAnsi" w:cs="Arial"/>
          <w:b/>
          <w:bCs/>
          <w:iCs/>
          <w:caps/>
          <w:szCs w:val="22"/>
        </w:rPr>
        <w:t>Five Years of Turnover Rates – State of North Carolina</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1268"/>
        <w:gridCol w:w="1327"/>
        <w:gridCol w:w="1310"/>
        <w:gridCol w:w="1310"/>
        <w:gridCol w:w="1171"/>
      </w:tblGrid>
      <w:tr w:rsidR="007A434D" w:rsidRPr="00707CF4" w14:paraId="55B73D35" w14:textId="77777777" w:rsidTr="003A1085">
        <w:trPr>
          <w:jc w:val="center"/>
        </w:trPr>
        <w:tc>
          <w:tcPr>
            <w:tcW w:w="1654" w:type="dxa"/>
            <w:shd w:val="clear" w:color="auto" w:fill="000000" w:themeFill="text1"/>
          </w:tcPr>
          <w:p w14:paraId="1C674E72" w14:textId="77777777" w:rsidR="007A434D" w:rsidRPr="00EF0E3F" w:rsidRDefault="007A434D" w:rsidP="00402C39">
            <w:pPr>
              <w:spacing w:before="40" w:after="20"/>
              <w:rPr>
                <w:rFonts w:asciiTheme="minorHAnsi" w:hAnsiTheme="minorHAnsi" w:cs="Arial"/>
                <w:i/>
                <w:szCs w:val="22"/>
                <w:highlight w:val="green"/>
              </w:rPr>
            </w:pPr>
          </w:p>
        </w:tc>
        <w:tc>
          <w:tcPr>
            <w:tcW w:w="1268" w:type="dxa"/>
            <w:shd w:val="clear" w:color="auto" w:fill="C9EBEF"/>
          </w:tcPr>
          <w:p w14:paraId="4239379E" w14:textId="77777777" w:rsidR="007A434D" w:rsidRPr="0038480B" w:rsidRDefault="007A434D" w:rsidP="00402C39">
            <w:pPr>
              <w:spacing w:before="40" w:after="20"/>
              <w:jc w:val="center"/>
              <w:rPr>
                <w:rFonts w:asciiTheme="minorHAnsi" w:hAnsiTheme="minorHAnsi" w:cs="Arial"/>
                <w:b/>
                <w:bCs/>
                <w:iCs/>
                <w:szCs w:val="22"/>
              </w:rPr>
            </w:pPr>
            <w:r w:rsidRPr="0038480B">
              <w:rPr>
                <w:rFonts w:asciiTheme="minorHAnsi" w:hAnsiTheme="minorHAnsi" w:cs="Arial"/>
                <w:b/>
                <w:bCs/>
                <w:iCs/>
                <w:szCs w:val="22"/>
              </w:rPr>
              <w:t>FY 2012-2013</w:t>
            </w:r>
          </w:p>
        </w:tc>
        <w:tc>
          <w:tcPr>
            <w:tcW w:w="1327" w:type="dxa"/>
            <w:shd w:val="clear" w:color="auto" w:fill="C9EBEF"/>
          </w:tcPr>
          <w:p w14:paraId="281777D3" w14:textId="77777777" w:rsidR="007A434D" w:rsidRPr="0038480B" w:rsidRDefault="007A434D" w:rsidP="00402C39">
            <w:pPr>
              <w:spacing w:before="40" w:after="20"/>
              <w:jc w:val="center"/>
              <w:rPr>
                <w:rFonts w:asciiTheme="minorHAnsi" w:hAnsiTheme="minorHAnsi" w:cs="Arial"/>
                <w:b/>
                <w:bCs/>
                <w:iCs/>
                <w:szCs w:val="22"/>
              </w:rPr>
            </w:pPr>
            <w:r w:rsidRPr="0038480B">
              <w:rPr>
                <w:rFonts w:asciiTheme="minorHAnsi" w:hAnsiTheme="minorHAnsi" w:cs="Arial"/>
                <w:b/>
                <w:bCs/>
                <w:iCs/>
                <w:szCs w:val="22"/>
              </w:rPr>
              <w:t>FY 2013-2014</w:t>
            </w:r>
          </w:p>
        </w:tc>
        <w:tc>
          <w:tcPr>
            <w:tcW w:w="1310" w:type="dxa"/>
            <w:shd w:val="clear" w:color="auto" w:fill="C9EBEF"/>
          </w:tcPr>
          <w:p w14:paraId="275CA1CF" w14:textId="77777777" w:rsidR="007A434D" w:rsidRPr="0038480B" w:rsidRDefault="007A434D" w:rsidP="00402C39">
            <w:pPr>
              <w:spacing w:before="40" w:after="20"/>
              <w:jc w:val="center"/>
              <w:rPr>
                <w:rFonts w:asciiTheme="minorHAnsi" w:hAnsiTheme="minorHAnsi" w:cs="Arial"/>
                <w:b/>
                <w:bCs/>
                <w:iCs/>
                <w:szCs w:val="22"/>
              </w:rPr>
            </w:pPr>
            <w:r w:rsidRPr="0038480B">
              <w:rPr>
                <w:rFonts w:asciiTheme="minorHAnsi" w:hAnsiTheme="minorHAnsi" w:cs="Arial"/>
                <w:b/>
                <w:bCs/>
                <w:iCs/>
                <w:szCs w:val="22"/>
              </w:rPr>
              <w:t>FY 2014-2015</w:t>
            </w:r>
          </w:p>
        </w:tc>
        <w:tc>
          <w:tcPr>
            <w:tcW w:w="1310" w:type="dxa"/>
            <w:shd w:val="clear" w:color="auto" w:fill="C9EBEF"/>
          </w:tcPr>
          <w:p w14:paraId="27B858F8" w14:textId="77777777" w:rsidR="007A434D" w:rsidRPr="0038480B" w:rsidRDefault="007A434D" w:rsidP="00402C39">
            <w:pPr>
              <w:spacing w:before="40" w:after="20"/>
              <w:jc w:val="center"/>
              <w:rPr>
                <w:rFonts w:asciiTheme="minorHAnsi" w:hAnsiTheme="minorHAnsi" w:cs="Arial"/>
                <w:b/>
                <w:bCs/>
                <w:iCs/>
                <w:szCs w:val="22"/>
              </w:rPr>
            </w:pPr>
            <w:r w:rsidRPr="0038480B">
              <w:rPr>
                <w:rFonts w:asciiTheme="minorHAnsi" w:hAnsiTheme="minorHAnsi" w:cs="Arial"/>
                <w:b/>
                <w:bCs/>
                <w:iCs/>
                <w:szCs w:val="22"/>
              </w:rPr>
              <w:t>FY 2015-2016</w:t>
            </w:r>
          </w:p>
        </w:tc>
        <w:tc>
          <w:tcPr>
            <w:tcW w:w="1171" w:type="dxa"/>
            <w:shd w:val="clear" w:color="auto" w:fill="C9EBEF"/>
          </w:tcPr>
          <w:p w14:paraId="6639E29B" w14:textId="77777777" w:rsidR="007A434D" w:rsidRPr="0038480B" w:rsidRDefault="007A434D" w:rsidP="00402C39">
            <w:pPr>
              <w:spacing w:before="40" w:after="20"/>
              <w:jc w:val="center"/>
              <w:rPr>
                <w:rFonts w:asciiTheme="minorHAnsi" w:hAnsiTheme="minorHAnsi" w:cs="Arial"/>
                <w:b/>
                <w:bCs/>
                <w:iCs/>
                <w:szCs w:val="22"/>
              </w:rPr>
            </w:pPr>
            <w:r w:rsidRPr="0038480B">
              <w:rPr>
                <w:rFonts w:asciiTheme="minorHAnsi" w:hAnsiTheme="minorHAnsi" w:cs="Arial"/>
                <w:b/>
                <w:bCs/>
                <w:iCs/>
                <w:szCs w:val="22"/>
              </w:rPr>
              <w:t>FY 2016-2017</w:t>
            </w:r>
          </w:p>
        </w:tc>
      </w:tr>
      <w:tr w:rsidR="007A434D" w:rsidRPr="00707CF4" w14:paraId="0EC524CF" w14:textId="77777777" w:rsidTr="003A1085">
        <w:trPr>
          <w:jc w:val="center"/>
        </w:trPr>
        <w:tc>
          <w:tcPr>
            <w:tcW w:w="1654" w:type="dxa"/>
          </w:tcPr>
          <w:p w14:paraId="71B3FF7B" w14:textId="77777777" w:rsidR="007A434D" w:rsidRPr="0038480B" w:rsidRDefault="007A434D" w:rsidP="00402C39">
            <w:pPr>
              <w:spacing w:before="40" w:after="20"/>
              <w:rPr>
                <w:rFonts w:asciiTheme="minorHAnsi" w:hAnsiTheme="minorHAnsi" w:cs="Arial"/>
                <w:iCs/>
                <w:szCs w:val="22"/>
              </w:rPr>
            </w:pPr>
            <w:r w:rsidRPr="0038480B">
              <w:rPr>
                <w:rFonts w:asciiTheme="minorHAnsi" w:hAnsiTheme="minorHAnsi" w:cs="Arial"/>
                <w:iCs/>
                <w:szCs w:val="22"/>
              </w:rPr>
              <w:t>Voluntary T/O</w:t>
            </w:r>
          </w:p>
        </w:tc>
        <w:tc>
          <w:tcPr>
            <w:tcW w:w="1268" w:type="dxa"/>
          </w:tcPr>
          <w:p w14:paraId="215CFABC"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5.3%</w:t>
            </w:r>
          </w:p>
        </w:tc>
        <w:tc>
          <w:tcPr>
            <w:tcW w:w="1327" w:type="dxa"/>
          </w:tcPr>
          <w:p w14:paraId="070BCB41"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7.0%</w:t>
            </w:r>
          </w:p>
        </w:tc>
        <w:tc>
          <w:tcPr>
            <w:tcW w:w="1310" w:type="dxa"/>
          </w:tcPr>
          <w:p w14:paraId="6A811EA1"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7.1%</w:t>
            </w:r>
          </w:p>
        </w:tc>
        <w:tc>
          <w:tcPr>
            <w:tcW w:w="1310" w:type="dxa"/>
          </w:tcPr>
          <w:p w14:paraId="7680F228"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7.7%</w:t>
            </w:r>
          </w:p>
        </w:tc>
        <w:tc>
          <w:tcPr>
            <w:tcW w:w="1171" w:type="dxa"/>
          </w:tcPr>
          <w:p w14:paraId="4BD6E968" w14:textId="77777777" w:rsidR="007A434D" w:rsidRPr="0038480B" w:rsidRDefault="00EF0E3F" w:rsidP="00402C39">
            <w:pPr>
              <w:spacing w:before="40" w:after="20"/>
              <w:jc w:val="center"/>
              <w:rPr>
                <w:rFonts w:asciiTheme="minorHAnsi" w:hAnsiTheme="minorHAnsi" w:cs="Arial"/>
                <w:iCs/>
                <w:szCs w:val="22"/>
              </w:rPr>
            </w:pPr>
            <w:r w:rsidRPr="0038480B">
              <w:rPr>
                <w:rFonts w:asciiTheme="minorHAnsi" w:hAnsiTheme="minorHAnsi" w:cs="Arial"/>
                <w:iCs/>
                <w:szCs w:val="22"/>
              </w:rPr>
              <w:t>8.0%</w:t>
            </w:r>
          </w:p>
        </w:tc>
      </w:tr>
      <w:tr w:rsidR="007A434D" w:rsidRPr="00707CF4" w14:paraId="7D31D6D6" w14:textId="77777777" w:rsidTr="003A1085">
        <w:trPr>
          <w:jc w:val="center"/>
        </w:trPr>
        <w:tc>
          <w:tcPr>
            <w:tcW w:w="1654" w:type="dxa"/>
          </w:tcPr>
          <w:p w14:paraId="3C21CD80" w14:textId="77777777" w:rsidR="007A434D" w:rsidRPr="0038480B" w:rsidRDefault="007A434D" w:rsidP="00402C39">
            <w:pPr>
              <w:spacing w:before="40" w:after="20"/>
              <w:rPr>
                <w:rFonts w:asciiTheme="minorHAnsi" w:hAnsiTheme="minorHAnsi" w:cs="Arial"/>
                <w:iCs/>
                <w:szCs w:val="22"/>
              </w:rPr>
            </w:pPr>
            <w:r w:rsidRPr="0038480B">
              <w:rPr>
                <w:rFonts w:asciiTheme="minorHAnsi" w:hAnsiTheme="minorHAnsi" w:cs="Arial"/>
                <w:iCs/>
                <w:szCs w:val="22"/>
              </w:rPr>
              <w:t>Retirement T/O</w:t>
            </w:r>
          </w:p>
        </w:tc>
        <w:tc>
          <w:tcPr>
            <w:tcW w:w="1268" w:type="dxa"/>
          </w:tcPr>
          <w:p w14:paraId="77D57918"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3.0%</w:t>
            </w:r>
          </w:p>
        </w:tc>
        <w:tc>
          <w:tcPr>
            <w:tcW w:w="1327" w:type="dxa"/>
          </w:tcPr>
          <w:p w14:paraId="53938681"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3.4%</w:t>
            </w:r>
          </w:p>
        </w:tc>
        <w:tc>
          <w:tcPr>
            <w:tcW w:w="1310" w:type="dxa"/>
          </w:tcPr>
          <w:p w14:paraId="5D9BD535"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3.4%</w:t>
            </w:r>
          </w:p>
        </w:tc>
        <w:tc>
          <w:tcPr>
            <w:tcW w:w="1310" w:type="dxa"/>
          </w:tcPr>
          <w:p w14:paraId="3E4F43FF"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3.4%</w:t>
            </w:r>
          </w:p>
        </w:tc>
        <w:tc>
          <w:tcPr>
            <w:tcW w:w="1171" w:type="dxa"/>
          </w:tcPr>
          <w:p w14:paraId="01F05D24" w14:textId="77777777" w:rsidR="007A434D" w:rsidRPr="0038480B" w:rsidRDefault="00777FD8" w:rsidP="00402C39">
            <w:pPr>
              <w:spacing w:before="40" w:after="20"/>
              <w:jc w:val="center"/>
              <w:rPr>
                <w:rFonts w:asciiTheme="minorHAnsi" w:hAnsiTheme="minorHAnsi" w:cs="Arial"/>
                <w:iCs/>
                <w:szCs w:val="22"/>
              </w:rPr>
            </w:pPr>
            <w:r w:rsidRPr="0038480B">
              <w:rPr>
                <w:rFonts w:asciiTheme="minorHAnsi" w:hAnsiTheme="minorHAnsi" w:cs="Arial"/>
                <w:iCs/>
                <w:szCs w:val="22"/>
              </w:rPr>
              <w:t>3.8%</w:t>
            </w:r>
          </w:p>
        </w:tc>
      </w:tr>
      <w:tr w:rsidR="007A434D" w:rsidRPr="00707CF4" w14:paraId="65B6B5CA" w14:textId="77777777" w:rsidTr="003A1085">
        <w:trPr>
          <w:jc w:val="center"/>
        </w:trPr>
        <w:tc>
          <w:tcPr>
            <w:tcW w:w="1654" w:type="dxa"/>
          </w:tcPr>
          <w:p w14:paraId="7C0BC8C0" w14:textId="77777777" w:rsidR="007A434D" w:rsidRPr="0038480B" w:rsidRDefault="007A434D" w:rsidP="00402C39">
            <w:pPr>
              <w:spacing w:before="40" w:after="20"/>
              <w:rPr>
                <w:rFonts w:asciiTheme="minorHAnsi" w:hAnsiTheme="minorHAnsi" w:cs="Arial"/>
                <w:iCs/>
                <w:szCs w:val="22"/>
              </w:rPr>
            </w:pPr>
            <w:r w:rsidRPr="0038480B">
              <w:rPr>
                <w:rFonts w:asciiTheme="minorHAnsi" w:hAnsiTheme="minorHAnsi" w:cs="Arial"/>
                <w:iCs/>
                <w:szCs w:val="22"/>
              </w:rPr>
              <w:t>Involuntary T/O</w:t>
            </w:r>
          </w:p>
        </w:tc>
        <w:tc>
          <w:tcPr>
            <w:tcW w:w="1268" w:type="dxa"/>
          </w:tcPr>
          <w:p w14:paraId="6B216C00"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1.3%</w:t>
            </w:r>
          </w:p>
        </w:tc>
        <w:tc>
          <w:tcPr>
            <w:tcW w:w="1327" w:type="dxa"/>
          </w:tcPr>
          <w:p w14:paraId="7C393EBF"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1.4%</w:t>
            </w:r>
          </w:p>
        </w:tc>
        <w:tc>
          <w:tcPr>
            <w:tcW w:w="1310" w:type="dxa"/>
          </w:tcPr>
          <w:p w14:paraId="3B29243E"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1.3%</w:t>
            </w:r>
          </w:p>
        </w:tc>
        <w:tc>
          <w:tcPr>
            <w:tcW w:w="1310" w:type="dxa"/>
          </w:tcPr>
          <w:p w14:paraId="346025EE"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1.7%</w:t>
            </w:r>
          </w:p>
        </w:tc>
        <w:tc>
          <w:tcPr>
            <w:tcW w:w="1171" w:type="dxa"/>
          </w:tcPr>
          <w:p w14:paraId="679BF945" w14:textId="77777777" w:rsidR="007A434D" w:rsidRPr="0038480B" w:rsidRDefault="00777FD8" w:rsidP="00402C39">
            <w:pPr>
              <w:spacing w:before="40" w:after="20"/>
              <w:jc w:val="center"/>
              <w:rPr>
                <w:rFonts w:asciiTheme="minorHAnsi" w:hAnsiTheme="minorHAnsi" w:cs="Arial"/>
                <w:iCs/>
                <w:szCs w:val="22"/>
              </w:rPr>
            </w:pPr>
            <w:r w:rsidRPr="0038480B">
              <w:rPr>
                <w:rFonts w:asciiTheme="minorHAnsi" w:hAnsiTheme="minorHAnsi" w:cs="Arial"/>
                <w:iCs/>
                <w:szCs w:val="22"/>
              </w:rPr>
              <w:t>1.7%</w:t>
            </w:r>
          </w:p>
        </w:tc>
      </w:tr>
      <w:tr w:rsidR="007A434D" w:rsidRPr="00777FD8" w14:paraId="54199522" w14:textId="77777777" w:rsidTr="00EF0E3F">
        <w:trPr>
          <w:trHeight w:val="323"/>
          <w:jc w:val="center"/>
        </w:trPr>
        <w:tc>
          <w:tcPr>
            <w:tcW w:w="1654" w:type="dxa"/>
          </w:tcPr>
          <w:p w14:paraId="2D68EB8A" w14:textId="77777777" w:rsidR="007A434D" w:rsidRPr="0038480B" w:rsidRDefault="007A434D" w:rsidP="00402C39">
            <w:pPr>
              <w:spacing w:before="40" w:after="20"/>
              <w:rPr>
                <w:rFonts w:asciiTheme="minorHAnsi" w:hAnsiTheme="minorHAnsi" w:cs="Arial"/>
                <w:iCs/>
                <w:szCs w:val="22"/>
              </w:rPr>
            </w:pPr>
            <w:r w:rsidRPr="0038480B">
              <w:rPr>
                <w:rFonts w:asciiTheme="minorHAnsi" w:hAnsiTheme="minorHAnsi" w:cs="Arial"/>
                <w:iCs/>
                <w:szCs w:val="22"/>
              </w:rPr>
              <w:t>Total T/O</w:t>
            </w:r>
          </w:p>
        </w:tc>
        <w:tc>
          <w:tcPr>
            <w:tcW w:w="1268" w:type="dxa"/>
          </w:tcPr>
          <w:p w14:paraId="2D20C8DA"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9.7%</w:t>
            </w:r>
          </w:p>
        </w:tc>
        <w:tc>
          <w:tcPr>
            <w:tcW w:w="1327" w:type="dxa"/>
          </w:tcPr>
          <w:p w14:paraId="5DC6241E"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11.8%</w:t>
            </w:r>
          </w:p>
        </w:tc>
        <w:tc>
          <w:tcPr>
            <w:tcW w:w="1310" w:type="dxa"/>
          </w:tcPr>
          <w:p w14:paraId="15647356"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11.8%</w:t>
            </w:r>
          </w:p>
        </w:tc>
        <w:tc>
          <w:tcPr>
            <w:tcW w:w="1310" w:type="dxa"/>
          </w:tcPr>
          <w:p w14:paraId="49A954F3" w14:textId="77777777" w:rsidR="007A434D" w:rsidRPr="0038480B" w:rsidRDefault="007A434D" w:rsidP="00402C39">
            <w:pPr>
              <w:spacing w:before="40" w:after="20"/>
              <w:jc w:val="center"/>
              <w:rPr>
                <w:rFonts w:asciiTheme="minorHAnsi" w:hAnsiTheme="minorHAnsi" w:cs="Arial"/>
                <w:iCs/>
                <w:szCs w:val="22"/>
              </w:rPr>
            </w:pPr>
            <w:r w:rsidRPr="0038480B">
              <w:rPr>
                <w:rFonts w:asciiTheme="minorHAnsi" w:hAnsiTheme="minorHAnsi" w:cs="Arial"/>
                <w:iCs/>
                <w:szCs w:val="22"/>
              </w:rPr>
              <w:t>12.8%</w:t>
            </w:r>
          </w:p>
        </w:tc>
        <w:tc>
          <w:tcPr>
            <w:tcW w:w="1171" w:type="dxa"/>
          </w:tcPr>
          <w:p w14:paraId="002CDCA7" w14:textId="77777777" w:rsidR="007A434D" w:rsidRPr="0038480B" w:rsidRDefault="00EF0E3F" w:rsidP="00402C39">
            <w:pPr>
              <w:spacing w:before="40" w:after="20"/>
              <w:jc w:val="center"/>
              <w:rPr>
                <w:rFonts w:asciiTheme="minorHAnsi" w:hAnsiTheme="minorHAnsi" w:cs="Arial"/>
                <w:iCs/>
                <w:szCs w:val="22"/>
              </w:rPr>
            </w:pPr>
            <w:r w:rsidRPr="0038480B">
              <w:rPr>
                <w:rFonts w:asciiTheme="minorHAnsi" w:hAnsiTheme="minorHAnsi" w:cs="Arial"/>
                <w:iCs/>
                <w:szCs w:val="22"/>
              </w:rPr>
              <w:t>13.</w:t>
            </w:r>
            <w:r w:rsidR="00AE3C57" w:rsidRPr="0038480B">
              <w:rPr>
                <w:rFonts w:asciiTheme="minorHAnsi" w:hAnsiTheme="minorHAnsi" w:cs="Arial"/>
                <w:iCs/>
                <w:szCs w:val="22"/>
              </w:rPr>
              <w:t>5</w:t>
            </w:r>
            <w:r w:rsidRPr="0038480B">
              <w:rPr>
                <w:rFonts w:asciiTheme="minorHAnsi" w:hAnsiTheme="minorHAnsi" w:cs="Arial"/>
                <w:iCs/>
                <w:szCs w:val="22"/>
              </w:rPr>
              <w:t>%</w:t>
            </w:r>
          </w:p>
        </w:tc>
      </w:tr>
    </w:tbl>
    <w:p w14:paraId="7361CEBA" w14:textId="77777777" w:rsidR="00620DE7" w:rsidRPr="00620DE7" w:rsidRDefault="00620DE7" w:rsidP="00620DE7">
      <w:pPr>
        <w:ind w:left="720"/>
        <w:jc w:val="both"/>
        <w:rPr>
          <w:rFonts w:asciiTheme="minorHAnsi" w:hAnsiTheme="minorHAnsi" w:cs="Arial"/>
          <w:i/>
          <w:iCs/>
          <w:sz w:val="12"/>
          <w:szCs w:val="12"/>
        </w:rPr>
      </w:pPr>
    </w:p>
    <w:p w14:paraId="747B2878" w14:textId="29C8C5B3" w:rsidR="00C760B9" w:rsidRPr="00620DE7" w:rsidRDefault="006977AE" w:rsidP="00620DE7">
      <w:pPr>
        <w:ind w:left="720"/>
        <w:jc w:val="both"/>
        <w:rPr>
          <w:rFonts w:asciiTheme="minorHAnsi" w:hAnsiTheme="minorHAnsi" w:cs="Arial"/>
          <w:i/>
          <w:iCs/>
          <w:sz w:val="18"/>
        </w:rPr>
      </w:pPr>
      <w:r w:rsidRPr="00620DE7">
        <w:rPr>
          <w:rFonts w:asciiTheme="minorHAnsi" w:hAnsiTheme="minorHAnsi" w:cs="Arial"/>
          <w:i/>
          <w:iCs/>
          <w:sz w:val="18"/>
        </w:rPr>
        <w:t xml:space="preserve">NOTE: </w:t>
      </w:r>
      <w:r w:rsidR="003C046A" w:rsidRPr="00620DE7">
        <w:rPr>
          <w:rFonts w:asciiTheme="minorHAnsi" w:hAnsiTheme="minorHAnsi" w:cs="Arial"/>
          <w:i/>
          <w:iCs/>
          <w:sz w:val="18"/>
        </w:rPr>
        <w:t>Retirement turnover is</w:t>
      </w:r>
      <w:r w:rsidR="005E2989" w:rsidRPr="00620DE7">
        <w:rPr>
          <w:rFonts w:asciiTheme="minorHAnsi" w:hAnsiTheme="minorHAnsi" w:cs="Arial"/>
          <w:i/>
          <w:iCs/>
          <w:sz w:val="18"/>
        </w:rPr>
        <w:t xml:space="preserve"> </w:t>
      </w:r>
      <w:r w:rsidR="00447357" w:rsidRPr="00620DE7">
        <w:rPr>
          <w:rFonts w:asciiTheme="minorHAnsi" w:hAnsiTheme="minorHAnsi" w:cs="Arial"/>
          <w:i/>
          <w:iCs/>
          <w:sz w:val="18"/>
        </w:rPr>
        <w:t>questionable for 201</w:t>
      </w:r>
      <w:r w:rsidR="007A434D" w:rsidRPr="00620DE7">
        <w:rPr>
          <w:rFonts w:asciiTheme="minorHAnsi" w:hAnsiTheme="minorHAnsi" w:cs="Arial"/>
          <w:i/>
          <w:iCs/>
          <w:sz w:val="18"/>
        </w:rPr>
        <w:t>2</w:t>
      </w:r>
      <w:r w:rsidR="00F03158" w:rsidRPr="00620DE7">
        <w:rPr>
          <w:rFonts w:asciiTheme="minorHAnsi" w:hAnsiTheme="minorHAnsi" w:cs="Arial"/>
          <w:i/>
          <w:iCs/>
          <w:sz w:val="18"/>
        </w:rPr>
        <w:t>-2013</w:t>
      </w:r>
      <w:r w:rsidR="003C046A" w:rsidRPr="00620DE7">
        <w:rPr>
          <w:rFonts w:asciiTheme="minorHAnsi" w:hAnsiTheme="minorHAnsi" w:cs="Arial"/>
          <w:i/>
          <w:iCs/>
          <w:sz w:val="18"/>
        </w:rPr>
        <w:t xml:space="preserve"> because of inc</w:t>
      </w:r>
      <w:r w:rsidR="00F37C00" w:rsidRPr="00620DE7">
        <w:rPr>
          <w:rFonts w:asciiTheme="minorHAnsi" w:hAnsiTheme="minorHAnsi" w:cs="Arial"/>
          <w:i/>
          <w:iCs/>
          <w:sz w:val="18"/>
        </w:rPr>
        <w:t xml:space="preserve">onsistent reporting in </w:t>
      </w:r>
      <w:r w:rsidR="003C046A" w:rsidRPr="00620DE7">
        <w:rPr>
          <w:rFonts w:asciiTheme="minorHAnsi" w:hAnsiTheme="minorHAnsi" w:cs="Arial"/>
          <w:i/>
          <w:iCs/>
          <w:sz w:val="18"/>
        </w:rPr>
        <w:t>BEACON</w:t>
      </w:r>
      <w:r w:rsidR="00F37C00" w:rsidRPr="00620DE7">
        <w:rPr>
          <w:rFonts w:asciiTheme="minorHAnsi" w:hAnsiTheme="minorHAnsi" w:cs="Arial"/>
          <w:i/>
          <w:iCs/>
          <w:sz w:val="18"/>
        </w:rPr>
        <w:t xml:space="preserve"> and the University System’s HR Datamart</w:t>
      </w:r>
      <w:r w:rsidR="003C046A" w:rsidRPr="00620DE7">
        <w:rPr>
          <w:rFonts w:asciiTheme="minorHAnsi" w:hAnsiTheme="minorHAnsi" w:cs="Arial"/>
          <w:i/>
          <w:iCs/>
          <w:sz w:val="18"/>
        </w:rPr>
        <w:t>.</w:t>
      </w:r>
      <w:r w:rsidR="00C760B9" w:rsidRPr="00620DE7">
        <w:rPr>
          <w:rFonts w:asciiTheme="minorHAnsi" w:hAnsiTheme="minorHAnsi" w:cs="Arial"/>
          <w:i/>
          <w:iCs/>
          <w:sz w:val="18"/>
        </w:rPr>
        <w:t xml:space="preserve"> </w:t>
      </w:r>
      <w:r w:rsidR="00447357" w:rsidRPr="00620DE7">
        <w:rPr>
          <w:rFonts w:asciiTheme="minorHAnsi" w:hAnsiTheme="minorHAnsi" w:cs="Arial"/>
          <w:i/>
          <w:iCs/>
          <w:sz w:val="18"/>
        </w:rPr>
        <w:t>2013-20</w:t>
      </w:r>
      <w:r w:rsidR="007A434D" w:rsidRPr="00620DE7">
        <w:rPr>
          <w:rFonts w:asciiTheme="minorHAnsi" w:hAnsiTheme="minorHAnsi" w:cs="Arial"/>
          <w:i/>
          <w:iCs/>
          <w:sz w:val="18"/>
        </w:rPr>
        <w:t>17</w:t>
      </w:r>
      <w:r w:rsidR="00F03158" w:rsidRPr="00620DE7">
        <w:rPr>
          <w:rFonts w:asciiTheme="minorHAnsi" w:hAnsiTheme="minorHAnsi" w:cs="Arial"/>
          <w:i/>
          <w:iCs/>
          <w:sz w:val="18"/>
        </w:rPr>
        <w:t xml:space="preserve"> turnover reflects </w:t>
      </w:r>
      <w:r w:rsidR="00AA3E49">
        <w:rPr>
          <w:rFonts w:asciiTheme="minorHAnsi" w:hAnsiTheme="minorHAnsi" w:cs="Arial"/>
          <w:i/>
          <w:iCs/>
          <w:sz w:val="18"/>
        </w:rPr>
        <w:t>S</w:t>
      </w:r>
      <w:r w:rsidR="00F03158" w:rsidRPr="00620DE7">
        <w:rPr>
          <w:rFonts w:asciiTheme="minorHAnsi" w:hAnsiTheme="minorHAnsi" w:cs="Arial"/>
          <w:i/>
          <w:iCs/>
          <w:sz w:val="18"/>
        </w:rPr>
        <w:t xml:space="preserve">tate agencies only. </w:t>
      </w:r>
      <w:r w:rsidRPr="00620DE7">
        <w:rPr>
          <w:rFonts w:asciiTheme="minorHAnsi" w:hAnsiTheme="minorHAnsi" w:cs="Arial"/>
          <w:i/>
          <w:iCs/>
          <w:sz w:val="18"/>
        </w:rPr>
        <w:t xml:space="preserve">However, </w:t>
      </w:r>
      <w:r w:rsidR="003C046A" w:rsidRPr="00620DE7">
        <w:rPr>
          <w:rFonts w:asciiTheme="minorHAnsi" w:hAnsiTheme="minorHAnsi" w:cs="Arial"/>
          <w:i/>
          <w:iCs/>
          <w:sz w:val="18"/>
        </w:rPr>
        <w:t>data appear</w:t>
      </w:r>
      <w:r w:rsidR="001E01A4" w:rsidRPr="00620DE7">
        <w:rPr>
          <w:rFonts w:asciiTheme="minorHAnsi" w:hAnsiTheme="minorHAnsi" w:cs="Arial"/>
          <w:i/>
          <w:iCs/>
          <w:sz w:val="18"/>
        </w:rPr>
        <w:t xml:space="preserve"> to be relatively consistent with past years</w:t>
      </w:r>
      <w:r w:rsidR="00127A0D" w:rsidRPr="00620DE7">
        <w:rPr>
          <w:rFonts w:asciiTheme="minorHAnsi" w:hAnsiTheme="minorHAnsi" w:cs="Arial"/>
          <w:i/>
          <w:iCs/>
          <w:sz w:val="18"/>
        </w:rPr>
        <w:t xml:space="preserve"> and economic trends</w:t>
      </w:r>
      <w:r w:rsidRPr="00620DE7">
        <w:rPr>
          <w:rFonts w:asciiTheme="minorHAnsi" w:hAnsiTheme="minorHAnsi" w:cs="Arial"/>
          <w:i/>
          <w:iCs/>
          <w:sz w:val="18"/>
        </w:rPr>
        <w:t>.</w:t>
      </w:r>
    </w:p>
    <w:p w14:paraId="33CC7A22" w14:textId="77777777" w:rsidR="0098166B" w:rsidRPr="00A924F2" w:rsidRDefault="0098166B">
      <w:pPr>
        <w:jc w:val="both"/>
        <w:rPr>
          <w:rFonts w:asciiTheme="minorHAnsi" w:hAnsiTheme="minorHAnsi" w:cs="Arial"/>
          <w:iCs/>
        </w:rPr>
      </w:pPr>
    </w:p>
    <w:p w14:paraId="46762B9D" w14:textId="53D88875" w:rsidR="006977AE" w:rsidRPr="00AA3E49" w:rsidRDefault="00465F21" w:rsidP="009B5A9D">
      <w:pPr>
        <w:jc w:val="both"/>
        <w:rPr>
          <w:rFonts w:asciiTheme="minorHAnsi" w:hAnsiTheme="minorHAnsi" w:cs="Arial"/>
          <w:iCs/>
        </w:rPr>
      </w:pPr>
      <w:r w:rsidRPr="0038480B">
        <w:rPr>
          <w:rFonts w:asciiTheme="minorHAnsi" w:hAnsiTheme="minorHAnsi" w:cs="Arial"/>
          <w:iCs/>
        </w:rPr>
        <w:t xml:space="preserve">In FY </w:t>
      </w:r>
      <w:r w:rsidR="00777FD8" w:rsidRPr="0038480B">
        <w:rPr>
          <w:rFonts w:asciiTheme="minorHAnsi" w:hAnsiTheme="minorHAnsi" w:cs="Arial"/>
          <w:iCs/>
        </w:rPr>
        <w:t>2016</w:t>
      </w:r>
      <w:r w:rsidR="00122B8E" w:rsidRPr="0038480B">
        <w:rPr>
          <w:rFonts w:asciiTheme="minorHAnsi" w:hAnsiTheme="minorHAnsi" w:cs="Arial"/>
          <w:iCs/>
        </w:rPr>
        <w:t>-201</w:t>
      </w:r>
      <w:r w:rsidR="00777FD8" w:rsidRPr="0038480B">
        <w:rPr>
          <w:rFonts w:asciiTheme="minorHAnsi" w:hAnsiTheme="minorHAnsi" w:cs="Arial"/>
          <w:iCs/>
        </w:rPr>
        <w:t>7</w:t>
      </w:r>
      <w:r w:rsidR="00F03158" w:rsidRPr="0038480B">
        <w:rPr>
          <w:rFonts w:asciiTheme="minorHAnsi" w:hAnsiTheme="minorHAnsi" w:cs="Arial"/>
          <w:iCs/>
        </w:rPr>
        <w:t xml:space="preserve"> </w:t>
      </w:r>
      <w:r w:rsidR="00AA3E49">
        <w:rPr>
          <w:rFonts w:asciiTheme="minorHAnsi" w:hAnsiTheme="minorHAnsi" w:cs="Arial"/>
          <w:iCs/>
        </w:rPr>
        <w:t>S</w:t>
      </w:r>
      <w:r w:rsidR="00F03158" w:rsidRPr="0038480B">
        <w:rPr>
          <w:rFonts w:asciiTheme="minorHAnsi" w:hAnsiTheme="minorHAnsi" w:cs="Arial"/>
          <w:iCs/>
        </w:rPr>
        <w:t xml:space="preserve">tate agencies </w:t>
      </w:r>
      <w:r w:rsidRPr="0038480B">
        <w:rPr>
          <w:rFonts w:asciiTheme="minorHAnsi" w:hAnsiTheme="minorHAnsi" w:cs="Arial"/>
          <w:iCs/>
        </w:rPr>
        <w:t xml:space="preserve">had a </w:t>
      </w:r>
      <w:r w:rsidR="00777FD8" w:rsidRPr="0038480B">
        <w:rPr>
          <w:rFonts w:asciiTheme="minorHAnsi" w:hAnsiTheme="minorHAnsi" w:cs="Arial"/>
          <w:iCs/>
        </w:rPr>
        <w:t xml:space="preserve">8.0 </w:t>
      </w:r>
      <w:r w:rsidRPr="0038480B">
        <w:rPr>
          <w:rFonts w:asciiTheme="minorHAnsi" w:hAnsiTheme="minorHAnsi" w:cs="Arial"/>
          <w:iCs/>
        </w:rPr>
        <w:t xml:space="preserve">% </w:t>
      </w:r>
      <w:r w:rsidR="0088423C" w:rsidRPr="0038480B">
        <w:rPr>
          <w:rFonts w:asciiTheme="minorHAnsi" w:hAnsiTheme="minorHAnsi" w:cs="Arial"/>
          <w:iCs/>
        </w:rPr>
        <w:t xml:space="preserve">voluntary </w:t>
      </w:r>
      <w:r w:rsidRPr="0038480B">
        <w:rPr>
          <w:rFonts w:asciiTheme="minorHAnsi" w:hAnsiTheme="minorHAnsi" w:cs="Arial"/>
          <w:iCs/>
        </w:rPr>
        <w:t>turnove</w:t>
      </w:r>
      <w:r w:rsidR="00803677" w:rsidRPr="0038480B">
        <w:rPr>
          <w:rFonts w:asciiTheme="minorHAnsi" w:hAnsiTheme="minorHAnsi" w:cs="Arial"/>
          <w:iCs/>
        </w:rPr>
        <w:t xml:space="preserve">r rate. Using </w:t>
      </w:r>
      <w:r w:rsidR="006C5908" w:rsidRPr="0038480B">
        <w:rPr>
          <w:rFonts w:asciiTheme="minorHAnsi" w:hAnsiTheme="minorHAnsi" w:cs="Arial"/>
          <w:iCs/>
        </w:rPr>
        <w:t xml:space="preserve">the HCI turnover value </w:t>
      </w:r>
      <w:r w:rsidR="00803677" w:rsidRPr="0038480B">
        <w:rPr>
          <w:rFonts w:asciiTheme="minorHAnsi" w:hAnsiTheme="minorHAnsi" w:cs="Arial"/>
          <w:iCs/>
        </w:rPr>
        <w:t>of 150</w:t>
      </w:r>
      <w:r w:rsidRPr="0038480B">
        <w:rPr>
          <w:rFonts w:asciiTheme="minorHAnsi" w:hAnsiTheme="minorHAnsi" w:cs="Arial"/>
          <w:iCs/>
        </w:rPr>
        <w:t xml:space="preserve">% cost of turnover, the cost to the </w:t>
      </w:r>
      <w:r w:rsidR="00AA3E49">
        <w:rPr>
          <w:rFonts w:asciiTheme="minorHAnsi" w:hAnsiTheme="minorHAnsi" w:cs="Arial"/>
          <w:iCs/>
        </w:rPr>
        <w:t>S</w:t>
      </w:r>
      <w:r w:rsidRPr="0038480B">
        <w:rPr>
          <w:rFonts w:asciiTheme="minorHAnsi" w:hAnsiTheme="minorHAnsi" w:cs="Arial"/>
          <w:iCs/>
        </w:rPr>
        <w:t xml:space="preserve">tate would be </w:t>
      </w:r>
      <w:r w:rsidR="001E01A4" w:rsidRPr="0038480B">
        <w:rPr>
          <w:rFonts w:asciiTheme="minorHAnsi" w:hAnsiTheme="minorHAnsi" w:cs="Arial"/>
          <w:iCs/>
        </w:rPr>
        <w:t>more than</w:t>
      </w:r>
      <w:r w:rsidR="0088423C" w:rsidRPr="0038480B">
        <w:rPr>
          <w:rFonts w:asciiTheme="minorHAnsi" w:hAnsiTheme="minorHAnsi" w:cs="Arial"/>
          <w:iCs/>
        </w:rPr>
        <w:t xml:space="preserve"> </w:t>
      </w:r>
      <w:r w:rsidR="00046EAB" w:rsidRPr="0038480B">
        <w:rPr>
          <w:rFonts w:asciiTheme="minorHAnsi" w:hAnsiTheme="minorHAnsi" w:cs="Arial"/>
          <w:b/>
          <w:iCs/>
        </w:rPr>
        <w:t>$</w:t>
      </w:r>
      <w:r w:rsidR="00122B8E" w:rsidRPr="0038480B">
        <w:rPr>
          <w:rFonts w:asciiTheme="minorHAnsi" w:hAnsiTheme="minorHAnsi" w:cs="Arial"/>
          <w:b/>
          <w:iCs/>
        </w:rPr>
        <w:t>3</w:t>
      </w:r>
      <w:r w:rsidR="00023695" w:rsidRPr="0038480B">
        <w:rPr>
          <w:rFonts w:asciiTheme="minorHAnsi" w:hAnsiTheme="minorHAnsi" w:cs="Arial"/>
          <w:b/>
          <w:iCs/>
        </w:rPr>
        <w:t>48</w:t>
      </w:r>
      <w:r w:rsidR="00046EAB" w:rsidRPr="0038480B">
        <w:rPr>
          <w:rFonts w:asciiTheme="minorHAnsi" w:hAnsiTheme="minorHAnsi" w:cs="Arial"/>
          <w:b/>
          <w:iCs/>
        </w:rPr>
        <w:t xml:space="preserve"> million</w:t>
      </w:r>
      <w:r w:rsidR="001E01A4" w:rsidRPr="0038480B">
        <w:rPr>
          <w:rFonts w:asciiTheme="minorHAnsi" w:hAnsiTheme="minorHAnsi" w:cs="Arial"/>
          <w:iCs/>
        </w:rPr>
        <w:t xml:space="preserve"> (</w:t>
      </w:r>
      <w:r w:rsidR="00777FD8" w:rsidRPr="0038480B">
        <w:rPr>
          <w:rFonts w:asciiTheme="minorHAnsi" w:hAnsiTheme="minorHAnsi" w:cs="Arial"/>
          <w:iCs/>
        </w:rPr>
        <w:t>8.0</w:t>
      </w:r>
      <w:r w:rsidR="006977AE" w:rsidRPr="0038480B">
        <w:rPr>
          <w:rFonts w:asciiTheme="minorHAnsi" w:hAnsiTheme="minorHAnsi" w:cs="Arial"/>
          <w:iCs/>
        </w:rPr>
        <w:t xml:space="preserve">% of </w:t>
      </w:r>
      <w:r w:rsidR="00122B8E" w:rsidRPr="0038480B">
        <w:rPr>
          <w:rFonts w:asciiTheme="minorHAnsi" w:hAnsiTheme="minorHAnsi" w:cs="Arial"/>
          <w:iCs/>
        </w:rPr>
        <w:t>61,</w:t>
      </w:r>
      <w:r w:rsidR="00023695" w:rsidRPr="0038480B">
        <w:rPr>
          <w:rFonts w:asciiTheme="minorHAnsi" w:hAnsiTheme="minorHAnsi" w:cs="Arial"/>
          <w:iCs/>
        </w:rPr>
        <w:t>339</w:t>
      </w:r>
      <w:r w:rsidR="00F03158" w:rsidRPr="0038480B">
        <w:rPr>
          <w:rFonts w:asciiTheme="minorHAnsi" w:hAnsiTheme="minorHAnsi" w:cs="Arial"/>
          <w:iCs/>
        </w:rPr>
        <w:t xml:space="preserve"> </w:t>
      </w:r>
      <w:r w:rsidR="00AA3E49">
        <w:rPr>
          <w:rFonts w:asciiTheme="minorHAnsi" w:hAnsiTheme="minorHAnsi" w:cs="Arial"/>
          <w:iCs/>
        </w:rPr>
        <w:t>S</w:t>
      </w:r>
      <w:r w:rsidR="00F03158" w:rsidRPr="0038480B">
        <w:rPr>
          <w:rFonts w:asciiTheme="minorHAnsi" w:hAnsiTheme="minorHAnsi" w:cs="Arial"/>
          <w:iCs/>
        </w:rPr>
        <w:t>tate agency</w:t>
      </w:r>
      <w:r w:rsidR="00AA3E49">
        <w:rPr>
          <w:rFonts w:asciiTheme="minorHAnsi" w:hAnsiTheme="minorHAnsi" w:cs="Arial"/>
          <w:iCs/>
        </w:rPr>
        <w:t>,</w:t>
      </w:r>
      <w:r w:rsidR="00C14429" w:rsidRPr="0038480B">
        <w:rPr>
          <w:rFonts w:asciiTheme="minorHAnsi" w:hAnsiTheme="minorHAnsi" w:cs="Arial"/>
          <w:iCs/>
        </w:rPr>
        <w:t xml:space="preserve"> S</w:t>
      </w:r>
      <w:r w:rsidR="0065647A" w:rsidRPr="0038480B">
        <w:rPr>
          <w:rFonts w:asciiTheme="minorHAnsi" w:hAnsiTheme="minorHAnsi" w:cs="Arial"/>
          <w:iCs/>
        </w:rPr>
        <w:t>tate Human Resource Act (SHRA)</w:t>
      </w:r>
      <w:r w:rsidR="00F03158" w:rsidRPr="0038480B">
        <w:rPr>
          <w:rFonts w:asciiTheme="minorHAnsi" w:hAnsiTheme="minorHAnsi" w:cs="Arial"/>
          <w:iCs/>
        </w:rPr>
        <w:t xml:space="preserve"> </w:t>
      </w:r>
      <w:r w:rsidR="006977AE" w:rsidRPr="0038480B">
        <w:rPr>
          <w:rFonts w:asciiTheme="minorHAnsi" w:hAnsiTheme="minorHAnsi" w:cs="Arial"/>
          <w:iCs/>
        </w:rPr>
        <w:t xml:space="preserve">employees is approximately </w:t>
      </w:r>
      <w:r w:rsidR="00122B8E" w:rsidRPr="0038480B">
        <w:rPr>
          <w:rFonts w:asciiTheme="minorHAnsi" w:hAnsiTheme="minorHAnsi" w:cs="Arial"/>
          <w:iCs/>
        </w:rPr>
        <w:t>4,</w:t>
      </w:r>
      <w:r w:rsidR="00023695" w:rsidRPr="0038480B">
        <w:rPr>
          <w:rFonts w:asciiTheme="minorHAnsi" w:hAnsiTheme="minorHAnsi" w:cs="Arial"/>
          <w:iCs/>
        </w:rPr>
        <w:t>907</w:t>
      </w:r>
      <w:r w:rsidR="006977AE" w:rsidRPr="0038480B">
        <w:rPr>
          <w:rFonts w:asciiTheme="minorHAnsi" w:hAnsiTheme="minorHAnsi" w:cs="Arial"/>
          <w:iCs/>
        </w:rPr>
        <w:t xml:space="preserve">, multiplied by average </w:t>
      </w:r>
      <w:r w:rsidR="00AA3E49">
        <w:rPr>
          <w:rFonts w:asciiTheme="minorHAnsi" w:hAnsiTheme="minorHAnsi" w:cs="Arial"/>
          <w:iCs/>
        </w:rPr>
        <w:t>S</w:t>
      </w:r>
      <w:r w:rsidR="006977AE" w:rsidRPr="0038480B">
        <w:rPr>
          <w:rFonts w:asciiTheme="minorHAnsi" w:hAnsiTheme="minorHAnsi" w:cs="Arial"/>
          <w:iCs/>
        </w:rPr>
        <w:t>tate salary $</w:t>
      </w:r>
      <w:r w:rsidR="00777FD8" w:rsidRPr="0038480B">
        <w:rPr>
          <w:rFonts w:asciiTheme="minorHAnsi" w:hAnsiTheme="minorHAnsi" w:cs="Arial"/>
          <w:iCs/>
        </w:rPr>
        <w:t>47,333</w:t>
      </w:r>
      <w:r w:rsidR="006977AE" w:rsidRPr="0038480B">
        <w:rPr>
          <w:rFonts w:asciiTheme="minorHAnsi" w:hAnsiTheme="minorHAnsi" w:cs="Arial"/>
          <w:iCs/>
        </w:rPr>
        <w:t>, multiplied by 150%)</w:t>
      </w:r>
      <w:r w:rsidRPr="0038480B">
        <w:rPr>
          <w:rFonts w:asciiTheme="minorHAnsi" w:hAnsiTheme="minorHAnsi" w:cs="Arial"/>
          <w:iCs/>
        </w:rPr>
        <w:t>.  Because</w:t>
      </w:r>
      <w:r w:rsidRPr="002B4667">
        <w:rPr>
          <w:rFonts w:asciiTheme="minorHAnsi" w:hAnsiTheme="minorHAnsi" w:cs="Arial"/>
          <w:iCs/>
        </w:rPr>
        <w:t xml:space="preserve"> the cost of replacing </w:t>
      </w:r>
      <w:r w:rsidR="006C5908" w:rsidRPr="002B4667">
        <w:rPr>
          <w:rFonts w:asciiTheme="minorHAnsi" w:hAnsiTheme="minorHAnsi" w:cs="Arial"/>
          <w:iCs/>
        </w:rPr>
        <w:t xml:space="preserve">human capital </w:t>
      </w:r>
      <w:r w:rsidRPr="002B4667">
        <w:rPr>
          <w:rFonts w:asciiTheme="minorHAnsi" w:hAnsiTheme="minorHAnsi" w:cs="Arial"/>
          <w:iCs/>
        </w:rPr>
        <w:t xml:space="preserve">is so high, </w:t>
      </w:r>
      <w:r w:rsidR="007306A5" w:rsidRPr="002B4667">
        <w:rPr>
          <w:rFonts w:asciiTheme="minorHAnsi" w:hAnsiTheme="minorHAnsi" w:cs="Arial"/>
          <w:iCs/>
        </w:rPr>
        <w:t>this</w:t>
      </w:r>
      <w:r w:rsidRPr="002B4667">
        <w:rPr>
          <w:rFonts w:asciiTheme="minorHAnsi" w:hAnsiTheme="minorHAnsi" w:cs="Arial"/>
          <w:iCs/>
        </w:rPr>
        <w:t xml:space="preserve"> underscores the need to closely monitor turnover,</w:t>
      </w:r>
      <w:r w:rsidR="00803677" w:rsidRPr="002B4667">
        <w:rPr>
          <w:rFonts w:asciiTheme="minorHAnsi" w:hAnsiTheme="minorHAnsi" w:cs="Arial"/>
          <w:iCs/>
        </w:rPr>
        <w:t xml:space="preserve"> strive for competitive salaries</w:t>
      </w:r>
      <w:r w:rsidRPr="002B4667">
        <w:rPr>
          <w:rFonts w:asciiTheme="minorHAnsi" w:hAnsiTheme="minorHAnsi" w:cs="Arial"/>
          <w:iCs/>
        </w:rPr>
        <w:t>, and maintain a positive work environment</w:t>
      </w:r>
      <w:r w:rsidR="00803677" w:rsidRPr="002B4667">
        <w:rPr>
          <w:rFonts w:asciiTheme="minorHAnsi" w:hAnsiTheme="minorHAnsi" w:cs="Arial"/>
          <w:iCs/>
        </w:rPr>
        <w:t xml:space="preserve"> with high employee engagement levels</w:t>
      </w:r>
      <w:r w:rsidR="0080083C" w:rsidRPr="002B4667">
        <w:rPr>
          <w:rFonts w:asciiTheme="minorHAnsi" w:hAnsiTheme="minorHAnsi" w:cs="Arial"/>
          <w:iCs/>
        </w:rPr>
        <w:t>.</w:t>
      </w:r>
      <w:r w:rsidR="00E17D82" w:rsidRPr="002B4667">
        <w:rPr>
          <w:rFonts w:asciiTheme="minorHAnsi" w:hAnsiTheme="minorHAnsi" w:cs="Arial"/>
          <w:iCs/>
        </w:rPr>
        <w:t xml:space="preserve">  Turnover rates are continuing to increase and the pending Statewide Compensation Program has been </w:t>
      </w:r>
      <w:r w:rsidR="00D14017" w:rsidRPr="002B4667">
        <w:rPr>
          <w:rFonts w:asciiTheme="minorHAnsi" w:hAnsiTheme="minorHAnsi" w:cs="Arial"/>
          <w:iCs/>
        </w:rPr>
        <w:t>developed as a system that will be used to retain the workforce due to its flexibility and ability to provide job enrichment along with career paths laterally and upwardly.</w:t>
      </w:r>
      <w:r w:rsidR="002B4667">
        <w:rPr>
          <w:rFonts w:asciiTheme="minorHAnsi" w:hAnsiTheme="minorHAnsi" w:cs="Arial"/>
          <w:iCs/>
        </w:rPr>
        <w:t xml:space="preserve"> </w:t>
      </w:r>
      <w:r w:rsidR="002B4667" w:rsidRPr="00554B00">
        <w:rPr>
          <w:rFonts w:asciiTheme="minorHAnsi" w:hAnsiTheme="minorHAnsi" w:cs="Arial"/>
          <w:iCs/>
          <w:color w:val="000000" w:themeColor="text1"/>
        </w:rPr>
        <w:t xml:space="preserve">However, </w:t>
      </w:r>
      <w:r w:rsidR="0038480B" w:rsidRPr="00554B00">
        <w:rPr>
          <w:rFonts w:asciiTheme="minorHAnsi" w:hAnsiTheme="minorHAnsi" w:cs="Arial"/>
          <w:iCs/>
          <w:color w:val="000000" w:themeColor="text1"/>
        </w:rPr>
        <w:t xml:space="preserve">continued funding based on market data is </w:t>
      </w:r>
      <w:r w:rsidR="002B4667" w:rsidRPr="00554B00">
        <w:rPr>
          <w:rFonts w:asciiTheme="minorHAnsi" w:hAnsiTheme="minorHAnsi" w:cs="Arial"/>
          <w:iCs/>
          <w:color w:val="000000" w:themeColor="text1"/>
        </w:rPr>
        <w:t>needed in order for this to be effective.</w:t>
      </w:r>
    </w:p>
    <w:p w14:paraId="3E7407E4" w14:textId="77777777" w:rsidR="006977AE" w:rsidRPr="002B4667" w:rsidRDefault="006977AE" w:rsidP="009B5A9D">
      <w:pPr>
        <w:rPr>
          <w:rFonts w:asciiTheme="minorHAnsi" w:hAnsiTheme="minorHAnsi" w:cs="Arial"/>
          <w:iCs/>
        </w:rPr>
      </w:pPr>
    </w:p>
    <w:p w14:paraId="045F9837" w14:textId="63A73031" w:rsidR="00465F21" w:rsidRDefault="00465F21" w:rsidP="009B5A9D">
      <w:pPr>
        <w:jc w:val="both"/>
        <w:rPr>
          <w:rFonts w:asciiTheme="minorHAnsi" w:hAnsiTheme="minorHAnsi" w:cs="Arial"/>
          <w:iCs/>
        </w:rPr>
      </w:pPr>
      <w:r w:rsidRPr="00A924F2">
        <w:rPr>
          <w:rFonts w:asciiTheme="minorHAnsi" w:hAnsiTheme="minorHAnsi" w:cs="Arial"/>
          <w:iCs/>
        </w:rPr>
        <w:t xml:space="preserve">While the retirement rate has remained relatively steady in recent years, it is widely </w:t>
      </w:r>
      <w:r w:rsidR="000D4540" w:rsidRPr="00A924F2">
        <w:rPr>
          <w:rFonts w:asciiTheme="minorHAnsi" w:hAnsiTheme="minorHAnsi" w:cs="Arial"/>
          <w:iCs/>
        </w:rPr>
        <w:t>anticipated</w:t>
      </w:r>
      <w:r w:rsidRPr="00A924F2">
        <w:rPr>
          <w:rFonts w:asciiTheme="minorHAnsi" w:hAnsiTheme="minorHAnsi" w:cs="Arial"/>
          <w:iCs/>
        </w:rPr>
        <w:t xml:space="preserve"> that the </w:t>
      </w:r>
      <w:r w:rsidR="009B5A9D">
        <w:rPr>
          <w:rFonts w:asciiTheme="minorHAnsi" w:hAnsiTheme="minorHAnsi" w:cs="Arial"/>
          <w:iCs/>
        </w:rPr>
        <w:t>B</w:t>
      </w:r>
      <w:r w:rsidRPr="00A924F2">
        <w:rPr>
          <w:rFonts w:asciiTheme="minorHAnsi" w:hAnsiTheme="minorHAnsi" w:cs="Arial"/>
          <w:iCs/>
        </w:rPr>
        <w:t xml:space="preserve">aby </w:t>
      </w:r>
      <w:r w:rsidR="009B5A9D">
        <w:rPr>
          <w:rFonts w:asciiTheme="minorHAnsi" w:hAnsiTheme="minorHAnsi" w:cs="Arial"/>
          <w:iCs/>
        </w:rPr>
        <w:t>B</w:t>
      </w:r>
      <w:r w:rsidRPr="00A924F2">
        <w:rPr>
          <w:rFonts w:asciiTheme="minorHAnsi" w:hAnsiTheme="minorHAnsi" w:cs="Arial"/>
          <w:iCs/>
        </w:rPr>
        <w:t xml:space="preserve">oomer generation will be leaving the workforce at a more accelerated rate in the next </w:t>
      </w:r>
      <w:r w:rsidR="009B5A9D">
        <w:rPr>
          <w:rFonts w:asciiTheme="minorHAnsi" w:hAnsiTheme="minorHAnsi" w:cs="Arial"/>
          <w:iCs/>
        </w:rPr>
        <w:t>three</w:t>
      </w:r>
      <w:r w:rsidRPr="00A924F2">
        <w:rPr>
          <w:rFonts w:asciiTheme="minorHAnsi" w:hAnsiTheme="minorHAnsi" w:cs="Arial"/>
          <w:iCs/>
        </w:rPr>
        <w:t xml:space="preserve"> to 10 years</w:t>
      </w:r>
      <w:r w:rsidR="006C5908" w:rsidRPr="00A924F2">
        <w:rPr>
          <w:rFonts w:asciiTheme="minorHAnsi" w:hAnsiTheme="minorHAnsi" w:cs="Arial"/>
          <w:iCs/>
        </w:rPr>
        <w:t>.  This is</w:t>
      </w:r>
      <w:r w:rsidRPr="00A924F2">
        <w:rPr>
          <w:rFonts w:asciiTheme="minorHAnsi" w:hAnsiTheme="minorHAnsi" w:cs="Arial"/>
          <w:iCs/>
        </w:rPr>
        <w:t xml:space="preserve"> especially critical in light of the fact that the </w:t>
      </w:r>
      <w:r w:rsidR="00AA3E49">
        <w:rPr>
          <w:rFonts w:asciiTheme="minorHAnsi" w:hAnsiTheme="minorHAnsi" w:cs="Arial"/>
          <w:iCs/>
        </w:rPr>
        <w:t>S</w:t>
      </w:r>
      <w:r w:rsidRPr="00A924F2">
        <w:rPr>
          <w:rFonts w:asciiTheme="minorHAnsi" w:hAnsiTheme="minorHAnsi" w:cs="Arial"/>
          <w:iCs/>
        </w:rPr>
        <w:t xml:space="preserve">tate consistently has </w:t>
      </w:r>
      <w:r w:rsidR="000D4540" w:rsidRPr="00A924F2">
        <w:rPr>
          <w:rFonts w:asciiTheme="minorHAnsi" w:hAnsiTheme="minorHAnsi" w:cs="Arial"/>
          <w:iCs/>
        </w:rPr>
        <w:t>difficulty</w:t>
      </w:r>
      <w:r w:rsidRPr="00A924F2">
        <w:rPr>
          <w:rFonts w:asciiTheme="minorHAnsi" w:hAnsiTheme="minorHAnsi" w:cs="Arial"/>
          <w:iCs/>
        </w:rPr>
        <w:t xml:space="preserve"> </w:t>
      </w:r>
      <w:r w:rsidR="00461A89" w:rsidRPr="00A924F2">
        <w:rPr>
          <w:rFonts w:asciiTheme="minorHAnsi" w:hAnsiTheme="minorHAnsi" w:cs="Arial"/>
          <w:iCs/>
        </w:rPr>
        <w:t xml:space="preserve">attracting </w:t>
      </w:r>
      <w:r w:rsidRPr="00A924F2">
        <w:rPr>
          <w:rFonts w:asciiTheme="minorHAnsi" w:hAnsiTheme="minorHAnsi" w:cs="Arial"/>
          <w:iCs/>
        </w:rPr>
        <w:t xml:space="preserve">younger employees entering the workforce. </w:t>
      </w:r>
      <w:r w:rsidR="009B5A9D">
        <w:rPr>
          <w:rFonts w:asciiTheme="minorHAnsi" w:hAnsiTheme="minorHAnsi" w:cs="Arial"/>
          <w:iCs/>
        </w:rPr>
        <w:t>Turnover among 18-25-year-</w:t>
      </w:r>
      <w:r w:rsidR="005F1218" w:rsidRPr="00A168FA">
        <w:rPr>
          <w:rFonts w:asciiTheme="minorHAnsi" w:hAnsiTheme="minorHAnsi" w:cs="Arial"/>
          <w:iCs/>
        </w:rPr>
        <w:t xml:space="preserve">olds </w:t>
      </w:r>
      <w:r w:rsidR="00C14429" w:rsidRPr="00A168FA">
        <w:rPr>
          <w:rFonts w:asciiTheme="minorHAnsi" w:hAnsiTheme="minorHAnsi" w:cs="Arial"/>
          <w:iCs/>
        </w:rPr>
        <w:t xml:space="preserve">slowed in relation to </w:t>
      </w:r>
      <w:r w:rsidR="005F1218" w:rsidRPr="00A168FA">
        <w:rPr>
          <w:rFonts w:asciiTheme="minorHAnsi" w:hAnsiTheme="minorHAnsi" w:cs="Arial"/>
          <w:iCs/>
        </w:rPr>
        <w:t xml:space="preserve">overall </w:t>
      </w:r>
      <w:r w:rsidR="00AA3E49">
        <w:rPr>
          <w:rFonts w:asciiTheme="minorHAnsi" w:hAnsiTheme="minorHAnsi" w:cs="Arial"/>
          <w:iCs/>
        </w:rPr>
        <w:t>S</w:t>
      </w:r>
      <w:r w:rsidR="005F1218" w:rsidRPr="00A168FA">
        <w:rPr>
          <w:rFonts w:asciiTheme="minorHAnsi" w:hAnsiTheme="minorHAnsi" w:cs="Arial"/>
          <w:iCs/>
        </w:rPr>
        <w:t xml:space="preserve">tate </w:t>
      </w:r>
      <w:r w:rsidR="000D4540" w:rsidRPr="00A168FA">
        <w:rPr>
          <w:rFonts w:asciiTheme="minorHAnsi" w:hAnsiTheme="minorHAnsi" w:cs="Arial"/>
          <w:iCs/>
        </w:rPr>
        <w:t xml:space="preserve">employee turnover </w:t>
      </w:r>
      <w:r w:rsidR="00C14429" w:rsidRPr="00A168FA">
        <w:rPr>
          <w:rFonts w:asciiTheme="minorHAnsi" w:hAnsiTheme="minorHAnsi" w:cs="Arial"/>
          <w:iCs/>
        </w:rPr>
        <w:t>from 2011 to 2014 but is beginning to rapidly outpace it again</w:t>
      </w:r>
      <w:r w:rsidR="005F1218" w:rsidRPr="00A168FA">
        <w:rPr>
          <w:rFonts w:asciiTheme="minorHAnsi" w:hAnsiTheme="minorHAnsi" w:cs="Arial"/>
          <w:iCs/>
        </w:rPr>
        <w:t>.</w:t>
      </w:r>
      <w:r w:rsidR="00A0277D" w:rsidRPr="00A924F2">
        <w:rPr>
          <w:rFonts w:asciiTheme="minorHAnsi" w:hAnsiTheme="minorHAnsi" w:cs="Arial"/>
          <w:iCs/>
          <w:sz w:val="14"/>
          <w:szCs w:val="16"/>
        </w:rPr>
        <w:t xml:space="preserve"> </w:t>
      </w:r>
      <w:r w:rsidRPr="00A924F2">
        <w:rPr>
          <w:rFonts w:asciiTheme="minorHAnsi" w:hAnsiTheme="minorHAnsi" w:cs="Arial"/>
          <w:iCs/>
        </w:rPr>
        <w:t>Meanwhile, the average age of N</w:t>
      </w:r>
      <w:r w:rsidR="009B5A9D">
        <w:rPr>
          <w:rFonts w:asciiTheme="minorHAnsi" w:hAnsiTheme="minorHAnsi" w:cs="Arial"/>
          <w:iCs/>
        </w:rPr>
        <w:t>orth Carolina</w:t>
      </w:r>
      <w:r w:rsidRPr="00A924F2">
        <w:rPr>
          <w:rFonts w:asciiTheme="minorHAnsi" w:hAnsiTheme="minorHAnsi" w:cs="Arial"/>
          <w:iCs/>
        </w:rPr>
        <w:t xml:space="preserve"> </w:t>
      </w:r>
      <w:r w:rsidR="00AA3E49">
        <w:rPr>
          <w:rFonts w:asciiTheme="minorHAnsi" w:hAnsiTheme="minorHAnsi" w:cs="Arial"/>
          <w:iCs/>
        </w:rPr>
        <w:t>S</w:t>
      </w:r>
      <w:r w:rsidRPr="00A924F2">
        <w:rPr>
          <w:rFonts w:asciiTheme="minorHAnsi" w:hAnsiTheme="minorHAnsi" w:cs="Arial"/>
          <w:iCs/>
        </w:rPr>
        <w:t xml:space="preserve">tate employees </w:t>
      </w:r>
      <w:r w:rsidR="000D4540" w:rsidRPr="00A924F2">
        <w:rPr>
          <w:rFonts w:asciiTheme="minorHAnsi" w:hAnsiTheme="minorHAnsi" w:cs="Arial"/>
          <w:iCs/>
        </w:rPr>
        <w:t xml:space="preserve">steadily increased from 2000 to 2007, but has recently held steady at around age </w:t>
      </w:r>
      <w:r w:rsidR="00D25FC3" w:rsidRPr="00A924F2">
        <w:rPr>
          <w:rFonts w:asciiTheme="minorHAnsi" w:hAnsiTheme="minorHAnsi" w:cs="Arial"/>
          <w:iCs/>
        </w:rPr>
        <w:t xml:space="preserve">46 for the past </w:t>
      </w:r>
      <w:r w:rsidR="00645DF6" w:rsidRPr="00A924F2">
        <w:rPr>
          <w:rFonts w:asciiTheme="minorHAnsi" w:hAnsiTheme="minorHAnsi" w:cs="Arial"/>
          <w:iCs/>
        </w:rPr>
        <w:t>few</w:t>
      </w:r>
      <w:r w:rsidR="00D25FC3" w:rsidRPr="00A924F2">
        <w:rPr>
          <w:rFonts w:asciiTheme="minorHAnsi" w:hAnsiTheme="minorHAnsi" w:cs="Arial"/>
          <w:iCs/>
        </w:rPr>
        <w:t xml:space="preserve"> </w:t>
      </w:r>
      <w:r w:rsidR="00D25FC3" w:rsidRPr="00554B00">
        <w:rPr>
          <w:rFonts w:asciiTheme="minorHAnsi" w:hAnsiTheme="minorHAnsi" w:cs="Arial"/>
          <w:iCs/>
        </w:rPr>
        <w:t>years</w:t>
      </w:r>
      <w:r w:rsidR="000D4540" w:rsidRPr="00554B00">
        <w:rPr>
          <w:rFonts w:asciiTheme="minorHAnsi" w:hAnsiTheme="minorHAnsi" w:cs="Arial"/>
          <w:iCs/>
        </w:rPr>
        <w:t>.</w:t>
      </w:r>
      <w:r w:rsidR="00755AAD" w:rsidRPr="00554B00">
        <w:rPr>
          <w:rFonts w:asciiTheme="minorHAnsi" w:hAnsiTheme="minorHAnsi" w:cs="Arial"/>
          <w:iCs/>
        </w:rPr>
        <w:t xml:space="preserve"> The average age for 2017 is 47, the first time the average age has increased in </w:t>
      </w:r>
      <w:r w:rsidR="009B5A9D">
        <w:rPr>
          <w:rFonts w:asciiTheme="minorHAnsi" w:hAnsiTheme="minorHAnsi" w:cs="Arial"/>
          <w:iCs/>
        </w:rPr>
        <w:t>six</w:t>
      </w:r>
      <w:r w:rsidR="00755AAD" w:rsidRPr="00554B00">
        <w:rPr>
          <w:rFonts w:asciiTheme="minorHAnsi" w:hAnsiTheme="minorHAnsi" w:cs="Arial"/>
          <w:iCs/>
        </w:rPr>
        <w:t xml:space="preserve"> years.</w:t>
      </w:r>
    </w:p>
    <w:p w14:paraId="625F160C" w14:textId="77777777" w:rsidR="00A76EFA" w:rsidRPr="002B4667" w:rsidRDefault="00A76EFA" w:rsidP="009B5A9D">
      <w:pPr>
        <w:jc w:val="both"/>
        <w:rPr>
          <w:rFonts w:asciiTheme="minorHAnsi" w:hAnsiTheme="minorHAnsi" w:cs="Arial"/>
          <w:iCs/>
        </w:rPr>
      </w:pPr>
    </w:p>
    <w:p w14:paraId="74DDC0AB" w14:textId="23CAB33F" w:rsidR="00A0277D" w:rsidRPr="00A924F2" w:rsidRDefault="00A76EFA" w:rsidP="009B5A9D">
      <w:pPr>
        <w:jc w:val="both"/>
        <w:rPr>
          <w:rFonts w:asciiTheme="minorHAnsi" w:hAnsiTheme="minorHAnsi" w:cs="Arial"/>
          <w:iCs/>
        </w:rPr>
      </w:pPr>
      <w:r w:rsidRPr="002B4667">
        <w:rPr>
          <w:rFonts w:asciiTheme="minorHAnsi" w:hAnsiTheme="minorHAnsi" w:cs="Arial"/>
          <w:iCs/>
        </w:rPr>
        <w:t>Acceptable turnover rates need to be determined within classifications</w:t>
      </w:r>
      <w:r w:rsidR="009B5A9D">
        <w:rPr>
          <w:rFonts w:asciiTheme="minorHAnsi" w:hAnsiTheme="minorHAnsi" w:cs="Arial"/>
          <w:iCs/>
        </w:rPr>
        <w:t>,</w:t>
      </w:r>
      <w:r w:rsidRPr="002B4667">
        <w:rPr>
          <w:rFonts w:asciiTheme="minorHAnsi" w:hAnsiTheme="minorHAnsi" w:cs="Arial"/>
          <w:iCs/>
        </w:rPr>
        <w:t xml:space="preserve"> within agencies or within locations.  </w:t>
      </w:r>
      <w:r w:rsidR="002B4667" w:rsidRPr="00554B00">
        <w:rPr>
          <w:rFonts w:asciiTheme="minorHAnsi" w:hAnsiTheme="minorHAnsi" w:cs="Arial"/>
          <w:iCs/>
          <w:color w:val="000000" w:themeColor="text1"/>
        </w:rPr>
        <w:t>These</w:t>
      </w:r>
      <w:r w:rsidRPr="00554B00">
        <w:rPr>
          <w:rFonts w:asciiTheme="minorHAnsi" w:hAnsiTheme="minorHAnsi" w:cs="Arial"/>
          <w:iCs/>
          <w:color w:val="000000" w:themeColor="text1"/>
        </w:rPr>
        <w:t xml:space="preserve"> </w:t>
      </w:r>
      <w:r w:rsidR="002B4667" w:rsidRPr="00554B00">
        <w:rPr>
          <w:rFonts w:asciiTheme="minorHAnsi" w:hAnsiTheme="minorHAnsi" w:cs="Arial"/>
          <w:iCs/>
          <w:color w:val="000000" w:themeColor="text1"/>
        </w:rPr>
        <w:t>rates</w:t>
      </w:r>
      <w:r w:rsidRPr="00554B00">
        <w:rPr>
          <w:rFonts w:asciiTheme="minorHAnsi" w:hAnsiTheme="minorHAnsi" w:cs="Arial"/>
          <w:iCs/>
          <w:color w:val="000000" w:themeColor="text1"/>
        </w:rPr>
        <w:t xml:space="preserve"> can </w:t>
      </w:r>
      <w:r w:rsidRPr="002B4667">
        <w:rPr>
          <w:rFonts w:asciiTheme="minorHAnsi" w:hAnsiTheme="minorHAnsi" w:cs="Arial"/>
          <w:iCs/>
        </w:rPr>
        <w:t>be affected by many factors and need to be documented.</w:t>
      </w:r>
      <w:r w:rsidR="00A74913">
        <w:rPr>
          <w:rFonts w:asciiTheme="minorHAnsi" w:hAnsiTheme="minorHAnsi" w:cs="Arial"/>
          <w:iCs/>
        </w:rPr>
        <w:t xml:space="preserve"> </w:t>
      </w:r>
      <w:r w:rsidR="00A0277D" w:rsidRPr="00A924F2">
        <w:rPr>
          <w:rFonts w:asciiTheme="minorHAnsi" w:hAnsiTheme="minorHAnsi" w:cs="Arial"/>
          <w:iCs/>
        </w:rPr>
        <w:t>Charts showing turnover and workforce age trends are included in the appendix of this report.</w:t>
      </w:r>
    </w:p>
    <w:p w14:paraId="6BA64E84" w14:textId="77777777" w:rsidR="001D4CFB" w:rsidRPr="00620DE7" w:rsidRDefault="001D4CFB" w:rsidP="002010B7">
      <w:pPr>
        <w:rPr>
          <w:rFonts w:asciiTheme="minorHAnsi" w:hAnsiTheme="minorHAnsi" w:cstheme="minorHAnsi"/>
          <w:b/>
          <w:iCs/>
        </w:rPr>
      </w:pPr>
    </w:p>
    <w:p w14:paraId="661F1576" w14:textId="77777777" w:rsidR="001F27D2" w:rsidRPr="00620DE7" w:rsidRDefault="002A2C4B" w:rsidP="002010B7">
      <w:pPr>
        <w:rPr>
          <w:rFonts w:asciiTheme="minorHAnsi" w:hAnsiTheme="minorHAnsi" w:cstheme="minorHAnsi"/>
          <w:b/>
          <w:iCs/>
          <w:sz w:val="24"/>
          <w:szCs w:val="24"/>
        </w:rPr>
      </w:pPr>
      <w:r w:rsidRPr="00620DE7">
        <w:rPr>
          <w:rFonts w:asciiTheme="minorHAnsi" w:hAnsiTheme="minorHAnsi" w:cstheme="minorHAnsi"/>
          <w:b/>
          <w:iCs/>
          <w:sz w:val="24"/>
          <w:szCs w:val="24"/>
        </w:rPr>
        <w:t>Longevity</w:t>
      </w:r>
    </w:p>
    <w:p w14:paraId="4D79A6D5" w14:textId="53065BB7" w:rsidR="002A2C4B" w:rsidRDefault="002A2C4B" w:rsidP="00620DE7">
      <w:pPr>
        <w:jc w:val="both"/>
        <w:rPr>
          <w:rFonts w:asciiTheme="minorHAnsi" w:hAnsiTheme="minorHAnsi" w:cs="Arial"/>
          <w:szCs w:val="24"/>
        </w:rPr>
      </w:pPr>
      <w:r w:rsidRPr="00A924F2">
        <w:rPr>
          <w:rFonts w:asciiTheme="minorHAnsi" w:hAnsiTheme="minorHAnsi" w:cs="Arial"/>
          <w:szCs w:val="24"/>
        </w:rPr>
        <w:t xml:space="preserve">Currently the </w:t>
      </w:r>
      <w:r w:rsidR="00AA3E49">
        <w:rPr>
          <w:rFonts w:asciiTheme="minorHAnsi" w:hAnsiTheme="minorHAnsi" w:cs="Arial"/>
          <w:szCs w:val="24"/>
        </w:rPr>
        <w:t>S</w:t>
      </w:r>
      <w:r w:rsidRPr="00A924F2">
        <w:rPr>
          <w:rFonts w:asciiTheme="minorHAnsi" w:hAnsiTheme="minorHAnsi" w:cs="Arial"/>
          <w:szCs w:val="24"/>
        </w:rPr>
        <w:t xml:space="preserve">tate pays a longevity bonus to career employees with more than </w:t>
      </w:r>
      <w:r w:rsidR="009B5A9D">
        <w:rPr>
          <w:rFonts w:asciiTheme="minorHAnsi" w:hAnsiTheme="minorHAnsi" w:cs="Arial"/>
          <w:szCs w:val="24"/>
        </w:rPr>
        <w:t>10</w:t>
      </w:r>
      <w:r w:rsidRPr="00A924F2">
        <w:rPr>
          <w:rFonts w:asciiTheme="minorHAnsi" w:hAnsiTheme="minorHAnsi" w:cs="Arial"/>
          <w:szCs w:val="24"/>
        </w:rPr>
        <w:t xml:space="preserve"> years of service. </w:t>
      </w:r>
      <w:r w:rsidRPr="00A924F2">
        <w:rPr>
          <w:rFonts w:asciiTheme="minorHAnsi" w:hAnsiTheme="minorHAnsi" w:cs="Arial"/>
          <w:b/>
          <w:szCs w:val="24"/>
        </w:rPr>
        <w:t xml:space="preserve">As this is a “time in service” benefit with no basis in market or performance, </w:t>
      </w:r>
      <w:r w:rsidR="002B4667" w:rsidRPr="00554B00">
        <w:rPr>
          <w:rFonts w:asciiTheme="minorHAnsi" w:hAnsiTheme="minorHAnsi" w:cs="Arial"/>
          <w:b/>
          <w:color w:val="000000" w:themeColor="text1"/>
          <w:szCs w:val="24"/>
        </w:rPr>
        <w:t>the practice could be reevaluated in concert with market-based changes going forward</w:t>
      </w:r>
      <w:r w:rsidRPr="00554B00">
        <w:rPr>
          <w:rFonts w:asciiTheme="minorHAnsi" w:hAnsiTheme="minorHAnsi" w:cs="Arial"/>
          <w:color w:val="000000" w:themeColor="text1"/>
          <w:szCs w:val="24"/>
        </w:rPr>
        <w:t>.</w:t>
      </w:r>
      <w:r w:rsidRPr="00A924F2">
        <w:rPr>
          <w:rFonts w:asciiTheme="minorHAnsi" w:hAnsiTheme="minorHAnsi" w:cs="Arial"/>
          <w:szCs w:val="24"/>
        </w:rPr>
        <w:t xml:space="preserve">  About 4</w:t>
      </w:r>
      <w:r w:rsidR="00554B00">
        <w:rPr>
          <w:rFonts w:asciiTheme="minorHAnsi" w:hAnsiTheme="minorHAnsi" w:cs="Arial"/>
          <w:szCs w:val="24"/>
        </w:rPr>
        <w:t>1</w:t>
      </w:r>
      <w:r w:rsidRPr="00A924F2">
        <w:rPr>
          <w:rFonts w:asciiTheme="minorHAnsi" w:hAnsiTheme="minorHAnsi" w:cs="Arial"/>
          <w:szCs w:val="24"/>
        </w:rPr>
        <w:t xml:space="preserve">% of employees subject to the State Human Resources </w:t>
      </w:r>
      <w:r w:rsidR="00742527">
        <w:rPr>
          <w:rFonts w:asciiTheme="minorHAnsi" w:hAnsiTheme="minorHAnsi" w:cs="Arial"/>
          <w:szCs w:val="24"/>
        </w:rPr>
        <w:t>A</w:t>
      </w:r>
      <w:r w:rsidRPr="00A924F2">
        <w:rPr>
          <w:rFonts w:asciiTheme="minorHAnsi" w:hAnsiTheme="minorHAnsi" w:cs="Arial"/>
          <w:szCs w:val="24"/>
        </w:rPr>
        <w:t xml:space="preserve">ct are currently eligible for longevity bonuses at a cost of </w:t>
      </w:r>
      <w:r w:rsidR="0020509A" w:rsidRPr="00A924F2">
        <w:rPr>
          <w:rFonts w:asciiTheme="minorHAnsi" w:hAnsiTheme="minorHAnsi" w:cs="Arial"/>
          <w:szCs w:val="24"/>
        </w:rPr>
        <w:t>nearly $</w:t>
      </w:r>
      <w:r w:rsidR="00554B00">
        <w:rPr>
          <w:rFonts w:asciiTheme="minorHAnsi" w:hAnsiTheme="minorHAnsi" w:cs="Arial"/>
          <w:szCs w:val="24"/>
        </w:rPr>
        <w:t>48</w:t>
      </w:r>
      <w:r w:rsidR="0020509A" w:rsidRPr="00A924F2">
        <w:rPr>
          <w:rFonts w:asciiTheme="minorHAnsi" w:hAnsiTheme="minorHAnsi" w:cs="Arial"/>
          <w:szCs w:val="24"/>
        </w:rPr>
        <w:t xml:space="preserve"> mil</w:t>
      </w:r>
      <w:r w:rsidRPr="00A924F2">
        <w:rPr>
          <w:rFonts w:asciiTheme="minorHAnsi" w:hAnsiTheme="minorHAnsi" w:cs="Arial"/>
          <w:szCs w:val="24"/>
        </w:rPr>
        <w:t>lion per year.</w:t>
      </w:r>
      <w:r w:rsidR="00C32739" w:rsidRPr="00A924F2">
        <w:rPr>
          <w:rFonts w:asciiTheme="minorHAnsi" w:hAnsiTheme="minorHAnsi" w:cs="Arial"/>
          <w:szCs w:val="24"/>
        </w:rPr>
        <w:t xml:space="preserve"> N</w:t>
      </w:r>
      <w:r w:rsidR="009B5A9D">
        <w:rPr>
          <w:rFonts w:asciiTheme="minorHAnsi" w:hAnsiTheme="minorHAnsi" w:cs="Arial"/>
          <w:szCs w:val="24"/>
        </w:rPr>
        <w:t>orth Carolina</w:t>
      </w:r>
      <w:r w:rsidR="00C32739" w:rsidRPr="00A924F2">
        <w:rPr>
          <w:rFonts w:asciiTheme="minorHAnsi" w:hAnsiTheme="minorHAnsi" w:cs="Arial"/>
          <w:szCs w:val="24"/>
        </w:rPr>
        <w:t xml:space="preserve"> pays t</w:t>
      </w:r>
      <w:r w:rsidR="006D79FE" w:rsidRPr="00A924F2">
        <w:rPr>
          <w:rFonts w:asciiTheme="minorHAnsi" w:hAnsiTheme="minorHAnsi" w:cs="Arial"/>
          <w:szCs w:val="24"/>
        </w:rPr>
        <w:t xml:space="preserve">he average </w:t>
      </w:r>
      <w:r w:rsidR="009B5A9D">
        <w:rPr>
          <w:rFonts w:asciiTheme="minorHAnsi" w:hAnsiTheme="minorHAnsi" w:cs="Arial"/>
          <w:szCs w:val="24"/>
        </w:rPr>
        <w:t>S</w:t>
      </w:r>
      <w:r w:rsidR="006D79FE" w:rsidRPr="00A924F2">
        <w:rPr>
          <w:rFonts w:asciiTheme="minorHAnsi" w:hAnsiTheme="minorHAnsi" w:cs="Arial"/>
          <w:szCs w:val="24"/>
        </w:rPr>
        <w:t>tate employee a $</w:t>
      </w:r>
      <w:r w:rsidR="00554B00">
        <w:rPr>
          <w:rFonts w:asciiTheme="minorHAnsi" w:hAnsiTheme="minorHAnsi" w:cs="Arial"/>
          <w:szCs w:val="24"/>
        </w:rPr>
        <w:t>1,392</w:t>
      </w:r>
      <w:r w:rsidR="00C32739" w:rsidRPr="00A924F2">
        <w:rPr>
          <w:rFonts w:asciiTheme="minorHAnsi" w:hAnsiTheme="minorHAnsi" w:cs="Arial"/>
          <w:szCs w:val="24"/>
        </w:rPr>
        <w:t xml:space="preserve"> longevity bonus. This is based on a graduated percentage-based schedule starting at 1.50% of annual salary for </w:t>
      </w:r>
      <w:r w:rsidR="009B5A9D">
        <w:rPr>
          <w:rFonts w:asciiTheme="minorHAnsi" w:hAnsiTheme="minorHAnsi" w:cs="Arial"/>
          <w:szCs w:val="24"/>
        </w:rPr>
        <w:t>10</w:t>
      </w:r>
      <w:r w:rsidR="00C32739" w:rsidRPr="00A924F2">
        <w:rPr>
          <w:rFonts w:asciiTheme="minorHAnsi" w:hAnsiTheme="minorHAnsi" w:cs="Arial"/>
          <w:szCs w:val="24"/>
        </w:rPr>
        <w:t xml:space="preserve"> years of service and increasing every five years to 4.5% for </w:t>
      </w:r>
      <w:r w:rsidR="009B5A9D">
        <w:rPr>
          <w:rFonts w:asciiTheme="minorHAnsi" w:hAnsiTheme="minorHAnsi" w:cs="Arial"/>
          <w:szCs w:val="24"/>
        </w:rPr>
        <w:t>25</w:t>
      </w:r>
      <w:r w:rsidR="002B37DE" w:rsidRPr="00A924F2">
        <w:rPr>
          <w:rFonts w:asciiTheme="minorHAnsi" w:hAnsiTheme="minorHAnsi" w:cs="Arial"/>
          <w:szCs w:val="24"/>
        </w:rPr>
        <w:t xml:space="preserve"> years of service. Table 6</w:t>
      </w:r>
      <w:r w:rsidR="0067689C">
        <w:rPr>
          <w:rFonts w:asciiTheme="minorHAnsi" w:hAnsiTheme="minorHAnsi" w:cs="Arial"/>
          <w:szCs w:val="24"/>
        </w:rPr>
        <w:t xml:space="preserve"> shows that N.C.’s longevity bonus </w:t>
      </w:r>
      <w:r w:rsidR="00C32739" w:rsidRPr="00A924F2">
        <w:rPr>
          <w:rFonts w:asciiTheme="minorHAnsi" w:hAnsiTheme="minorHAnsi" w:cs="Arial"/>
          <w:szCs w:val="24"/>
        </w:rPr>
        <w:t>progra</w:t>
      </w:r>
      <w:r w:rsidR="0067689C">
        <w:rPr>
          <w:rFonts w:asciiTheme="minorHAnsi" w:hAnsiTheme="minorHAnsi" w:cs="Arial"/>
          <w:szCs w:val="24"/>
        </w:rPr>
        <w:t>m is extremely generous compared to other</w:t>
      </w:r>
      <w:r w:rsidR="006D79FE" w:rsidRPr="00A924F2">
        <w:rPr>
          <w:rFonts w:asciiTheme="minorHAnsi" w:hAnsiTheme="minorHAnsi" w:cs="Arial"/>
          <w:szCs w:val="24"/>
        </w:rPr>
        <w:t xml:space="preserve"> Southeastern states.</w:t>
      </w:r>
    </w:p>
    <w:p w14:paraId="17CD2834" w14:textId="5DB5822B" w:rsidR="009B5A9D" w:rsidRDefault="009B5A9D" w:rsidP="00620DE7">
      <w:pPr>
        <w:jc w:val="both"/>
        <w:rPr>
          <w:rFonts w:asciiTheme="minorHAnsi" w:hAnsiTheme="minorHAnsi" w:cs="Arial"/>
          <w:szCs w:val="24"/>
        </w:rPr>
      </w:pPr>
    </w:p>
    <w:p w14:paraId="174FA65B" w14:textId="77777777" w:rsidR="009F5F1C" w:rsidRPr="00A924F2" w:rsidRDefault="009F5F1C" w:rsidP="00620DE7">
      <w:pPr>
        <w:jc w:val="both"/>
        <w:rPr>
          <w:rFonts w:asciiTheme="minorHAnsi" w:hAnsiTheme="minorHAnsi" w:cs="Arial"/>
          <w:szCs w:val="24"/>
        </w:rPr>
      </w:pPr>
    </w:p>
    <w:p w14:paraId="4F0224C0" w14:textId="77777777" w:rsidR="000654D7" w:rsidRDefault="006B03AF" w:rsidP="003A1085">
      <w:pPr>
        <w:rPr>
          <w:rFonts w:asciiTheme="minorHAnsi" w:hAnsiTheme="minorHAnsi" w:cs="Arial"/>
          <w:b/>
          <w:szCs w:val="24"/>
        </w:rPr>
      </w:pPr>
      <w:r w:rsidRPr="00A924F2">
        <w:rPr>
          <w:rFonts w:asciiTheme="minorHAnsi" w:hAnsiTheme="minorHAnsi" w:cs="Arial"/>
          <w:szCs w:val="24"/>
        </w:rPr>
        <w:t xml:space="preserve"> </w:t>
      </w:r>
      <w:r w:rsidR="001D4CFB">
        <w:rPr>
          <w:rFonts w:asciiTheme="minorHAnsi" w:hAnsiTheme="minorHAnsi" w:cs="Arial"/>
          <w:b/>
          <w:szCs w:val="24"/>
        </w:rPr>
        <w:t xml:space="preserve">       </w:t>
      </w:r>
    </w:p>
    <w:p w14:paraId="2048BEC1" w14:textId="77777777" w:rsidR="006B03AF" w:rsidRPr="009161B3" w:rsidRDefault="002B37DE" w:rsidP="001D4CFB">
      <w:pPr>
        <w:ind w:firstLine="720"/>
        <w:rPr>
          <w:rFonts w:asciiTheme="minorHAnsi" w:hAnsiTheme="minorHAnsi" w:cs="Arial"/>
          <w:b/>
          <w:szCs w:val="24"/>
        </w:rPr>
      </w:pPr>
      <w:r w:rsidRPr="009161B3">
        <w:rPr>
          <w:rFonts w:asciiTheme="minorHAnsi" w:hAnsiTheme="minorHAnsi" w:cs="Arial"/>
          <w:b/>
          <w:szCs w:val="24"/>
        </w:rPr>
        <w:lastRenderedPageBreak/>
        <w:t>Table 6</w:t>
      </w:r>
      <w:r w:rsidR="006B03AF" w:rsidRPr="009161B3">
        <w:rPr>
          <w:rFonts w:asciiTheme="minorHAnsi" w:hAnsiTheme="minorHAnsi" w:cs="Arial"/>
          <w:b/>
          <w:szCs w:val="24"/>
        </w:rPr>
        <w:t xml:space="preserve">: A </w:t>
      </w:r>
      <w:r w:rsidR="009161B3">
        <w:rPr>
          <w:rFonts w:asciiTheme="minorHAnsi" w:hAnsiTheme="minorHAnsi" w:cs="Arial"/>
          <w:b/>
          <w:szCs w:val="24"/>
        </w:rPr>
        <w:t>Comparison o</w:t>
      </w:r>
      <w:r w:rsidR="009161B3" w:rsidRPr="009161B3">
        <w:rPr>
          <w:rFonts w:asciiTheme="minorHAnsi" w:hAnsiTheme="minorHAnsi" w:cs="Arial"/>
          <w:b/>
          <w:szCs w:val="24"/>
        </w:rPr>
        <w:t xml:space="preserve">f Longevity Pay Practices Among </w:t>
      </w:r>
      <w:r w:rsidR="006B03AF" w:rsidRPr="009161B3">
        <w:rPr>
          <w:rFonts w:asciiTheme="minorHAnsi" w:hAnsiTheme="minorHAnsi" w:cs="Arial"/>
          <w:b/>
          <w:szCs w:val="24"/>
        </w:rPr>
        <w:t xml:space="preserve">Southeastern </w:t>
      </w:r>
      <w:r w:rsidR="009161B3" w:rsidRPr="009161B3">
        <w:rPr>
          <w:rFonts w:asciiTheme="minorHAnsi" w:hAnsiTheme="minorHAnsi" w:cs="Arial"/>
          <w:b/>
          <w:szCs w:val="24"/>
        </w:rPr>
        <w:t>States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587"/>
        <w:gridCol w:w="1283"/>
        <w:gridCol w:w="2227"/>
        <w:gridCol w:w="1980"/>
      </w:tblGrid>
      <w:tr w:rsidR="006B03AF" w:rsidRPr="001D0567" w14:paraId="1D3E778A" w14:textId="77777777" w:rsidTr="002D2763">
        <w:tc>
          <w:tcPr>
            <w:tcW w:w="1278" w:type="dxa"/>
            <w:shd w:val="clear" w:color="auto" w:fill="DAEEF3" w:themeFill="accent5" w:themeFillTint="33"/>
            <w:vAlign w:val="center"/>
          </w:tcPr>
          <w:p w14:paraId="21CAC643" w14:textId="77777777" w:rsidR="001D0567" w:rsidRPr="009161B3" w:rsidRDefault="001D0567" w:rsidP="009161B3">
            <w:pPr>
              <w:spacing w:before="40" w:after="20"/>
              <w:jc w:val="center"/>
              <w:rPr>
                <w:rFonts w:asciiTheme="minorHAnsi" w:hAnsiTheme="minorHAnsi" w:cs="Arial"/>
                <w:b/>
                <w:szCs w:val="22"/>
              </w:rPr>
            </w:pPr>
          </w:p>
          <w:p w14:paraId="7B24AB23" w14:textId="77777777" w:rsidR="00C32739" w:rsidRPr="009161B3" w:rsidRDefault="00C32739" w:rsidP="009161B3">
            <w:pPr>
              <w:spacing w:before="40" w:after="20"/>
              <w:rPr>
                <w:rFonts w:asciiTheme="minorHAnsi" w:hAnsiTheme="minorHAnsi" w:cs="Arial"/>
                <w:b/>
                <w:szCs w:val="22"/>
              </w:rPr>
            </w:pPr>
            <w:r w:rsidRPr="009161B3">
              <w:rPr>
                <w:rFonts w:asciiTheme="minorHAnsi" w:hAnsiTheme="minorHAnsi" w:cs="Arial"/>
                <w:b/>
                <w:szCs w:val="22"/>
              </w:rPr>
              <w:t>State</w:t>
            </w:r>
          </w:p>
        </w:tc>
        <w:tc>
          <w:tcPr>
            <w:tcW w:w="2587" w:type="dxa"/>
            <w:shd w:val="clear" w:color="auto" w:fill="DAEEF3" w:themeFill="accent5" w:themeFillTint="33"/>
            <w:vAlign w:val="center"/>
          </w:tcPr>
          <w:p w14:paraId="48C663C3" w14:textId="77777777" w:rsidR="00C32739" w:rsidRPr="009161B3" w:rsidRDefault="00C32739" w:rsidP="009161B3">
            <w:pPr>
              <w:spacing w:before="40" w:after="20"/>
              <w:jc w:val="center"/>
              <w:rPr>
                <w:rFonts w:asciiTheme="minorHAnsi" w:hAnsiTheme="minorHAnsi" w:cs="Arial"/>
                <w:b/>
                <w:szCs w:val="22"/>
              </w:rPr>
            </w:pPr>
            <w:r w:rsidRPr="009161B3">
              <w:rPr>
                <w:rFonts w:asciiTheme="minorHAnsi" w:hAnsiTheme="minorHAnsi" w:cs="Arial"/>
                <w:b/>
                <w:szCs w:val="22"/>
              </w:rPr>
              <w:t>Minimum # Years to Qualify for Longevity</w:t>
            </w:r>
          </w:p>
        </w:tc>
        <w:tc>
          <w:tcPr>
            <w:tcW w:w="1283" w:type="dxa"/>
            <w:shd w:val="clear" w:color="auto" w:fill="DAEEF3" w:themeFill="accent5" w:themeFillTint="33"/>
            <w:vAlign w:val="center"/>
          </w:tcPr>
          <w:p w14:paraId="7DEE0807" w14:textId="77777777" w:rsidR="00C32739" w:rsidRPr="009161B3" w:rsidRDefault="00C32739" w:rsidP="009161B3">
            <w:pPr>
              <w:spacing w:before="40" w:after="20"/>
              <w:jc w:val="center"/>
              <w:rPr>
                <w:rFonts w:asciiTheme="minorHAnsi" w:hAnsiTheme="minorHAnsi" w:cs="Arial"/>
                <w:b/>
                <w:szCs w:val="22"/>
              </w:rPr>
            </w:pPr>
            <w:r w:rsidRPr="009161B3">
              <w:rPr>
                <w:rFonts w:asciiTheme="minorHAnsi" w:hAnsiTheme="minorHAnsi" w:cs="Arial"/>
                <w:b/>
                <w:szCs w:val="22"/>
              </w:rPr>
              <w:t>Starting Longevity Amount</w:t>
            </w:r>
          </w:p>
        </w:tc>
        <w:tc>
          <w:tcPr>
            <w:tcW w:w="2227" w:type="dxa"/>
            <w:shd w:val="clear" w:color="auto" w:fill="DAEEF3" w:themeFill="accent5" w:themeFillTint="33"/>
            <w:vAlign w:val="center"/>
          </w:tcPr>
          <w:p w14:paraId="2FB6ECBB" w14:textId="77777777" w:rsidR="00C32739" w:rsidRPr="009161B3" w:rsidRDefault="00C32739" w:rsidP="009161B3">
            <w:pPr>
              <w:spacing w:before="40" w:after="20"/>
              <w:jc w:val="center"/>
              <w:rPr>
                <w:rFonts w:asciiTheme="minorHAnsi" w:hAnsiTheme="minorHAnsi" w:cs="Arial"/>
                <w:b/>
                <w:szCs w:val="22"/>
              </w:rPr>
            </w:pPr>
            <w:r w:rsidRPr="009161B3">
              <w:rPr>
                <w:rFonts w:asciiTheme="minorHAnsi" w:hAnsiTheme="minorHAnsi" w:cs="Arial"/>
                <w:b/>
                <w:szCs w:val="22"/>
              </w:rPr>
              <w:t>Formula for Increase in Bonus</w:t>
            </w:r>
          </w:p>
        </w:tc>
        <w:tc>
          <w:tcPr>
            <w:tcW w:w="1980" w:type="dxa"/>
            <w:shd w:val="clear" w:color="auto" w:fill="DAEEF3" w:themeFill="accent5" w:themeFillTint="33"/>
            <w:vAlign w:val="center"/>
          </w:tcPr>
          <w:p w14:paraId="17A482E6" w14:textId="77777777" w:rsidR="00C32739" w:rsidRPr="009161B3" w:rsidRDefault="00C32739" w:rsidP="009161B3">
            <w:pPr>
              <w:spacing w:before="40" w:after="20"/>
              <w:jc w:val="center"/>
              <w:rPr>
                <w:rFonts w:asciiTheme="minorHAnsi" w:hAnsiTheme="minorHAnsi" w:cs="Arial"/>
                <w:b/>
                <w:szCs w:val="22"/>
              </w:rPr>
            </w:pPr>
            <w:r w:rsidRPr="009161B3">
              <w:rPr>
                <w:rFonts w:asciiTheme="minorHAnsi" w:hAnsiTheme="minorHAnsi" w:cs="Arial"/>
                <w:b/>
                <w:szCs w:val="22"/>
              </w:rPr>
              <w:t>Maximum Longevity Amount</w:t>
            </w:r>
          </w:p>
        </w:tc>
      </w:tr>
      <w:tr w:rsidR="006B03AF" w:rsidRPr="001D0567" w14:paraId="3F46F552" w14:textId="77777777" w:rsidTr="002D2763">
        <w:tc>
          <w:tcPr>
            <w:tcW w:w="1278" w:type="dxa"/>
            <w:shd w:val="clear" w:color="auto" w:fill="auto"/>
          </w:tcPr>
          <w:p w14:paraId="007CB5A4"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Alabama</w:t>
            </w:r>
          </w:p>
        </w:tc>
        <w:tc>
          <w:tcPr>
            <w:tcW w:w="2587" w:type="dxa"/>
            <w:shd w:val="clear" w:color="auto" w:fill="auto"/>
          </w:tcPr>
          <w:p w14:paraId="4B50F326"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5</w:t>
            </w:r>
          </w:p>
        </w:tc>
        <w:tc>
          <w:tcPr>
            <w:tcW w:w="1283" w:type="dxa"/>
            <w:shd w:val="clear" w:color="auto" w:fill="auto"/>
          </w:tcPr>
          <w:p w14:paraId="7B8CD6D6"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$600</w:t>
            </w:r>
          </w:p>
        </w:tc>
        <w:tc>
          <w:tcPr>
            <w:tcW w:w="2227" w:type="dxa"/>
            <w:shd w:val="clear" w:color="auto" w:fill="auto"/>
          </w:tcPr>
          <w:p w14:paraId="651AD9D5"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Time-based, set lump sums</w:t>
            </w:r>
          </w:p>
        </w:tc>
        <w:tc>
          <w:tcPr>
            <w:tcW w:w="1980" w:type="dxa"/>
            <w:shd w:val="clear" w:color="auto" w:fill="auto"/>
          </w:tcPr>
          <w:p w14:paraId="5223B797"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$1,000</w:t>
            </w:r>
          </w:p>
        </w:tc>
      </w:tr>
      <w:tr w:rsidR="006B03AF" w:rsidRPr="001D0567" w14:paraId="1773E5EF" w14:textId="77777777" w:rsidTr="002D2763">
        <w:tc>
          <w:tcPr>
            <w:tcW w:w="1278" w:type="dxa"/>
            <w:shd w:val="clear" w:color="auto" w:fill="auto"/>
          </w:tcPr>
          <w:p w14:paraId="203E1FFC"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Arkansas</w:t>
            </w:r>
          </w:p>
        </w:tc>
        <w:tc>
          <w:tcPr>
            <w:tcW w:w="2587" w:type="dxa"/>
            <w:shd w:val="clear" w:color="auto" w:fill="auto"/>
          </w:tcPr>
          <w:p w14:paraId="0A5DCE2F"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10</w:t>
            </w:r>
          </w:p>
        </w:tc>
        <w:tc>
          <w:tcPr>
            <w:tcW w:w="1283" w:type="dxa"/>
            <w:shd w:val="clear" w:color="auto" w:fill="auto"/>
          </w:tcPr>
          <w:p w14:paraId="4BBB8710"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$600</w:t>
            </w:r>
          </w:p>
        </w:tc>
        <w:tc>
          <w:tcPr>
            <w:tcW w:w="2227" w:type="dxa"/>
            <w:shd w:val="clear" w:color="auto" w:fill="auto"/>
          </w:tcPr>
          <w:p w14:paraId="74394E2C"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Time-based, set lump sums</w:t>
            </w:r>
          </w:p>
        </w:tc>
        <w:tc>
          <w:tcPr>
            <w:tcW w:w="1980" w:type="dxa"/>
            <w:shd w:val="clear" w:color="auto" w:fill="auto"/>
          </w:tcPr>
          <w:p w14:paraId="5578D443"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$900</w:t>
            </w:r>
          </w:p>
        </w:tc>
      </w:tr>
      <w:tr w:rsidR="006D79FE" w:rsidRPr="001D0567" w14:paraId="7E446FF9" w14:textId="77777777" w:rsidTr="002D2763">
        <w:tc>
          <w:tcPr>
            <w:tcW w:w="1278" w:type="dxa"/>
            <w:shd w:val="clear" w:color="auto" w:fill="auto"/>
          </w:tcPr>
          <w:p w14:paraId="5448C243"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Georgia</w:t>
            </w:r>
          </w:p>
        </w:tc>
        <w:tc>
          <w:tcPr>
            <w:tcW w:w="2587" w:type="dxa"/>
            <w:shd w:val="clear" w:color="auto" w:fill="auto"/>
          </w:tcPr>
          <w:p w14:paraId="06516646"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No response</w:t>
            </w:r>
          </w:p>
        </w:tc>
        <w:tc>
          <w:tcPr>
            <w:tcW w:w="1283" w:type="dxa"/>
            <w:shd w:val="clear" w:color="auto" w:fill="auto"/>
          </w:tcPr>
          <w:p w14:paraId="7BCD4E6A" w14:textId="77777777" w:rsidR="006D79FE" w:rsidRPr="009161B3" w:rsidRDefault="006D79FE" w:rsidP="009161B3">
            <w:pPr>
              <w:spacing w:before="40" w:after="20"/>
              <w:rPr>
                <w:rFonts w:asciiTheme="minorHAnsi" w:hAnsiTheme="minorHAnsi" w:cs="Arial"/>
                <w:b/>
                <w:szCs w:val="22"/>
              </w:rPr>
            </w:pPr>
          </w:p>
        </w:tc>
        <w:tc>
          <w:tcPr>
            <w:tcW w:w="2227" w:type="dxa"/>
            <w:shd w:val="clear" w:color="auto" w:fill="auto"/>
          </w:tcPr>
          <w:p w14:paraId="0E462130" w14:textId="77777777" w:rsidR="006D79FE" w:rsidRPr="009161B3" w:rsidRDefault="006D79FE" w:rsidP="009161B3">
            <w:pPr>
              <w:spacing w:before="40" w:after="20"/>
              <w:rPr>
                <w:rFonts w:asciiTheme="minorHAnsi" w:hAnsiTheme="minorHAnsi" w:cs="Arial"/>
                <w:b/>
                <w:szCs w:val="22"/>
              </w:rPr>
            </w:pPr>
          </w:p>
        </w:tc>
        <w:tc>
          <w:tcPr>
            <w:tcW w:w="1980" w:type="dxa"/>
            <w:shd w:val="clear" w:color="auto" w:fill="auto"/>
          </w:tcPr>
          <w:p w14:paraId="3373D879" w14:textId="77777777" w:rsidR="006D79FE" w:rsidRPr="009161B3" w:rsidRDefault="006D79FE" w:rsidP="009161B3">
            <w:pPr>
              <w:spacing w:before="40" w:after="20"/>
              <w:rPr>
                <w:rFonts w:asciiTheme="minorHAnsi" w:hAnsiTheme="minorHAnsi" w:cs="Arial"/>
                <w:b/>
                <w:szCs w:val="22"/>
              </w:rPr>
            </w:pPr>
          </w:p>
        </w:tc>
      </w:tr>
      <w:tr w:rsidR="006D79FE" w:rsidRPr="001D0567" w14:paraId="359F7A71" w14:textId="77777777" w:rsidTr="002D2763">
        <w:tc>
          <w:tcPr>
            <w:tcW w:w="1278" w:type="dxa"/>
            <w:shd w:val="clear" w:color="auto" w:fill="auto"/>
          </w:tcPr>
          <w:p w14:paraId="22889161"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Kentucky</w:t>
            </w:r>
          </w:p>
        </w:tc>
        <w:tc>
          <w:tcPr>
            <w:tcW w:w="2587" w:type="dxa"/>
            <w:shd w:val="clear" w:color="auto" w:fill="auto"/>
          </w:tcPr>
          <w:p w14:paraId="6C3DFBB2"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No response</w:t>
            </w:r>
          </w:p>
        </w:tc>
        <w:tc>
          <w:tcPr>
            <w:tcW w:w="1283" w:type="dxa"/>
            <w:shd w:val="clear" w:color="auto" w:fill="auto"/>
          </w:tcPr>
          <w:p w14:paraId="20EDC41E" w14:textId="77777777" w:rsidR="006D79FE" w:rsidRPr="009161B3" w:rsidRDefault="006D79FE" w:rsidP="009161B3">
            <w:pPr>
              <w:spacing w:before="40" w:after="20"/>
              <w:rPr>
                <w:rFonts w:asciiTheme="minorHAnsi" w:hAnsiTheme="minorHAnsi" w:cs="Arial"/>
                <w:b/>
                <w:szCs w:val="22"/>
              </w:rPr>
            </w:pPr>
          </w:p>
        </w:tc>
        <w:tc>
          <w:tcPr>
            <w:tcW w:w="2227" w:type="dxa"/>
            <w:shd w:val="clear" w:color="auto" w:fill="auto"/>
          </w:tcPr>
          <w:p w14:paraId="5C896E77" w14:textId="77777777" w:rsidR="006D79FE" w:rsidRPr="009161B3" w:rsidRDefault="006D79FE" w:rsidP="009161B3">
            <w:pPr>
              <w:spacing w:before="40" w:after="20"/>
              <w:rPr>
                <w:rFonts w:asciiTheme="minorHAnsi" w:hAnsiTheme="minorHAnsi" w:cs="Arial"/>
                <w:b/>
                <w:szCs w:val="22"/>
              </w:rPr>
            </w:pPr>
          </w:p>
        </w:tc>
        <w:tc>
          <w:tcPr>
            <w:tcW w:w="1980" w:type="dxa"/>
            <w:shd w:val="clear" w:color="auto" w:fill="auto"/>
          </w:tcPr>
          <w:p w14:paraId="1F5FB495" w14:textId="77777777" w:rsidR="006D79FE" w:rsidRPr="009161B3" w:rsidRDefault="006D79FE" w:rsidP="009161B3">
            <w:pPr>
              <w:spacing w:before="40" w:after="20"/>
              <w:rPr>
                <w:rFonts w:asciiTheme="minorHAnsi" w:hAnsiTheme="minorHAnsi" w:cs="Arial"/>
                <w:b/>
                <w:szCs w:val="22"/>
              </w:rPr>
            </w:pPr>
          </w:p>
        </w:tc>
      </w:tr>
      <w:tr w:rsidR="006D79FE" w:rsidRPr="001D0567" w14:paraId="0D68F8EA" w14:textId="77777777" w:rsidTr="002D2763">
        <w:tc>
          <w:tcPr>
            <w:tcW w:w="1278" w:type="dxa"/>
            <w:shd w:val="clear" w:color="auto" w:fill="auto"/>
          </w:tcPr>
          <w:p w14:paraId="42291160"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Louisiana</w:t>
            </w:r>
          </w:p>
        </w:tc>
        <w:tc>
          <w:tcPr>
            <w:tcW w:w="2587" w:type="dxa"/>
            <w:shd w:val="clear" w:color="auto" w:fill="auto"/>
          </w:tcPr>
          <w:p w14:paraId="3C8C5EED"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No statewide longevity program but agencies may implement</w:t>
            </w:r>
          </w:p>
        </w:tc>
        <w:tc>
          <w:tcPr>
            <w:tcW w:w="1283" w:type="dxa"/>
            <w:shd w:val="clear" w:color="auto" w:fill="auto"/>
          </w:tcPr>
          <w:p w14:paraId="702275C6" w14:textId="77777777" w:rsidR="006D79FE" w:rsidRPr="009161B3" w:rsidRDefault="006D79FE" w:rsidP="009161B3">
            <w:pPr>
              <w:spacing w:before="40" w:after="20"/>
              <w:rPr>
                <w:rFonts w:asciiTheme="minorHAnsi" w:hAnsiTheme="minorHAnsi" w:cs="Arial"/>
                <w:b/>
                <w:szCs w:val="22"/>
              </w:rPr>
            </w:pPr>
          </w:p>
        </w:tc>
        <w:tc>
          <w:tcPr>
            <w:tcW w:w="2227" w:type="dxa"/>
            <w:shd w:val="clear" w:color="auto" w:fill="auto"/>
          </w:tcPr>
          <w:p w14:paraId="750D184D" w14:textId="77777777" w:rsidR="006D79FE" w:rsidRPr="009161B3" w:rsidRDefault="006D79FE" w:rsidP="009161B3">
            <w:pPr>
              <w:spacing w:before="40" w:after="20"/>
              <w:rPr>
                <w:rFonts w:asciiTheme="minorHAnsi" w:hAnsiTheme="minorHAnsi" w:cs="Arial"/>
                <w:b/>
                <w:szCs w:val="22"/>
              </w:rPr>
            </w:pPr>
          </w:p>
        </w:tc>
        <w:tc>
          <w:tcPr>
            <w:tcW w:w="1980" w:type="dxa"/>
            <w:shd w:val="clear" w:color="auto" w:fill="auto"/>
          </w:tcPr>
          <w:p w14:paraId="126A270E" w14:textId="77777777" w:rsidR="006D79FE" w:rsidRPr="009161B3" w:rsidRDefault="006D79FE" w:rsidP="009161B3">
            <w:pPr>
              <w:spacing w:before="40" w:after="20"/>
              <w:rPr>
                <w:rFonts w:asciiTheme="minorHAnsi" w:hAnsiTheme="minorHAnsi" w:cs="Arial"/>
                <w:b/>
                <w:szCs w:val="22"/>
              </w:rPr>
            </w:pPr>
          </w:p>
        </w:tc>
      </w:tr>
      <w:tr w:rsidR="006D79FE" w:rsidRPr="001D0567" w14:paraId="497DB817" w14:textId="77777777" w:rsidTr="002D2763">
        <w:tc>
          <w:tcPr>
            <w:tcW w:w="1278" w:type="dxa"/>
            <w:shd w:val="clear" w:color="auto" w:fill="auto"/>
          </w:tcPr>
          <w:p w14:paraId="0F21DEA9"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Mississippi</w:t>
            </w:r>
          </w:p>
        </w:tc>
        <w:tc>
          <w:tcPr>
            <w:tcW w:w="2587" w:type="dxa"/>
            <w:shd w:val="clear" w:color="auto" w:fill="auto"/>
          </w:tcPr>
          <w:p w14:paraId="2167AEF8"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No response</w:t>
            </w:r>
          </w:p>
        </w:tc>
        <w:tc>
          <w:tcPr>
            <w:tcW w:w="1283" w:type="dxa"/>
            <w:shd w:val="clear" w:color="auto" w:fill="auto"/>
          </w:tcPr>
          <w:p w14:paraId="21B03511" w14:textId="77777777" w:rsidR="006D79FE" w:rsidRPr="009161B3" w:rsidRDefault="006D79FE" w:rsidP="009161B3">
            <w:pPr>
              <w:spacing w:before="40" w:after="20"/>
              <w:rPr>
                <w:rFonts w:asciiTheme="minorHAnsi" w:hAnsiTheme="minorHAnsi" w:cs="Arial"/>
                <w:b/>
                <w:szCs w:val="22"/>
              </w:rPr>
            </w:pPr>
          </w:p>
        </w:tc>
        <w:tc>
          <w:tcPr>
            <w:tcW w:w="2227" w:type="dxa"/>
            <w:shd w:val="clear" w:color="auto" w:fill="auto"/>
          </w:tcPr>
          <w:p w14:paraId="7FF07FE6" w14:textId="77777777" w:rsidR="006D79FE" w:rsidRPr="009161B3" w:rsidRDefault="006D79FE" w:rsidP="009161B3">
            <w:pPr>
              <w:spacing w:before="40" w:after="20"/>
              <w:rPr>
                <w:rFonts w:asciiTheme="minorHAnsi" w:hAnsiTheme="minorHAnsi" w:cs="Arial"/>
                <w:b/>
                <w:szCs w:val="22"/>
              </w:rPr>
            </w:pPr>
          </w:p>
        </w:tc>
        <w:tc>
          <w:tcPr>
            <w:tcW w:w="1980" w:type="dxa"/>
            <w:shd w:val="clear" w:color="auto" w:fill="auto"/>
          </w:tcPr>
          <w:p w14:paraId="486799A2" w14:textId="77777777" w:rsidR="006D79FE" w:rsidRPr="009161B3" w:rsidRDefault="006D79FE" w:rsidP="009161B3">
            <w:pPr>
              <w:spacing w:before="40" w:after="20"/>
              <w:rPr>
                <w:rFonts w:asciiTheme="minorHAnsi" w:hAnsiTheme="minorHAnsi" w:cs="Arial"/>
                <w:b/>
                <w:szCs w:val="22"/>
              </w:rPr>
            </w:pPr>
          </w:p>
        </w:tc>
      </w:tr>
      <w:tr w:rsidR="006B03AF" w:rsidRPr="001D0567" w14:paraId="5392EBAD" w14:textId="77777777" w:rsidTr="002D2763">
        <w:tc>
          <w:tcPr>
            <w:tcW w:w="1278" w:type="dxa"/>
            <w:shd w:val="clear" w:color="auto" w:fill="auto"/>
          </w:tcPr>
          <w:p w14:paraId="770C14D5" w14:textId="77777777" w:rsidR="00C32739" w:rsidRPr="009161B3" w:rsidRDefault="00C32739" w:rsidP="009161B3">
            <w:pPr>
              <w:spacing w:before="40" w:after="20"/>
              <w:rPr>
                <w:rFonts w:asciiTheme="minorHAnsi" w:hAnsiTheme="minorHAnsi" w:cs="Arial"/>
                <w:b/>
                <w:szCs w:val="22"/>
              </w:rPr>
            </w:pPr>
            <w:r w:rsidRPr="009161B3">
              <w:rPr>
                <w:rFonts w:asciiTheme="minorHAnsi" w:hAnsiTheme="minorHAnsi" w:cs="Arial"/>
                <w:b/>
                <w:szCs w:val="22"/>
              </w:rPr>
              <w:t>North Carolina</w:t>
            </w:r>
          </w:p>
        </w:tc>
        <w:tc>
          <w:tcPr>
            <w:tcW w:w="2587" w:type="dxa"/>
            <w:shd w:val="clear" w:color="auto" w:fill="auto"/>
          </w:tcPr>
          <w:p w14:paraId="25881E5A" w14:textId="77777777" w:rsidR="00C32739" w:rsidRPr="009161B3" w:rsidRDefault="00C32739" w:rsidP="009161B3">
            <w:pPr>
              <w:spacing w:before="40" w:after="20"/>
              <w:rPr>
                <w:rFonts w:asciiTheme="minorHAnsi" w:hAnsiTheme="minorHAnsi" w:cs="Arial"/>
                <w:b/>
                <w:szCs w:val="22"/>
              </w:rPr>
            </w:pPr>
            <w:r w:rsidRPr="009161B3">
              <w:rPr>
                <w:rFonts w:asciiTheme="minorHAnsi" w:hAnsiTheme="minorHAnsi" w:cs="Arial"/>
                <w:b/>
                <w:szCs w:val="22"/>
              </w:rPr>
              <w:t>10</w:t>
            </w:r>
          </w:p>
        </w:tc>
        <w:tc>
          <w:tcPr>
            <w:tcW w:w="1283" w:type="dxa"/>
            <w:shd w:val="clear" w:color="auto" w:fill="auto"/>
          </w:tcPr>
          <w:p w14:paraId="7201169E" w14:textId="77777777" w:rsidR="00C32739" w:rsidRPr="009161B3" w:rsidRDefault="00C32739" w:rsidP="009161B3">
            <w:pPr>
              <w:spacing w:before="40" w:after="20"/>
              <w:rPr>
                <w:rFonts w:asciiTheme="minorHAnsi" w:hAnsiTheme="minorHAnsi" w:cs="Arial"/>
                <w:b/>
                <w:szCs w:val="22"/>
              </w:rPr>
            </w:pPr>
            <w:r w:rsidRPr="009161B3">
              <w:rPr>
                <w:rFonts w:asciiTheme="minorHAnsi" w:hAnsiTheme="minorHAnsi" w:cs="Arial"/>
                <w:b/>
                <w:szCs w:val="22"/>
              </w:rPr>
              <w:t>1.5% of annual salary</w:t>
            </w:r>
          </w:p>
        </w:tc>
        <w:tc>
          <w:tcPr>
            <w:tcW w:w="2227" w:type="dxa"/>
            <w:shd w:val="clear" w:color="auto" w:fill="auto"/>
          </w:tcPr>
          <w:p w14:paraId="2ECDA6E2" w14:textId="77777777" w:rsidR="00C32739" w:rsidRPr="009161B3" w:rsidRDefault="00C32739" w:rsidP="009161B3">
            <w:pPr>
              <w:spacing w:before="40" w:after="20"/>
              <w:rPr>
                <w:rFonts w:asciiTheme="minorHAnsi" w:hAnsiTheme="minorHAnsi" w:cs="Arial"/>
                <w:b/>
                <w:szCs w:val="22"/>
              </w:rPr>
            </w:pPr>
            <w:r w:rsidRPr="009161B3">
              <w:rPr>
                <w:rFonts w:asciiTheme="minorHAnsi" w:hAnsiTheme="minorHAnsi" w:cs="Arial"/>
                <w:b/>
                <w:szCs w:val="22"/>
              </w:rPr>
              <w:t>Time-based, increased percentage of base pay</w:t>
            </w:r>
          </w:p>
        </w:tc>
        <w:tc>
          <w:tcPr>
            <w:tcW w:w="1980" w:type="dxa"/>
            <w:shd w:val="clear" w:color="auto" w:fill="auto"/>
          </w:tcPr>
          <w:p w14:paraId="2287ECC4" w14:textId="77777777" w:rsidR="00C32739" w:rsidRPr="009161B3" w:rsidRDefault="00C32739" w:rsidP="009161B3">
            <w:pPr>
              <w:spacing w:before="40" w:after="20"/>
              <w:rPr>
                <w:rFonts w:asciiTheme="minorHAnsi" w:hAnsiTheme="minorHAnsi" w:cs="Arial"/>
                <w:b/>
                <w:szCs w:val="22"/>
              </w:rPr>
            </w:pPr>
            <w:r w:rsidRPr="009161B3">
              <w:rPr>
                <w:rFonts w:asciiTheme="minorHAnsi" w:hAnsiTheme="minorHAnsi" w:cs="Arial"/>
                <w:b/>
                <w:szCs w:val="22"/>
              </w:rPr>
              <w:t>No Maximum</w:t>
            </w:r>
            <w:r w:rsidR="006B03AF" w:rsidRPr="009161B3">
              <w:rPr>
                <w:rFonts w:asciiTheme="minorHAnsi" w:hAnsiTheme="minorHAnsi" w:cs="Arial"/>
                <w:b/>
                <w:szCs w:val="22"/>
              </w:rPr>
              <w:t xml:space="preserve"> (4.5% of annual salary)</w:t>
            </w:r>
          </w:p>
        </w:tc>
      </w:tr>
      <w:tr w:rsidR="006D79FE" w:rsidRPr="001D0567" w14:paraId="35DB1317" w14:textId="77777777" w:rsidTr="002D2763">
        <w:tc>
          <w:tcPr>
            <w:tcW w:w="1278" w:type="dxa"/>
            <w:shd w:val="clear" w:color="auto" w:fill="auto"/>
          </w:tcPr>
          <w:p w14:paraId="466828D5"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South Carolina</w:t>
            </w:r>
          </w:p>
        </w:tc>
        <w:tc>
          <w:tcPr>
            <w:tcW w:w="2587" w:type="dxa"/>
            <w:shd w:val="clear" w:color="auto" w:fill="auto"/>
          </w:tcPr>
          <w:p w14:paraId="24F35D2E"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No response</w:t>
            </w:r>
          </w:p>
        </w:tc>
        <w:tc>
          <w:tcPr>
            <w:tcW w:w="1283" w:type="dxa"/>
            <w:shd w:val="clear" w:color="auto" w:fill="auto"/>
          </w:tcPr>
          <w:p w14:paraId="274A7379" w14:textId="77777777" w:rsidR="006D79FE" w:rsidRPr="009161B3" w:rsidRDefault="006D79FE" w:rsidP="009161B3">
            <w:pPr>
              <w:spacing w:before="40" w:after="20"/>
              <w:rPr>
                <w:rFonts w:asciiTheme="minorHAnsi" w:hAnsiTheme="minorHAnsi" w:cs="Arial"/>
                <w:szCs w:val="22"/>
              </w:rPr>
            </w:pPr>
          </w:p>
        </w:tc>
        <w:tc>
          <w:tcPr>
            <w:tcW w:w="2227" w:type="dxa"/>
            <w:shd w:val="clear" w:color="auto" w:fill="auto"/>
          </w:tcPr>
          <w:p w14:paraId="6E3CA08D" w14:textId="77777777" w:rsidR="006D79FE" w:rsidRPr="009161B3" w:rsidRDefault="006D79FE" w:rsidP="009161B3">
            <w:pPr>
              <w:spacing w:before="40" w:after="20"/>
              <w:rPr>
                <w:rFonts w:asciiTheme="minorHAnsi" w:hAnsiTheme="minorHAnsi" w:cs="Arial"/>
                <w:szCs w:val="22"/>
              </w:rPr>
            </w:pPr>
          </w:p>
        </w:tc>
        <w:tc>
          <w:tcPr>
            <w:tcW w:w="1980" w:type="dxa"/>
            <w:shd w:val="clear" w:color="auto" w:fill="auto"/>
          </w:tcPr>
          <w:p w14:paraId="26E838E3" w14:textId="77777777" w:rsidR="006D79FE" w:rsidRPr="009161B3" w:rsidRDefault="006D79FE" w:rsidP="009161B3">
            <w:pPr>
              <w:spacing w:before="40" w:after="20"/>
              <w:rPr>
                <w:rFonts w:asciiTheme="minorHAnsi" w:hAnsiTheme="minorHAnsi" w:cs="Arial"/>
                <w:szCs w:val="22"/>
              </w:rPr>
            </w:pPr>
          </w:p>
        </w:tc>
      </w:tr>
      <w:tr w:rsidR="006B03AF" w:rsidRPr="001D0567" w14:paraId="70C80445" w14:textId="77777777" w:rsidTr="002D2763">
        <w:tc>
          <w:tcPr>
            <w:tcW w:w="1278" w:type="dxa"/>
            <w:shd w:val="clear" w:color="auto" w:fill="auto"/>
          </w:tcPr>
          <w:p w14:paraId="30781CCB"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Tennessee</w:t>
            </w:r>
          </w:p>
        </w:tc>
        <w:tc>
          <w:tcPr>
            <w:tcW w:w="2587" w:type="dxa"/>
            <w:shd w:val="clear" w:color="auto" w:fill="auto"/>
          </w:tcPr>
          <w:p w14:paraId="0AF55D82"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3</w:t>
            </w:r>
          </w:p>
        </w:tc>
        <w:tc>
          <w:tcPr>
            <w:tcW w:w="1283" w:type="dxa"/>
            <w:shd w:val="clear" w:color="auto" w:fill="auto"/>
          </w:tcPr>
          <w:p w14:paraId="0210FBD4"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$300</w:t>
            </w:r>
          </w:p>
        </w:tc>
        <w:tc>
          <w:tcPr>
            <w:tcW w:w="2227" w:type="dxa"/>
            <w:shd w:val="clear" w:color="auto" w:fill="auto"/>
          </w:tcPr>
          <w:p w14:paraId="60999EF3"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Time-based, set lump sums</w:t>
            </w:r>
            <w:r w:rsidR="001D0567" w:rsidRPr="009161B3">
              <w:rPr>
                <w:rFonts w:asciiTheme="minorHAnsi" w:hAnsiTheme="minorHAnsi" w:cs="Arial"/>
                <w:szCs w:val="22"/>
              </w:rPr>
              <w:t xml:space="preserve"> ($100 per year of service)</w:t>
            </w:r>
          </w:p>
        </w:tc>
        <w:tc>
          <w:tcPr>
            <w:tcW w:w="1980" w:type="dxa"/>
            <w:shd w:val="clear" w:color="auto" w:fill="auto"/>
          </w:tcPr>
          <w:p w14:paraId="0073AD32"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$3,000</w:t>
            </w:r>
          </w:p>
        </w:tc>
      </w:tr>
      <w:tr w:rsidR="006D79FE" w:rsidRPr="001D0567" w14:paraId="14B3EB54" w14:textId="77777777" w:rsidTr="002D2763">
        <w:tc>
          <w:tcPr>
            <w:tcW w:w="1278" w:type="dxa"/>
            <w:shd w:val="clear" w:color="auto" w:fill="auto"/>
          </w:tcPr>
          <w:p w14:paraId="4458B23E" w14:textId="77777777" w:rsidR="006D79FE" w:rsidRPr="009161B3" w:rsidRDefault="006D79FE" w:rsidP="009161B3">
            <w:pPr>
              <w:spacing w:before="40" w:after="20"/>
              <w:rPr>
                <w:rFonts w:asciiTheme="minorHAnsi" w:hAnsiTheme="minorHAnsi" w:cs="Arial"/>
                <w:szCs w:val="22"/>
              </w:rPr>
            </w:pPr>
            <w:r w:rsidRPr="009161B3">
              <w:rPr>
                <w:rFonts w:asciiTheme="minorHAnsi" w:hAnsiTheme="minorHAnsi" w:cs="Arial"/>
                <w:szCs w:val="22"/>
              </w:rPr>
              <w:t>Virginia</w:t>
            </w:r>
          </w:p>
        </w:tc>
        <w:tc>
          <w:tcPr>
            <w:tcW w:w="2587" w:type="dxa"/>
            <w:shd w:val="clear" w:color="auto" w:fill="auto"/>
          </w:tcPr>
          <w:p w14:paraId="19BADE8D" w14:textId="77777777" w:rsidR="006D79FE" w:rsidRPr="009161B3" w:rsidRDefault="0067689C" w:rsidP="009161B3">
            <w:pPr>
              <w:spacing w:before="40" w:after="20"/>
              <w:rPr>
                <w:rFonts w:asciiTheme="minorHAnsi" w:hAnsiTheme="minorHAnsi" w:cs="Arial"/>
                <w:szCs w:val="22"/>
              </w:rPr>
            </w:pPr>
            <w:r>
              <w:rPr>
                <w:rFonts w:asciiTheme="minorHAnsi" w:hAnsiTheme="minorHAnsi" w:cs="Arial"/>
                <w:szCs w:val="22"/>
              </w:rPr>
              <w:t>No response</w:t>
            </w:r>
          </w:p>
        </w:tc>
        <w:tc>
          <w:tcPr>
            <w:tcW w:w="1283" w:type="dxa"/>
            <w:shd w:val="clear" w:color="auto" w:fill="auto"/>
          </w:tcPr>
          <w:p w14:paraId="30F87B86" w14:textId="77777777" w:rsidR="006D79FE" w:rsidRPr="009161B3" w:rsidRDefault="006D79FE" w:rsidP="009161B3">
            <w:pPr>
              <w:spacing w:before="40" w:after="20"/>
              <w:rPr>
                <w:rFonts w:asciiTheme="minorHAnsi" w:hAnsiTheme="minorHAnsi" w:cs="Arial"/>
                <w:szCs w:val="22"/>
              </w:rPr>
            </w:pPr>
          </w:p>
        </w:tc>
        <w:tc>
          <w:tcPr>
            <w:tcW w:w="2227" w:type="dxa"/>
            <w:shd w:val="clear" w:color="auto" w:fill="auto"/>
          </w:tcPr>
          <w:p w14:paraId="47A79547" w14:textId="77777777" w:rsidR="006D79FE" w:rsidRPr="009161B3" w:rsidRDefault="006D79FE" w:rsidP="009161B3">
            <w:pPr>
              <w:spacing w:before="40" w:after="20"/>
              <w:rPr>
                <w:rFonts w:asciiTheme="minorHAnsi" w:hAnsiTheme="minorHAnsi" w:cs="Arial"/>
                <w:szCs w:val="22"/>
              </w:rPr>
            </w:pPr>
          </w:p>
        </w:tc>
        <w:tc>
          <w:tcPr>
            <w:tcW w:w="1980" w:type="dxa"/>
            <w:shd w:val="clear" w:color="auto" w:fill="auto"/>
          </w:tcPr>
          <w:p w14:paraId="03169738" w14:textId="77777777" w:rsidR="006D79FE" w:rsidRPr="009161B3" w:rsidRDefault="006D79FE" w:rsidP="009161B3">
            <w:pPr>
              <w:spacing w:before="40" w:after="20"/>
              <w:rPr>
                <w:rFonts w:asciiTheme="minorHAnsi" w:hAnsiTheme="minorHAnsi" w:cs="Arial"/>
                <w:szCs w:val="22"/>
              </w:rPr>
            </w:pPr>
          </w:p>
        </w:tc>
      </w:tr>
      <w:tr w:rsidR="006B03AF" w:rsidRPr="001D0567" w14:paraId="44919597" w14:textId="77777777" w:rsidTr="002D2763">
        <w:tc>
          <w:tcPr>
            <w:tcW w:w="1278" w:type="dxa"/>
            <w:shd w:val="clear" w:color="auto" w:fill="auto"/>
          </w:tcPr>
          <w:p w14:paraId="5557C0E5"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West Virginia</w:t>
            </w:r>
          </w:p>
        </w:tc>
        <w:tc>
          <w:tcPr>
            <w:tcW w:w="2587" w:type="dxa"/>
            <w:shd w:val="clear" w:color="auto" w:fill="auto"/>
          </w:tcPr>
          <w:p w14:paraId="228FF7B2" w14:textId="77777777" w:rsidR="00C32739" w:rsidRPr="009161B3" w:rsidRDefault="00C32739" w:rsidP="009161B3">
            <w:pPr>
              <w:spacing w:before="40" w:after="20"/>
              <w:rPr>
                <w:rFonts w:asciiTheme="minorHAnsi" w:hAnsiTheme="minorHAnsi" w:cs="Arial"/>
                <w:szCs w:val="22"/>
              </w:rPr>
            </w:pPr>
            <w:r w:rsidRPr="009161B3">
              <w:rPr>
                <w:rFonts w:asciiTheme="minorHAnsi" w:hAnsiTheme="minorHAnsi" w:cs="Arial"/>
                <w:szCs w:val="22"/>
              </w:rPr>
              <w:t>3</w:t>
            </w:r>
          </w:p>
        </w:tc>
        <w:tc>
          <w:tcPr>
            <w:tcW w:w="1283" w:type="dxa"/>
            <w:shd w:val="clear" w:color="auto" w:fill="auto"/>
          </w:tcPr>
          <w:p w14:paraId="081E2DBA" w14:textId="77777777" w:rsidR="00C32739" w:rsidRPr="009161B3" w:rsidRDefault="001D0567" w:rsidP="009161B3">
            <w:pPr>
              <w:spacing w:before="40" w:after="20"/>
              <w:rPr>
                <w:rFonts w:asciiTheme="minorHAnsi" w:hAnsiTheme="minorHAnsi" w:cs="Arial"/>
                <w:szCs w:val="22"/>
              </w:rPr>
            </w:pPr>
            <w:r w:rsidRPr="009161B3">
              <w:rPr>
                <w:rFonts w:asciiTheme="minorHAnsi" w:hAnsiTheme="minorHAnsi" w:cs="Arial"/>
                <w:szCs w:val="22"/>
              </w:rPr>
              <w:t>$180</w:t>
            </w:r>
          </w:p>
        </w:tc>
        <w:tc>
          <w:tcPr>
            <w:tcW w:w="2227" w:type="dxa"/>
            <w:shd w:val="clear" w:color="auto" w:fill="auto"/>
          </w:tcPr>
          <w:p w14:paraId="08CCE5AE" w14:textId="77777777" w:rsidR="00C32739" w:rsidRPr="009161B3" w:rsidRDefault="001D0567" w:rsidP="009161B3">
            <w:pPr>
              <w:spacing w:before="40" w:after="20"/>
              <w:rPr>
                <w:rFonts w:asciiTheme="minorHAnsi" w:hAnsiTheme="minorHAnsi" w:cs="Arial"/>
                <w:szCs w:val="22"/>
              </w:rPr>
            </w:pPr>
            <w:r w:rsidRPr="009161B3">
              <w:rPr>
                <w:rFonts w:asciiTheme="minorHAnsi" w:hAnsiTheme="minorHAnsi" w:cs="Arial"/>
                <w:szCs w:val="22"/>
              </w:rPr>
              <w:t>Time-based, set lump sums ($60 per year of service)</w:t>
            </w:r>
          </w:p>
        </w:tc>
        <w:tc>
          <w:tcPr>
            <w:tcW w:w="1980" w:type="dxa"/>
            <w:shd w:val="clear" w:color="auto" w:fill="auto"/>
          </w:tcPr>
          <w:p w14:paraId="37940506" w14:textId="77777777" w:rsidR="00C32739" w:rsidRPr="009161B3" w:rsidRDefault="001D0567" w:rsidP="009161B3">
            <w:pPr>
              <w:spacing w:before="40" w:after="20"/>
              <w:rPr>
                <w:rFonts w:asciiTheme="minorHAnsi" w:hAnsiTheme="minorHAnsi" w:cs="Arial"/>
                <w:szCs w:val="22"/>
              </w:rPr>
            </w:pPr>
            <w:r w:rsidRPr="009161B3">
              <w:rPr>
                <w:rFonts w:asciiTheme="minorHAnsi" w:hAnsiTheme="minorHAnsi" w:cs="Arial"/>
                <w:szCs w:val="22"/>
              </w:rPr>
              <w:t>No Maximum (likely tops out around $1,800</w:t>
            </w:r>
            <w:r w:rsidR="006B03AF" w:rsidRPr="009161B3">
              <w:rPr>
                <w:rFonts w:asciiTheme="minorHAnsi" w:hAnsiTheme="minorHAnsi" w:cs="Arial"/>
                <w:szCs w:val="22"/>
              </w:rPr>
              <w:t xml:space="preserve"> for 30 years of service</w:t>
            </w:r>
            <w:r w:rsidRPr="009161B3">
              <w:rPr>
                <w:rFonts w:asciiTheme="minorHAnsi" w:hAnsiTheme="minorHAnsi" w:cs="Arial"/>
                <w:szCs w:val="22"/>
              </w:rPr>
              <w:t xml:space="preserve"> based on formula)</w:t>
            </w:r>
          </w:p>
        </w:tc>
      </w:tr>
    </w:tbl>
    <w:p w14:paraId="3A8CF34C" w14:textId="77777777" w:rsidR="00620DE7" w:rsidRDefault="00620DE7">
      <w:pPr>
        <w:rPr>
          <w:rFonts w:asciiTheme="minorHAnsi" w:hAnsiTheme="minorHAnsi" w:cstheme="minorHAnsi"/>
          <w:sz w:val="18"/>
          <w:szCs w:val="18"/>
        </w:rPr>
      </w:pPr>
    </w:p>
    <w:p w14:paraId="2024969A" w14:textId="57823DE2" w:rsidR="00233206" w:rsidRPr="00620DE7" w:rsidRDefault="001D0567">
      <w:pPr>
        <w:rPr>
          <w:rFonts w:asciiTheme="minorHAnsi" w:hAnsiTheme="minorHAnsi" w:cstheme="minorHAnsi"/>
          <w:b/>
          <w:i/>
          <w:sz w:val="18"/>
          <w:szCs w:val="18"/>
        </w:rPr>
      </w:pPr>
      <w:r w:rsidRPr="00620DE7">
        <w:rPr>
          <w:rFonts w:asciiTheme="minorHAnsi" w:hAnsiTheme="minorHAnsi" w:cstheme="minorHAnsi"/>
          <w:i/>
          <w:sz w:val="18"/>
          <w:szCs w:val="18"/>
        </w:rPr>
        <w:t xml:space="preserve">Source: </w:t>
      </w:r>
      <w:r w:rsidR="0067689C" w:rsidRPr="00620DE7">
        <w:rPr>
          <w:rFonts w:asciiTheme="minorHAnsi" w:hAnsiTheme="minorHAnsi" w:cstheme="minorHAnsi"/>
          <w:i/>
          <w:sz w:val="18"/>
          <w:szCs w:val="18"/>
        </w:rPr>
        <w:t>201</w:t>
      </w:r>
      <w:r w:rsidR="0058169C" w:rsidRPr="00620DE7">
        <w:rPr>
          <w:rFonts w:asciiTheme="minorHAnsi" w:hAnsiTheme="minorHAnsi" w:cstheme="minorHAnsi"/>
          <w:i/>
          <w:sz w:val="18"/>
          <w:szCs w:val="18"/>
        </w:rPr>
        <w:t>6</w:t>
      </w:r>
      <w:r w:rsidR="00B811BE" w:rsidRPr="00620DE7">
        <w:rPr>
          <w:rFonts w:asciiTheme="minorHAnsi" w:hAnsiTheme="minorHAnsi" w:cstheme="minorHAnsi"/>
          <w:i/>
          <w:sz w:val="18"/>
          <w:szCs w:val="18"/>
        </w:rPr>
        <w:t xml:space="preserve"> NCASG Survey</w:t>
      </w:r>
      <w:r w:rsidR="00233206" w:rsidRPr="00620DE7">
        <w:rPr>
          <w:rFonts w:asciiTheme="minorHAnsi" w:hAnsiTheme="minorHAnsi" w:cstheme="minorHAnsi"/>
          <w:b/>
          <w:i/>
          <w:sz w:val="18"/>
          <w:szCs w:val="18"/>
        </w:rPr>
        <w:br w:type="page"/>
      </w:r>
    </w:p>
    <w:p w14:paraId="36B25622" w14:textId="77777777" w:rsidR="0020509A" w:rsidRPr="009161B3" w:rsidRDefault="0020509A" w:rsidP="009161B3">
      <w:pPr>
        <w:pBdr>
          <w:bottom w:val="single" w:sz="6" w:space="1" w:color="auto"/>
        </w:pBdr>
        <w:tabs>
          <w:tab w:val="left" w:pos="720"/>
        </w:tabs>
        <w:rPr>
          <w:rFonts w:asciiTheme="minorHAnsi" w:hAnsiTheme="minorHAnsi" w:cs="Arial"/>
          <w:bCs/>
          <w:sz w:val="28"/>
        </w:rPr>
      </w:pPr>
      <w:r w:rsidRPr="009161B3">
        <w:rPr>
          <w:rFonts w:asciiTheme="minorHAnsi" w:hAnsiTheme="minorHAnsi" w:cs="Arial"/>
          <w:b/>
          <w:sz w:val="28"/>
        </w:rPr>
        <w:lastRenderedPageBreak/>
        <w:t>VI.</w:t>
      </w:r>
      <w:r w:rsidRPr="009161B3">
        <w:rPr>
          <w:rFonts w:asciiTheme="minorHAnsi" w:hAnsiTheme="minorHAnsi" w:cs="Arial"/>
          <w:bCs/>
          <w:sz w:val="28"/>
        </w:rPr>
        <w:tab/>
      </w:r>
      <w:r w:rsidRPr="009161B3">
        <w:rPr>
          <w:rFonts w:asciiTheme="minorHAnsi" w:hAnsiTheme="minorHAnsi" w:cs="Arial"/>
          <w:b/>
          <w:sz w:val="28"/>
        </w:rPr>
        <w:t>BENEFITS ANALYSIS</w:t>
      </w:r>
    </w:p>
    <w:p w14:paraId="729F1510" w14:textId="77777777" w:rsidR="0020509A" w:rsidRPr="00620DE7" w:rsidRDefault="0020509A" w:rsidP="0020509A">
      <w:pPr>
        <w:pStyle w:val="BodyTextIndent"/>
        <w:jc w:val="left"/>
        <w:rPr>
          <w:rFonts w:asciiTheme="minorHAnsi" w:hAnsiTheme="minorHAnsi" w:cs="Arial"/>
          <w:sz w:val="22"/>
          <w:szCs w:val="22"/>
        </w:rPr>
      </w:pPr>
    </w:p>
    <w:p w14:paraId="5BF8084A" w14:textId="77777777" w:rsidR="0020509A" w:rsidRPr="009161B3" w:rsidRDefault="0020509A" w:rsidP="0020509A">
      <w:pPr>
        <w:pStyle w:val="BodyTextIndent"/>
        <w:jc w:val="left"/>
        <w:rPr>
          <w:rFonts w:asciiTheme="minorHAnsi" w:hAnsiTheme="minorHAnsi" w:cs="Arial"/>
          <w:b/>
          <w:bCs/>
        </w:rPr>
      </w:pPr>
      <w:r w:rsidRPr="009161B3">
        <w:rPr>
          <w:rFonts w:asciiTheme="minorHAnsi" w:hAnsiTheme="minorHAnsi" w:cs="Arial"/>
          <w:b/>
          <w:bCs/>
        </w:rPr>
        <w:t>Paid Time Off Analysis</w:t>
      </w:r>
    </w:p>
    <w:p w14:paraId="5562D3ED" w14:textId="0E20A572" w:rsidR="0020509A" w:rsidRPr="009161B3" w:rsidRDefault="0020509A" w:rsidP="00620DE7">
      <w:pPr>
        <w:pStyle w:val="BodyTextIndent"/>
        <w:rPr>
          <w:rFonts w:asciiTheme="minorHAnsi" w:hAnsiTheme="minorHAnsi" w:cs="Arial"/>
          <w:i/>
          <w:iCs/>
          <w:sz w:val="22"/>
        </w:rPr>
      </w:pPr>
      <w:r w:rsidRPr="009161B3">
        <w:rPr>
          <w:rFonts w:asciiTheme="minorHAnsi" w:hAnsiTheme="minorHAnsi" w:cs="Arial"/>
          <w:sz w:val="22"/>
        </w:rPr>
        <w:t xml:space="preserve">Paid time off referred to here is employees’ time off for which </w:t>
      </w:r>
      <w:r w:rsidR="001D6BA4">
        <w:rPr>
          <w:rFonts w:asciiTheme="minorHAnsi" w:hAnsiTheme="minorHAnsi" w:cs="Arial"/>
          <w:sz w:val="22"/>
        </w:rPr>
        <w:t xml:space="preserve">they continue to receive pay. </w:t>
      </w:r>
      <w:r w:rsidR="00003928">
        <w:rPr>
          <w:rFonts w:asciiTheme="minorHAnsi" w:hAnsiTheme="minorHAnsi" w:cs="Arial"/>
          <w:sz w:val="22"/>
        </w:rPr>
        <w:t>Categories of p</w:t>
      </w:r>
      <w:r w:rsidRPr="009161B3">
        <w:rPr>
          <w:rFonts w:asciiTheme="minorHAnsi" w:hAnsiTheme="minorHAnsi" w:cs="Arial"/>
          <w:sz w:val="22"/>
        </w:rPr>
        <w:t xml:space="preserve">aid </w:t>
      </w:r>
      <w:r w:rsidR="00003928">
        <w:rPr>
          <w:rFonts w:asciiTheme="minorHAnsi" w:hAnsiTheme="minorHAnsi" w:cs="Arial"/>
          <w:sz w:val="22"/>
        </w:rPr>
        <w:t>t</w:t>
      </w:r>
      <w:r w:rsidRPr="009161B3">
        <w:rPr>
          <w:rFonts w:asciiTheme="minorHAnsi" w:hAnsiTheme="minorHAnsi" w:cs="Arial"/>
          <w:sz w:val="22"/>
        </w:rPr>
        <w:t xml:space="preserve">ime </w:t>
      </w:r>
      <w:r w:rsidR="00003928">
        <w:rPr>
          <w:rFonts w:asciiTheme="minorHAnsi" w:hAnsiTheme="minorHAnsi" w:cs="Arial"/>
          <w:sz w:val="22"/>
        </w:rPr>
        <w:t>o</w:t>
      </w:r>
      <w:r w:rsidRPr="009161B3">
        <w:rPr>
          <w:rFonts w:asciiTheme="minorHAnsi" w:hAnsiTheme="minorHAnsi" w:cs="Arial"/>
          <w:sz w:val="22"/>
        </w:rPr>
        <w:t xml:space="preserve">ff include </w:t>
      </w:r>
      <w:r w:rsidR="00003928">
        <w:rPr>
          <w:rFonts w:asciiTheme="minorHAnsi" w:hAnsiTheme="minorHAnsi" w:cs="Arial"/>
          <w:sz w:val="22"/>
        </w:rPr>
        <w:t>v</w:t>
      </w:r>
      <w:r w:rsidRPr="009161B3">
        <w:rPr>
          <w:rFonts w:asciiTheme="minorHAnsi" w:hAnsiTheme="minorHAnsi" w:cs="Arial"/>
          <w:sz w:val="22"/>
        </w:rPr>
        <w:t xml:space="preserve">acation </w:t>
      </w:r>
      <w:r w:rsidR="00003928">
        <w:rPr>
          <w:rFonts w:asciiTheme="minorHAnsi" w:hAnsiTheme="minorHAnsi" w:cs="Arial"/>
          <w:sz w:val="22"/>
        </w:rPr>
        <w:t>l</w:t>
      </w:r>
      <w:r w:rsidRPr="009161B3">
        <w:rPr>
          <w:rFonts w:asciiTheme="minorHAnsi" w:hAnsiTheme="minorHAnsi" w:cs="Arial"/>
          <w:sz w:val="22"/>
        </w:rPr>
        <w:t xml:space="preserve">eave, </w:t>
      </w:r>
      <w:r w:rsidR="00003928">
        <w:rPr>
          <w:rFonts w:asciiTheme="minorHAnsi" w:hAnsiTheme="minorHAnsi" w:cs="Arial"/>
          <w:sz w:val="22"/>
        </w:rPr>
        <w:t>s</w:t>
      </w:r>
      <w:r w:rsidRPr="009161B3">
        <w:rPr>
          <w:rFonts w:asciiTheme="minorHAnsi" w:hAnsiTheme="minorHAnsi" w:cs="Arial"/>
          <w:sz w:val="22"/>
        </w:rPr>
        <w:t xml:space="preserve">ick </w:t>
      </w:r>
      <w:r w:rsidR="00003928">
        <w:rPr>
          <w:rFonts w:asciiTheme="minorHAnsi" w:hAnsiTheme="minorHAnsi" w:cs="Arial"/>
          <w:sz w:val="22"/>
        </w:rPr>
        <w:t>l</w:t>
      </w:r>
      <w:r w:rsidRPr="009161B3">
        <w:rPr>
          <w:rFonts w:asciiTheme="minorHAnsi" w:hAnsiTheme="minorHAnsi" w:cs="Arial"/>
          <w:sz w:val="22"/>
        </w:rPr>
        <w:t xml:space="preserve">eave, and </w:t>
      </w:r>
      <w:r w:rsidR="00003928">
        <w:rPr>
          <w:rFonts w:asciiTheme="minorHAnsi" w:hAnsiTheme="minorHAnsi" w:cs="Arial"/>
          <w:sz w:val="22"/>
        </w:rPr>
        <w:t>h</w:t>
      </w:r>
      <w:r w:rsidRPr="009161B3">
        <w:rPr>
          <w:rFonts w:asciiTheme="minorHAnsi" w:hAnsiTheme="minorHAnsi" w:cs="Arial"/>
          <w:sz w:val="22"/>
        </w:rPr>
        <w:t xml:space="preserve">oliday pay.  The contiguous states of South Carolina, Tennessee and Virginia report similar responses to the figure shown for the </w:t>
      </w:r>
      <w:r w:rsidR="005F6BC7">
        <w:rPr>
          <w:rFonts w:asciiTheme="minorHAnsi" w:hAnsiTheme="minorHAnsi" w:cs="Arial"/>
          <w:sz w:val="22"/>
        </w:rPr>
        <w:t>S</w:t>
      </w:r>
      <w:r w:rsidRPr="009161B3">
        <w:rPr>
          <w:rFonts w:asciiTheme="minorHAnsi" w:hAnsiTheme="minorHAnsi" w:cs="Arial"/>
          <w:sz w:val="22"/>
        </w:rPr>
        <w:t xml:space="preserve">outheastern states, and so, were not reflected separately.  </w:t>
      </w:r>
    </w:p>
    <w:p w14:paraId="4B690B28" w14:textId="77777777" w:rsidR="0020509A" w:rsidRPr="009161B3" w:rsidRDefault="0020509A" w:rsidP="0020509A">
      <w:pPr>
        <w:pStyle w:val="BodyTextIndent"/>
        <w:ind w:firstLine="720"/>
        <w:jc w:val="left"/>
        <w:rPr>
          <w:rFonts w:asciiTheme="minorHAnsi" w:hAnsiTheme="minorHAnsi" w:cs="Arial"/>
          <w:i/>
          <w:iCs/>
          <w:sz w:val="22"/>
        </w:rPr>
      </w:pPr>
    </w:p>
    <w:p w14:paraId="17DDD221" w14:textId="77777777" w:rsidR="0020509A" w:rsidRPr="009161B3" w:rsidRDefault="0020509A" w:rsidP="00894212">
      <w:pPr>
        <w:pStyle w:val="BodyTextIndent"/>
        <w:jc w:val="left"/>
        <w:rPr>
          <w:rFonts w:asciiTheme="minorHAnsi" w:hAnsiTheme="minorHAnsi" w:cs="Arial"/>
          <w:b/>
          <w:iCs/>
          <w:sz w:val="22"/>
        </w:rPr>
      </w:pPr>
      <w:r w:rsidRPr="009161B3">
        <w:rPr>
          <w:rFonts w:asciiTheme="minorHAnsi" w:hAnsiTheme="minorHAnsi" w:cs="Arial"/>
          <w:b/>
          <w:iCs/>
          <w:sz w:val="22"/>
        </w:rPr>
        <w:t xml:space="preserve">Vacation </w:t>
      </w:r>
    </w:p>
    <w:p w14:paraId="33D2F23D" w14:textId="77777777" w:rsidR="0020509A" w:rsidRPr="009161B3" w:rsidRDefault="0020509A" w:rsidP="00894212">
      <w:pPr>
        <w:pStyle w:val="BodyTextIndent"/>
        <w:rPr>
          <w:rFonts w:asciiTheme="minorHAnsi" w:hAnsiTheme="minorHAnsi" w:cs="Arial"/>
          <w:sz w:val="22"/>
        </w:rPr>
      </w:pPr>
      <w:r w:rsidRPr="009161B3">
        <w:rPr>
          <w:rFonts w:asciiTheme="minorHAnsi" w:hAnsiTheme="minorHAnsi" w:cs="Arial"/>
          <w:sz w:val="22"/>
        </w:rPr>
        <w:t>Based on comparison to other Southeastern states, North Carolina’s vacation accrual rates are considered to be competitive.</w:t>
      </w:r>
    </w:p>
    <w:p w14:paraId="3EA3D51E" w14:textId="77777777" w:rsidR="0020509A" w:rsidRDefault="0020509A" w:rsidP="0020509A">
      <w:pPr>
        <w:jc w:val="both"/>
        <w:rPr>
          <w:rFonts w:ascii="Arial" w:hAnsi="Arial" w:cs="Arial"/>
        </w:rPr>
      </w:pPr>
      <w:r w:rsidRPr="00694051">
        <w:rPr>
          <w:rFonts w:ascii="Arial" w:hAnsi="Arial" w:cs="Arial"/>
        </w:rPr>
        <w:tab/>
        <w:t xml:space="preserve">  </w:t>
      </w:r>
    </w:p>
    <w:p w14:paraId="2E33BA43" w14:textId="77777777" w:rsidR="0020509A" w:rsidRPr="00D71A17" w:rsidRDefault="0020509A" w:rsidP="008A4568">
      <w:pPr>
        <w:spacing w:after="120"/>
        <w:ind w:left="720"/>
        <w:jc w:val="center"/>
        <w:rPr>
          <w:rFonts w:asciiTheme="minorHAnsi" w:hAnsiTheme="minorHAnsi" w:cs="Arial"/>
          <w:b/>
          <w:szCs w:val="22"/>
        </w:rPr>
      </w:pPr>
      <w:r w:rsidRPr="00D71A17">
        <w:rPr>
          <w:rFonts w:asciiTheme="minorHAnsi" w:hAnsiTheme="minorHAnsi" w:cs="Arial"/>
          <w:b/>
          <w:szCs w:val="22"/>
        </w:rPr>
        <w:t xml:space="preserve">Table </w:t>
      </w:r>
      <w:r w:rsidR="002B37DE" w:rsidRPr="00D71A17">
        <w:rPr>
          <w:rFonts w:asciiTheme="minorHAnsi" w:hAnsiTheme="minorHAnsi" w:cs="Arial"/>
          <w:b/>
          <w:szCs w:val="22"/>
        </w:rPr>
        <w:t>7</w:t>
      </w:r>
      <w:r w:rsidRPr="00D71A17">
        <w:rPr>
          <w:rFonts w:asciiTheme="minorHAnsi" w:hAnsiTheme="minorHAnsi" w:cs="Arial"/>
          <w:b/>
          <w:szCs w:val="22"/>
        </w:rPr>
        <w:t xml:space="preserve">: </w:t>
      </w:r>
      <w:r w:rsidRPr="00D71A17">
        <w:rPr>
          <w:rFonts w:asciiTheme="minorHAnsi" w:hAnsiTheme="minorHAnsi" w:cs="Arial"/>
          <w:b/>
          <w:bCs/>
          <w:caps/>
          <w:szCs w:val="22"/>
        </w:rPr>
        <w:t>Vacation Leave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530"/>
        <w:gridCol w:w="1148"/>
        <w:gridCol w:w="2081"/>
      </w:tblGrid>
      <w:tr w:rsidR="0020509A" w:rsidRPr="00694051" w14:paraId="2E8BFCC9" w14:textId="77777777" w:rsidTr="00620DE7">
        <w:trPr>
          <w:jc w:val="center"/>
        </w:trPr>
        <w:tc>
          <w:tcPr>
            <w:tcW w:w="2700" w:type="dxa"/>
            <w:shd w:val="clear" w:color="auto" w:fill="C9EBEF"/>
            <w:vAlign w:val="center"/>
          </w:tcPr>
          <w:p w14:paraId="117D786E" w14:textId="77777777" w:rsidR="0020509A" w:rsidRPr="009161B3" w:rsidRDefault="0020509A" w:rsidP="009161B3">
            <w:pPr>
              <w:spacing w:before="40" w:after="20"/>
              <w:rPr>
                <w:rFonts w:asciiTheme="minorHAnsi" w:hAnsiTheme="minorHAnsi" w:cs="Arial"/>
                <w:b/>
                <w:bCs/>
              </w:rPr>
            </w:pPr>
          </w:p>
          <w:p w14:paraId="1581D082" w14:textId="77777777" w:rsidR="0020509A" w:rsidRPr="009161B3" w:rsidRDefault="0020509A" w:rsidP="009161B3">
            <w:pPr>
              <w:spacing w:before="40" w:after="20"/>
              <w:rPr>
                <w:rFonts w:asciiTheme="minorHAnsi" w:hAnsiTheme="minorHAnsi" w:cs="Arial"/>
                <w:b/>
                <w:bCs/>
              </w:rPr>
            </w:pPr>
            <w:r w:rsidRPr="009161B3">
              <w:rPr>
                <w:rFonts w:asciiTheme="minorHAnsi" w:hAnsiTheme="minorHAnsi" w:cs="Arial"/>
                <w:b/>
                <w:bCs/>
              </w:rPr>
              <w:t xml:space="preserve">Years of State Service </w:t>
            </w:r>
          </w:p>
        </w:tc>
        <w:tc>
          <w:tcPr>
            <w:tcW w:w="1530" w:type="dxa"/>
            <w:shd w:val="clear" w:color="auto" w:fill="C9EBEF"/>
            <w:vAlign w:val="center"/>
          </w:tcPr>
          <w:p w14:paraId="3028B5B6" w14:textId="77777777" w:rsidR="0020509A" w:rsidRPr="009161B3" w:rsidRDefault="0020509A" w:rsidP="009161B3">
            <w:pPr>
              <w:spacing w:before="40" w:after="20"/>
              <w:ind w:right="207"/>
              <w:jc w:val="center"/>
              <w:rPr>
                <w:rFonts w:asciiTheme="minorHAnsi" w:hAnsiTheme="minorHAnsi" w:cs="Arial"/>
                <w:b/>
                <w:bCs/>
              </w:rPr>
            </w:pPr>
            <w:r w:rsidRPr="009161B3">
              <w:rPr>
                <w:rFonts w:asciiTheme="minorHAnsi" w:hAnsiTheme="minorHAnsi" w:cs="Arial"/>
                <w:b/>
                <w:bCs/>
              </w:rPr>
              <w:t>North Carolina</w:t>
            </w:r>
          </w:p>
        </w:tc>
        <w:tc>
          <w:tcPr>
            <w:tcW w:w="1148" w:type="dxa"/>
            <w:shd w:val="clear" w:color="auto" w:fill="C9EBEF"/>
            <w:vAlign w:val="center"/>
          </w:tcPr>
          <w:p w14:paraId="24CFE095" w14:textId="77777777" w:rsidR="0020509A" w:rsidRPr="009161B3" w:rsidRDefault="0020509A" w:rsidP="009161B3">
            <w:pPr>
              <w:spacing w:before="40" w:after="20"/>
              <w:jc w:val="center"/>
              <w:rPr>
                <w:rFonts w:asciiTheme="minorHAnsi" w:hAnsiTheme="minorHAnsi" w:cs="Arial"/>
                <w:b/>
                <w:bCs/>
              </w:rPr>
            </w:pPr>
            <w:r w:rsidRPr="009161B3">
              <w:rPr>
                <w:rFonts w:asciiTheme="minorHAnsi" w:hAnsiTheme="minorHAnsi" w:cs="Arial"/>
                <w:b/>
                <w:bCs/>
              </w:rPr>
              <w:t>SE States</w:t>
            </w:r>
          </w:p>
        </w:tc>
        <w:tc>
          <w:tcPr>
            <w:tcW w:w="2081" w:type="dxa"/>
            <w:shd w:val="clear" w:color="auto" w:fill="C9EBEF"/>
            <w:vAlign w:val="center"/>
          </w:tcPr>
          <w:p w14:paraId="55E78952" w14:textId="77777777" w:rsidR="0020509A" w:rsidRPr="009161B3" w:rsidRDefault="0020509A" w:rsidP="009161B3">
            <w:pPr>
              <w:spacing w:before="40" w:after="20"/>
              <w:jc w:val="center"/>
              <w:rPr>
                <w:rFonts w:asciiTheme="minorHAnsi" w:hAnsiTheme="minorHAnsi" w:cs="Arial"/>
                <w:b/>
                <w:bCs/>
              </w:rPr>
            </w:pPr>
            <w:r w:rsidRPr="009161B3">
              <w:rPr>
                <w:rFonts w:asciiTheme="minorHAnsi" w:hAnsiTheme="minorHAnsi" w:cs="Arial"/>
                <w:b/>
                <w:bCs/>
              </w:rPr>
              <w:t>Differential in Days</w:t>
            </w:r>
          </w:p>
        </w:tc>
      </w:tr>
      <w:tr w:rsidR="0020509A" w:rsidRPr="00694051" w14:paraId="459ADBE3" w14:textId="77777777" w:rsidTr="00620DE7">
        <w:trPr>
          <w:jc w:val="center"/>
        </w:trPr>
        <w:tc>
          <w:tcPr>
            <w:tcW w:w="2700" w:type="dxa"/>
          </w:tcPr>
          <w:p w14:paraId="4B6D775F" w14:textId="77777777" w:rsidR="0020509A" w:rsidRPr="009161B3" w:rsidRDefault="0020509A" w:rsidP="009161B3">
            <w:pPr>
              <w:spacing w:before="40" w:after="20"/>
              <w:jc w:val="both"/>
              <w:rPr>
                <w:rFonts w:asciiTheme="minorHAnsi" w:hAnsiTheme="minorHAnsi" w:cs="Arial"/>
              </w:rPr>
            </w:pPr>
            <w:r w:rsidRPr="009161B3">
              <w:rPr>
                <w:rFonts w:asciiTheme="minorHAnsi" w:hAnsiTheme="minorHAnsi" w:cs="Arial"/>
              </w:rPr>
              <w:t>0 but less than 5 years</w:t>
            </w:r>
          </w:p>
        </w:tc>
        <w:tc>
          <w:tcPr>
            <w:tcW w:w="1530" w:type="dxa"/>
          </w:tcPr>
          <w:p w14:paraId="418954DF" w14:textId="77777777" w:rsidR="0020509A" w:rsidRPr="009161B3" w:rsidRDefault="0020509A" w:rsidP="009161B3">
            <w:pPr>
              <w:spacing w:before="40" w:after="20"/>
              <w:ind w:right="207"/>
              <w:jc w:val="center"/>
              <w:rPr>
                <w:rFonts w:asciiTheme="minorHAnsi" w:hAnsiTheme="minorHAnsi" w:cs="Arial"/>
              </w:rPr>
            </w:pPr>
            <w:r w:rsidRPr="009161B3">
              <w:rPr>
                <w:rFonts w:asciiTheme="minorHAnsi" w:hAnsiTheme="minorHAnsi" w:cs="Arial"/>
              </w:rPr>
              <w:t>14.00</w:t>
            </w:r>
          </w:p>
        </w:tc>
        <w:tc>
          <w:tcPr>
            <w:tcW w:w="1148" w:type="dxa"/>
          </w:tcPr>
          <w:p w14:paraId="4C89D54A"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12.79</w:t>
            </w:r>
          </w:p>
        </w:tc>
        <w:tc>
          <w:tcPr>
            <w:tcW w:w="2081" w:type="dxa"/>
            <w:vAlign w:val="center"/>
          </w:tcPr>
          <w:p w14:paraId="5EC84F66" w14:textId="77777777" w:rsidR="0020509A" w:rsidRPr="009161B3" w:rsidRDefault="005F7C3E" w:rsidP="009161B3">
            <w:pPr>
              <w:spacing w:before="40" w:after="20"/>
              <w:jc w:val="right"/>
              <w:rPr>
                <w:rFonts w:asciiTheme="minorHAnsi" w:hAnsiTheme="minorHAnsi" w:cs="Arial"/>
              </w:rPr>
            </w:pPr>
            <w:r>
              <w:rPr>
                <w:rFonts w:asciiTheme="minorHAnsi" w:hAnsiTheme="minorHAnsi" w:cs="Arial"/>
              </w:rPr>
              <w:t>+1.21</w:t>
            </w:r>
          </w:p>
        </w:tc>
      </w:tr>
      <w:tr w:rsidR="0020509A" w:rsidRPr="00694051" w14:paraId="29630E87" w14:textId="77777777" w:rsidTr="00620DE7">
        <w:trPr>
          <w:jc w:val="center"/>
        </w:trPr>
        <w:tc>
          <w:tcPr>
            <w:tcW w:w="2700" w:type="dxa"/>
          </w:tcPr>
          <w:p w14:paraId="60F27984" w14:textId="77777777" w:rsidR="0020509A" w:rsidRPr="009161B3" w:rsidRDefault="0020509A" w:rsidP="009161B3">
            <w:pPr>
              <w:spacing w:before="40" w:after="20"/>
              <w:jc w:val="both"/>
              <w:rPr>
                <w:rFonts w:asciiTheme="minorHAnsi" w:hAnsiTheme="minorHAnsi" w:cs="Arial"/>
              </w:rPr>
            </w:pPr>
            <w:r w:rsidRPr="009161B3">
              <w:rPr>
                <w:rFonts w:asciiTheme="minorHAnsi" w:hAnsiTheme="minorHAnsi" w:cs="Arial"/>
              </w:rPr>
              <w:t>5 but less than 10 years</w:t>
            </w:r>
          </w:p>
        </w:tc>
        <w:tc>
          <w:tcPr>
            <w:tcW w:w="1530" w:type="dxa"/>
          </w:tcPr>
          <w:p w14:paraId="512CA5ED" w14:textId="77777777" w:rsidR="0020509A" w:rsidRPr="009161B3" w:rsidRDefault="0020509A" w:rsidP="009161B3">
            <w:pPr>
              <w:spacing w:before="40" w:after="20"/>
              <w:ind w:right="207"/>
              <w:jc w:val="center"/>
              <w:rPr>
                <w:rFonts w:asciiTheme="minorHAnsi" w:hAnsiTheme="minorHAnsi" w:cs="Arial"/>
              </w:rPr>
            </w:pPr>
            <w:r w:rsidRPr="009161B3">
              <w:rPr>
                <w:rFonts w:asciiTheme="minorHAnsi" w:hAnsiTheme="minorHAnsi" w:cs="Arial"/>
              </w:rPr>
              <w:t>17.00</w:t>
            </w:r>
          </w:p>
        </w:tc>
        <w:tc>
          <w:tcPr>
            <w:tcW w:w="1148" w:type="dxa"/>
          </w:tcPr>
          <w:p w14:paraId="38E6614B"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16.50</w:t>
            </w:r>
          </w:p>
        </w:tc>
        <w:tc>
          <w:tcPr>
            <w:tcW w:w="2081" w:type="dxa"/>
            <w:vAlign w:val="center"/>
          </w:tcPr>
          <w:p w14:paraId="792F5F2C" w14:textId="77777777" w:rsidR="0020509A" w:rsidRPr="009161B3" w:rsidRDefault="005F7C3E" w:rsidP="009161B3">
            <w:pPr>
              <w:spacing w:before="40" w:after="20"/>
              <w:jc w:val="right"/>
              <w:rPr>
                <w:rFonts w:asciiTheme="minorHAnsi" w:hAnsiTheme="minorHAnsi" w:cs="Arial"/>
              </w:rPr>
            </w:pPr>
            <w:r>
              <w:rPr>
                <w:rFonts w:asciiTheme="minorHAnsi" w:hAnsiTheme="minorHAnsi" w:cs="Arial"/>
              </w:rPr>
              <w:t>+0.50</w:t>
            </w:r>
          </w:p>
        </w:tc>
      </w:tr>
      <w:tr w:rsidR="0020509A" w:rsidRPr="00694051" w14:paraId="6275C3DC" w14:textId="77777777" w:rsidTr="00620DE7">
        <w:trPr>
          <w:jc w:val="center"/>
        </w:trPr>
        <w:tc>
          <w:tcPr>
            <w:tcW w:w="2700" w:type="dxa"/>
          </w:tcPr>
          <w:p w14:paraId="5831081D" w14:textId="77777777" w:rsidR="0020509A" w:rsidRPr="009161B3" w:rsidRDefault="0020509A" w:rsidP="009161B3">
            <w:pPr>
              <w:spacing w:before="40" w:after="20"/>
              <w:jc w:val="both"/>
              <w:rPr>
                <w:rFonts w:asciiTheme="minorHAnsi" w:hAnsiTheme="minorHAnsi" w:cs="Arial"/>
              </w:rPr>
            </w:pPr>
            <w:r w:rsidRPr="009161B3">
              <w:rPr>
                <w:rFonts w:asciiTheme="minorHAnsi" w:hAnsiTheme="minorHAnsi" w:cs="Arial"/>
              </w:rPr>
              <w:t>10 but less than 15 years</w:t>
            </w:r>
          </w:p>
        </w:tc>
        <w:tc>
          <w:tcPr>
            <w:tcW w:w="1530" w:type="dxa"/>
          </w:tcPr>
          <w:p w14:paraId="6C112DC7" w14:textId="77777777" w:rsidR="0020509A" w:rsidRPr="009161B3" w:rsidRDefault="0020509A" w:rsidP="009161B3">
            <w:pPr>
              <w:spacing w:before="40" w:after="20"/>
              <w:ind w:right="207"/>
              <w:jc w:val="center"/>
              <w:rPr>
                <w:rFonts w:asciiTheme="minorHAnsi" w:hAnsiTheme="minorHAnsi" w:cs="Arial"/>
              </w:rPr>
            </w:pPr>
            <w:r w:rsidRPr="009161B3">
              <w:rPr>
                <w:rFonts w:asciiTheme="minorHAnsi" w:hAnsiTheme="minorHAnsi" w:cs="Arial"/>
              </w:rPr>
              <w:t>20.00</w:t>
            </w:r>
          </w:p>
        </w:tc>
        <w:tc>
          <w:tcPr>
            <w:tcW w:w="1148" w:type="dxa"/>
          </w:tcPr>
          <w:p w14:paraId="6A16250D"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19.07</w:t>
            </w:r>
          </w:p>
        </w:tc>
        <w:tc>
          <w:tcPr>
            <w:tcW w:w="2081" w:type="dxa"/>
            <w:vAlign w:val="center"/>
          </w:tcPr>
          <w:p w14:paraId="6E984401" w14:textId="77777777" w:rsidR="0020509A" w:rsidRPr="009161B3" w:rsidRDefault="005F7C3E" w:rsidP="009161B3">
            <w:pPr>
              <w:spacing w:before="40" w:after="20"/>
              <w:jc w:val="right"/>
              <w:rPr>
                <w:rFonts w:asciiTheme="minorHAnsi" w:hAnsiTheme="minorHAnsi" w:cs="Arial"/>
              </w:rPr>
            </w:pPr>
            <w:r>
              <w:rPr>
                <w:rFonts w:asciiTheme="minorHAnsi" w:hAnsiTheme="minorHAnsi" w:cs="Arial"/>
              </w:rPr>
              <w:t>+0.93</w:t>
            </w:r>
          </w:p>
        </w:tc>
      </w:tr>
      <w:tr w:rsidR="0020509A" w:rsidRPr="00694051" w14:paraId="3F7E9897" w14:textId="77777777" w:rsidTr="00620DE7">
        <w:trPr>
          <w:jc w:val="center"/>
        </w:trPr>
        <w:tc>
          <w:tcPr>
            <w:tcW w:w="2700" w:type="dxa"/>
          </w:tcPr>
          <w:p w14:paraId="5AE7C588" w14:textId="77777777" w:rsidR="0020509A" w:rsidRPr="009161B3" w:rsidRDefault="0020509A" w:rsidP="009161B3">
            <w:pPr>
              <w:spacing w:before="40" w:after="20"/>
              <w:jc w:val="both"/>
              <w:rPr>
                <w:rFonts w:asciiTheme="minorHAnsi" w:hAnsiTheme="minorHAnsi" w:cs="Arial"/>
              </w:rPr>
            </w:pPr>
            <w:r w:rsidRPr="009161B3">
              <w:rPr>
                <w:rFonts w:asciiTheme="minorHAnsi" w:hAnsiTheme="minorHAnsi" w:cs="Arial"/>
              </w:rPr>
              <w:t>15 but less than 20 years</w:t>
            </w:r>
          </w:p>
        </w:tc>
        <w:tc>
          <w:tcPr>
            <w:tcW w:w="1530" w:type="dxa"/>
          </w:tcPr>
          <w:p w14:paraId="0891E0DB" w14:textId="77777777" w:rsidR="0020509A" w:rsidRPr="009161B3" w:rsidRDefault="0020509A" w:rsidP="009161B3">
            <w:pPr>
              <w:spacing w:before="40" w:after="20"/>
              <w:ind w:right="207"/>
              <w:jc w:val="center"/>
              <w:rPr>
                <w:rFonts w:asciiTheme="minorHAnsi" w:hAnsiTheme="minorHAnsi" w:cs="Arial"/>
              </w:rPr>
            </w:pPr>
            <w:r w:rsidRPr="009161B3">
              <w:rPr>
                <w:rFonts w:asciiTheme="minorHAnsi" w:hAnsiTheme="minorHAnsi" w:cs="Arial"/>
              </w:rPr>
              <w:t>23.00</w:t>
            </w:r>
          </w:p>
        </w:tc>
        <w:tc>
          <w:tcPr>
            <w:tcW w:w="1148" w:type="dxa"/>
          </w:tcPr>
          <w:p w14:paraId="5F6BDAFE"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21.68</w:t>
            </w:r>
          </w:p>
        </w:tc>
        <w:tc>
          <w:tcPr>
            <w:tcW w:w="2081" w:type="dxa"/>
            <w:vAlign w:val="center"/>
          </w:tcPr>
          <w:p w14:paraId="47BD2D45" w14:textId="77777777" w:rsidR="0020509A" w:rsidRPr="009161B3" w:rsidRDefault="005F7C3E" w:rsidP="009161B3">
            <w:pPr>
              <w:spacing w:before="40" w:after="20"/>
              <w:jc w:val="right"/>
              <w:rPr>
                <w:rFonts w:asciiTheme="minorHAnsi" w:hAnsiTheme="minorHAnsi" w:cs="Arial"/>
              </w:rPr>
            </w:pPr>
            <w:r>
              <w:rPr>
                <w:rFonts w:asciiTheme="minorHAnsi" w:hAnsiTheme="minorHAnsi" w:cs="Arial"/>
              </w:rPr>
              <w:t>+1.32</w:t>
            </w:r>
          </w:p>
        </w:tc>
      </w:tr>
      <w:tr w:rsidR="0020509A" w:rsidRPr="00694051" w14:paraId="130C8437" w14:textId="77777777" w:rsidTr="00620DE7">
        <w:trPr>
          <w:jc w:val="center"/>
        </w:trPr>
        <w:tc>
          <w:tcPr>
            <w:tcW w:w="2700" w:type="dxa"/>
          </w:tcPr>
          <w:p w14:paraId="76B0C19A" w14:textId="77777777" w:rsidR="0020509A" w:rsidRPr="009161B3" w:rsidRDefault="0020509A" w:rsidP="009161B3">
            <w:pPr>
              <w:spacing w:before="40" w:after="20"/>
              <w:jc w:val="both"/>
              <w:rPr>
                <w:rFonts w:asciiTheme="minorHAnsi" w:hAnsiTheme="minorHAnsi" w:cs="Arial"/>
              </w:rPr>
            </w:pPr>
            <w:r w:rsidRPr="009161B3">
              <w:rPr>
                <w:rFonts w:asciiTheme="minorHAnsi" w:hAnsiTheme="minorHAnsi" w:cs="Arial"/>
              </w:rPr>
              <w:t>20 but less than 25 years</w:t>
            </w:r>
          </w:p>
        </w:tc>
        <w:tc>
          <w:tcPr>
            <w:tcW w:w="1530" w:type="dxa"/>
          </w:tcPr>
          <w:p w14:paraId="76002E99" w14:textId="77777777" w:rsidR="0020509A" w:rsidRPr="009161B3" w:rsidRDefault="0020509A" w:rsidP="009161B3">
            <w:pPr>
              <w:spacing w:before="40" w:after="20"/>
              <w:ind w:right="207"/>
              <w:jc w:val="center"/>
              <w:rPr>
                <w:rFonts w:asciiTheme="minorHAnsi" w:hAnsiTheme="minorHAnsi" w:cs="Arial"/>
              </w:rPr>
            </w:pPr>
            <w:r w:rsidRPr="009161B3">
              <w:rPr>
                <w:rFonts w:asciiTheme="minorHAnsi" w:hAnsiTheme="minorHAnsi" w:cs="Arial"/>
              </w:rPr>
              <w:t>26.00</w:t>
            </w:r>
          </w:p>
        </w:tc>
        <w:tc>
          <w:tcPr>
            <w:tcW w:w="1148" w:type="dxa"/>
          </w:tcPr>
          <w:p w14:paraId="000894F4"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24.00</w:t>
            </w:r>
          </w:p>
        </w:tc>
        <w:tc>
          <w:tcPr>
            <w:tcW w:w="2081" w:type="dxa"/>
            <w:vAlign w:val="center"/>
          </w:tcPr>
          <w:p w14:paraId="6447015F" w14:textId="77777777" w:rsidR="0020509A" w:rsidRPr="009161B3" w:rsidRDefault="005F7C3E" w:rsidP="009161B3">
            <w:pPr>
              <w:spacing w:before="40" w:after="20"/>
              <w:jc w:val="right"/>
              <w:rPr>
                <w:rFonts w:asciiTheme="minorHAnsi" w:hAnsiTheme="minorHAnsi" w:cs="Arial"/>
              </w:rPr>
            </w:pPr>
            <w:r>
              <w:rPr>
                <w:rFonts w:asciiTheme="minorHAnsi" w:hAnsiTheme="minorHAnsi" w:cs="Arial"/>
              </w:rPr>
              <w:t>+2.00</w:t>
            </w:r>
          </w:p>
        </w:tc>
      </w:tr>
      <w:tr w:rsidR="0020509A" w:rsidRPr="00694051" w14:paraId="3DFEC26F" w14:textId="77777777" w:rsidTr="00620DE7">
        <w:trPr>
          <w:jc w:val="center"/>
        </w:trPr>
        <w:tc>
          <w:tcPr>
            <w:tcW w:w="2700" w:type="dxa"/>
          </w:tcPr>
          <w:p w14:paraId="6238E5E7" w14:textId="77777777" w:rsidR="0020509A" w:rsidRPr="009161B3" w:rsidRDefault="0020509A" w:rsidP="009161B3">
            <w:pPr>
              <w:spacing w:before="40" w:after="20"/>
              <w:jc w:val="both"/>
              <w:rPr>
                <w:rFonts w:asciiTheme="minorHAnsi" w:hAnsiTheme="minorHAnsi" w:cs="Arial"/>
              </w:rPr>
            </w:pPr>
            <w:r w:rsidRPr="009161B3">
              <w:rPr>
                <w:rFonts w:asciiTheme="minorHAnsi" w:hAnsiTheme="minorHAnsi" w:cs="Arial"/>
              </w:rPr>
              <w:t>25 years or greater</w:t>
            </w:r>
          </w:p>
        </w:tc>
        <w:tc>
          <w:tcPr>
            <w:tcW w:w="1530" w:type="dxa"/>
          </w:tcPr>
          <w:p w14:paraId="3BD8CA66" w14:textId="77777777" w:rsidR="0020509A" w:rsidRPr="009161B3" w:rsidRDefault="0020509A" w:rsidP="009161B3">
            <w:pPr>
              <w:spacing w:before="40" w:after="20"/>
              <w:ind w:right="207"/>
              <w:jc w:val="center"/>
              <w:rPr>
                <w:rFonts w:asciiTheme="minorHAnsi" w:hAnsiTheme="minorHAnsi" w:cs="Arial"/>
              </w:rPr>
            </w:pPr>
            <w:r w:rsidRPr="009161B3">
              <w:rPr>
                <w:rFonts w:asciiTheme="minorHAnsi" w:hAnsiTheme="minorHAnsi" w:cs="Arial"/>
              </w:rPr>
              <w:t>26.00</w:t>
            </w:r>
          </w:p>
        </w:tc>
        <w:tc>
          <w:tcPr>
            <w:tcW w:w="1148" w:type="dxa"/>
          </w:tcPr>
          <w:p w14:paraId="06D99216"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24.89</w:t>
            </w:r>
          </w:p>
        </w:tc>
        <w:tc>
          <w:tcPr>
            <w:tcW w:w="2081" w:type="dxa"/>
            <w:vAlign w:val="center"/>
          </w:tcPr>
          <w:p w14:paraId="63C6001A" w14:textId="77777777" w:rsidR="0020509A" w:rsidRPr="009161B3" w:rsidRDefault="005F7C3E" w:rsidP="009161B3">
            <w:pPr>
              <w:spacing w:before="40" w:after="20"/>
              <w:jc w:val="right"/>
              <w:rPr>
                <w:rFonts w:asciiTheme="minorHAnsi" w:hAnsiTheme="minorHAnsi" w:cs="Arial"/>
              </w:rPr>
            </w:pPr>
            <w:r>
              <w:rPr>
                <w:rFonts w:asciiTheme="minorHAnsi" w:hAnsiTheme="minorHAnsi" w:cs="Arial"/>
              </w:rPr>
              <w:t>+1.11</w:t>
            </w:r>
          </w:p>
        </w:tc>
      </w:tr>
    </w:tbl>
    <w:p w14:paraId="7175DFC2" w14:textId="72BD11A7" w:rsidR="0020509A" w:rsidRPr="00620DE7" w:rsidRDefault="00C171CF" w:rsidP="009161B3">
      <w:pPr>
        <w:spacing w:before="120"/>
        <w:ind w:left="810"/>
        <w:rPr>
          <w:rFonts w:asciiTheme="minorHAnsi" w:hAnsiTheme="minorHAnsi" w:cs="Arial"/>
          <w:i/>
        </w:rPr>
      </w:pPr>
      <w:r w:rsidRPr="00620DE7">
        <w:rPr>
          <w:rFonts w:asciiTheme="minorHAnsi" w:hAnsiTheme="minorHAnsi" w:cs="Arial"/>
          <w:i/>
          <w:sz w:val="18"/>
        </w:rPr>
        <w:t xml:space="preserve">   Source: </w:t>
      </w:r>
      <w:r w:rsidR="005F7C3E" w:rsidRPr="00620DE7">
        <w:rPr>
          <w:rFonts w:asciiTheme="minorHAnsi" w:hAnsiTheme="minorHAnsi" w:cs="Arial"/>
          <w:i/>
          <w:sz w:val="18"/>
        </w:rPr>
        <w:t>2015</w:t>
      </w:r>
      <w:r w:rsidR="0020509A" w:rsidRPr="00620DE7">
        <w:rPr>
          <w:rFonts w:asciiTheme="minorHAnsi" w:hAnsiTheme="minorHAnsi" w:cs="Arial"/>
          <w:i/>
          <w:sz w:val="18"/>
        </w:rPr>
        <w:t xml:space="preserve"> NCASG Survey</w:t>
      </w:r>
    </w:p>
    <w:p w14:paraId="3148289E" w14:textId="77777777" w:rsidR="009161B3" w:rsidRPr="002D2763" w:rsidRDefault="009161B3" w:rsidP="0020509A">
      <w:pPr>
        <w:rPr>
          <w:rFonts w:asciiTheme="minorHAnsi" w:hAnsiTheme="minorHAnsi" w:cstheme="minorHAnsi"/>
        </w:rPr>
      </w:pPr>
    </w:p>
    <w:p w14:paraId="384B0DAA" w14:textId="77777777" w:rsidR="0020509A" w:rsidRPr="009161B3" w:rsidRDefault="0020509A" w:rsidP="00894212">
      <w:pPr>
        <w:pStyle w:val="Heading4"/>
        <w:ind w:left="0"/>
        <w:rPr>
          <w:rFonts w:asciiTheme="minorHAnsi" w:hAnsiTheme="minorHAnsi" w:cs="Arial"/>
          <w:b/>
          <w:bCs/>
          <w:i w:val="0"/>
          <w:sz w:val="22"/>
        </w:rPr>
      </w:pPr>
      <w:r w:rsidRPr="009161B3">
        <w:rPr>
          <w:rFonts w:asciiTheme="minorHAnsi" w:hAnsiTheme="minorHAnsi" w:cs="Arial"/>
          <w:b/>
          <w:bCs/>
          <w:i w:val="0"/>
          <w:sz w:val="22"/>
        </w:rPr>
        <w:t xml:space="preserve">Sick Leave </w:t>
      </w:r>
    </w:p>
    <w:p w14:paraId="32580B8D" w14:textId="3F04C29D" w:rsidR="0020509A" w:rsidRDefault="0020509A" w:rsidP="00894212">
      <w:pPr>
        <w:pStyle w:val="BodyTextIndent"/>
        <w:rPr>
          <w:rFonts w:ascii="Arial" w:hAnsi="Arial" w:cs="Arial"/>
        </w:rPr>
      </w:pPr>
      <w:r w:rsidRPr="009161B3">
        <w:rPr>
          <w:rFonts w:asciiTheme="minorHAnsi" w:hAnsiTheme="minorHAnsi" w:cs="Arial"/>
          <w:sz w:val="22"/>
        </w:rPr>
        <w:t xml:space="preserve">Southeastern states grant an average of </w:t>
      </w:r>
      <w:r w:rsidR="005F7C3E">
        <w:rPr>
          <w:rFonts w:asciiTheme="minorHAnsi" w:hAnsiTheme="minorHAnsi" w:cs="Arial"/>
          <w:sz w:val="22"/>
        </w:rPr>
        <w:t>14.0</w:t>
      </w:r>
      <w:r w:rsidRPr="009161B3">
        <w:rPr>
          <w:rFonts w:asciiTheme="minorHAnsi" w:hAnsiTheme="minorHAnsi" w:cs="Arial"/>
          <w:sz w:val="22"/>
        </w:rPr>
        <w:t xml:space="preserve"> days per year sick leave for employees with up to </w:t>
      </w:r>
      <w:r w:rsidR="00894212">
        <w:rPr>
          <w:rFonts w:asciiTheme="minorHAnsi" w:hAnsiTheme="minorHAnsi" w:cs="Arial"/>
          <w:sz w:val="22"/>
        </w:rPr>
        <w:t>three</w:t>
      </w:r>
      <w:r w:rsidRPr="009161B3">
        <w:rPr>
          <w:rFonts w:asciiTheme="minorHAnsi" w:hAnsiTheme="minorHAnsi" w:cs="Arial"/>
          <w:sz w:val="22"/>
        </w:rPr>
        <w:t xml:space="preserve"> years of service.  North Carolina is below the average for all </w:t>
      </w:r>
      <w:r w:rsidR="005F6BC7">
        <w:rPr>
          <w:rFonts w:asciiTheme="minorHAnsi" w:hAnsiTheme="minorHAnsi" w:cs="Arial"/>
          <w:sz w:val="22"/>
        </w:rPr>
        <w:t>S</w:t>
      </w:r>
      <w:r w:rsidRPr="009161B3">
        <w:rPr>
          <w:rFonts w:asciiTheme="minorHAnsi" w:hAnsiTheme="minorHAnsi" w:cs="Arial"/>
          <w:sz w:val="22"/>
        </w:rPr>
        <w:t>outheastern states at 12 days per year of employee sick leave</w:t>
      </w:r>
      <w:r w:rsidRPr="00694051">
        <w:rPr>
          <w:rFonts w:ascii="Arial" w:hAnsi="Arial" w:cs="Arial"/>
        </w:rPr>
        <w:t xml:space="preserve">.  </w:t>
      </w:r>
    </w:p>
    <w:p w14:paraId="39909B89" w14:textId="77777777" w:rsidR="0020509A" w:rsidRPr="002D2763" w:rsidRDefault="0020509A" w:rsidP="0020509A">
      <w:pPr>
        <w:pStyle w:val="BodyTextIndent"/>
        <w:ind w:left="720"/>
        <w:jc w:val="left"/>
        <w:rPr>
          <w:rFonts w:asciiTheme="minorHAnsi" w:hAnsiTheme="minorHAnsi" w:cstheme="minorHAnsi"/>
          <w:sz w:val="22"/>
          <w:szCs w:val="22"/>
        </w:rPr>
      </w:pPr>
    </w:p>
    <w:p w14:paraId="7BAB9FD2" w14:textId="77777777" w:rsidR="0020509A" w:rsidRPr="009161B3" w:rsidRDefault="009161B3" w:rsidP="008A4568">
      <w:pPr>
        <w:spacing w:after="120"/>
        <w:ind w:left="630"/>
        <w:jc w:val="center"/>
        <w:rPr>
          <w:rFonts w:asciiTheme="minorHAnsi" w:hAnsiTheme="minorHAnsi" w:cs="Arial"/>
          <w:b/>
          <w:bCs/>
          <w:caps/>
        </w:rPr>
      </w:pPr>
      <w:r w:rsidRPr="009161B3">
        <w:rPr>
          <w:rFonts w:asciiTheme="minorHAnsi" w:hAnsiTheme="minorHAnsi" w:cs="Arial"/>
          <w:b/>
        </w:rPr>
        <w:t xml:space="preserve">Table 8: </w:t>
      </w:r>
      <w:r w:rsidRPr="009161B3">
        <w:rPr>
          <w:rFonts w:asciiTheme="minorHAnsi" w:hAnsiTheme="minorHAnsi" w:cs="Arial"/>
          <w:b/>
          <w:bCs/>
        </w:rPr>
        <w:t>Sick Leave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2007"/>
        <w:gridCol w:w="2007"/>
        <w:gridCol w:w="2007"/>
      </w:tblGrid>
      <w:tr w:rsidR="0020509A" w:rsidRPr="00694051" w14:paraId="47993713" w14:textId="77777777" w:rsidTr="00620DE7">
        <w:trPr>
          <w:jc w:val="center"/>
        </w:trPr>
        <w:tc>
          <w:tcPr>
            <w:tcW w:w="2007" w:type="dxa"/>
            <w:shd w:val="clear" w:color="auto" w:fill="DAEEF3"/>
          </w:tcPr>
          <w:p w14:paraId="021F3F51" w14:textId="77777777" w:rsidR="0020509A" w:rsidRPr="009161B3" w:rsidRDefault="0020509A" w:rsidP="009161B3">
            <w:pPr>
              <w:spacing w:before="40" w:after="20"/>
              <w:jc w:val="center"/>
              <w:rPr>
                <w:rFonts w:asciiTheme="minorHAnsi" w:hAnsiTheme="minorHAnsi" w:cs="Arial"/>
                <w:b/>
                <w:bCs/>
              </w:rPr>
            </w:pPr>
            <w:r w:rsidRPr="009161B3">
              <w:rPr>
                <w:rFonts w:asciiTheme="minorHAnsi" w:hAnsiTheme="minorHAnsi" w:cs="Arial"/>
                <w:b/>
                <w:bCs/>
              </w:rPr>
              <w:t>Sick Leave</w:t>
            </w:r>
          </w:p>
        </w:tc>
        <w:tc>
          <w:tcPr>
            <w:tcW w:w="2007" w:type="dxa"/>
            <w:shd w:val="clear" w:color="auto" w:fill="DAEEF3"/>
          </w:tcPr>
          <w:p w14:paraId="03CCBC01" w14:textId="77777777" w:rsidR="0020509A" w:rsidRPr="009161B3" w:rsidRDefault="0020509A" w:rsidP="009161B3">
            <w:pPr>
              <w:spacing w:before="40" w:after="20"/>
              <w:jc w:val="center"/>
              <w:rPr>
                <w:rFonts w:asciiTheme="minorHAnsi" w:hAnsiTheme="minorHAnsi" w:cs="Arial"/>
                <w:b/>
                <w:bCs/>
              </w:rPr>
            </w:pPr>
            <w:r w:rsidRPr="009161B3">
              <w:rPr>
                <w:rFonts w:asciiTheme="minorHAnsi" w:hAnsiTheme="minorHAnsi" w:cs="Arial"/>
                <w:b/>
                <w:bCs/>
              </w:rPr>
              <w:t>North Carolina</w:t>
            </w:r>
          </w:p>
        </w:tc>
        <w:tc>
          <w:tcPr>
            <w:tcW w:w="2007" w:type="dxa"/>
            <w:shd w:val="clear" w:color="auto" w:fill="DAEEF3"/>
          </w:tcPr>
          <w:p w14:paraId="605520F8" w14:textId="77777777" w:rsidR="0020509A" w:rsidRPr="009161B3" w:rsidRDefault="0020509A" w:rsidP="009161B3">
            <w:pPr>
              <w:spacing w:before="40" w:after="20"/>
              <w:jc w:val="center"/>
              <w:rPr>
                <w:rFonts w:asciiTheme="minorHAnsi" w:hAnsiTheme="minorHAnsi" w:cs="Arial"/>
                <w:b/>
                <w:bCs/>
              </w:rPr>
            </w:pPr>
            <w:r w:rsidRPr="009161B3">
              <w:rPr>
                <w:rFonts w:asciiTheme="minorHAnsi" w:hAnsiTheme="minorHAnsi" w:cs="Arial"/>
                <w:b/>
                <w:bCs/>
              </w:rPr>
              <w:t>SE States</w:t>
            </w:r>
          </w:p>
        </w:tc>
        <w:tc>
          <w:tcPr>
            <w:tcW w:w="2007" w:type="dxa"/>
            <w:shd w:val="clear" w:color="auto" w:fill="DAEEF3"/>
          </w:tcPr>
          <w:p w14:paraId="3CDEBA2D" w14:textId="77777777" w:rsidR="0020509A" w:rsidRPr="009161B3" w:rsidRDefault="0020509A" w:rsidP="009161B3">
            <w:pPr>
              <w:spacing w:before="40" w:after="20"/>
              <w:jc w:val="center"/>
              <w:rPr>
                <w:rFonts w:asciiTheme="minorHAnsi" w:hAnsiTheme="minorHAnsi" w:cs="Arial"/>
                <w:b/>
                <w:bCs/>
              </w:rPr>
            </w:pPr>
            <w:r w:rsidRPr="009161B3">
              <w:rPr>
                <w:rFonts w:asciiTheme="minorHAnsi" w:hAnsiTheme="minorHAnsi" w:cs="Arial"/>
                <w:b/>
                <w:bCs/>
              </w:rPr>
              <w:t>Differential</w:t>
            </w:r>
          </w:p>
        </w:tc>
      </w:tr>
      <w:tr w:rsidR="0020509A" w:rsidRPr="00694051" w14:paraId="2278375A" w14:textId="77777777" w:rsidTr="00620DE7">
        <w:trPr>
          <w:jc w:val="center"/>
        </w:trPr>
        <w:tc>
          <w:tcPr>
            <w:tcW w:w="2007" w:type="dxa"/>
          </w:tcPr>
          <w:p w14:paraId="5BE2AEDD" w14:textId="77777777" w:rsidR="0020509A" w:rsidRPr="009161B3" w:rsidRDefault="0020509A" w:rsidP="009161B3">
            <w:pPr>
              <w:spacing w:before="40" w:after="20"/>
              <w:jc w:val="both"/>
              <w:rPr>
                <w:rFonts w:asciiTheme="minorHAnsi" w:hAnsiTheme="minorHAnsi" w:cs="Arial"/>
              </w:rPr>
            </w:pPr>
            <w:r w:rsidRPr="009161B3">
              <w:rPr>
                <w:rFonts w:asciiTheme="minorHAnsi" w:hAnsiTheme="minorHAnsi" w:cs="Arial"/>
              </w:rPr>
              <w:t>Accrual</w:t>
            </w:r>
          </w:p>
        </w:tc>
        <w:tc>
          <w:tcPr>
            <w:tcW w:w="2007" w:type="dxa"/>
          </w:tcPr>
          <w:p w14:paraId="225B41C2" w14:textId="77777777" w:rsidR="0020509A" w:rsidRPr="009161B3" w:rsidRDefault="0020509A" w:rsidP="009161B3">
            <w:pPr>
              <w:spacing w:before="40" w:after="20"/>
              <w:jc w:val="center"/>
              <w:rPr>
                <w:rFonts w:asciiTheme="minorHAnsi" w:hAnsiTheme="minorHAnsi" w:cs="Arial"/>
              </w:rPr>
            </w:pPr>
            <w:r w:rsidRPr="009161B3">
              <w:rPr>
                <w:rFonts w:asciiTheme="minorHAnsi" w:hAnsiTheme="minorHAnsi" w:cs="Arial"/>
              </w:rPr>
              <w:t>12 Days</w:t>
            </w:r>
          </w:p>
        </w:tc>
        <w:tc>
          <w:tcPr>
            <w:tcW w:w="2007" w:type="dxa"/>
          </w:tcPr>
          <w:p w14:paraId="21F6716A"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14.0</w:t>
            </w:r>
            <w:r w:rsidR="0020509A" w:rsidRPr="009161B3">
              <w:rPr>
                <w:rFonts w:asciiTheme="minorHAnsi" w:hAnsiTheme="minorHAnsi" w:cs="Arial"/>
              </w:rPr>
              <w:t xml:space="preserve"> Days</w:t>
            </w:r>
          </w:p>
        </w:tc>
        <w:tc>
          <w:tcPr>
            <w:tcW w:w="2007" w:type="dxa"/>
          </w:tcPr>
          <w:p w14:paraId="0669C35B" w14:textId="77777777" w:rsidR="0020509A" w:rsidRPr="009161B3" w:rsidRDefault="005F7C3E" w:rsidP="009161B3">
            <w:pPr>
              <w:spacing w:before="40" w:after="20"/>
              <w:jc w:val="center"/>
              <w:rPr>
                <w:rFonts w:asciiTheme="minorHAnsi" w:hAnsiTheme="minorHAnsi" w:cs="Arial"/>
              </w:rPr>
            </w:pPr>
            <w:r>
              <w:rPr>
                <w:rFonts w:asciiTheme="minorHAnsi" w:hAnsiTheme="minorHAnsi" w:cs="Arial"/>
              </w:rPr>
              <w:t>-2.0</w:t>
            </w:r>
            <w:r w:rsidR="0020509A" w:rsidRPr="009161B3">
              <w:rPr>
                <w:rFonts w:asciiTheme="minorHAnsi" w:hAnsiTheme="minorHAnsi" w:cs="Arial"/>
              </w:rPr>
              <w:t xml:space="preserve"> Days</w:t>
            </w:r>
          </w:p>
        </w:tc>
      </w:tr>
    </w:tbl>
    <w:p w14:paraId="78F0417F" w14:textId="1339BF79" w:rsidR="0020509A" w:rsidRPr="00620DE7" w:rsidRDefault="00C171CF" w:rsidP="009161B3">
      <w:pPr>
        <w:spacing w:before="120"/>
        <w:ind w:left="630"/>
        <w:rPr>
          <w:rFonts w:asciiTheme="minorHAnsi" w:hAnsiTheme="minorHAnsi" w:cstheme="minorHAnsi"/>
          <w:i/>
          <w:sz w:val="18"/>
        </w:rPr>
      </w:pPr>
      <w:r w:rsidRPr="00620DE7">
        <w:rPr>
          <w:rFonts w:asciiTheme="minorHAnsi" w:hAnsiTheme="minorHAnsi" w:cstheme="minorHAnsi"/>
          <w:i/>
          <w:sz w:val="18"/>
        </w:rPr>
        <w:t xml:space="preserve">Source: </w:t>
      </w:r>
      <w:r w:rsidR="005F7C3E" w:rsidRPr="00620DE7">
        <w:rPr>
          <w:rFonts w:asciiTheme="minorHAnsi" w:hAnsiTheme="minorHAnsi" w:cstheme="minorHAnsi"/>
          <w:i/>
          <w:sz w:val="18"/>
        </w:rPr>
        <w:t>2015</w:t>
      </w:r>
      <w:r w:rsidR="0020509A" w:rsidRPr="00620DE7">
        <w:rPr>
          <w:rFonts w:asciiTheme="minorHAnsi" w:hAnsiTheme="minorHAnsi" w:cstheme="minorHAnsi"/>
          <w:i/>
          <w:sz w:val="18"/>
        </w:rPr>
        <w:t xml:space="preserve"> NCASG Survey </w:t>
      </w:r>
    </w:p>
    <w:p w14:paraId="340DA21E" w14:textId="77777777" w:rsidR="0020509A" w:rsidRPr="002D2763" w:rsidRDefault="0020509A" w:rsidP="0020509A">
      <w:pPr>
        <w:pStyle w:val="Header"/>
        <w:tabs>
          <w:tab w:val="clear" w:pos="4320"/>
          <w:tab w:val="clear" w:pos="8640"/>
        </w:tabs>
        <w:rPr>
          <w:rFonts w:asciiTheme="minorHAnsi" w:hAnsiTheme="minorHAnsi" w:cstheme="minorHAnsi"/>
          <w:szCs w:val="22"/>
        </w:rPr>
      </w:pPr>
    </w:p>
    <w:p w14:paraId="50B1CFE2" w14:textId="77777777" w:rsidR="0020509A" w:rsidRPr="009161B3" w:rsidRDefault="0020509A" w:rsidP="00894212">
      <w:pPr>
        <w:pStyle w:val="Heading4"/>
        <w:ind w:left="0"/>
        <w:contextualSpacing/>
        <w:rPr>
          <w:rFonts w:asciiTheme="minorHAnsi" w:hAnsiTheme="minorHAnsi" w:cs="Arial"/>
          <w:b/>
          <w:bCs/>
          <w:i w:val="0"/>
          <w:sz w:val="22"/>
          <w:szCs w:val="22"/>
        </w:rPr>
      </w:pPr>
      <w:r w:rsidRPr="000A6C45">
        <w:rPr>
          <w:rFonts w:asciiTheme="minorHAnsi" w:hAnsiTheme="minorHAnsi" w:cs="Arial"/>
          <w:b/>
          <w:bCs/>
          <w:i w:val="0"/>
          <w:sz w:val="22"/>
          <w:szCs w:val="22"/>
        </w:rPr>
        <w:t xml:space="preserve">Holidays </w:t>
      </w:r>
      <w:r w:rsidR="009161B3" w:rsidRPr="000A6C45">
        <w:rPr>
          <w:rFonts w:asciiTheme="minorHAnsi" w:hAnsiTheme="minorHAnsi" w:cs="Arial"/>
          <w:b/>
          <w:bCs/>
          <w:i w:val="0"/>
          <w:sz w:val="22"/>
          <w:szCs w:val="22"/>
        </w:rPr>
        <w:br/>
      </w:r>
      <w:r w:rsidRPr="009161B3">
        <w:rPr>
          <w:rFonts w:asciiTheme="minorHAnsi" w:hAnsiTheme="minorHAnsi" w:cs="Arial"/>
          <w:i w:val="0"/>
          <w:sz w:val="22"/>
          <w:szCs w:val="22"/>
        </w:rPr>
        <w:t xml:space="preserve">North Carolina is competitive with the other </w:t>
      </w:r>
      <w:r w:rsidR="005F6BC7">
        <w:rPr>
          <w:rFonts w:asciiTheme="minorHAnsi" w:hAnsiTheme="minorHAnsi" w:cs="Arial"/>
          <w:i w:val="0"/>
          <w:sz w:val="22"/>
          <w:szCs w:val="22"/>
        </w:rPr>
        <w:t>S</w:t>
      </w:r>
      <w:r w:rsidRPr="009161B3">
        <w:rPr>
          <w:rFonts w:asciiTheme="minorHAnsi" w:hAnsiTheme="minorHAnsi" w:cs="Arial"/>
          <w:i w:val="0"/>
          <w:sz w:val="22"/>
          <w:szCs w:val="22"/>
        </w:rPr>
        <w:t xml:space="preserve">outheastern states in recognized holidays.  The total average for all </w:t>
      </w:r>
      <w:r w:rsidR="005F6BC7">
        <w:rPr>
          <w:rFonts w:asciiTheme="minorHAnsi" w:hAnsiTheme="minorHAnsi" w:cs="Arial"/>
          <w:i w:val="0"/>
          <w:sz w:val="22"/>
          <w:szCs w:val="22"/>
        </w:rPr>
        <w:t>S</w:t>
      </w:r>
      <w:r w:rsidRPr="009161B3">
        <w:rPr>
          <w:rFonts w:asciiTheme="minorHAnsi" w:hAnsiTheme="minorHAnsi" w:cs="Arial"/>
          <w:i w:val="0"/>
          <w:sz w:val="22"/>
          <w:szCs w:val="22"/>
        </w:rPr>
        <w:t>outheaster</w:t>
      </w:r>
      <w:r w:rsidR="005F7C3E">
        <w:rPr>
          <w:rFonts w:asciiTheme="minorHAnsi" w:hAnsiTheme="minorHAnsi" w:cs="Arial"/>
          <w:i w:val="0"/>
          <w:sz w:val="22"/>
          <w:szCs w:val="22"/>
        </w:rPr>
        <w:t>n states in the survey was 11.5</w:t>
      </w:r>
      <w:r w:rsidRPr="009161B3">
        <w:rPr>
          <w:rFonts w:asciiTheme="minorHAnsi" w:hAnsiTheme="minorHAnsi" w:cs="Arial"/>
          <w:i w:val="0"/>
          <w:sz w:val="22"/>
          <w:szCs w:val="22"/>
        </w:rPr>
        <w:t xml:space="preserve"> holidays.  As of 2013, North Carolina grants a consistent 12 holidays per year.</w:t>
      </w:r>
    </w:p>
    <w:p w14:paraId="1F2C9704" w14:textId="77777777" w:rsidR="000A6C45" w:rsidRPr="00694051" w:rsidRDefault="000A6C45" w:rsidP="000A6C45">
      <w:pPr>
        <w:pStyle w:val="BodyTextIndent"/>
        <w:ind w:left="720"/>
        <w:jc w:val="left"/>
        <w:rPr>
          <w:rFonts w:ascii="Arial" w:hAnsi="Arial" w:cs="Arial"/>
        </w:rPr>
      </w:pPr>
    </w:p>
    <w:p w14:paraId="0CAA2B14" w14:textId="54614274" w:rsidR="000A6C45" w:rsidRPr="009161B3" w:rsidRDefault="000A6C45" w:rsidP="000A6C45">
      <w:pPr>
        <w:spacing w:after="120"/>
        <w:ind w:left="630"/>
        <w:jc w:val="center"/>
        <w:rPr>
          <w:rFonts w:asciiTheme="minorHAnsi" w:hAnsiTheme="minorHAnsi" w:cs="Arial"/>
          <w:b/>
          <w:bCs/>
          <w:caps/>
        </w:rPr>
      </w:pPr>
      <w:r w:rsidRPr="009161B3">
        <w:rPr>
          <w:rFonts w:asciiTheme="minorHAnsi" w:hAnsiTheme="minorHAnsi" w:cs="Arial"/>
          <w:b/>
        </w:rPr>
        <w:t xml:space="preserve">Table </w:t>
      </w:r>
      <w:r>
        <w:rPr>
          <w:rFonts w:asciiTheme="minorHAnsi" w:hAnsiTheme="minorHAnsi" w:cs="Arial"/>
          <w:b/>
        </w:rPr>
        <w:t>9</w:t>
      </w:r>
      <w:r w:rsidRPr="009161B3">
        <w:rPr>
          <w:rFonts w:asciiTheme="minorHAnsi" w:hAnsiTheme="minorHAnsi" w:cs="Arial"/>
          <w:b/>
        </w:rPr>
        <w:t xml:space="preserve">: </w:t>
      </w:r>
      <w:r>
        <w:rPr>
          <w:rFonts w:asciiTheme="minorHAnsi" w:hAnsiTheme="minorHAnsi" w:cs="Arial"/>
          <w:b/>
        </w:rPr>
        <w:t>Holidays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2007"/>
        <w:gridCol w:w="2237"/>
      </w:tblGrid>
      <w:tr w:rsidR="0020509A" w:rsidRPr="009161B3" w14:paraId="090BF8BA" w14:textId="77777777" w:rsidTr="000A6C45">
        <w:trPr>
          <w:trHeight w:val="316"/>
          <w:jc w:val="center"/>
        </w:trPr>
        <w:tc>
          <w:tcPr>
            <w:tcW w:w="2007" w:type="dxa"/>
            <w:shd w:val="clear" w:color="auto" w:fill="DAEEF3"/>
          </w:tcPr>
          <w:p w14:paraId="625EAD92" w14:textId="77777777" w:rsidR="0020509A" w:rsidRPr="009161B3" w:rsidRDefault="0020509A" w:rsidP="009161B3">
            <w:pPr>
              <w:spacing w:before="40" w:after="20"/>
              <w:jc w:val="both"/>
              <w:rPr>
                <w:rFonts w:asciiTheme="minorHAnsi" w:hAnsiTheme="minorHAnsi" w:cs="Arial"/>
                <w:b/>
                <w:bCs/>
                <w:szCs w:val="22"/>
              </w:rPr>
            </w:pPr>
            <w:r w:rsidRPr="009161B3">
              <w:rPr>
                <w:rFonts w:asciiTheme="minorHAnsi" w:hAnsiTheme="minorHAnsi" w:cs="Arial"/>
                <w:b/>
                <w:bCs/>
                <w:szCs w:val="22"/>
              </w:rPr>
              <w:t xml:space="preserve">Holiday Leave </w:t>
            </w:r>
          </w:p>
        </w:tc>
        <w:tc>
          <w:tcPr>
            <w:tcW w:w="2007" w:type="dxa"/>
            <w:shd w:val="clear" w:color="auto" w:fill="DAEEF3"/>
          </w:tcPr>
          <w:p w14:paraId="6535972C" w14:textId="77777777" w:rsidR="0020509A" w:rsidRPr="009161B3" w:rsidRDefault="0020509A" w:rsidP="009161B3">
            <w:pPr>
              <w:spacing w:before="40" w:after="20"/>
              <w:jc w:val="center"/>
              <w:rPr>
                <w:rFonts w:asciiTheme="minorHAnsi" w:hAnsiTheme="minorHAnsi" w:cs="Arial"/>
                <w:b/>
                <w:bCs/>
                <w:szCs w:val="22"/>
              </w:rPr>
            </w:pPr>
            <w:r w:rsidRPr="009161B3">
              <w:rPr>
                <w:rFonts w:asciiTheme="minorHAnsi" w:hAnsiTheme="minorHAnsi" w:cs="Arial"/>
                <w:b/>
                <w:bCs/>
                <w:szCs w:val="22"/>
              </w:rPr>
              <w:t>North Carolina</w:t>
            </w:r>
          </w:p>
        </w:tc>
        <w:tc>
          <w:tcPr>
            <w:tcW w:w="2237" w:type="dxa"/>
            <w:shd w:val="clear" w:color="auto" w:fill="DAEEF3"/>
          </w:tcPr>
          <w:p w14:paraId="53F56AB8" w14:textId="77777777" w:rsidR="0020509A" w:rsidRPr="009161B3" w:rsidRDefault="0020509A" w:rsidP="009161B3">
            <w:pPr>
              <w:spacing w:before="40" w:after="20"/>
              <w:jc w:val="center"/>
              <w:rPr>
                <w:rFonts w:asciiTheme="minorHAnsi" w:hAnsiTheme="minorHAnsi" w:cs="Arial"/>
                <w:b/>
                <w:bCs/>
                <w:szCs w:val="22"/>
              </w:rPr>
            </w:pPr>
            <w:r w:rsidRPr="009161B3">
              <w:rPr>
                <w:rFonts w:asciiTheme="minorHAnsi" w:hAnsiTheme="minorHAnsi" w:cs="Arial"/>
                <w:b/>
                <w:bCs/>
                <w:szCs w:val="22"/>
              </w:rPr>
              <w:t>Southeastern States</w:t>
            </w:r>
          </w:p>
        </w:tc>
      </w:tr>
      <w:tr w:rsidR="0020509A" w:rsidRPr="009161B3" w14:paraId="5DAB502A" w14:textId="77777777" w:rsidTr="000A6C45">
        <w:trPr>
          <w:jc w:val="center"/>
        </w:trPr>
        <w:tc>
          <w:tcPr>
            <w:tcW w:w="2007" w:type="dxa"/>
          </w:tcPr>
          <w:p w14:paraId="2B51AFEB" w14:textId="4E98E91B" w:rsidR="0020509A" w:rsidRPr="009161B3" w:rsidRDefault="00894212" w:rsidP="009161B3">
            <w:pPr>
              <w:spacing w:before="40" w:after="20"/>
              <w:jc w:val="both"/>
              <w:rPr>
                <w:rFonts w:asciiTheme="minorHAnsi" w:hAnsiTheme="minorHAnsi" w:cs="Arial"/>
                <w:szCs w:val="22"/>
              </w:rPr>
            </w:pPr>
            <w:r>
              <w:rPr>
                <w:rFonts w:asciiTheme="minorHAnsi" w:hAnsiTheme="minorHAnsi" w:cs="Arial"/>
                <w:szCs w:val="22"/>
              </w:rPr>
              <w:t>Days per y</w:t>
            </w:r>
            <w:r w:rsidR="0020509A" w:rsidRPr="009161B3">
              <w:rPr>
                <w:rFonts w:asciiTheme="minorHAnsi" w:hAnsiTheme="minorHAnsi" w:cs="Arial"/>
                <w:szCs w:val="22"/>
              </w:rPr>
              <w:t>ear</w:t>
            </w:r>
          </w:p>
        </w:tc>
        <w:tc>
          <w:tcPr>
            <w:tcW w:w="2007" w:type="dxa"/>
          </w:tcPr>
          <w:p w14:paraId="77D6949F" w14:textId="77777777" w:rsidR="0020509A" w:rsidRPr="009161B3" w:rsidRDefault="0020509A" w:rsidP="009161B3">
            <w:pPr>
              <w:spacing w:before="40" w:after="20"/>
              <w:jc w:val="center"/>
              <w:rPr>
                <w:rFonts w:asciiTheme="minorHAnsi" w:hAnsiTheme="minorHAnsi" w:cs="Arial"/>
                <w:szCs w:val="22"/>
              </w:rPr>
            </w:pPr>
            <w:r w:rsidRPr="009161B3">
              <w:rPr>
                <w:rFonts w:asciiTheme="minorHAnsi" w:hAnsiTheme="minorHAnsi" w:cs="Arial"/>
                <w:szCs w:val="22"/>
              </w:rPr>
              <w:t>12</w:t>
            </w:r>
          </w:p>
        </w:tc>
        <w:tc>
          <w:tcPr>
            <w:tcW w:w="2237" w:type="dxa"/>
          </w:tcPr>
          <w:p w14:paraId="7E10982F" w14:textId="77777777" w:rsidR="0020509A" w:rsidRPr="009161B3" w:rsidRDefault="005F7C3E" w:rsidP="009161B3">
            <w:pPr>
              <w:spacing w:before="40" w:after="20"/>
              <w:jc w:val="center"/>
              <w:rPr>
                <w:rFonts w:asciiTheme="minorHAnsi" w:hAnsiTheme="minorHAnsi" w:cs="Arial"/>
                <w:szCs w:val="22"/>
              </w:rPr>
            </w:pPr>
            <w:r>
              <w:rPr>
                <w:rFonts w:asciiTheme="minorHAnsi" w:hAnsiTheme="minorHAnsi" w:cs="Arial"/>
                <w:szCs w:val="22"/>
              </w:rPr>
              <w:t>11.5</w:t>
            </w:r>
          </w:p>
        </w:tc>
      </w:tr>
    </w:tbl>
    <w:p w14:paraId="102F364D" w14:textId="2A5E6D0F" w:rsidR="0020509A" w:rsidRPr="000A6C45" w:rsidRDefault="00C171CF" w:rsidP="009161B3">
      <w:pPr>
        <w:pStyle w:val="BodyTextIndent"/>
        <w:tabs>
          <w:tab w:val="clear" w:pos="90"/>
        </w:tabs>
        <w:spacing w:before="120"/>
        <w:ind w:left="1530"/>
        <w:rPr>
          <w:rFonts w:asciiTheme="minorHAnsi" w:hAnsiTheme="minorHAnsi" w:cs="Arial"/>
          <w:i/>
          <w:iCs/>
          <w:sz w:val="18"/>
          <w:szCs w:val="22"/>
        </w:rPr>
      </w:pPr>
      <w:r w:rsidRPr="000A6C45">
        <w:rPr>
          <w:rFonts w:asciiTheme="minorHAnsi" w:hAnsiTheme="minorHAnsi" w:cs="Arial"/>
          <w:i/>
          <w:iCs/>
          <w:sz w:val="18"/>
          <w:szCs w:val="22"/>
        </w:rPr>
        <w:t xml:space="preserve">Source: </w:t>
      </w:r>
      <w:r w:rsidR="005F7C3E" w:rsidRPr="000A6C45">
        <w:rPr>
          <w:rFonts w:asciiTheme="minorHAnsi" w:hAnsiTheme="minorHAnsi" w:cs="Arial"/>
          <w:i/>
          <w:iCs/>
          <w:sz w:val="18"/>
          <w:szCs w:val="22"/>
        </w:rPr>
        <w:t>2015</w:t>
      </w:r>
      <w:r w:rsidR="0020509A" w:rsidRPr="000A6C45">
        <w:rPr>
          <w:rFonts w:asciiTheme="minorHAnsi" w:hAnsiTheme="minorHAnsi" w:cs="Arial"/>
          <w:i/>
          <w:iCs/>
          <w:sz w:val="18"/>
          <w:szCs w:val="22"/>
        </w:rPr>
        <w:t xml:space="preserve"> NCASG Survey</w:t>
      </w:r>
    </w:p>
    <w:p w14:paraId="642650C0" w14:textId="77777777" w:rsidR="0020509A" w:rsidRPr="002D2763" w:rsidRDefault="0020509A" w:rsidP="002D2763">
      <w:pPr>
        <w:tabs>
          <w:tab w:val="left" w:pos="90"/>
        </w:tabs>
        <w:jc w:val="both"/>
        <w:rPr>
          <w:rFonts w:asciiTheme="minorHAnsi" w:hAnsiTheme="minorHAnsi" w:cs="Arial"/>
          <w:sz w:val="24"/>
          <w:szCs w:val="24"/>
        </w:rPr>
      </w:pPr>
      <w:r w:rsidRPr="002D2763">
        <w:rPr>
          <w:rFonts w:asciiTheme="minorHAnsi" w:hAnsiTheme="minorHAnsi" w:cs="Arial"/>
          <w:b/>
          <w:bCs/>
          <w:sz w:val="24"/>
          <w:szCs w:val="24"/>
        </w:rPr>
        <w:lastRenderedPageBreak/>
        <w:t>Health Insurance</w:t>
      </w:r>
      <w:r w:rsidRPr="002D2763">
        <w:rPr>
          <w:rFonts w:asciiTheme="minorHAnsi" w:hAnsiTheme="minorHAnsi" w:cs="Arial"/>
          <w:sz w:val="24"/>
          <w:szCs w:val="24"/>
        </w:rPr>
        <w:t xml:space="preserve"> </w:t>
      </w:r>
    </w:p>
    <w:p w14:paraId="2CF4D069" w14:textId="77777777" w:rsidR="0020509A" w:rsidRPr="009161B3" w:rsidRDefault="0020509A" w:rsidP="002D2763">
      <w:pPr>
        <w:pStyle w:val="BodyTextIndent"/>
        <w:rPr>
          <w:rFonts w:asciiTheme="minorHAnsi" w:hAnsiTheme="minorHAnsi" w:cs="Arial"/>
          <w:sz w:val="22"/>
          <w:szCs w:val="22"/>
        </w:rPr>
      </w:pPr>
      <w:r w:rsidRPr="009161B3">
        <w:rPr>
          <w:rFonts w:asciiTheme="minorHAnsi" w:hAnsiTheme="minorHAnsi" w:cs="Arial"/>
          <w:sz w:val="22"/>
          <w:szCs w:val="22"/>
        </w:rPr>
        <w:t>The information below is used to compare North Carolina’s current standard PPO plan to other organizations.</w:t>
      </w:r>
    </w:p>
    <w:p w14:paraId="46EC0CE2" w14:textId="77777777" w:rsidR="0020509A" w:rsidRPr="009161B3" w:rsidRDefault="0020509A" w:rsidP="0020509A">
      <w:pPr>
        <w:pStyle w:val="MAPS"/>
        <w:ind w:left="720"/>
        <w:rPr>
          <w:rFonts w:asciiTheme="minorHAnsi" w:hAnsiTheme="minorHAnsi" w:cs="Arial"/>
          <w:b/>
          <w:bCs/>
          <w:i/>
          <w:iCs/>
          <w:sz w:val="22"/>
          <w:szCs w:val="22"/>
        </w:rPr>
      </w:pPr>
    </w:p>
    <w:p w14:paraId="68B7118A" w14:textId="77777777" w:rsidR="0020509A" w:rsidRPr="002D2763" w:rsidRDefault="0020509A" w:rsidP="00894212">
      <w:pPr>
        <w:pStyle w:val="MAPS"/>
        <w:rPr>
          <w:rFonts w:asciiTheme="minorHAnsi" w:hAnsiTheme="minorHAnsi" w:cs="Arial"/>
          <w:b/>
          <w:bCs/>
          <w:iCs/>
          <w:sz w:val="22"/>
          <w:szCs w:val="22"/>
        </w:rPr>
      </w:pPr>
      <w:r w:rsidRPr="002D2763">
        <w:rPr>
          <w:rFonts w:asciiTheme="minorHAnsi" w:hAnsiTheme="minorHAnsi" w:cs="Arial"/>
          <w:b/>
          <w:bCs/>
          <w:iCs/>
          <w:sz w:val="22"/>
          <w:szCs w:val="22"/>
        </w:rPr>
        <w:t>Comparison to Southeastern States</w:t>
      </w:r>
    </w:p>
    <w:p w14:paraId="5228DA5C" w14:textId="266BA2BB" w:rsidR="0020509A" w:rsidRPr="00C171CF" w:rsidRDefault="0020509A" w:rsidP="00894212">
      <w:pPr>
        <w:pStyle w:val="MAPS"/>
        <w:jc w:val="both"/>
        <w:rPr>
          <w:rFonts w:asciiTheme="minorHAnsi" w:hAnsiTheme="minorHAnsi" w:cs="Arial"/>
          <w:color w:val="000000" w:themeColor="text1"/>
          <w:sz w:val="22"/>
          <w:szCs w:val="22"/>
        </w:rPr>
      </w:pPr>
      <w:r w:rsidRPr="009161B3">
        <w:rPr>
          <w:rFonts w:asciiTheme="minorHAnsi" w:hAnsiTheme="minorHAnsi" w:cs="Arial"/>
          <w:sz w:val="22"/>
          <w:szCs w:val="22"/>
        </w:rPr>
        <w:t xml:space="preserve">Most other states provide a higher percentage contribution for family coverage than for individual coverage. </w:t>
      </w:r>
      <w:r w:rsidRPr="00C171CF">
        <w:rPr>
          <w:rFonts w:asciiTheme="minorHAnsi" w:hAnsiTheme="minorHAnsi" w:cs="Arial"/>
          <w:color w:val="000000" w:themeColor="text1"/>
          <w:sz w:val="22"/>
          <w:szCs w:val="22"/>
        </w:rPr>
        <w:t>N</w:t>
      </w:r>
      <w:r w:rsidR="00894212">
        <w:rPr>
          <w:rFonts w:asciiTheme="minorHAnsi" w:hAnsiTheme="minorHAnsi" w:cs="Arial"/>
          <w:color w:val="000000" w:themeColor="text1"/>
          <w:sz w:val="22"/>
          <w:szCs w:val="22"/>
        </w:rPr>
        <w:t>orth Carolina</w:t>
      </w:r>
      <w:r w:rsidRPr="00C171CF">
        <w:rPr>
          <w:rFonts w:asciiTheme="minorHAnsi" w:hAnsiTheme="minorHAnsi" w:cs="Arial"/>
          <w:color w:val="000000" w:themeColor="text1"/>
          <w:sz w:val="22"/>
          <w:szCs w:val="22"/>
        </w:rPr>
        <w:t>’s employer contribution for family coverage lags the avera</w:t>
      </w:r>
      <w:r w:rsidR="005F7C3E" w:rsidRPr="00C171CF">
        <w:rPr>
          <w:rFonts w:asciiTheme="minorHAnsi" w:hAnsiTheme="minorHAnsi" w:cs="Arial"/>
          <w:color w:val="000000" w:themeColor="text1"/>
          <w:sz w:val="22"/>
          <w:szCs w:val="22"/>
        </w:rPr>
        <w:t>ge for Southeastern states by 34</w:t>
      </w:r>
      <w:r w:rsidRPr="00C171CF">
        <w:rPr>
          <w:rFonts w:asciiTheme="minorHAnsi" w:hAnsiTheme="minorHAnsi" w:cs="Arial"/>
          <w:color w:val="000000" w:themeColor="text1"/>
          <w:sz w:val="22"/>
          <w:szCs w:val="22"/>
        </w:rPr>
        <w:t>%.</w:t>
      </w:r>
    </w:p>
    <w:p w14:paraId="3B6DE0D2" w14:textId="77777777" w:rsidR="0020509A" w:rsidRPr="00694051" w:rsidRDefault="0020509A" w:rsidP="0020509A">
      <w:pPr>
        <w:ind w:left="720"/>
        <w:jc w:val="center"/>
        <w:rPr>
          <w:rFonts w:ascii="Arial" w:hAnsi="Arial" w:cs="Arial"/>
          <w:iCs/>
          <w:sz w:val="24"/>
        </w:rPr>
      </w:pPr>
    </w:p>
    <w:p w14:paraId="0156A1A6" w14:textId="77777777" w:rsidR="0020509A" w:rsidRPr="00D71A17" w:rsidRDefault="00D71A17" w:rsidP="008A4568">
      <w:pPr>
        <w:spacing w:after="120"/>
        <w:ind w:left="720"/>
        <w:jc w:val="center"/>
        <w:rPr>
          <w:rFonts w:asciiTheme="minorHAnsi" w:hAnsiTheme="minorHAnsi" w:cs="Arial"/>
          <w:b/>
          <w:bCs/>
          <w:iCs/>
          <w:caps/>
          <w:szCs w:val="22"/>
        </w:rPr>
      </w:pPr>
      <w:r w:rsidRPr="00D71A17">
        <w:rPr>
          <w:rFonts w:asciiTheme="minorHAnsi" w:hAnsiTheme="minorHAnsi" w:cs="Arial"/>
          <w:b/>
          <w:iCs/>
          <w:szCs w:val="22"/>
        </w:rPr>
        <w:t>Table 10</w:t>
      </w:r>
      <w:r w:rsidRPr="00D71A17">
        <w:rPr>
          <w:rFonts w:asciiTheme="minorHAnsi" w:hAnsiTheme="minorHAnsi" w:cs="Arial"/>
          <w:b/>
          <w:szCs w:val="22"/>
        </w:rPr>
        <w:t>:</w:t>
      </w:r>
      <w:r w:rsidRPr="00D71A17">
        <w:rPr>
          <w:rFonts w:asciiTheme="minorHAnsi" w:hAnsiTheme="minorHAnsi" w:cs="Arial"/>
          <w:b/>
          <w:i/>
          <w:szCs w:val="22"/>
        </w:rPr>
        <w:t xml:space="preserve"> </w:t>
      </w:r>
      <w:r>
        <w:rPr>
          <w:rFonts w:asciiTheme="minorHAnsi" w:hAnsiTheme="minorHAnsi" w:cs="Arial"/>
          <w:b/>
          <w:bCs/>
          <w:iCs/>
          <w:szCs w:val="22"/>
        </w:rPr>
        <w:t>Survey o</w:t>
      </w:r>
      <w:r w:rsidRPr="00D71A17">
        <w:rPr>
          <w:rFonts w:asciiTheme="minorHAnsi" w:hAnsiTheme="minorHAnsi" w:cs="Arial"/>
          <w:b/>
          <w:bCs/>
          <w:iCs/>
          <w:szCs w:val="22"/>
        </w:rPr>
        <w:t>f Health Insurance Coverage For Dependent Care</w:t>
      </w:r>
      <w:r>
        <w:rPr>
          <w:rFonts w:asciiTheme="minorHAnsi" w:hAnsiTheme="minorHAnsi" w:cs="Arial"/>
          <w:b/>
          <w:bCs/>
          <w:iCs/>
          <w:szCs w:val="22"/>
        </w:rPr>
        <w:t xml:space="preserve"> a</w:t>
      </w:r>
      <w:r w:rsidRPr="00D71A17">
        <w:rPr>
          <w:rFonts w:asciiTheme="minorHAnsi" w:hAnsiTheme="minorHAnsi" w:cs="Arial"/>
          <w:b/>
          <w:bCs/>
          <w:iCs/>
          <w:szCs w:val="22"/>
        </w:rPr>
        <w:t>nd Choice Of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317"/>
      </w:tblGrid>
      <w:tr w:rsidR="0020509A" w:rsidRPr="00694051" w14:paraId="1FA69D41" w14:textId="77777777" w:rsidTr="002D2763">
        <w:trPr>
          <w:jc w:val="center"/>
        </w:trPr>
        <w:tc>
          <w:tcPr>
            <w:tcW w:w="3123" w:type="dxa"/>
            <w:shd w:val="clear" w:color="auto" w:fill="C9EBEF"/>
          </w:tcPr>
          <w:p w14:paraId="73840A1C" w14:textId="77777777" w:rsidR="0020509A" w:rsidRPr="00D71A17" w:rsidRDefault="0020509A" w:rsidP="00D71A17">
            <w:pPr>
              <w:spacing w:before="40" w:after="20"/>
              <w:jc w:val="center"/>
              <w:rPr>
                <w:rFonts w:asciiTheme="minorHAnsi" w:hAnsiTheme="minorHAnsi" w:cs="Arial"/>
                <w:b/>
              </w:rPr>
            </w:pPr>
            <w:r w:rsidRPr="00D71A17">
              <w:rPr>
                <w:rFonts w:asciiTheme="minorHAnsi" w:hAnsiTheme="minorHAnsi" w:cs="Arial"/>
                <w:b/>
              </w:rPr>
              <w:t>SE States Contribution for Family Coverage</w:t>
            </w:r>
          </w:p>
        </w:tc>
        <w:tc>
          <w:tcPr>
            <w:tcW w:w="3317" w:type="dxa"/>
            <w:shd w:val="clear" w:color="auto" w:fill="C9EBEF"/>
          </w:tcPr>
          <w:p w14:paraId="2B84C5D7" w14:textId="77777777" w:rsidR="0020509A" w:rsidRPr="00D71A17" w:rsidRDefault="0020509A" w:rsidP="00D71A17">
            <w:pPr>
              <w:spacing w:before="40" w:after="20"/>
              <w:jc w:val="center"/>
              <w:rPr>
                <w:rFonts w:asciiTheme="minorHAnsi" w:hAnsiTheme="minorHAnsi" w:cs="Arial"/>
                <w:b/>
              </w:rPr>
            </w:pPr>
            <w:r w:rsidRPr="00D71A17">
              <w:rPr>
                <w:rFonts w:asciiTheme="minorHAnsi" w:hAnsiTheme="minorHAnsi" w:cs="Arial"/>
                <w:b/>
              </w:rPr>
              <w:t>NC Employer Contribution for Family Coverage</w:t>
            </w:r>
          </w:p>
        </w:tc>
      </w:tr>
      <w:tr w:rsidR="0020509A" w:rsidRPr="00694051" w14:paraId="4E89AAEA" w14:textId="77777777" w:rsidTr="002D2763">
        <w:trPr>
          <w:trHeight w:val="305"/>
          <w:jc w:val="center"/>
        </w:trPr>
        <w:tc>
          <w:tcPr>
            <w:tcW w:w="3123" w:type="dxa"/>
          </w:tcPr>
          <w:p w14:paraId="55EB796A" w14:textId="77777777" w:rsidR="0020509A" w:rsidRPr="00D71A17" w:rsidRDefault="005F7C3E" w:rsidP="00D71A17">
            <w:pPr>
              <w:spacing w:before="40" w:after="20"/>
              <w:jc w:val="center"/>
              <w:rPr>
                <w:rFonts w:asciiTheme="minorHAnsi" w:hAnsiTheme="minorHAnsi" w:cs="Arial"/>
                <w:b/>
                <w:highlight w:val="yellow"/>
              </w:rPr>
            </w:pPr>
            <w:r>
              <w:rPr>
                <w:rFonts w:asciiTheme="minorHAnsi" w:hAnsiTheme="minorHAnsi" w:cs="Arial"/>
                <w:b/>
              </w:rPr>
              <w:t>74</w:t>
            </w:r>
            <w:r w:rsidR="0020509A" w:rsidRPr="00D71A17">
              <w:rPr>
                <w:rFonts w:asciiTheme="minorHAnsi" w:hAnsiTheme="minorHAnsi" w:cs="Arial"/>
                <w:b/>
              </w:rPr>
              <w:t>.1%</w:t>
            </w:r>
          </w:p>
        </w:tc>
        <w:tc>
          <w:tcPr>
            <w:tcW w:w="3317" w:type="dxa"/>
          </w:tcPr>
          <w:p w14:paraId="459DB731" w14:textId="77777777" w:rsidR="0020509A" w:rsidRPr="00D71A17" w:rsidRDefault="005F7C3E" w:rsidP="00D71A17">
            <w:pPr>
              <w:spacing w:before="40" w:after="20"/>
              <w:jc w:val="center"/>
              <w:rPr>
                <w:rFonts w:asciiTheme="minorHAnsi" w:hAnsiTheme="minorHAnsi" w:cs="Arial"/>
                <w:b/>
                <w:highlight w:val="yellow"/>
              </w:rPr>
            </w:pPr>
            <w:r>
              <w:rPr>
                <w:rFonts w:asciiTheme="minorHAnsi" w:hAnsiTheme="minorHAnsi" w:cs="Arial"/>
                <w:b/>
              </w:rPr>
              <w:t>40.0</w:t>
            </w:r>
            <w:r w:rsidR="0020509A" w:rsidRPr="00D71A17">
              <w:rPr>
                <w:rFonts w:asciiTheme="minorHAnsi" w:hAnsiTheme="minorHAnsi" w:cs="Arial"/>
                <w:b/>
              </w:rPr>
              <w:t>%</w:t>
            </w:r>
          </w:p>
        </w:tc>
      </w:tr>
    </w:tbl>
    <w:p w14:paraId="17E345E1" w14:textId="77777777" w:rsidR="002D2763" w:rsidRPr="002D2763" w:rsidRDefault="0020509A" w:rsidP="00D71A17">
      <w:pPr>
        <w:jc w:val="both"/>
        <w:rPr>
          <w:rFonts w:asciiTheme="minorHAnsi" w:hAnsiTheme="minorHAnsi" w:cstheme="minorHAnsi"/>
          <w:sz w:val="18"/>
          <w:szCs w:val="18"/>
        </w:rPr>
      </w:pPr>
      <w:r w:rsidRPr="00694051">
        <w:rPr>
          <w:rFonts w:ascii="Arial" w:hAnsi="Arial" w:cs="Arial"/>
          <w:sz w:val="20"/>
        </w:rPr>
        <w:t xml:space="preserve">               </w:t>
      </w:r>
      <w:r w:rsidRPr="00694051">
        <w:rPr>
          <w:rFonts w:ascii="Arial" w:hAnsi="Arial" w:cs="Arial"/>
          <w:sz w:val="20"/>
        </w:rPr>
        <w:tab/>
      </w:r>
    </w:p>
    <w:p w14:paraId="126EC43A" w14:textId="433308BE" w:rsidR="0020509A" w:rsidRPr="002D2763" w:rsidRDefault="005F7C3E" w:rsidP="002D2763">
      <w:pPr>
        <w:ind w:left="720" w:firstLine="720"/>
        <w:jc w:val="both"/>
        <w:rPr>
          <w:rFonts w:asciiTheme="minorHAnsi" w:hAnsiTheme="minorHAnsi" w:cs="Arial"/>
          <w:i/>
          <w:sz w:val="20"/>
        </w:rPr>
      </w:pPr>
      <w:r w:rsidRPr="002D2763">
        <w:rPr>
          <w:rFonts w:asciiTheme="minorHAnsi" w:hAnsiTheme="minorHAnsi" w:cs="Arial"/>
          <w:i/>
          <w:sz w:val="18"/>
        </w:rPr>
        <w:t>Source:  2015</w:t>
      </w:r>
      <w:r w:rsidR="0020509A" w:rsidRPr="002D2763">
        <w:rPr>
          <w:rFonts w:asciiTheme="minorHAnsi" w:hAnsiTheme="minorHAnsi" w:cs="Arial"/>
          <w:i/>
          <w:sz w:val="18"/>
        </w:rPr>
        <w:t xml:space="preserve"> NCASG Survey</w:t>
      </w:r>
    </w:p>
    <w:p w14:paraId="3E6AAA28" w14:textId="77777777" w:rsidR="0020509A" w:rsidRPr="002D2763" w:rsidRDefault="0020509A" w:rsidP="0020509A">
      <w:pPr>
        <w:pStyle w:val="MAPS"/>
        <w:rPr>
          <w:rFonts w:asciiTheme="minorHAnsi" w:hAnsiTheme="minorHAnsi" w:cstheme="minorHAnsi"/>
          <w:sz w:val="22"/>
          <w:szCs w:val="22"/>
        </w:rPr>
      </w:pPr>
    </w:p>
    <w:p w14:paraId="1D0E8624" w14:textId="77777777" w:rsidR="0020509A" w:rsidRPr="002D2763" w:rsidRDefault="0020509A" w:rsidP="00894212">
      <w:pPr>
        <w:pStyle w:val="BodyTextIndent"/>
        <w:tabs>
          <w:tab w:val="clear" w:pos="90"/>
        </w:tabs>
        <w:rPr>
          <w:rFonts w:asciiTheme="minorHAnsi" w:hAnsiTheme="minorHAnsi" w:cs="Arial"/>
          <w:b/>
          <w:bCs/>
          <w:iCs/>
          <w:sz w:val="22"/>
          <w:szCs w:val="22"/>
        </w:rPr>
      </w:pPr>
      <w:r w:rsidRPr="002D2763">
        <w:rPr>
          <w:rFonts w:asciiTheme="minorHAnsi" w:hAnsiTheme="minorHAnsi" w:cs="Arial"/>
          <w:b/>
          <w:bCs/>
          <w:iCs/>
          <w:sz w:val="22"/>
          <w:szCs w:val="22"/>
        </w:rPr>
        <w:t>Comparison to Local Government Practices</w:t>
      </w:r>
    </w:p>
    <w:p w14:paraId="513CE31A" w14:textId="12E2638E" w:rsidR="0020509A" w:rsidRPr="00D71A17" w:rsidRDefault="0020509A" w:rsidP="00894212">
      <w:pPr>
        <w:pStyle w:val="BodyTextIndent"/>
        <w:jc w:val="left"/>
        <w:rPr>
          <w:rFonts w:asciiTheme="minorHAnsi" w:hAnsiTheme="minorHAnsi" w:cs="Arial"/>
          <w:sz w:val="22"/>
        </w:rPr>
      </w:pPr>
      <w:r w:rsidRPr="00D71A17">
        <w:rPr>
          <w:rFonts w:asciiTheme="minorHAnsi" w:hAnsiTheme="minorHAnsi" w:cs="Arial"/>
          <w:sz w:val="22"/>
        </w:rPr>
        <w:t>County governments report on choice of health plan, deductibles and employee and agency cost. Based on an analys</w:t>
      </w:r>
      <w:r w:rsidR="00894212">
        <w:rPr>
          <w:rFonts w:asciiTheme="minorHAnsi" w:hAnsiTheme="minorHAnsi" w:cs="Arial"/>
          <w:sz w:val="22"/>
        </w:rPr>
        <w:t xml:space="preserve">is of the 10 most populous North Carolina </w:t>
      </w:r>
      <w:r w:rsidRPr="00D71A17">
        <w:rPr>
          <w:rFonts w:asciiTheme="minorHAnsi" w:hAnsiTheme="minorHAnsi" w:cs="Arial"/>
          <w:sz w:val="22"/>
        </w:rPr>
        <w:t xml:space="preserve">counties, the comparative results suggest that </w:t>
      </w:r>
      <w:r w:rsidR="006005BD">
        <w:rPr>
          <w:rFonts w:asciiTheme="minorHAnsi" w:hAnsiTheme="minorHAnsi" w:cs="Arial"/>
          <w:sz w:val="22"/>
        </w:rPr>
        <w:t>the state</w:t>
      </w:r>
      <w:r w:rsidRPr="00D71A17">
        <w:rPr>
          <w:rFonts w:asciiTheme="minorHAnsi" w:hAnsiTheme="minorHAnsi" w:cs="Arial"/>
          <w:sz w:val="22"/>
        </w:rPr>
        <w:t xml:space="preserve"> compares favorably in normal deductible and premium amounts, but unfavorably in employer contribution.</w:t>
      </w:r>
    </w:p>
    <w:p w14:paraId="27E135FD" w14:textId="77777777" w:rsidR="0020509A" w:rsidRPr="00D71A17" w:rsidRDefault="0020509A" w:rsidP="00D71A17">
      <w:pPr>
        <w:pStyle w:val="Header"/>
        <w:tabs>
          <w:tab w:val="clear" w:pos="4320"/>
          <w:tab w:val="clear" w:pos="8640"/>
        </w:tabs>
        <w:spacing w:after="120"/>
        <w:rPr>
          <w:rFonts w:asciiTheme="minorHAnsi" w:hAnsiTheme="minorHAnsi" w:cs="Arial"/>
          <w:b/>
          <w:sz w:val="24"/>
        </w:rPr>
      </w:pPr>
    </w:p>
    <w:p w14:paraId="05E0E0B6" w14:textId="77777777" w:rsidR="0020509A" w:rsidRPr="00C171CF" w:rsidRDefault="008A4568" w:rsidP="008A4568">
      <w:pPr>
        <w:spacing w:after="120"/>
        <w:jc w:val="center"/>
        <w:rPr>
          <w:rFonts w:asciiTheme="minorHAnsi" w:hAnsiTheme="minorHAnsi" w:cs="Arial"/>
          <w:b/>
          <w:iCs/>
          <w:caps/>
        </w:rPr>
      </w:pPr>
      <w:r w:rsidRPr="00C171CF">
        <w:rPr>
          <w:rFonts w:asciiTheme="minorHAnsi" w:hAnsiTheme="minorHAnsi" w:cs="Arial"/>
          <w:b/>
        </w:rPr>
        <w:t xml:space="preserve">Table 11: </w:t>
      </w:r>
      <w:r w:rsidRPr="00C171CF">
        <w:rPr>
          <w:rFonts w:asciiTheme="minorHAnsi" w:hAnsiTheme="minorHAnsi" w:cs="Arial"/>
          <w:b/>
          <w:bCs/>
          <w:iCs/>
        </w:rPr>
        <w:t>Survey of Local Government’s Health Insurance Pr</w:t>
      </w:r>
      <w:r w:rsidRPr="00C171CF">
        <w:rPr>
          <w:rFonts w:asciiTheme="minorHAnsi" w:hAnsiTheme="minorHAnsi" w:cs="Arial"/>
          <w:b/>
          <w:iCs/>
        </w:rPr>
        <w:t>actices</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1876"/>
        <w:gridCol w:w="1747"/>
        <w:gridCol w:w="1655"/>
        <w:gridCol w:w="2093"/>
      </w:tblGrid>
      <w:tr w:rsidR="0020509A" w:rsidRPr="00C171CF" w14:paraId="11A4122F" w14:textId="77777777" w:rsidTr="00D71A17">
        <w:trPr>
          <w:jc w:val="center"/>
        </w:trPr>
        <w:tc>
          <w:tcPr>
            <w:tcW w:w="2476" w:type="dxa"/>
            <w:shd w:val="clear" w:color="auto" w:fill="C9EBEF"/>
            <w:vAlign w:val="center"/>
          </w:tcPr>
          <w:p w14:paraId="1F1969A1" w14:textId="77777777" w:rsidR="0020509A" w:rsidRPr="00C171CF" w:rsidRDefault="0020509A" w:rsidP="00D71A17">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Type of</w:t>
            </w:r>
            <w:r w:rsidR="00D71A17" w:rsidRPr="00C171CF">
              <w:rPr>
                <w:rFonts w:asciiTheme="minorHAnsi" w:hAnsiTheme="minorHAnsi" w:cs="Arial"/>
                <w:b/>
                <w:bCs/>
                <w:szCs w:val="22"/>
              </w:rPr>
              <w:t xml:space="preserve"> </w:t>
            </w:r>
            <w:r w:rsidRPr="00C171CF">
              <w:rPr>
                <w:rFonts w:asciiTheme="minorHAnsi" w:hAnsiTheme="minorHAnsi" w:cs="Arial"/>
                <w:b/>
                <w:bCs/>
                <w:szCs w:val="22"/>
              </w:rPr>
              <w:t>Agency</w:t>
            </w:r>
          </w:p>
        </w:tc>
        <w:tc>
          <w:tcPr>
            <w:tcW w:w="1876" w:type="dxa"/>
            <w:shd w:val="clear" w:color="auto" w:fill="C9EBEF"/>
            <w:vAlign w:val="center"/>
          </w:tcPr>
          <w:p w14:paraId="2CF61237" w14:textId="77777777" w:rsidR="0020509A" w:rsidRPr="00C171CF" w:rsidRDefault="0020509A" w:rsidP="00D71A17">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Normal Deductible</w:t>
            </w:r>
          </w:p>
          <w:p w14:paraId="7725A1D1" w14:textId="77777777" w:rsidR="0020509A" w:rsidRPr="00C171CF" w:rsidRDefault="0020509A" w:rsidP="00D71A17">
            <w:pPr>
              <w:widowControl w:val="0"/>
              <w:autoSpaceDE w:val="0"/>
              <w:autoSpaceDN w:val="0"/>
              <w:adjustRightInd w:val="0"/>
              <w:jc w:val="center"/>
              <w:rPr>
                <w:rFonts w:asciiTheme="minorHAnsi" w:hAnsiTheme="minorHAnsi" w:cs="Arial"/>
                <w:bCs/>
                <w:szCs w:val="22"/>
              </w:rPr>
            </w:pPr>
            <w:r w:rsidRPr="00C171CF">
              <w:rPr>
                <w:rFonts w:asciiTheme="minorHAnsi" w:hAnsiTheme="minorHAnsi" w:cs="Arial"/>
                <w:bCs/>
                <w:szCs w:val="22"/>
              </w:rPr>
              <w:t>(if flat $ amount reported)</w:t>
            </w:r>
          </w:p>
        </w:tc>
        <w:tc>
          <w:tcPr>
            <w:tcW w:w="1747" w:type="dxa"/>
            <w:shd w:val="clear" w:color="auto" w:fill="C9EBEF"/>
            <w:vAlign w:val="center"/>
          </w:tcPr>
          <w:p w14:paraId="79BDC6F5" w14:textId="77777777" w:rsidR="00D71A17" w:rsidRPr="00C171CF" w:rsidRDefault="0020509A" w:rsidP="00D71A17">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 xml:space="preserve">Normal Co-pay </w:t>
            </w:r>
          </w:p>
          <w:p w14:paraId="0086A4E9" w14:textId="77777777" w:rsidR="0020509A" w:rsidRPr="00C171CF" w:rsidRDefault="0020509A" w:rsidP="00D71A17">
            <w:pPr>
              <w:widowControl w:val="0"/>
              <w:autoSpaceDE w:val="0"/>
              <w:autoSpaceDN w:val="0"/>
              <w:adjustRightInd w:val="0"/>
              <w:jc w:val="center"/>
              <w:rPr>
                <w:rFonts w:asciiTheme="minorHAnsi" w:hAnsiTheme="minorHAnsi" w:cs="Arial"/>
                <w:bCs/>
                <w:szCs w:val="22"/>
              </w:rPr>
            </w:pPr>
            <w:r w:rsidRPr="00C171CF">
              <w:rPr>
                <w:rFonts w:asciiTheme="minorHAnsi" w:hAnsiTheme="minorHAnsi" w:cs="Arial"/>
                <w:bCs/>
                <w:szCs w:val="22"/>
              </w:rPr>
              <w:t>(if flat $ amount reported)</w:t>
            </w:r>
          </w:p>
        </w:tc>
        <w:tc>
          <w:tcPr>
            <w:tcW w:w="1655" w:type="dxa"/>
            <w:shd w:val="clear" w:color="auto" w:fill="C9EBEF"/>
            <w:vAlign w:val="center"/>
          </w:tcPr>
          <w:p w14:paraId="48713485" w14:textId="77777777" w:rsidR="0020509A" w:rsidRPr="00C171CF" w:rsidRDefault="0020509A" w:rsidP="00D71A17">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Average Annual Amount Employee Pays</w:t>
            </w:r>
          </w:p>
        </w:tc>
        <w:tc>
          <w:tcPr>
            <w:tcW w:w="2093" w:type="dxa"/>
            <w:shd w:val="clear" w:color="auto" w:fill="C9EBEF"/>
            <w:vAlign w:val="center"/>
          </w:tcPr>
          <w:p w14:paraId="39F89CCC" w14:textId="77777777" w:rsidR="0020509A" w:rsidRPr="00C171CF" w:rsidRDefault="0020509A" w:rsidP="00D71A17">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Average Annual Amount Agency Pays</w:t>
            </w:r>
          </w:p>
        </w:tc>
      </w:tr>
      <w:tr w:rsidR="0020509A" w:rsidRPr="00C171CF" w14:paraId="48500315" w14:textId="77777777" w:rsidTr="00D71A17">
        <w:trPr>
          <w:jc w:val="center"/>
        </w:trPr>
        <w:tc>
          <w:tcPr>
            <w:tcW w:w="2476" w:type="dxa"/>
          </w:tcPr>
          <w:p w14:paraId="5E5A40E8" w14:textId="77777777" w:rsidR="0020509A" w:rsidRPr="00C171CF" w:rsidRDefault="0020509A" w:rsidP="00B13FF4">
            <w:pPr>
              <w:widowControl w:val="0"/>
              <w:autoSpaceDE w:val="0"/>
              <w:autoSpaceDN w:val="0"/>
              <w:adjustRightInd w:val="0"/>
              <w:jc w:val="center"/>
              <w:rPr>
                <w:rFonts w:asciiTheme="minorHAnsi" w:hAnsiTheme="minorHAnsi" w:cs="Arial"/>
                <w:szCs w:val="22"/>
              </w:rPr>
            </w:pPr>
            <w:r w:rsidRPr="00C171CF">
              <w:rPr>
                <w:rFonts w:asciiTheme="minorHAnsi" w:hAnsiTheme="minorHAnsi" w:cs="Arial"/>
                <w:szCs w:val="22"/>
              </w:rPr>
              <w:t>10 Counties</w:t>
            </w:r>
          </w:p>
        </w:tc>
        <w:tc>
          <w:tcPr>
            <w:tcW w:w="1876" w:type="dxa"/>
          </w:tcPr>
          <w:p w14:paraId="4778E816" w14:textId="7BCD7115" w:rsidR="0020509A" w:rsidRPr="00365537" w:rsidRDefault="00FA156D" w:rsidP="00B13FF4">
            <w:pPr>
              <w:widowControl w:val="0"/>
              <w:autoSpaceDE w:val="0"/>
              <w:autoSpaceDN w:val="0"/>
              <w:adjustRightInd w:val="0"/>
              <w:jc w:val="center"/>
              <w:rPr>
                <w:rFonts w:asciiTheme="minorHAnsi" w:hAnsiTheme="minorHAnsi" w:cstheme="minorHAnsi"/>
                <w:szCs w:val="22"/>
              </w:rPr>
            </w:pPr>
            <w:r w:rsidRPr="00365537">
              <w:rPr>
                <w:rFonts w:asciiTheme="minorHAnsi" w:hAnsiTheme="minorHAnsi" w:cstheme="minorHAnsi"/>
              </w:rPr>
              <w:t>$1</w:t>
            </w:r>
            <w:r w:rsidR="00365537">
              <w:rPr>
                <w:rFonts w:asciiTheme="minorHAnsi" w:hAnsiTheme="minorHAnsi" w:cstheme="minorHAnsi"/>
              </w:rPr>
              <w:t>,</w:t>
            </w:r>
            <w:r w:rsidRPr="00365537">
              <w:rPr>
                <w:rFonts w:asciiTheme="minorHAnsi" w:hAnsiTheme="minorHAnsi" w:cstheme="minorHAnsi"/>
              </w:rPr>
              <w:t>117</w:t>
            </w:r>
          </w:p>
        </w:tc>
        <w:tc>
          <w:tcPr>
            <w:tcW w:w="1747" w:type="dxa"/>
          </w:tcPr>
          <w:p w14:paraId="046C6BBD" w14:textId="77777777" w:rsidR="0020509A" w:rsidRPr="00365537" w:rsidRDefault="00FA156D" w:rsidP="00B13FF4">
            <w:pPr>
              <w:widowControl w:val="0"/>
              <w:autoSpaceDE w:val="0"/>
              <w:autoSpaceDN w:val="0"/>
              <w:adjustRightInd w:val="0"/>
              <w:jc w:val="center"/>
              <w:rPr>
                <w:rFonts w:asciiTheme="minorHAnsi" w:hAnsiTheme="minorHAnsi" w:cstheme="minorHAnsi"/>
                <w:szCs w:val="22"/>
              </w:rPr>
            </w:pPr>
            <w:r w:rsidRPr="00365537">
              <w:rPr>
                <w:rFonts w:asciiTheme="minorHAnsi" w:hAnsiTheme="minorHAnsi" w:cstheme="minorHAnsi"/>
              </w:rPr>
              <w:t>$26</w:t>
            </w:r>
          </w:p>
        </w:tc>
        <w:tc>
          <w:tcPr>
            <w:tcW w:w="1655" w:type="dxa"/>
          </w:tcPr>
          <w:p w14:paraId="4E6DD9AC" w14:textId="77777777" w:rsidR="0020509A" w:rsidRPr="00365537" w:rsidRDefault="00FA156D" w:rsidP="00B13FF4">
            <w:pPr>
              <w:widowControl w:val="0"/>
              <w:autoSpaceDE w:val="0"/>
              <w:autoSpaceDN w:val="0"/>
              <w:adjustRightInd w:val="0"/>
              <w:jc w:val="center"/>
              <w:rPr>
                <w:rFonts w:asciiTheme="minorHAnsi" w:hAnsiTheme="minorHAnsi" w:cstheme="minorHAnsi"/>
                <w:szCs w:val="22"/>
              </w:rPr>
            </w:pPr>
            <w:r w:rsidRPr="00365537">
              <w:rPr>
                <w:rFonts w:asciiTheme="minorHAnsi" w:hAnsiTheme="minorHAnsi" w:cstheme="minorHAnsi"/>
              </w:rPr>
              <w:t>$861</w:t>
            </w:r>
          </w:p>
        </w:tc>
        <w:tc>
          <w:tcPr>
            <w:tcW w:w="2093" w:type="dxa"/>
          </w:tcPr>
          <w:p w14:paraId="6744752C" w14:textId="77777777" w:rsidR="0020509A" w:rsidRPr="00365537" w:rsidRDefault="00FA156D" w:rsidP="00B13FF4">
            <w:pPr>
              <w:widowControl w:val="0"/>
              <w:autoSpaceDE w:val="0"/>
              <w:autoSpaceDN w:val="0"/>
              <w:adjustRightInd w:val="0"/>
              <w:jc w:val="center"/>
              <w:rPr>
                <w:rFonts w:asciiTheme="minorHAnsi" w:hAnsiTheme="minorHAnsi" w:cstheme="minorHAnsi"/>
                <w:szCs w:val="22"/>
              </w:rPr>
            </w:pPr>
            <w:r w:rsidRPr="00365537">
              <w:rPr>
                <w:rFonts w:asciiTheme="minorHAnsi" w:hAnsiTheme="minorHAnsi" w:cstheme="minorHAnsi"/>
              </w:rPr>
              <w:t>$8,270</w:t>
            </w:r>
          </w:p>
        </w:tc>
      </w:tr>
      <w:tr w:rsidR="0020509A" w:rsidRPr="00C171CF" w14:paraId="51231071" w14:textId="77777777" w:rsidTr="00D71A17">
        <w:trPr>
          <w:jc w:val="center"/>
        </w:trPr>
        <w:tc>
          <w:tcPr>
            <w:tcW w:w="2476" w:type="dxa"/>
          </w:tcPr>
          <w:p w14:paraId="40931E43" w14:textId="77777777" w:rsidR="0020509A" w:rsidRPr="00C171CF" w:rsidRDefault="0020509A" w:rsidP="00B13FF4">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State of North Carolina</w:t>
            </w:r>
          </w:p>
        </w:tc>
        <w:tc>
          <w:tcPr>
            <w:tcW w:w="1876" w:type="dxa"/>
          </w:tcPr>
          <w:p w14:paraId="66FCBDD0" w14:textId="7F44FF17" w:rsidR="0020509A" w:rsidRPr="00C171CF" w:rsidRDefault="0020509A" w:rsidP="00B13FF4">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w:t>
            </w:r>
            <w:r w:rsidR="00AE3C57" w:rsidRPr="00C171CF">
              <w:rPr>
                <w:rFonts w:asciiTheme="minorHAnsi" w:hAnsiTheme="minorHAnsi" w:cs="Arial"/>
                <w:b/>
                <w:bCs/>
                <w:szCs w:val="22"/>
              </w:rPr>
              <w:t>1</w:t>
            </w:r>
            <w:r w:rsidR="00365537">
              <w:rPr>
                <w:rFonts w:asciiTheme="minorHAnsi" w:hAnsiTheme="minorHAnsi" w:cs="Arial"/>
                <w:b/>
                <w:bCs/>
                <w:szCs w:val="22"/>
              </w:rPr>
              <w:t>,</w:t>
            </w:r>
            <w:r w:rsidR="00AE3C57" w:rsidRPr="00C171CF">
              <w:rPr>
                <w:rFonts w:asciiTheme="minorHAnsi" w:hAnsiTheme="minorHAnsi" w:cs="Arial"/>
                <w:b/>
                <w:bCs/>
                <w:szCs w:val="22"/>
              </w:rPr>
              <w:t>250</w:t>
            </w:r>
          </w:p>
        </w:tc>
        <w:tc>
          <w:tcPr>
            <w:tcW w:w="1747" w:type="dxa"/>
          </w:tcPr>
          <w:p w14:paraId="090ACDBA" w14:textId="77777777" w:rsidR="0020509A" w:rsidRPr="00C171CF" w:rsidRDefault="0020509A" w:rsidP="00B13FF4">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w:t>
            </w:r>
            <w:r w:rsidR="00AE3C57" w:rsidRPr="00C171CF">
              <w:rPr>
                <w:rFonts w:asciiTheme="minorHAnsi" w:hAnsiTheme="minorHAnsi" w:cs="Arial"/>
                <w:b/>
                <w:bCs/>
                <w:szCs w:val="22"/>
              </w:rPr>
              <w:t>25</w:t>
            </w:r>
          </w:p>
        </w:tc>
        <w:tc>
          <w:tcPr>
            <w:tcW w:w="1655" w:type="dxa"/>
          </w:tcPr>
          <w:p w14:paraId="7E830107" w14:textId="77777777" w:rsidR="0020509A" w:rsidRPr="00C171CF" w:rsidRDefault="005F7C3E" w:rsidP="00B13FF4">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w:t>
            </w:r>
            <w:r w:rsidR="006E231D" w:rsidRPr="00C171CF">
              <w:rPr>
                <w:rFonts w:asciiTheme="minorHAnsi" w:hAnsiTheme="minorHAnsi" w:cs="Arial"/>
                <w:b/>
                <w:bCs/>
                <w:szCs w:val="22"/>
              </w:rPr>
              <w:t>600</w:t>
            </w:r>
          </w:p>
        </w:tc>
        <w:tc>
          <w:tcPr>
            <w:tcW w:w="2093" w:type="dxa"/>
          </w:tcPr>
          <w:p w14:paraId="02CB6D0C" w14:textId="77777777" w:rsidR="0020509A" w:rsidRPr="00C171CF" w:rsidRDefault="005F7C3E" w:rsidP="00B13FF4">
            <w:pPr>
              <w:widowControl w:val="0"/>
              <w:autoSpaceDE w:val="0"/>
              <w:autoSpaceDN w:val="0"/>
              <w:adjustRightInd w:val="0"/>
              <w:jc w:val="center"/>
              <w:rPr>
                <w:rFonts w:asciiTheme="minorHAnsi" w:hAnsiTheme="minorHAnsi" w:cs="Arial"/>
                <w:b/>
                <w:bCs/>
                <w:szCs w:val="22"/>
              </w:rPr>
            </w:pPr>
            <w:r w:rsidRPr="00C171CF">
              <w:rPr>
                <w:rFonts w:asciiTheme="minorHAnsi" w:hAnsiTheme="minorHAnsi" w:cs="Arial"/>
                <w:b/>
                <w:bCs/>
                <w:szCs w:val="22"/>
              </w:rPr>
              <w:t>$5,</w:t>
            </w:r>
            <w:r w:rsidR="006E231D" w:rsidRPr="00C171CF">
              <w:rPr>
                <w:rFonts w:asciiTheme="minorHAnsi" w:hAnsiTheme="minorHAnsi" w:cs="Arial"/>
                <w:b/>
                <w:bCs/>
                <w:szCs w:val="22"/>
              </w:rPr>
              <w:t>984</w:t>
            </w:r>
          </w:p>
        </w:tc>
      </w:tr>
    </w:tbl>
    <w:p w14:paraId="6067070E" w14:textId="77777777" w:rsidR="002D2763" w:rsidRDefault="002D2763" w:rsidP="002D2763">
      <w:pPr>
        <w:ind w:left="720"/>
        <w:rPr>
          <w:rFonts w:asciiTheme="minorHAnsi" w:hAnsiTheme="minorHAnsi" w:cs="Arial"/>
          <w:i/>
          <w:sz w:val="18"/>
        </w:rPr>
      </w:pPr>
    </w:p>
    <w:p w14:paraId="03A24414" w14:textId="1F0365D9" w:rsidR="002D2763" w:rsidRPr="002D2763" w:rsidRDefault="002D2763" w:rsidP="002D2763">
      <w:pPr>
        <w:rPr>
          <w:rFonts w:asciiTheme="minorHAnsi" w:hAnsiTheme="minorHAnsi" w:cs="Arial"/>
          <w:i/>
          <w:sz w:val="18"/>
        </w:rPr>
      </w:pPr>
      <w:r w:rsidRPr="002D2763">
        <w:rPr>
          <w:rFonts w:asciiTheme="minorHAnsi" w:hAnsiTheme="minorHAnsi" w:cs="Arial"/>
          <w:i/>
          <w:sz w:val="18"/>
        </w:rPr>
        <w:t>Source: County Salaries in North Carolina 2017</w:t>
      </w:r>
    </w:p>
    <w:p w14:paraId="493AA9E7" w14:textId="5EE94272" w:rsidR="0020509A" w:rsidRPr="002D2763" w:rsidRDefault="002D2763" w:rsidP="002D2763">
      <w:pPr>
        <w:rPr>
          <w:rFonts w:asciiTheme="minorHAnsi" w:hAnsiTheme="minorHAnsi" w:cs="Arial"/>
          <w:i/>
          <w:sz w:val="18"/>
        </w:rPr>
      </w:pPr>
      <w:r>
        <w:rPr>
          <w:rFonts w:asciiTheme="minorHAnsi" w:hAnsiTheme="minorHAnsi" w:cs="Arial"/>
          <w:i/>
          <w:sz w:val="18"/>
        </w:rPr>
        <w:t xml:space="preserve">NOTE: </w:t>
      </w:r>
      <w:r w:rsidR="0020509A" w:rsidRPr="002D2763">
        <w:rPr>
          <w:rFonts w:asciiTheme="minorHAnsi" w:hAnsiTheme="minorHAnsi" w:cs="Arial"/>
          <w:i/>
          <w:sz w:val="18"/>
        </w:rPr>
        <w:t>The above information applies to employee only coverage; N</w:t>
      </w:r>
      <w:r w:rsidR="00365537">
        <w:rPr>
          <w:rFonts w:asciiTheme="minorHAnsi" w:hAnsiTheme="minorHAnsi" w:cs="Arial"/>
          <w:i/>
          <w:sz w:val="18"/>
        </w:rPr>
        <w:t>orth Carolina</w:t>
      </w:r>
      <w:r w:rsidR="0020509A" w:rsidRPr="002D2763">
        <w:rPr>
          <w:rFonts w:asciiTheme="minorHAnsi" w:hAnsiTheme="minorHAnsi" w:cs="Arial"/>
          <w:i/>
          <w:sz w:val="18"/>
        </w:rPr>
        <w:t xml:space="preserve"> data applies to the standard 80/20 PPO plan with participation in </w:t>
      </w:r>
      <w:r w:rsidR="00AE3C57" w:rsidRPr="002D2763">
        <w:rPr>
          <w:rFonts w:asciiTheme="minorHAnsi" w:hAnsiTheme="minorHAnsi" w:cs="Arial"/>
          <w:i/>
          <w:sz w:val="18"/>
        </w:rPr>
        <w:t>both wellness activities</w:t>
      </w:r>
      <w:r w:rsidR="0020509A" w:rsidRPr="002D2763">
        <w:rPr>
          <w:rFonts w:asciiTheme="minorHAnsi" w:hAnsiTheme="minorHAnsi" w:cs="Arial"/>
          <w:i/>
          <w:sz w:val="18"/>
        </w:rPr>
        <w:t>.</w:t>
      </w:r>
    </w:p>
    <w:p w14:paraId="6ACC7283" w14:textId="77777777" w:rsidR="0020509A" w:rsidRPr="002D2763" w:rsidRDefault="0020509A" w:rsidP="0020509A">
      <w:pPr>
        <w:rPr>
          <w:rFonts w:asciiTheme="minorHAnsi" w:hAnsiTheme="minorHAnsi" w:cstheme="minorHAnsi"/>
          <w:b/>
          <w:bCs/>
          <w:i/>
          <w:sz w:val="24"/>
        </w:rPr>
      </w:pPr>
    </w:p>
    <w:p w14:paraId="405203DA" w14:textId="77777777" w:rsidR="000654D7" w:rsidRPr="00D71A17" w:rsidRDefault="000654D7" w:rsidP="000654D7">
      <w:pPr>
        <w:rPr>
          <w:rFonts w:asciiTheme="minorHAnsi" w:hAnsiTheme="minorHAnsi" w:cs="Arial"/>
          <w:b/>
          <w:color w:val="000000"/>
          <w:sz w:val="24"/>
          <w:szCs w:val="24"/>
        </w:rPr>
      </w:pPr>
      <w:r w:rsidRPr="00C171CF">
        <w:rPr>
          <w:rFonts w:asciiTheme="minorHAnsi" w:hAnsiTheme="minorHAnsi" w:cs="Arial"/>
          <w:b/>
          <w:color w:val="000000"/>
          <w:sz w:val="24"/>
          <w:szCs w:val="24"/>
        </w:rPr>
        <w:t>Statewide Flexible Benefits Program (NCFlex)</w:t>
      </w:r>
    </w:p>
    <w:p w14:paraId="256A8A34" w14:textId="605911AD" w:rsidR="000654D7" w:rsidRPr="00D71A17" w:rsidRDefault="000654D7" w:rsidP="002D2763">
      <w:pPr>
        <w:jc w:val="both"/>
        <w:rPr>
          <w:rFonts w:asciiTheme="minorHAnsi" w:hAnsiTheme="minorHAnsi" w:cs="Arial"/>
          <w:color w:val="000000"/>
          <w:szCs w:val="22"/>
        </w:rPr>
      </w:pPr>
      <w:r w:rsidRPr="00D71A17">
        <w:rPr>
          <w:rFonts w:asciiTheme="minorHAnsi" w:hAnsiTheme="minorHAnsi" w:cs="Arial"/>
          <w:color w:val="000000"/>
          <w:szCs w:val="22"/>
        </w:rPr>
        <w:t xml:space="preserve">The NCFlex program, administered by the Office of State Human Resources, currently has </w:t>
      </w:r>
      <w:r w:rsidR="00365537">
        <w:rPr>
          <w:rFonts w:asciiTheme="minorHAnsi" w:hAnsiTheme="minorHAnsi" w:cs="Arial"/>
          <w:color w:val="000000"/>
          <w:szCs w:val="22"/>
        </w:rPr>
        <w:t>more than</w:t>
      </w:r>
      <w:r w:rsidRPr="00D71A17">
        <w:rPr>
          <w:rFonts w:asciiTheme="minorHAnsi" w:hAnsiTheme="minorHAnsi" w:cs="Arial"/>
          <w:color w:val="000000"/>
          <w:szCs w:val="22"/>
        </w:rPr>
        <w:t xml:space="preserve"> 110,000 employees from the agencies, universities, community colleges and charter schools enrolled. </w:t>
      </w:r>
    </w:p>
    <w:p w14:paraId="0344B5BA" w14:textId="77777777" w:rsidR="000654D7" w:rsidRPr="00D71A17" w:rsidRDefault="000654D7" w:rsidP="000654D7">
      <w:pPr>
        <w:rPr>
          <w:rFonts w:asciiTheme="minorHAnsi" w:hAnsiTheme="minorHAnsi" w:cs="Arial"/>
          <w:color w:val="000000"/>
          <w:szCs w:val="22"/>
        </w:rPr>
      </w:pPr>
    </w:p>
    <w:p w14:paraId="7DFC42F5" w14:textId="77777777" w:rsidR="000654D7" w:rsidRPr="00D71A17" w:rsidRDefault="000654D7" w:rsidP="000654D7">
      <w:pPr>
        <w:rPr>
          <w:rFonts w:asciiTheme="minorHAnsi" w:hAnsiTheme="minorHAnsi" w:cs="Arial"/>
          <w:color w:val="000000"/>
          <w:szCs w:val="22"/>
        </w:rPr>
      </w:pPr>
      <w:r w:rsidRPr="00D71A17">
        <w:rPr>
          <w:rFonts w:asciiTheme="minorHAnsi" w:hAnsiTheme="minorHAnsi" w:cs="Arial"/>
          <w:color w:val="000000"/>
          <w:szCs w:val="22"/>
        </w:rPr>
        <w:t>The State's Flexible Benefits Program includes the following pre-tax plans:</w:t>
      </w:r>
    </w:p>
    <w:p w14:paraId="51A1BF85" w14:textId="77777777" w:rsidR="000654D7" w:rsidRPr="00D71A17" w:rsidRDefault="000654D7" w:rsidP="002D2763">
      <w:pPr>
        <w:numPr>
          <w:ilvl w:val="0"/>
          <w:numId w:val="35"/>
        </w:numPr>
        <w:spacing w:before="120"/>
        <w:jc w:val="both"/>
        <w:rPr>
          <w:rFonts w:asciiTheme="minorHAnsi" w:hAnsiTheme="minorHAnsi" w:cs="Arial"/>
          <w:bCs/>
          <w:szCs w:val="22"/>
        </w:rPr>
      </w:pPr>
      <w:r w:rsidRPr="00D71A17">
        <w:rPr>
          <w:rFonts w:asciiTheme="minorHAnsi" w:hAnsiTheme="minorHAnsi" w:cs="Arial"/>
          <w:bCs/>
          <w:szCs w:val="22"/>
        </w:rPr>
        <w:t xml:space="preserve">Health Care Flexible Spending Account </w:t>
      </w:r>
    </w:p>
    <w:p w14:paraId="453D2E4D" w14:textId="77777777" w:rsidR="000654D7" w:rsidRPr="00D71A17" w:rsidRDefault="000654D7" w:rsidP="002D2763">
      <w:pPr>
        <w:numPr>
          <w:ilvl w:val="0"/>
          <w:numId w:val="35"/>
        </w:numPr>
        <w:spacing w:before="120"/>
        <w:jc w:val="both"/>
        <w:rPr>
          <w:rFonts w:asciiTheme="minorHAnsi" w:hAnsiTheme="minorHAnsi" w:cs="Arial"/>
          <w:bCs/>
          <w:szCs w:val="22"/>
        </w:rPr>
      </w:pPr>
      <w:r w:rsidRPr="00D71A17">
        <w:rPr>
          <w:rFonts w:asciiTheme="minorHAnsi" w:hAnsiTheme="minorHAnsi" w:cs="Arial"/>
          <w:bCs/>
          <w:szCs w:val="22"/>
        </w:rPr>
        <w:t xml:space="preserve">Dependent Day Care Flexible Spending Account </w:t>
      </w:r>
    </w:p>
    <w:p w14:paraId="572629C5" w14:textId="337D2FCE" w:rsidR="000654D7" w:rsidRPr="00D71A17" w:rsidRDefault="000654D7" w:rsidP="002D2763">
      <w:pPr>
        <w:numPr>
          <w:ilvl w:val="0"/>
          <w:numId w:val="35"/>
        </w:numPr>
        <w:spacing w:before="120"/>
        <w:jc w:val="both"/>
        <w:rPr>
          <w:rFonts w:asciiTheme="minorHAnsi" w:hAnsiTheme="minorHAnsi" w:cs="Arial"/>
          <w:bCs/>
          <w:szCs w:val="22"/>
        </w:rPr>
      </w:pPr>
      <w:r w:rsidRPr="00D71A17">
        <w:rPr>
          <w:rFonts w:asciiTheme="minorHAnsi" w:hAnsiTheme="minorHAnsi" w:cs="Arial"/>
          <w:bCs/>
          <w:szCs w:val="22"/>
        </w:rPr>
        <w:t>Dental Plan has two options availab</w:t>
      </w:r>
      <w:r w:rsidR="00365537">
        <w:rPr>
          <w:rFonts w:asciiTheme="minorHAnsi" w:hAnsiTheme="minorHAnsi" w:cs="Arial"/>
          <w:bCs/>
          <w:szCs w:val="22"/>
        </w:rPr>
        <w:t>le, High Option and Low Option</w:t>
      </w:r>
    </w:p>
    <w:p w14:paraId="6E1D56AF" w14:textId="7AD2C2EF" w:rsidR="000654D7" w:rsidRPr="00D71A17" w:rsidRDefault="000654D7" w:rsidP="002D2763">
      <w:pPr>
        <w:numPr>
          <w:ilvl w:val="0"/>
          <w:numId w:val="35"/>
        </w:numPr>
        <w:spacing w:before="120"/>
        <w:jc w:val="both"/>
        <w:rPr>
          <w:rFonts w:asciiTheme="minorHAnsi" w:hAnsiTheme="minorHAnsi" w:cs="Arial"/>
          <w:bCs/>
          <w:szCs w:val="22"/>
        </w:rPr>
      </w:pPr>
      <w:r w:rsidRPr="00D71A17">
        <w:rPr>
          <w:rFonts w:asciiTheme="minorHAnsi" w:hAnsiTheme="minorHAnsi" w:cs="Arial"/>
          <w:bCs/>
          <w:szCs w:val="22"/>
        </w:rPr>
        <w:lastRenderedPageBreak/>
        <w:t>Vis</w:t>
      </w:r>
      <w:r w:rsidR="006861DC">
        <w:rPr>
          <w:rFonts w:asciiTheme="minorHAnsi" w:hAnsiTheme="minorHAnsi" w:cs="Arial"/>
          <w:bCs/>
          <w:szCs w:val="22"/>
        </w:rPr>
        <w:t xml:space="preserve">ion Care Plan has three </w:t>
      </w:r>
      <w:r w:rsidR="00D14017">
        <w:rPr>
          <w:rFonts w:asciiTheme="minorHAnsi" w:hAnsiTheme="minorHAnsi" w:cs="Arial"/>
          <w:bCs/>
          <w:szCs w:val="22"/>
        </w:rPr>
        <w:t>options</w:t>
      </w:r>
      <w:r w:rsidR="00365537" w:rsidRPr="00365537">
        <w:rPr>
          <w:rFonts w:asciiTheme="minorHAnsi" w:hAnsiTheme="minorHAnsi" w:cs="Arial"/>
          <w:bCs/>
          <w:szCs w:val="22"/>
        </w:rPr>
        <w:t>:</w:t>
      </w:r>
      <w:r w:rsidR="00D14017" w:rsidRPr="006861DC">
        <w:rPr>
          <w:rFonts w:asciiTheme="minorHAnsi" w:hAnsiTheme="minorHAnsi" w:cs="Arial"/>
          <w:bCs/>
          <w:color w:val="FF0000"/>
          <w:szCs w:val="22"/>
        </w:rPr>
        <w:t xml:space="preserve"> </w:t>
      </w:r>
      <w:r w:rsidR="00D14017">
        <w:rPr>
          <w:rFonts w:asciiTheme="minorHAnsi" w:hAnsiTheme="minorHAnsi" w:cs="Arial"/>
          <w:bCs/>
          <w:szCs w:val="22"/>
        </w:rPr>
        <w:t>Core</w:t>
      </w:r>
      <w:r w:rsidRPr="00D71A17">
        <w:rPr>
          <w:rFonts w:asciiTheme="minorHAnsi" w:hAnsiTheme="minorHAnsi" w:cs="Arial"/>
          <w:bCs/>
          <w:szCs w:val="22"/>
        </w:rPr>
        <w:t xml:space="preserve">, Basic and Enhanced. The </w:t>
      </w:r>
      <w:r w:rsidR="00365537">
        <w:rPr>
          <w:rFonts w:asciiTheme="minorHAnsi" w:hAnsiTheme="minorHAnsi" w:cs="Arial"/>
          <w:bCs/>
          <w:szCs w:val="22"/>
        </w:rPr>
        <w:t>n</w:t>
      </w:r>
      <w:r w:rsidRPr="00D71A17">
        <w:rPr>
          <w:rFonts w:asciiTheme="minorHAnsi" w:hAnsiTheme="minorHAnsi" w:cs="Arial"/>
          <w:bCs/>
          <w:szCs w:val="22"/>
        </w:rPr>
        <w:t xml:space="preserve">o-cost Core Vision Plan provides employees an annual eye exam for $20 co-payment and discounts for materials at no cost to the employee.  </w:t>
      </w:r>
    </w:p>
    <w:p w14:paraId="76937BE5" w14:textId="2709F454" w:rsidR="000654D7" w:rsidRPr="00D71A17" w:rsidRDefault="000654D7" w:rsidP="002D2763">
      <w:pPr>
        <w:numPr>
          <w:ilvl w:val="0"/>
          <w:numId w:val="35"/>
        </w:numPr>
        <w:spacing w:before="120"/>
        <w:jc w:val="both"/>
        <w:rPr>
          <w:rFonts w:asciiTheme="minorHAnsi" w:hAnsiTheme="minorHAnsi" w:cs="Arial"/>
          <w:bCs/>
          <w:szCs w:val="22"/>
        </w:rPr>
      </w:pPr>
      <w:r w:rsidRPr="00D71A17">
        <w:rPr>
          <w:rFonts w:asciiTheme="minorHAnsi" w:hAnsiTheme="minorHAnsi" w:cs="Arial"/>
          <w:bCs/>
          <w:szCs w:val="22"/>
        </w:rPr>
        <w:t xml:space="preserve">Voluntary Accidental Death </w:t>
      </w:r>
      <w:r w:rsidR="00365537">
        <w:rPr>
          <w:rFonts w:asciiTheme="minorHAnsi" w:hAnsiTheme="minorHAnsi" w:cs="Arial"/>
          <w:bCs/>
          <w:szCs w:val="22"/>
        </w:rPr>
        <w:t>and</w:t>
      </w:r>
      <w:r w:rsidRPr="00D71A17">
        <w:rPr>
          <w:rFonts w:asciiTheme="minorHAnsi" w:hAnsiTheme="minorHAnsi" w:cs="Arial"/>
          <w:bCs/>
          <w:szCs w:val="22"/>
        </w:rPr>
        <w:t xml:space="preserve"> Dismemberment Insurance (for employees and family).</w:t>
      </w:r>
    </w:p>
    <w:p w14:paraId="1304F801" w14:textId="2AEFD392" w:rsidR="000654D7" w:rsidRPr="00D71A17" w:rsidRDefault="000654D7" w:rsidP="002D2763">
      <w:pPr>
        <w:numPr>
          <w:ilvl w:val="0"/>
          <w:numId w:val="35"/>
        </w:numPr>
        <w:spacing w:before="120"/>
        <w:jc w:val="both"/>
        <w:rPr>
          <w:rFonts w:asciiTheme="minorHAnsi" w:hAnsiTheme="minorHAnsi" w:cs="Arial"/>
          <w:bCs/>
          <w:szCs w:val="22"/>
        </w:rPr>
      </w:pPr>
      <w:r w:rsidRPr="00D71A17">
        <w:rPr>
          <w:rFonts w:asciiTheme="minorHAnsi" w:hAnsiTheme="minorHAnsi" w:cs="Arial"/>
          <w:bCs/>
          <w:szCs w:val="22"/>
        </w:rPr>
        <w:t xml:space="preserve">Core Voluntary Accidental Death </w:t>
      </w:r>
      <w:r w:rsidR="00365537">
        <w:rPr>
          <w:rFonts w:asciiTheme="minorHAnsi" w:hAnsiTheme="minorHAnsi" w:cs="Arial"/>
          <w:bCs/>
          <w:szCs w:val="22"/>
        </w:rPr>
        <w:t>and</w:t>
      </w:r>
      <w:r w:rsidRPr="00D71A17">
        <w:rPr>
          <w:rFonts w:asciiTheme="minorHAnsi" w:hAnsiTheme="minorHAnsi" w:cs="Arial"/>
          <w:bCs/>
          <w:szCs w:val="22"/>
        </w:rPr>
        <w:t xml:space="preserve"> Dismemberment Insurance (employees only).  Provides $10,000 of AD&amp;D coverage at no cost to enrolled employees.</w:t>
      </w:r>
    </w:p>
    <w:p w14:paraId="40AB02EC" w14:textId="77777777" w:rsidR="000654D7" w:rsidRPr="002B4667" w:rsidRDefault="000654D7" w:rsidP="002D2763">
      <w:pPr>
        <w:numPr>
          <w:ilvl w:val="0"/>
          <w:numId w:val="35"/>
        </w:numPr>
        <w:spacing w:before="120"/>
        <w:jc w:val="both"/>
        <w:rPr>
          <w:rFonts w:asciiTheme="minorHAnsi" w:hAnsiTheme="minorHAnsi" w:cs="Arial"/>
          <w:bCs/>
          <w:szCs w:val="22"/>
        </w:rPr>
      </w:pPr>
      <w:r w:rsidRPr="00D71A17">
        <w:rPr>
          <w:rFonts w:asciiTheme="minorHAnsi" w:hAnsiTheme="minorHAnsi" w:cs="Arial"/>
          <w:bCs/>
          <w:szCs w:val="22"/>
        </w:rPr>
        <w:t>Voluntary Group Term Life Insurance (for employee and family).  Provides new emp</w:t>
      </w:r>
      <w:r>
        <w:rPr>
          <w:rFonts w:asciiTheme="minorHAnsi" w:hAnsiTheme="minorHAnsi" w:cs="Arial"/>
          <w:bCs/>
          <w:szCs w:val="22"/>
        </w:rPr>
        <w:t>loyees up to $</w:t>
      </w:r>
      <w:r w:rsidRPr="002B4667">
        <w:rPr>
          <w:rFonts w:asciiTheme="minorHAnsi" w:hAnsiTheme="minorHAnsi" w:cs="Arial"/>
          <w:bCs/>
          <w:szCs w:val="22"/>
        </w:rPr>
        <w:t xml:space="preserve">200,000 of guaranteed coverage. Employees may be eligible for coverage up to $500,000.  </w:t>
      </w:r>
    </w:p>
    <w:p w14:paraId="7B9BF94A" w14:textId="5FF38C8A" w:rsidR="0065647A" w:rsidRPr="002B4667" w:rsidRDefault="0065647A" w:rsidP="002D2763">
      <w:pPr>
        <w:numPr>
          <w:ilvl w:val="0"/>
          <w:numId w:val="35"/>
        </w:numPr>
        <w:spacing w:before="120"/>
        <w:jc w:val="both"/>
        <w:rPr>
          <w:rFonts w:asciiTheme="minorHAnsi" w:hAnsiTheme="minorHAnsi" w:cs="Arial"/>
          <w:bCs/>
          <w:szCs w:val="22"/>
        </w:rPr>
      </w:pPr>
      <w:r w:rsidRPr="002B4667">
        <w:rPr>
          <w:rFonts w:asciiTheme="minorHAnsi" w:hAnsiTheme="minorHAnsi" w:cs="Arial"/>
          <w:bCs/>
          <w:szCs w:val="22"/>
        </w:rPr>
        <w:t>TRICARE Supplemental Insurance.  Provides a supplemental insurance plan to military retirees and qualified</w:t>
      </w:r>
      <w:r w:rsidR="00365537">
        <w:rPr>
          <w:rFonts w:asciiTheme="minorHAnsi" w:hAnsiTheme="minorHAnsi" w:cs="Arial"/>
          <w:bCs/>
          <w:szCs w:val="22"/>
        </w:rPr>
        <w:t xml:space="preserve"> National Guard and Reserve Mem</w:t>
      </w:r>
      <w:r w:rsidRPr="002B4667">
        <w:rPr>
          <w:rFonts w:asciiTheme="minorHAnsi" w:hAnsiTheme="minorHAnsi" w:cs="Arial"/>
          <w:bCs/>
          <w:szCs w:val="22"/>
        </w:rPr>
        <w:t>bers.</w:t>
      </w:r>
    </w:p>
    <w:p w14:paraId="29B778C1" w14:textId="5B89589F" w:rsidR="000654D7" w:rsidRPr="00D71A17" w:rsidRDefault="000654D7" w:rsidP="002D2763">
      <w:pPr>
        <w:numPr>
          <w:ilvl w:val="0"/>
          <w:numId w:val="35"/>
        </w:numPr>
        <w:spacing w:before="120"/>
        <w:jc w:val="both"/>
        <w:rPr>
          <w:rFonts w:asciiTheme="minorHAnsi" w:hAnsiTheme="minorHAnsi" w:cs="Arial"/>
          <w:bCs/>
          <w:szCs w:val="22"/>
        </w:rPr>
      </w:pPr>
      <w:r w:rsidRPr="002B4667">
        <w:rPr>
          <w:rFonts w:asciiTheme="minorHAnsi" w:hAnsiTheme="minorHAnsi" w:cs="Arial"/>
          <w:bCs/>
          <w:szCs w:val="22"/>
        </w:rPr>
        <w:t xml:space="preserve">Cancer </w:t>
      </w:r>
      <w:r w:rsidR="006861DC" w:rsidRPr="002B4667">
        <w:rPr>
          <w:rFonts w:asciiTheme="minorHAnsi" w:hAnsiTheme="minorHAnsi" w:cs="Arial"/>
          <w:bCs/>
          <w:szCs w:val="22"/>
        </w:rPr>
        <w:t xml:space="preserve">Insurance offers three </w:t>
      </w:r>
      <w:r w:rsidR="00D14017" w:rsidRPr="002B4667">
        <w:rPr>
          <w:rFonts w:asciiTheme="minorHAnsi" w:hAnsiTheme="minorHAnsi" w:cs="Arial"/>
          <w:bCs/>
          <w:szCs w:val="22"/>
        </w:rPr>
        <w:t>options</w:t>
      </w:r>
      <w:r w:rsidR="00365537">
        <w:rPr>
          <w:rFonts w:asciiTheme="minorHAnsi" w:hAnsiTheme="minorHAnsi" w:cs="Arial"/>
          <w:bCs/>
          <w:szCs w:val="22"/>
        </w:rPr>
        <w:t>:</w:t>
      </w:r>
      <w:r w:rsidR="00D14017" w:rsidRPr="002B4667">
        <w:rPr>
          <w:rFonts w:asciiTheme="minorHAnsi" w:hAnsiTheme="minorHAnsi" w:cs="Arial"/>
          <w:bCs/>
          <w:szCs w:val="22"/>
        </w:rPr>
        <w:t xml:space="preserve"> Premium</w:t>
      </w:r>
      <w:r w:rsidRPr="002B4667">
        <w:rPr>
          <w:rFonts w:asciiTheme="minorHAnsi" w:hAnsiTheme="minorHAnsi" w:cs="Arial"/>
          <w:bCs/>
          <w:szCs w:val="22"/>
        </w:rPr>
        <w:t xml:space="preserve">, High and </w:t>
      </w:r>
      <w:r w:rsidRPr="00D71A17">
        <w:rPr>
          <w:rFonts w:asciiTheme="minorHAnsi" w:hAnsiTheme="minorHAnsi" w:cs="Arial"/>
          <w:bCs/>
          <w:szCs w:val="22"/>
        </w:rPr>
        <w:t>Low Option</w:t>
      </w:r>
    </w:p>
    <w:p w14:paraId="7EA05B1A" w14:textId="3A3A5FD3" w:rsidR="000654D7" w:rsidRPr="00C171CF" w:rsidRDefault="000654D7" w:rsidP="002D2763">
      <w:pPr>
        <w:numPr>
          <w:ilvl w:val="0"/>
          <w:numId w:val="35"/>
        </w:numPr>
        <w:spacing w:before="120"/>
        <w:jc w:val="both"/>
        <w:rPr>
          <w:rFonts w:asciiTheme="minorHAnsi" w:hAnsiTheme="minorHAnsi" w:cs="Arial"/>
          <w:bCs/>
          <w:szCs w:val="22"/>
        </w:rPr>
      </w:pPr>
      <w:r w:rsidRPr="00C171CF">
        <w:rPr>
          <w:rFonts w:asciiTheme="minorHAnsi" w:hAnsiTheme="minorHAnsi" w:cs="Arial"/>
          <w:bCs/>
          <w:szCs w:val="22"/>
        </w:rPr>
        <w:t>Critical Illness Insurance with $15,000 and $25,000 Option</w:t>
      </w:r>
      <w:r w:rsidR="00365537">
        <w:rPr>
          <w:rFonts w:asciiTheme="minorHAnsi" w:hAnsiTheme="minorHAnsi" w:cs="Arial"/>
          <w:bCs/>
          <w:szCs w:val="22"/>
        </w:rPr>
        <w:t>s</w:t>
      </w:r>
    </w:p>
    <w:p w14:paraId="68D3F03A" w14:textId="77777777" w:rsidR="00C33F77" w:rsidRPr="00C171CF" w:rsidRDefault="00C33F77" w:rsidP="002D2763">
      <w:pPr>
        <w:numPr>
          <w:ilvl w:val="0"/>
          <w:numId w:val="35"/>
        </w:numPr>
        <w:spacing w:before="120"/>
        <w:jc w:val="both"/>
        <w:rPr>
          <w:rFonts w:asciiTheme="minorHAnsi" w:hAnsiTheme="minorHAnsi" w:cs="Arial"/>
          <w:bCs/>
          <w:szCs w:val="22"/>
        </w:rPr>
      </w:pPr>
      <w:r w:rsidRPr="00C171CF">
        <w:rPr>
          <w:rFonts w:asciiTheme="minorHAnsi" w:hAnsiTheme="minorHAnsi" w:cs="Arial"/>
          <w:bCs/>
          <w:szCs w:val="22"/>
        </w:rPr>
        <w:t>Accident Plus Accident Insurance</w:t>
      </w:r>
    </w:p>
    <w:p w14:paraId="5084CF13" w14:textId="77777777" w:rsidR="000654D7" w:rsidRPr="002D2763" w:rsidRDefault="000654D7" w:rsidP="000654D7">
      <w:pPr>
        <w:rPr>
          <w:rFonts w:asciiTheme="minorHAnsi" w:hAnsiTheme="minorHAnsi" w:cstheme="minorHAnsi"/>
          <w:color w:val="000000"/>
          <w:szCs w:val="22"/>
        </w:rPr>
      </w:pPr>
    </w:p>
    <w:p w14:paraId="1208ED3D" w14:textId="77777777" w:rsidR="000654D7" w:rsidRPr="00D71A17" w:rsidRDefault="000654D7" w:rsidP="000654D7">
      <w:pPr>
        <w:pStyle w:val="Heading3"/>
        <w:tabs>
          <w:tab w:val="clear" w:pos="810"/>
        </w:tabs>
        <w:ind w:left="0"/>
        <w:jc w:val="left"/>
        <w:rPr>
          <w:rFonts w:asciiTheme="minorHAnsi" w:hAnsiTheme="minorHAnsi" w:cs="Arial"/>
          <w:b/>
          <w:bCs/>
          <w:i w:val="0"/>
          <w:sz w:val="24"/>
          <w:u w:val="none"/>
        </w:rPr>
      </w:pPr>
      <w:r w:rsidRPr="00D71A17">
        <w:rPr>
          <w:rFonts w:asciiTheme="minorHAnsi" w:hAnsiTheme="minorHAnsi" w:cs="Arial"/>
          <w:b/>
          <w:bCs/>
          <w:i w:val="0"/>
          <w:sz w:val="24"/>
          <w:u w:val="none"/>
        </w:rPr>
        <w:t xml:space="preserve">Retirement </w:t>
      </w:r>
    </w:p>
    <w:p w14:paraId="7B81EEC2" w14:textId="0F29F892" w:rsidR="000654D7" w:rsidRPr="00C171CF" w:rsidRDefault="000654D7" w:rsidP="002D2763">
      <w:pPr>
        <w:pStyle w:val="BodyText"/>
        <w:rPr>
          <w:rFonts w:asciiTheme="minorHAnsi" w:hAnsiTheme="minorHAnsi" w:cs="Arial"/>
          <w:b/>
        </w:rPr>
      </w:pPr>
      <w:r w:rsidRPr="00C171CF">
        <w:rPr>
          <w:rFonts w:asciiTheme="minorHAnsi" w:hAnsiTheme="minorHAnsi" w:cs="Arial"/>
        </w:rPr>
        <w:t xml:space="preserve">The percent factor used by </w:t>
      </w:r>
      <w:r w:rsidR="00365537">
        <w:rPr>
          <w:rFonts w:asciiTheme="minorHAnsi" w:hAnsiTheme="minorHAnsi" w:cs="Arial"/>
        </w:rPr>
        <w:t>S</w:t>
      </w:r>
      <w:r w:rsidRPr="00C171CF">
        <w:rPr>
          <w:rFonts w:asciiTheme="minorHAnsi" w:hAnsiTheme="minorHAnsi" w:cs="Arial"/>
        </w:rPr>
        <w:t>outheastern states to calculate retirement benefits ranges from 1.6% to 2.5% times Average Final Compensation.  North Carolina's factor used to calculate pension benefits is 1.82%.</w:t>
      </w:r>
    </w:p>
    <w:p w14:paraId="42B1921F" w14:textId="77777777" w:rsidR="000654D7" w:rsidRPr="00C171CF" w:rsidRDefault="000654D7" w:rsidP="002D2763">
      <w:pPr>
        <w:jc w:val="both"/>
        <w:rPr>
          <w:rFonts w:asciiTheme="minorHAnsi" w:hAnsiTheme="minorHAnsi" w:cs="Arial"/>
          <w:i/>
          <w:u w:val="single"/>
        </w:rPr>
      </w:pPr>
    </w:p>
    <w:p w14:paraId="313F7CAA" w14:textId="530A2580" w:rsidR="000654D7" w:rsidRPr="00D71A17" w:rsidRDefault="008D2B8D" w:rsidP="002D2763">
      <w:pPr>
        <w:jc w:val="both"/>
        <w:rPr>
          <w:rFonts w:asciiTheme="minorHAnsi" w:hAnsiTheme="minorHAnsi" w:cs="Arial"/>
        </w:rPr>
      </w:pPr>
      <w:r w:rsidRPr="00C171CF">
        <w:rPr>
          <w:rFonts w:asciiTheme="minorHAnsi" w:hAnsiTheme="minorHAnsi" w:cs="Arial"/>
        </w:rPr>
        <w:t xml:space="preserve">In </w:t>
      </w:r>
      <w:r w:rsidR="0091612E" w:rsidRPr="00C171CF">
        <w:rPr>
          <w:rFonts w:asciiTheme="minorHAnsi" w:hAnsiTheme="minorHAnsi" w:cs="Arial"/>
        </w:rPr>
        <w:t>North Carolina, the 201</w:t>
      </w:r>
      <w:r w:rsidRPr="00C171CF">
        <w:rPr>
          <w:rFonts w:asciiTheme="minorHAnsi" w:hAnsiTheme="minorHAnsi" w:cs="Arial"/>
        </w:rPr>
        <w:t>7</w:t>
      </w:r>
      <w:r w:rsidR="000654D7" w:rsidRPr="00C171CF">
        <w:rPr>
          <w:rFonts w:asciiTheme="minorHAnsi" w:hAnsiTheme="minorHAnsi" w:cs="Arial"/>
        </w:rPr>
        <w:t xml:space="preserve"> employer contribution on behalf of employees in the Teachers </w:t>
      </w:r>
      <w:r w:rsidR="00365537">
        <w:rPr>
          <w:rFonts w:asciiTheme="minorHAnsi" w:hAnsiTheme="minorHAnsi" w:cs="Arial"/>
        </w:rPr>
        <w:t>and</w:t>
      </w:r>
      <w:r w:rsidR="000654D7" w:rsidRPr="00C171CF">
        <w:rPr>
          <w:rFonts w:asciiTheme="minorHAnsi" w:hAnsiTheme="minorHAnsi" w:cs="Arial"/>
        </w:rPr>
        <w:t xml:space="preserve"> State </w:t>
      </w:r>
      <w:r w:rsidR="001800CC" w:rsidRPr="00C171CF">
        <w:rPr>
          <w:rFonts w:asciiTheme="minorHAnsi" w:hAnsiTheme="minorHAnsi" w:cs="Arial"/>
        </w:rPr>
        <w:t xml:space="preserve"> </w:t>
      </w:r>
      <w:r w:rsidR="000654D7" w:rsidRPr="00C171CF">
        <w:rPr>
          <w:rFonts w:asciiTheme="minorHAnsi" w:hAnsiTheme="minorHAnsi" w:cs="Arial"/>
        </w:rPr>
        <w:t>Employees Retirement</w:t>
      </w:r>
      <w:r w:rsidRPr="00C171CF">
        <w:rPr>
          <w:rFonts w:asciiTheme="minorHAnsi" w:hAnsiTheme="minorHAnsi" w:cs="Arial"/>
        </w:rPr>
        <w:t xml:space="preserve"> System (TSERS) was 17.13</w:t>
      </w:r>
      <w:r w:rsidR="000654D7" w:rsidRPr="00C171CF">
        <w:rPr>
          <w:rFonts w:asciiTheme="minorHAnsi" w:hAnsiTheme="minorHAnsi" w:cs="Arial"/>
        </w:rPr>
        <w:t xml:space="preserve">%.  This includes contributions to the retirement systems pension fund, death benefit trust fund, retiree health plan reserve and disability income plan.  The </w:t>
      </w:r>
      <w:r w:rsidR="00365537">
        <w:rPr>
          <w:rFonts w:asciiTheme="minorHAnsi" w:hAnsiTheme="minorHAnsi" w:cs="Arial"/>
        </w:rPr>
        <w:t>S</w:t>
      </w:r>
      <w:r w:rsidR="000654D7" w:rsidRPr="00C171CF">
        <w:rPr>
          <w:rFonts w:asciiTheme="minorHAnsi" w:hAnsiTheme="minorHAnsi" w:cs="Arial"/>
        </w:rPr>
        <w:t xml:space="preserve">tate’s contribution to the pension fund </w:t>
      </w:r>
      <w:r w:rsidRPr="00C171CF">
        <w:rPr>
          <w:rFonts w:asciiTheme="minorHAnsi" w:hAnsiTheme="minorHAnsi" w:cs="Arial"/>
        </w:rPr>
        <w:t>only is currently 10.78</w:t>
      </w:r>
      <w:r w:rsidR="000654D7" w:rsidRPr="00C171CF">
        <w:rPr>
          <w:rFonts w:asciiTheme="minorHAnsi" w:hAnsiTheme="minorHAnsi" w:cs="Arial"/>
        </w:rPr>
        <w:t>%.</w:t>
      </w:r>
    </w:p>
    <w:p w14:paraId="4EE12E3E" w14:textId="77777777" w:rsidR="000654D7" w:rsidRPr="002D2763" w:rsidRDefault="000654D7" w:rsidP="000654D7">
      <w:pPr>
        <w:rPr>
          <w:rFonts w:asciiTheme="minorHAnsi" w:hAnsiTheme="minorHAnsi" w:cs="Arial"/>
          <w:b/>
          <w:bCs/>
          <w:szCs w:val="22"/>
        </w:rPr>
      </w:pPr>
    </w:p>
    <w:p w14:paraId="2FB7DF9C" w14:textId="77777777" w:rsidR="000654D7" w:rsidRPr="00D71A17" w:rsidRDefault="000654D7" w:rsidP="000654D7">
      <w:pPr>
        <w:rPr>
          <w:rFonts w:asciiTheme="minorHAnsi" w:hAnsiTheme="minorHAnsi" w:cs="Arial"/>
          <w:b/>
          <w:bCs/>
          <w:sz w:val="24"/>
        </w:rPr>
      </w:pPr>
      <w:r w:rsidRPr="00D71A17">
        <w:rPr>
          <w:rFonts w:asciiTheme="minorHAnsi" w:hAnsiTheme="minorHAnsi" w:cs="Arial"/>
          <w:b/>
          <w:bCs/>
          <w:sz w:val="24"/>
        </w:rPr>
        <w:t xml:space="preserve">Supplemental Retirement Programs  </w:t>
      </w:r>
    </w:p>
    <w:p w14:paraId="3C0A2A68" w14:textId="77777777" w:rsidR="000654D7" w:rsidRPr="00C171CF" w:rsidRDefault="000654D7" w:rsidP="002D2763">
      <w:pPr>
        <w:pStyle w:val="BodyTextIndent2"/>
        <w:ind w:left="0"/>
        <w:jc w:val="both"/>
        <w:rPr>
          <w:rFonts w:asciiTheme="minorHAnsi" w:hAnsiTheme="minorHAnsi" w:cs="Arial"/>
        </w:rPr>
      </w:pPr>
      <w:r w:rsidRPr="00D71A17">
        <w:rPr>
          <w:rFonts w:asciiTheme="minorHAnsi" w:hAnsiTheme="minorHAnsi" w:cs="Arial"/>
        </w:rPr>
        <w:t>Besides the traditional retirement program, the State offers voluntary supplemental retirement programs (</w:t>
      </w:r>
      <w:r w:rsidRPr="00D71A17">
        <w:rPr>
          <w:rFonts w:asciiTheme="minorHAnsi" w:hAnsiTheme="minorHAnsi" w:cs="Arial"/>
          <w:b/>
          <w:bCs/>
        </w:rPr>
        <w:t>a 401(k) plan, a 457(b) plan and a 403(b) plan.)</w:t>
      </w:r>
      <w:r w:rsidRPr="00D71A17">
        <w:rPr>
          <w:rFonts w:asciiTheme="minorHAnsi" w:hAnsiTheme="minorHAnsi" w:cs="Arial"/>
        </w:rPr>
        <w:t xml:space="preserve">  North Carolina does not match employee contributions.  </w:t>
      </w:r>
      <w:r w:rsidRPr="00C171CF">
        <w:rPr>
          <w:rFonts w:asciiTheme="minorHAnsi" w:hAnsiTheme="minorHAnsi" w:cs="Arial"/>
        </w:rPr>
        <w:t>According to Mercer Consulting, 78% of public and private organizations offer an employer match that averages 4% of an employee’s pay. The amount of an employer’s contributions drives the value of a Deferred Contribution plan.</w:t>
      </w:r>
    </w:p>
    <w:p w14:paraId="6D099D3D" w14:textId="77777777" w:rsidR="000654D7" w:rsidRPr="00C171CF" w:rsidRDefault="000654D7" w:rsidP="002D2763">
      <w:pPr>
        <w:pStyle w:val="BodyTextIndent2"/>
        <w:jc w:val="both"/>
        <w:rPr>
          <w:rFonts w:asciiTheme="minorHAnsi" w:hAnsiTheme="minorHAnsi" w:cs="Arial"/>
        </w:rPr>
      </w:pPr>
    </w:p>
    <w:p w14:paraId="24E2159D" w14:textId="358EDD10" w:rsidR="000654D7" w:rsidRPr="00D71A17" w:rsidRDefault="000654D7" w:rsidP="002D2763">
      <w:pPr>
        <w:pStyle w:val="BodyTextIndent2"/>
        <w:ind w:left="0"/>
        <w:jc w:val="both"/>
        <w:rPr>
          <w:rFonts w:asciiTheme="minorHAnsi" w:hAnsiTheme="minorHAnsi" w:cs="Arial"/>
        </w:rPr>
      </w:pPr>
      <w:r w:rsidRPr="00C171CF">
        <w:rPr>
          <w:rFonts w:asciiTheme="minorHAnsi" w:hAnsiTheme="minorHAnsi" w:cs="Arial"/>
        </w:rPr>
        <w:t>A review of the past three years reveal</w:t>
      </w:r>
      <w:r w:rsidR="00D14017" w:rsidRPr="00C171CF">
        <w:rPr>
          <w:rFonts w:asciiTheme="minorHAnsi" w:hAnsiTheme="minorHAnsi" w:cs="Arial"/>
        </w:rPr>
        <w:t>s</w:t>
      </w:r>
      <w:r w:rsidRPr="00C171CF">
        <w:rPr>
          <w:rFonts w:asciiTheme="minorHAnsi" w:hAnsiTheme="minorHAnsi" w:cs="Arial"/>
        </w:rPr>
        <w:t xml:space="preserve"> that more than half of North Carolina’s 100 count</w:t>
      </w:r>
      <w:r w:rsidR="00365537">
        <w:rPr>
          <w:rFonts w:asciiTheme="minorHAnsi" w:hAnsiTheme="minorHAnsi" w:cs="Arial"/>
        </w:rPr>
        <w:t>y governments</w:t>
      </w:r>
      <w:r w:rsidRPr="00C171CF">
        <w:rPr>
          <w:rFonts w:asciiTheme="minorHAnsi" w:hAnsiTheme="minorHAnsi" w:cs="Arial"/>
        </w:rPr>
        <w:t xml:space="preserve"> have consistently made matching 401(k) contributions in addition to a defined contribution plan. In 201</w:t>
      </w:r>
      <w:r w:rsidR="00C33F77" w:rsidRPr="00C171CF">
        <w:rPr>
          <w:rFonts w:asciiTheme="minorHAnsi" w:hAnsiTheme="minorHAnsi" w:cs="Arial"/>
        </w:rPr>
        <w:t>7</w:t>
      </w:r>
      <w:r w:rsidRPr="00C171CF">
        <w:rPr>
          <w:rFonts w:asciiTheme="minorHAnsi" w:hAnsiTheme="minorHAnsi" w:cs="Arial"/>
        </w:rPr>
        <w:t xml:space="preserve">, </w:t>
      </w:r>
      <w:r w:rsidR="00C33F77" w:rsidRPr="00C171CF">
        <w:rPr>
          <w:rFonts w:asciiTheme="minorHAnsi" w:hAnsiTheme="minorHAnsi" w:cs="Arial"/>
        </w:rPr>
        <w:t>92 of 95 reporting</w:t>
      </w:r>
      <w:r w:rsidRPr="00C171CF">
        <w:rPr>
          <w:rFonts w:asciiTheme="minorHAnsi" w:hAnsiTheme="minorHAnsi" w:cs="Arial"/>
        </w:rPr>
        <w:t xml:space="preserve"> counties offered an employer match or contribution. North Carolina State Government provides no contribution to 401(k) except for law enforcement employees.   By not offering a match, the State of North Carolina is not considered competitive in this area.</w:t>
      </w:r>
    </w:p>
    <w:p w14:paraId="56061F60" w14:textId="6D1F9865" w:rsidR="00CE5E4D" w:rsidRDefault="00CE5E4D" w:rsidP="00CE5E4D">
      <w:pPr>
        <w:rPr>
          <w:rFonts w:ascii="Arial" w:hAnsi="Arial" w:cs="Arial"/>
        </w:rPr>
      </w:pPr>
    </w:p>
    <w:p w14:paraId="70263FC4" w14:textId="5252210C" w:rsidR="002D2763" w:rsidRDefault="002D2763" w:rsidP="00CE5E4D">
      <w:pPr>
        <w:rPr>
          <w:rFonts w:ascii="Arial" w:hAnsi="Arial" w:cs="Arial"/>
        </w:rPr>
      </w:pPr>
    </w:p>
    <w:p w14:paraId="33CA9E41" w14:textId="25026114" w:rsidR="002D2763" w:rsidRDefault="002D2763" w:rsidP="00CE5E4D">
      <w:pPr>
        <w:rPr>
          <w:rFonts w:ascii="Arial" w:hAnsi="Arial" w:cs="Arial"/>
        </w:rPr>
      </w:pPr>
    </w:p>
    <w:p w14:paraId="675310B5" w14:textId="1D432318" w:rsidR="002D2763" w:rsidRDefault="002D2763" w:rsidP="00CE5E4D">
      <w:pPr>
        <w:rPr>
          <w:rFonts w:ascii="Arial" w:hAnsi="Arial" w:cs="Arial"/>
        </w:rPr>
      </w:pPr>
    </w:p>
    <w:p w14:paraId="33A610D5" w14:textId="38B47F33" w:rsidR="002D2763" w:rsidRDefault="002D2763" w:rsidP="00CE5E4D">
      <w:pPr>
        <w:rPr>
          <w:rFonts w:ascii="Arial" w:hAnsi="Arial" w:cs="Arial"/>
        </w:rPr>
      </w:pPr>
    </w:p>
    <w:p w14:paraId="7F80954D" w14:textId="0FC5627B" w:rsidR="002D2763" w:rsidRDefault="002D2763" w:rsidP="00CE5E4D">
      <w:pPr>
        <w:rPr>
          <w:rFonts w:ascii="Arial" w:hAnsi="Arial" w:cs="Arial"/>
        </w:rPr>
      </w:pPr>
    </w:p>
    <w:p w14:paraId="225FCC59" w14:textId="0EAD20A3" w:rsidR="002D2763" w:rsidRDefault="002D2763" w:rsidP="00CE5E4D">
      <w:pPr>
        <w:rPr>
          <w:rFonts w:ascii="Arial" w:hAnsi="Arial" w:cs="Arial"/>
        </w:rPr>
      </w:pPr>
    </w:p>
    <w:p w14:paraId="22C9CC75" w14:textId="5F165928" w:rsidR="002D2763" w:rsidRDefault="002D2763" w:rsidP="00CE5E4D">
      <w:pPr>
        <w:rPr>
          <w:rFonts w:ascii="Arial" w:hAnsi="Arial" w:cs="Arial"/>
        </w:rPr>
      </w:pPr>
    </w:p>
    <w:p w14:paraId="77674CE9" w14:textId="77777777" w:rsidR="002D2763" w:rsidRPr="001D4CFB" w:rsidRDefault="002D2763" w:rsidP="00CE5E4D">
      <w:pPr>
        <w:rPr>
          <w:rFonts w:ascii="Arial" w:hAnsi="Arial" w:cs="Arial"/>
        </w:rPr>
      </w:pPr>
    </w:p>
    <w:p w14:paraId="43EE87E2" w14:textId="77777777" w:rsidR="00CE5E4D" w:rsidRPr="00E106FD" w:rsidRDefault="00E106FD" w:rsidP="00D71A17">
      <w:pPr>
        <w:pBdr>
          <w:bottom w:val="single" w:sz="6" w:space="1" w:color="auto"/>
        </w:pBdr>
        <w:jc w:val="center"/>
        <w:rPr>
          <w:rFonts w:ascii="Arial" w:hAnsi="Arial" w:cs="Arial"/>
          <w:b/>
          <w:sz w:val="32"/>
        </w:rPr>
      </w:pPr>
      <w:r w:rsidRPr="00E106FD">
        <w:rPr>
          <w:rFonts w:ascii="Arial" w:hAnsi="Arial" w:cs="Arial"/>
          <w:b/>
          <w:sz w:val="32"/>
        </w:rPr>
        <w:lastRenderedPageBreak/>
        <w:t>APPENDIX</w:t>
      </w:r>
    </w:p>
    <w:p w14:paraId="30DFB30F" w14:textId="77777777" w:rsidR="00CE5E4D" w:rsidRPr="00694051" w:rsidRDefault="00CE5E4D" w:rsidP="00CE5E4D">
      <w:pPr>
        <w:rPr>
          <w:rFonts w:ascii="Arial" w:hAnsi="Arial" w:cs="Arial"/>
        </w:rPr>
      </w:pPr>
    </w:p>
    <w:p w14:paraId="10E504A5" w14:textId="77777777" w:rsidR="00465F21" w:rsidRPr="00694051" w:rsidRDefault="00465F21">
      <w:pPr>
        <w:pStyle w:val="BodyText"/>
        <w:rPr>
          <w:rFonts w:ascii="Arial" w:hAnsi="Arial" w:cs="Arial"/>
        </w:rPr>
      </w:pPr>
    </w:p>
    <w:p w14:paraId="3CEFD847" w14:textId="77777777" w:rsidR="00465F21" w:rsidRPr="00D71A17" w:rsidRDefault="00465F21" w:rsidP="00B816F5">
      <w:pPr>
        <w:pStyle w:val="ListParagraph"/>
        <w:numPr>
          <w:ilvl w:val="0"/>
          <w:numId w:val="25"/>
        </w:numPr>
        <w:tabs>
          <w:tab w:val="left" w:pos="2160"/>
          <w:tab w:val="left" w:pos="2250"/>
        </w:tabs>
        <w:spacing w:after="240"/>
        <w:ind w:left="990"/>
        <w:rPr>
          <w:rFonts w:asciiTheme="minorHAnsi" w:hAnsiTheme="minorHAnsi" w:cs="Arial"/>
          <w:b/>
          <w:color w:val="000000"/>
          <w:sz w:val="32"/>
        </w:rPr>
      </w:pPr>
      <w:r w:rsidRPr="00D71A17">
        <w:rPr>
          <w:rFonts w:asciiTheme="minorHAnsi" w:hAnsiTheme="minorHAnsi" w:cs="Arial"/>
          <w:b/>
          <w:color w:val="000000"/>
          <w:sz w:val="32"/>
        </w:rPr>
        <w:t>Hi</w:t>
      </w:r>
      <w:r w:rsidR="009E7CD5" w:rsidRPr="00D71A17">
        <w:rPr>
          <w:rFonts w:asciiTheme="minorHAnsi" w:hAnsiTheme="minorHAnsi" w:cs="Arial"/>
          <w:b/>
          <w:color w:val="000000"/>
          <w:sz w:val="32"/>
        </w:rPr>
        <w:t>story of Legislative Increases</w:t>
      </w:r>
      <w:r w:rsidR="00B816F5" w:rsidRPr="00D71A17">
        <w:rPr>
          <w:rFonts w:asciiTheme="minorHAnsi" w:hAnsiTheme="minorHAnsi" w:cs="Arial"/>
          <w:b/>
          <w:color w:val="000000"/>
          <w:sz w:val="32"/>
        </w:rPr>
        <w:t xml:space="preserve"> - </w:t>
      </w:r>
      <w:r w:rsidRPr="00D71A17">
        <w:rPr>
          <w:rFonts w:asciiTheme="minorHAnsi" w:hAnsiTheme="minorHAnsi" w:cs="Arial"/>
          <w:b/>
          <w:color w:val="000000"/>
          <w:sz w:val="32"/>
        </w:rPr>
        <w:t>1992-</w:t>
      </w:r>
      <w:r w:rsidR="00965DBE" w:rsidRPr="00D71A17">
        <w:rPr>
          <w:rFonts w:asciiTheme="minorHAnsi" w:hAnsiTheme="minorHAnsi" w:cs="Arial"/>
          <w:b/>
          <w:sz w:val="32"/>
        </w:rPr>
        <w:t>201</w:t>
      </w:r>
      <w:r w:rsidR="00FA4900">
        <w:rPr>
          <w:rFonts w:asciiTheme="minorHAnsi" w:hAnsiTheme="minorHAnsi" w:cs="Arial"/>
          <w:b/>
          <w:sz w:val="32"/>
        </w:rPr>
        <w:t>7</w:t>
      </w:r>
    </w:p>
    <w:p w14:paraId="5848E752" w14:textId="24F2342B" w:rsidR="005C62CE" w:rsidRPr="00D71A17" w:rsidRDefault="00701D37" w:rsidP="00B816F5">
      <w:pPr>
        <w:pStyle w:val="ListParagraph"/>
        <w:numPr>
          <w:ilvl w:val="0"/>
          <w:numId w:val="25"/>
        </w:numPr>
        <w:tabs>
          <w:tab w:val="left" w:pos="2160"/>
          <w:tab w:val="left" w:pos="2250"/>
        </w:tabs>
        <w:spacing w:after="240"/>
        <w:ind w:left="990"/>
        <w:rPr>
          <w:rFonts w:asciiTheme="minorHAnsi" w:hAnsiTheme="minorHAnsi" w:cs="Arial"/>
          <w:b/>
          <w:sz w:val="32"/>
        </w:rPr>
      </w:pPr>
      <w:r w:rsidRPr="00D71A17">
        <w:rPr>
          <w:rFonts w:asciiTheme="minorHAnsi" w:hAnsiTheme="minorHAnsi" w:cs="Arial"/>
          <w:b/>
          <w:sz w:val="32"/>
        </w:rPr>
        <w:t>N</w:t>
      </w:r>
      <w:r w:rsidR="00365537">
        <w:rPr>
          <w:rFonts w:asciiTheme="minorHAnsi" w:hAnsiTheme="minorHAnsi" w:cs="Arial"/>
          <w:b/>
          <w:sz w:val="32"/>
        </w:rPr>
        <w:t>orth Carolina</w:t>
      </w:r>
      <w:r w:rsidRPr="00D71A17">
        <w:rPr>
          <w:rFonts w:asciiTheme="minorHAnsi" w:hAnsiTheme="minorHAnsi" w:cs="Arial"/>
          <w:b/>
          <w:sz w:val="32"/>
        </w:rPr>
        <w:t xml:space="preserve"> Pay </w:t>
      </w:r>
      <w:r w:rsidR="006C72EF">
        <w:rPr>
          <w:rFonts w:asciiTheme="minorHAnsi" w:hAnsiTheme="minorHAnsi" w:cs="Arial"/>
          <w:b/>
          <w:sz w:val="32"/>
        </w:rPr>
        <w:t>C</w:t>
      </w:r>
      <w:r w:rsidRPr="00D71A17">
        <w:rPr>
          <w:rFonts w:asciiTheme="minorHAnsi" w:hAnsiTheme="minorHAnsi" w:cs="Arial"/>
          <w:b/>
          <w:sz w:val="32"/>
        </w:rPr>
        <w:t>omparison to CPI and</w:t>
      </w:r>
      <w:r w:rsidR="00B816F5" w:rsidRPr="00D71A17">
        <w:rPr>
          <w:rFonts w:asciiTheme="minorHAnsi" w:hAnsiTheme="minorHAnsi" w:cs="Arial"/>
          <w:b/>
          <w:sz w:val="32"/>
        </w:rPr>
        <w:t xml:space="preserve"> </w:t>
      </w:r>
      <w:r w:rsidR="005C62CE" w:rsidRPr="00D71A17">
        <w:rPr>
          <w:rFonts w:asciiTheme="minorHAnsi" w:hAnsiTheme="minorHAnsi" w:cs="Arial"/>
          <w:b/>
          <w:sz w:val="32"/>
        </w:rPr>
        <w:t>Average Market Movement</w:t>
      </w:r>
    </w:p>
    <w:p w14:paraId="7FDF1239" w14:textId="30532304" w:rsidR="00A0277D" w:rsidRPr="00D71A17" w:rsidRDefault="00A0277D" w:rsidP="00B816F5">
      <w:pPr>
        <w:pStyle w:val="ListParagraph"/>
        <w:numPr>
          <w:ilvl w:val="0"/>
          <w:numId w:val="25"/>
        </w:numPr>
        <w:tabs>
          <w:tab w:val="left" w:pos="2160"/>
          <w:tab w:val="left" w:pos="2250"/>
        </w:tabs>
        <w:spacing w:after="240"/>
        <w:ind w:left="990"/>
        <w:rPr>
          <w:rFonts w:asciiTheme="minorHAnsi" w:hAnsiTheme="minorHAnsi" w:cs="Arial"/>
          <w:b/>
          <w:sz w:val="32"/>
        </w:rPr>
      </w:pPr>
      <w:r w:rsidRPr="00D71A17">
        <w:rPr>
          <w:rFonts w:asciiTheme="minorHAnsi" w:hAnsiTheme="minorHAnsi" w:cs="Arial"/>
          <w:b/>
          <w:sz w:val="32"/>
        </w:rPr>
        <w:t xml:space="preserve">Turnover and </w:t>
      </w:r>
      <w:r w:rsidR="006C72EF">
        <w:rPr>
          <w:rFonts w:asciiTheme="minorHAnsi" w:hAnsiTheme="minorHAnsi" w:cs="Arial"/>
          <w:b/>
          <w:sz w:val="32"/>
        </w:rPr>
        <w:t>A</w:t>
      </w:r>
      <w:r w:rsidRPr="00D71A17">
        <w:rPr>
          <w:rFonts w:asciiTheme="minorHAnsi" w:hAnsiTheme="minorHAnsi" w:cs="Arial"/>
          <w:b/>
          <w:sz w:val="32"/>
        </w:rPr>
        <w:t xml:space="preserve">ging </w:t>
      </w:r>
      <w:r w:rsidR="006C72EF">
        <w:rPr>
          <w:rFonts w:asciiTheme="minorHAnsi" w:hAnsiTheme="minorHAnsi" w:cs="Arial"/>
          <w:b/>
          <w:sz w:val="32"/>
        </w:rPr>
        <w:t>T</w:t>
      </w:r>
      <w:r w:rsidRPr="00D71A17">
        <w:rPr>
          <w:rFonts w:asciiTheme="minorHAnsi" w:hAnsiTheme="minorHAnsi" w:cs="Arial"/>
          <w:b/>
          <w:sz w:val="32"/>
        </w:rPr>
        <w:t>rends</w:t>
      </w:r>
    </w:p>
    <w:p w14:paraId="2BCB01F4" w14:textId="77777777" w:rsidR="00B816F5" w:rsidRPr="00D71A17" w:rsidRDefault="002B37DE" w:rsidP="00B816F5">
      <w:pPr>
        <w:pStyle w:val="ListParagraph"/>
        <w:numPr>
          <w:ilvl w:val="0"/>
          <w:numId w:val="25"/>
        </w:numPr>
        <w:tabs>
          <w:tab w:val="left" w:pos="2160"/>
          <w:tab w:val="left" w:pos="2250"/>
        </w:tabs>
        <w:spacing w:after="240"/>
        <w:ind w:left="990"/>
        <w:rPr>
          <w:rFonts w:asciiTheme="minorHAnsi" w:hAnsiTheme="minorHAnsi" w:cs="Arial"/>
          <w:b/>
          <w:sz w:val="32"/>
        </w:rPr>
      </w:pPr>
      <w:r w:rsidRPr="00D71A17">
        <w:rPr>
          <w:rFonts w:asciiTheme="minorHAnsi" w:hAnsiTheme="minorHAnsi" w:cs="Arial"/>
          <w:b/>
          <w:sz w:val="32"/>
        </w:rPr>
        <w:t>Market Survey Library</w:t>
      </w:r>
    </w:p>
    <w:p w14:paraId="2616C130" w14:textId="77777777" w:rsidR="00465F21" w:rsidRPr="00D71A17" w:rsidRDefault="009E7CD5" w:rsidP="00B816F5">
      <w:pPr>
        <w:pStyle w:val="ListParagraph"/>
        <w:numPr>
          <w:ilvl w:val="0"/>
          <w:numId w:val="25"/>
        </w:numPr>
        <w:tabs>
          <w:tab w:val="left" w:pos="2160"/>
          <w:tab w:val="left" w:pos="2250"/>
        </w:tabs>
        <w:spacing w:after="240"/>
        <w:ind w:left="990"/>
        <w:rPr>
          <w:rFonts w:asciiTheme="minorHAnsi" w:hAnsiTheme="minorHAnsi" w:cs="Arial"/>
          <w:b/>
          <w:sz w:val="32"/>
        </w:rPr>
      </w:pPr>
      <w:r w:rsidRPr="00D71A17">
        <w:rPr>
          <w:rFonts w:asciiTheme="minorHAnsi" w:hAnsiTheme="minorHAnsi" w:cs="Arial"/>
          <w:b/>
          <w:sz w:val="32"/>
        </w:rPr>
        <w:t>List of Benchmark Classes</w:t>
      </w:r>
      <w:r w:rsidR="00B816F5" w:rsidRPr="00D71A17">
        <w:rPr>
          <w:rFonts w:asciiTheme="minorHAnsi" w:hAnsiTheme="minorHAnsi" w:cs="Arial"/>
          <w:b/>
          <w:sz w:val="32"/>
        </w:rPr>
        <w:t xml:space="preserve"> </w:t>
      </w:r>
      <w:r w:rsidRPr="00D71A17">
        <w:rPr>
          <w:rFonts w:asciiTheme="minorHAnsi" w:hAnsiTheme="minorHAnsi" w:cs="Arial"/>
          <w:b/>
          <w:sz w:val="32"/>
        </w:rPr>
        <w:t>and Labor Market Analysis</w:t>
      </w:r>
    </w:p>
    <w:p w14:paraId="51FE1638" w14:textId="77777777" w:rsidR="00D71A17" w:rsidRPr="00B816F5" w:rsidRDefault="00D71A17" w:rsidP="00D71A17">
      <w:pPr>
        <w:pStyle w:val="ListParagraph"/>
        <w:pBdr>
          <w:bottom w:val="single" w:sz="6" w:space="1" w:color="auto"/>
        </w:pBdr>
        <w:spacing w:after="240"/>
        <w:ind w:left="0"/>
        <w:rPr>
          <w:rFonts w:asciiTheme="minorHAnsi" w:hAnsiTheme="minorHAnsi" w:cs="Arial"/>
          <w:sz w:val="28"/>
        </w:rPr>
      </w:pPr>
    </w:p>
    <w:p w14:paraId="1BA73CA3" w14:textId="77777777" w:rsidR="00EF327F" w:rsidRPr="00380870" w:rsidRDefault="009E7CD5" w:rsidP="00F63E76">
      <w:pPr>
        <w:rPr>
          <w:rFonts w:asciiTheme="minorHAnsi" w:hAnsiTheme="minorHAnsi"/>
          <w:sz w:val="16"/>
        </w:rPr>
      </w:pPr>
      <w:r w:rsidRPr="00380870">
        <w:rPr>
          <w:rFonts w:asciiTheme="minorHAnsi" w:hAnsiTheme="minorHAnsi" w:cs="Arial"/>
          <w:color w:val="0000FF"/>
          <w:sz w:val="28"/>
        </w:rPr>
        <w:tab/>
      </w:r>
    </w:p>
    <w:p w14:paraId="79CDE7F8" w14:textId="77777777" w:rsidR="00EF327F" w:rsidRDefault="00EF327F" w:rsidP="00965DBE">
      <w:pPr>
        <w:jc w:val="center"/>
        <w:rPr>
          <w:rFonts w:ascii="Arial" w:hAnsi="Arial" w:cs="Arial"/>
          <w:b/>
          <w:sz w:val="36"/>
        </w:rPr>
      </w:pPr>
    </w:p>
    <w:p w14:paraId="6B48FC1E" w14:textId="77777777" w:rsidR="00E106FD" w:rsidRDefault="00E106FD">
      <w:pPr>
        <w:rPr>
          <w:rFonts w:asciiTheme="minorHAnsi" w:hAnsiTheme="minorHAnsi" w:cs="Arial"/>
          <w:b/>
          <w:sz w:val="24"/>
        </w:rPr>
      </w:pPr>
      <w:r>
        <w:rPr>
          <w:rFonts w:asciiTheme="minorHAnsi" w:hAnsiTheme="minorHAnsi" w:cs="Arial"/>
          <w:b/>
          <w:sz w:val="24"/>
        </w:rPr>
        <w:br w:type="page"/>
      </w:r>
    </w:p>
    <w:p w14:paraId="69FD01CF" w14:textId="77777777" w:rsidR="00965DBE" w:rsidRPr="00380870" w:rsidRDefault="00965DBE" w:rsidP="00E106FD">
      <w:pPr>
        <w:spacing w:after="120"/>
        <w:jc w:val="center"/>
        <w:rPr>
          <w:rFonts w:asciiTheme="minorHAnsi" w:hAnsiTheme="minorHAnsi" w:cs="Arial"/>
          <w:b/>
          <w:sz w:val="16"/>
        </w:rPr>
      </w:pPr>
      <w:r w:rsidRPr="00380870">
        <w:rPr>
          <w:rFonts w:asciiTheme="minorHAnsi" w:hAnsiTheme="minorHAnsi" w:cs="Arial"/>
          <w:b/>
          <w:sz w:val="24"/>
        </w:rPr>
        <w:lastRenderedPageBreak/>
        <w:t>History of Legislative Increases 1992-201</w:t>
      </w:r>
      <w:r w:rsidR="00FA4900">
        <w:rPr>
          <w:rFonts w:asciiTheme="minorHAnsi" w:hAnsiTheme="minorHAnsi" w:cs="Arial"/>
          <w:b/>
          <w:sz w:val="24"/>
        </w:rPr>
        <w:t>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050"/>
        <w:gridCol w:w="1850"/>
        <w:gridCol w:w="1503"/>
        <w:gridCol w:w="2699"/>
      </w:tblGrid>
      <w:tr w:rsidR="00965DBE" w:rsidRPr="00965DBE" w14:paraId="6B8AC30B" w14:textId="77777777" w:rsidTr="006C72EF">
        <w:trPr>
          <w:trHeight w:val="50"/>
          <w:jc w:val="center"/>
        </w:trPr>
        <w:tc>
          <w:tcPr>
            <w:tcW w:w="1050" w:type="dxa"/>
            <w:shd w:val="clear" w:color="auto" w:fill="C9EBEF"/>
            <w:vAlign w:val="center"/>
          </w:tcPr>
          <w:p w14:paraId="2A3B463B"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b/>
                <w:iCs/>
                <w:szCs w:val="22"/>
              </w:rPr>
            </w:pPr>
            <w:r w:rsidRPr="00F604EA">
              <w:rPr>
                <w:rFonts w:asciiTheme="minorHAnsi" w:hAnsiTheme="minorHAnsi" w:cs="Arial"/>
                <w:b/>
                <w:iCs/>
                <w:szCs w:val="22"/>
              </w:rPr>
              <w:t>Year</w:t>
            </w:r>
          </w:p>
        </w:tc>
        <w:tc>
          <w:tcPr>
            <w:tcW w:w="1850" w:type="dxa"/>
            <w:shd w:val="clear" w:color="auto" w:fill="C9EBEF"/>
            <w:vAlign w:val="center"/>
          </w:tcPr>
          <w:p w14:paraId="3F020BB7"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b/>
                <w:iCs/>
                <w:szCs w:val="22"/>
              </w:rPr>
            </w:pPr>
            <w:r w:rsidRPr="00F604EA">
              <w:rPr>
                <w:rFonts w:asciiTheme="minorHAnsi" w:hAnsiTheme="minorHAnsi" w:cs="Arial"/>
                <w:b/>
                <w:iCs/>
                <w:szCs w:val="22"/>
              </w:rPr>
              <w:t>Cost-of-Living Increase</w:t>
            </w:r>
          </w:p>
        </w:tc>
        <w:tc>
          <w:tcPr>
            <w:tcW w:w="1503" w:type="dxa"/>
            <w:shd w:val="clear" w:color="auto" w:fill="C9EBEF"/>
            <w:vAlign w:val="center"/>
          </w:tcPr>
          <w:p w14:paraId="4C8853DB"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b/>
                <w:iCs/>
                <w:szCs w:val="22"/>
              </w:rPr>
            </w:pPr>
            <w:r w:rsidRPr="00F604EA">
              <w:rPr>
                <w:rFonts w:asciiTheme="minorHAnsi" w:hAnsiTheme="minorHAnsi" w:cs="Arial"/>
                <w:b/>
                <w:iCs/>
                <w:szCs w:val="22"/>
              </w:rPr>
              <w:t>Career Growth</w:t>
            </w:r>
            <w:r w:rsidR="00F604EA">
              <w:rPr>
                <w:rFonts w:asciiTheme="minorHAnsi" w:hAnsiTheme="minorHAnsi" w:cs="Arial"/>
                <w:b/>
                <w:iCs/>
                <w:szCs w:val="22"/>
              </w:rPr>
              <w:t xml:space="preserve"> </w:t>
            </w:r>
            <w:r w:rsidRPr="00F604EA">
              <w:rPr>
                <w:rFonts w:asciiTheme="minorHAnsi" w:hAnsiTheme="minorHAnsi" w:cs="Arial"/>
                <w:b/>
                <w:iCs/>
                <w:szCs w:val="22"/>
              </w:rPr>
              <w:t>Increase</w:t>
            </w:r>
          </w:p>
        </w:tc>
        <w:tc>
          <w:tcPr>
            <w:tcW w:w="2699" w:type="dxa"/>
            <w:shd w:val="clear" w:color="auto" w:fill="C9EBEF"/>
            <w:vAlign w:val="center"/>
          </w:tcPr>
          <w:p w14:paraId="2505D360"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b/>
                <w:iCs/>
                <w:szCs w:val="22"/>
              </w:rPr>
            </w:pPr>
            <w:r w:rsidRPr="00F604EA">
              <w:rPr>
                <w:rFonts w:asciiTheme="minorHAnsi" w:hAnsiTheme="minorHAnsi" w:cs="Arial"/>
                <w:b/>
                <w:iCs/>
                <w:szCs w:val="22"/>
              </w:rPr>
              <w:t>Bonus/Other</w:t>
            </w:r>
          </w:p>
        </w:tc>
      </w:tr>
      <w:tr w:rsidR="00965DBE" w:rsidRPr="00965DBE" w14:paraId="6201965C" w14:textId="77777777" w:rsidTr="006C72EF">
        <w:trPr>
          <w:trHeight w:val="174"/>
          <w:jc w:val="center"/>
        </w:trPr>
        <w:tc>
          <w:tcPr>
            <w:tcW w:w="1050" w:type="dxa"/>
          </w:tcPr>
          <w:p w14:paraId="45696D8A"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1992</w:t>
            </w:r>
          </w:p>
        </w:tc>
        <w:tc>
          <w:tcPr>
            <w:tcW w:w="1850" w:type="dxa"/>
          </w:tcPr>
          <w:p w14:paraId="789C1A60"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 xml:space="preserve">$522 </w:t>
            </w:r>
          </w:p>
        </w:tc>
        <w:tc>
          <w:tcPr>
            <w:tcW w:w="1503" w:type="dxa"/>
          </w:tcPr>
          <w:p w14:paraId="17ACCD83"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5B54DF26"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37DBFAFE" w14:textId="77777777" w:rsidTr="006C72EF">
        <w:trPr>
          <w:jc w:val="center"/>
        </w:trPr>
        <w:tc>
          <w:tcPr>
            <w:tcW w:w="1050" w:type="dxa"/>
          </w:tcPr>
          <w:p w14:paraId="71F2344A"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1993</w:t>
            </w:r>
          </w:p>
        </w:tc>
        <w:tc>
          <w:tcPr>
            <w:tcW w:w="1850" w:type="dxa"/>
          </w:tcPr>
          <w:p w14:paraId="73CCF829"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1503" w:type="dxa"/>
          </w:tcPr>
          <w:p w14:paraId="195931B6"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0DD4CD7D"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 bonus</w:t>
            </w:r>
          </w:p>
        </w:tc>
      </w:tr>
      <w:tr w:rsidR="00965DBE" w:rsidRPr="00965DBE" w14:paraId="6F62FB4C" w14:textId="77777777" w:rsidTr="006C72EF">
        <w:trPr>
          <w:jc w:val="center"/>
        </w:trPr>
        <w:tc>
          <w:tcPr>
            <w:tcW w:w="1050" w:type="dxa"/>
          </w:tcPr>
          <w:p w14:paraId="0D38C029"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1994</w:t>
            </w:r>
          </w:p>
        </w:tc>
        <w:tc>
          <w:tcPr>
            <w:tcW w:w="1850" w:type="dxa"/>
          </w:tcPr>
          <w:p w14:paraId="5530AF39"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4%</w:t>
            </w:r>
          </w:p>
        </w:tc>
        <w:tc>
          <w:tcPr>
            <w:tcW w:w="1503" w:type="dxa"/>
          </w:tcPr>
          <w:p w14:paraId="47BEFEBD"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053F7B1F"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 bonus</w:t>
            </w:r>
          </w:p>
        </w:tc>
      </w:tr>
      <w:tr w:rsidR="00965DBE" w:rsidRPr="00965DBE" w14:paraId="02DF8896" w14:textId="77777777" w:rsidTr="006C72EF">
        <w:trPr>
          <w:jc w:val="center"/>
        </w:trPr>
        <w:tc>
          <w:tcPr>
            <w:tcW w:w="1050" w:type="dxa"/>
          </w:tcPr>
          <w:p w14:paraId="434F84CD"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1995</w:t>
            </w:r>
          </w:p>
        </w:tc>
        <w:tc>
          <w:tcPr>
            <w:tcW w:w="1850" w:type="dxa"/>
          </w:tcPr>
          <w:p w14:paraId="5CA67F6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1503" w:type="dxa"/>
          </w:tcPr>
          <w:p w14:paraId="7A7308A1"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2A1F03BF"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5B60468C" w14:textId="77777777" w:rsidTr="006C72EF">
        <w:trPr>
          <w:jc w:val="center"/>
        </w:trPr>
        <w:tc>
          <w:tcPr>
            <w:tcW w:w="1050" w:type="dxa"/>
          </w:tcPr>
          <w:p w14:paraId="54879FEF"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1996</w:t>
            </w:r>
          </w:p>
        </w:tc>
        <w:tc>
          <w:tcPr>
            <w:tcW w:w="1850" w:type="dxa"/>
          </w:tcPr>
          <w:p w14:paraId="720F6B91"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2.5%</w:t>
            </w:r>
          </w:p>
        </w:tc>
        <w:tc>
          <w:tcPr>
            <w:tcW w:w="1503" w:type="dxa"/>
          </w:tcPr>
          <w:p w14:paraId="549E7F0E"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2699" w:type="dxa"/>
          </w:tcPr>
          <w:p w14:paraId="5F7D0CC8"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3918298C" w14:textId="77777777" w:rsidTr="006C72EF">
        <w:trPr>
          <w:jc w:val="center"/>
        </w:trPr>
        <w:tc>
          <w:tcPr>
            <w:tcW w:w="1050" w:type="dxa"/>
          </w:tcPr>
          <w:p w14:paraId="177F464C"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1997</w:t>
            </w:r>
          </w:p>
        </w:tc>
        <w:tc>
          <w:tcPr>
            <w:tcW w:w="1850" w:type="dxa"/>
          </w:tcPr>
          <w:p w14:paraId="08B8987F"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1503" w:type="dxa"/>
          </w:tcPr>
          <w:p w14:paraId="2CBEED2C"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2699" w:type="dxa"/>
          </w:tcPr>
          <w:p w14:paraId="339D6AD5"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1D49EECA" w14:textId="77777777" w:rsidTr="006C72EF">
        <w:trPr>
          <w:jc w:val="center"/>
        </w:trPr>
        <w:tc>
          <w:tcPr>
            <w:tcW w:w="1050" w:type="dxa"/>
          </w:tcPr>
          <w:p w14:paraId="6EFEB43A"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1998</w:t>
            </w:r>
          </w:p>
        </w:tc>
        <w:tc>
          <w:tcPr>
            <w:tcW w:w="1850" w:type="dxa"/>
          </w:tcPr>
          <w:p w14:paraId="3C550324"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w:t>
            </w:r>
          </w:p>
        </w:tc>
        <w:tc>
          <w:tcPr>
            <w:tcW w:w="1503" w:type="dxa"/>
          </w:tcPr>
          <w:p w14:paraId="24664F7A"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2699" w:type="dxa"/>
          </w:tcPr>
          <w:p w14:paraId="0403B52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 performance bonus</w:t>
            </w:r>
          </w:p>
        </w:tc>
      </w:tr>
      <w:tr w:rsidR="00965DBE" w:rsidRPr="00965DBE" w14:paraId="4C14A75F" w14:textId="77777777" w:rsidTr="006C72EF">
        <w:trPr>
          <w:jc w:val="center"/>
        </w:trPr>
        <w:tc>
          <w:tcPr>
            <w:tcW w:w="1050" w:type="dxa"/>
          </w:tcPr>
          <w:p w14:paraId="385A8FC1"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1999</w:t>
            </w:r>
          </w:p>
        </w:tc>
        <w:tc>
          <w:tcPr>
            <w:tcW w:w="1850" w:type="dxa"/>
          </w:tcPr>
          <w:p w14:paraId="0549A6D3"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w:t>
            </w:r>
          </w:p>
        </w:tc>
        <w:tc>
          <w:tcPr>
            <w:tcW w:w="1503" w:type="dxa"/>
          </w:tcPr>
          <w:p w14:paraId="7591999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2699" w:type="dxa"/>
          </w:tcPr>
          <w:p w14:paraId="6DBECEE9"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$125 performance bonus</w:t>
            </w:r>
          </w:p>
        </w:tc>
      </w:tr>
      <w:tr w:rsidR="00965DBE" w:rsidRPr="00965DBE" w14:paraId="157FD515" w14:textId="77777777" w:rsidTr="006C72EF">
        <w:trPr>
          <w:jc w:val="center"/>
        </w:trPr>
        <w:tc>
          <w:tcPr>
            <w:tcW w:w="1050" w:type="dxa"/>
          </w:tcPr>
          <w:p w14:paraId="4F65C28D"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2000</w:t>
            </w:r>
          </w:p>
        </w:tc>
        <w:tc>
          <w:tcPr>
            <w:tcW w:w="1850" w:type="dxa"/>
          </w:tcPr>
          <w:p w14:paraId="0DE5694D"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2.2%</w:t>
            </w:r>
          </w:p>
        </w:tc>
        <w:tc>
          <w:tcPr>
            <w:tcW w:w="1503" w:type="dxa"/>
          </w:tcPr>
          <w:p w14:paraId="35056CCA"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w:t>
            </w:r>
          </w:p>
        </w:tc>
        <w:tc>
          <w:tcPr>
            <w:tcW w:w="2699" w:type="dxa"/>
          </w:tcPr>
          <w:p w14:paraId="2C2B559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$500 bonus</w:t>
            </w:r>
          </w:p>
        </w:tc>
      </w:tr>
      <w:tr w:rsidR="00965DBE" w:rsidRPr="00965DBE" w14:paraId="77B5F53A" w14:textId="77777777" w:rsidTr="006C72EF">
        <w:trPr>
          <w:jc w:val="center"/>
        </w:trPr>
        <w:tc>
          <w:tcPr>
            <w:tcW w:w="1050" w:type="dxa"/>
          </w:tcPr>
          <w:p w14:paraId="641E3BD3"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2001</w:t>
            </w:r>
          </w:p>
        </w:tc>
        <w:tc>
          <w:tcPr>
            <w:tcW w:w="1850" w:type="dxa"/>
          </w:tcPr>
          <w:p w14:paraId="76EA0C81"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 xml:space="preserve">$625 </w:t>
            </w:r>
          </w:p>
        </w:tc>
        <w:tc>
          <w:tcPr>
            <w:tcW w:w="1503" w:type="dxa"/>
          </w:tcPr>
          <w:p w14:paraId="0BEE9E90"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5C45AACA"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55D56AFF" w14:textId="77777777" w:rsidTr="006C72EF">
        <w:trPr>
          <w:jc w:val="center"/>
        </w:trPr>
        <w:tc>
          <w:tcPr>
            <w:tcW w:w="1050" w:type="dxa"/>
          </w:tcPr>
          <w:p w14:paraId="1A8D96DA"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2002</w:t>
            </w:r>
          </w:p>
        </w:tc>
        <w:tc>
          <w:tcPr>
            <w:tcW w:w="1850" w:type="dxa"/>
          </w:tcPr>
          <w:p w14:paraId="44E0E882"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 xml:space="preserve">0 </w:t>
            </w:r>
          </w:p>
        </w:tc>
        <w:tc>
          <w:tcPr>
            <w:tcW w:w="1503" w:type="dxa"/>
          </w:tcPr>
          <w:p w14:paraId="0344AFBA"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7D1626A4"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10 days bonus leave</w:t>
            </w:r>
          </w:p>
        </w:tc>
      </w:tr>
      <w:tr w:rsidR="00965DBE" w:rsidRPr="00965DBE" w14:paraId="72973A46" w14:textId="77777777" w:rsidTr="006C72EF">
        <w:trPr>
          <w:jc w:val="center"/>
        </w:trPr>
        <w:tc>
          <w:tcPr>
            <w:tcW w:w="1050" w:type="dxa"/>
          </w:tcPr>
          <w:p w14:paraId="7776AE7F"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p>
          <w:p w14:paraId="1F1133A0"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2003</w:t>
            </w:r>
          </w:p>
        </w:tc>
        <w:tc>
          <w:tcPr>
            <w:tcW w:w="1850" w:type="dxa"/>
          </w:tcPr>
          <w:p w14:paraId="71F653C5"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p>
          <w:p w14:paraId="11F893D2"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1503" w:type="dxa"/>
          </w:tcPr>
          <w:p w14:paraId="084B9E75"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p>
          <w:p w14:paraId="580AA6B3"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2BAA03B6"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 xml:space="preserve">$550 bonus plus </w:t>
            </w:r>
          </w:p>
          <w:p w14:paraId="345D1910"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10 days bonus leave</w:t>
            </w:r>
          </w:p>
        </w:tc>
      </w:tr>
      <w:tr w:rsidR="00965DBE" w:rsidRPr="00965DBE" w14:paraId="6AD4FF31" w14:textId="77777777" w:rsidTr="006C72EF">
        <w:trPr>
          <w:jc w:val="center"/>
        </w:trPr>
        <w:tc>
          <w:tcPr>
            <w:tcW w:w="1050" w:type="dxa"/>
          </w:tcPr>
          <w:p w14:paraId="2EA389DD"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p>
          <w:p w14:paraId="52ECB5A1"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2004</w:t>
            </w:r>
          </w:p>
        </w:tc>
        <w:tc>
          <w:tcPr>
            <w:tcW w:w="1850" w:type="dxa"/>
          </w:tcPr>
          <w:p w14:paraId="5E00D33A" w14:textId="71660C5B"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2.5% for salaries over $40K; or $1</w:t>
            </w:r>
            <w:r w:rsidR="00365537">
              <w:rPr>
                <w:rFonts w:asciiTheme="minorHAnsi" w:hAnsiTheme="minorHAnsi" w:cs="Arial"/>
                <w:szCs w:val="22"/>
              </w:rPr>
              <w:t>,</w:t>
            </w:r>
            <w:r w:rsidRPr="00F604EA">
              <w:rPr>
                <w:rFonts w:asciiTheme="minorHAnsi" w:hAnsiTheme="minorHAnsi" w:cs="Arial"/>
                <w:szCs w:val="22"/>
              </w:rPr>
              <w:t xml:space="preserve">000 / yr for salaries under $40K  </w:t>
            </w:r>
          </w:p>
        </w:tc>
        <w:tc>
          <w:tcPr>
            <w:tcW w:w="1503" w:type="dxa"/>
          </w:tcPr>
          <w:p w14:paraId="60B44DEE"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 xml:space="preserve"> </w:t>
            </w:r>
          </w:p>
          <w:p w14:paraId="001E98F4"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p>
          <w:p w14:paraId="30DE74ED"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p>
          <w:p w14:paraId="613868FC"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4C207F50"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p>
          <w:p w14:paraId="15C0EBE5"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p>
          <w:p w14:paraId="25265CC7"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p>
          <w:p w14:paraId="4BC1F4B1"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7DB5FA81" w14:textId="77777777" w:rsidTr="006C72EF">
        <w:trPr>
          <w:jc w:val="center"/>
        </w:trPr>
        <w:tc>
          <w:tcPr>
            <w:tcW w:w="1050" w:type="dxa"/>
          </w:tcPr>
          <w:p w14:paraId="084EF34A"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2005</w:t>
            </w:r>
          </w:p>
        </w:tc>
        <w:tc>
          <w:tcPr>
            <w:tcW w:w="1850" w:type="dxa"/>
          </w:tcPr>
          <w:p w14:paraId="57D8145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the greater of $850 or 2.0%</w:t>
            </w:r>
          </w:p>
        </w:tc>
        <w:tc>
          <w:tcPr>
            <w:tcW w:w="1503" w:type="dxa"/>
          </w:tcPr>
          <w:p w14:paraId="1791C2EC"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4DEFA5BC"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 xml:space="preserve">5 days bonus leave </w:t>
            </w:r>
          </w:p>
        </w:tc>
      </w:tr>
      <w:tr w:rsidR="00965DBE" w:rsidRPr="00965DBE" w14:paraId="7A5F8765" w14:textId="77777777" w:rsidTr="006C72EF">
        <w:trPr>
          <w:jc w:val="center"/>
        </w:trPr>
        <w:tc>
          <w:tcPr>
            <w:tcW w:w="1050" w:type="dxa"/>
          </w:tcPr>
          <w:p w14:paraId="49582591"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2006</w:t>
            </w:r>
          </w:p>
        </w:tc>
        <w:tc>
          <w:tcPr>
            <w:tcW w:w="1850" w:type="dxa"/>
          </w:tcPr>
          <w:p w14:paraId="55A60B82"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5.5%</w:t>
            </w:r>
          </w:p>
        </w:tc>
        <w:tc>
          <w:tcPr>
            <w:tcW w:w="1503" w:type="dxa"/>
          </w:tcPr>
          <w:p w14:paraId="5E146047"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4EBE6CC4"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67597C48" w14:textId="77777777" w:rsidTr="006C72EF">
        <w:trPr>
          <w:jc w:val="center"/>
        </w:trPr>
        <w:tc>
          <w:tcPr>
            <w:tcW w:w="1050" w:type="dxa"/>
          </w:tcPr>
          <w:p w14:paraId="3DDA38FC"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2007</w:t>
            </w:r>
          </w:p>
        </w:tc>
        <w:tc>
          <w:tcPr>
            <w:tcW w:w="1850" w:type="dxa"/>
          </w:tcPr>
          <w:p w14:paraId="77C8E8C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4.0%</w:t>
            </w:r>
          </w:p>
        </w:tc>
        <w:tc>
          <w:tcPr>
            <w:tcW w:w="1503" w:type="dxa"/>
          </w:tcPr>
          <w:p w14:paraId="7197BE5C"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656ED11F"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4EC2FEC2" w14:textId="77777777" w:rsidTr="006C72EF">
        <w:trPr>
          <w:jc w:val="center"/>
        </w:trPr>
        <w:tc>
          <w:tcPr>
            <w:tcW w:w="1050" w:type="dxa"/>
          </w:tcPr>
          <w:p w14:paraId="6F01D72E"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2008</w:t>
            </w:r>
          </w:p>
        </w:tc>
        <w:tc>
          <w:tcPr>
            <w:tcW w:w="1850" w:type="dxa"/>
          </w:tcPr>
          <w:p w14:paraId="34A8F7AC" w14:textId="2DD62170"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the greater of $1</w:t>
            </w:r>
            <w:r w:rsidR="00365537">
              <w:rPr>
                <w:rFonts w:asciiTheme="minorHAnsi" w:hAnsiTheme="minorHAnsi" w:cs="Arial"/>
                <w:szCs w:val="22"/>
              </w:rPr>
              <w:t>,</w:t>
            </w:r>
            <w:r w:rsidRPr="00F604EA">
              <w:rPr>
                <w:rFonts w:asciiTheme="minorHAnsi" w:hAnsiTheme="minorHAnsi" w:cs="Arial"/>
                <w:szCs w:val="22"/>
              </w:rPr>
              <w:t>100 or 2.75%</w:t>
            </w:r>
          </w:p>
        </w:tc>
        <w:tc>
          <w:tcPr>
            <w:tcW w:w="1503" w:type="dxa"/>
          </w:tcPr>
          <w:p w14:paraId="513253F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12CC9D80"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45C015D3" w14:textId="77777777" w:rsidTr="006C72EF">
        <w:trPr>
          <w:jc w:val="center"/>
        </w:trPr>
        <w:tc>
          <w:tcPr>
            <w:tcW w:w="1050" w:type="dxa"/>
          </w:tcPr>
          <w:p w14:paraId="29B4285A"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2009</w:t>
            </w:r>
          </w:p>
        </w:tc>
        <w:tc>
          <w:tcPr>
            <w:tcW w:w="1850" w:type="dxa"/>
          </w:tcPr>
          <w:p w14:paraId="7F7CD04B"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1503" w:type="dxa"/>
          </w:tcPr>
          <w:p w14:paraId="724FD803"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7C1ED436"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0298B135" w14:textId="77777777" w:rsidTr="006C72EF">
        <w:trPr>
          <w:jc w:val="center"/>
        </w:trPr>
        <w:tc>
          <w:tcPr>
            <w:tcW w:w="1050" w:type="dxa"/>
          </w:tcPr>
          <w:p w14:paraId="75122361"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2010</w:t>
            </w:r>
          </w:p>
        </w:tc>
        <w:tc>
          <w:tcPr>
            <w:tcW w:w="1850" w:type="dxa"/>
          </w:tcPr>
          <w:p w14:paraId="53E43760"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1503" w:type="dxa"/>
          </w:tcPr>
          <w:p w14:paraId="752D3085"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61AB4591"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3EB3E20C" w14:textId="77777777" w:rsidTr="006C72EF">
        <w:trPr>
          <w:jc w:val="center"/>
        </w:trPr>
        <w:tc>
          <w:tcPr>
            <w:tcW w:w="1050" w:type="dxa"/>
          </w:tcPr>
          <w:p w14:paraId="36D2F673"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2011</w:t>
            </w:r>
          </w:p>
        </w:tc>
        <w:tc>
          <w:tcPr>
            <w:tcW w:w="1850" w:type="dxa"/>
          </w:tcPr>
          <w:p w14:paraId="56457C76"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1503" w:type="dxa"/>
          </w:tcPr>
          <w:p w14:paraId="42C48DD0"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09814154"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r>
      <w:tr w:rsidR="00965DBE" w:rsidRPr="00965DBE" w14:paraId="5BD21654" w14:textId="77777777" w:rsidTr="006C72EF">
        <w:trPr>
          <w:jc w:val="center"/>
        </w:trPr>
        <w:tc>
          <w:tcPr>
            <w:tcW w:w="1050" w:type="dxa"/>
          </w:tcPr>
          <w:p w14:paraId="15F3B87C" w14:textId="77777777" w:rsidR="00965DBE" w:rsidRPr="00F604EA" w:rsidRDefault="00965DBE"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2012</w:t>
            </w:r>
          </w:p>
        </w:tc>
        <w:tc>
          <w:tcPr>
            <w:tcW w:w="1850" w:type="dxa"/>
          </w:tcPr>
          <w:p w14:paraId="41F92385"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1.2%</w:t>
            </w:r>
          </w:p>
        </w:tc>
        <w:tc>
          <w:tcPr>
            <w:tcW w:w="1503" w:type="dxa"/>
          </w:tcPr>
          <w:p w14:paraId="0DD4812F"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2C6C8FB6" w14:textId="77777777" w:rsidR="00965DBE" w:rsidRPr="00F604EA" w:rsidRDefault="00965DBE"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5 days “special leave”</w:t>
            </w:r>
          </w:p>
        </w:tc>
      </w:tr>
      <w:tr w:rsidR="00DA6890" w:rsidRPr="00965DBE" w14:paraId="7643309C" w14:textId="77777777" w:rsidTr="006C72EF">
        <w:trPr>
          <w:jc w:val="center"/>
        </w:trPr>
        <w:tc>
          <w:tcPr>
            <w:tcW w:w="1050" w:type="dxa"/>
          </w:tcPr>
          <w:p w14:paraId="25AF6CDC" w14:textId="77777777" w:rsidR="00DA6890" w:rsidRPr="00F604EA" w:rsidRDefault="00DA6890"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2013</w:t>
            </w:r>
          </w:p>
        </w:tc>
        <w:tc>
          <w:tcPr>
            <w:tcW w:w="1850" w:type="dxa"/>
          </w:tcPr>
          <w:p w14:paraId="55EFED51" w14:textId="77777777" w:rsidR="00DA6890" w:rsidRPr="00F604EA" w:rsidRDefault="00DA6890"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1503" w:type="dxa"/>
          </w:tcPr>
          <w:p w14:paraId="70701B82" w14:textId="77777777" w:rsidR="00DA6890" w:rsidRPr="00F604EA" w:rsidRDefault="00DA6890"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17DC3753" w14:textId="77777777" w:rsidR="00DA6890" w:rsidRPr="00F604EA" w:rsidRDefault="00DA6890"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5 days “special leave”</w:t>
            </w:r>
          </w:p>
        </w:tc>
      </w:tr>
      <w:tr w:rsidR="005D0C13" w:rsidRPr="00965DBE" w14:paraId="3CE2E615" w14:textId="77777777" w:rsidTr="006C72EF">
        <w:trPr>
          <w:jc w:val="center"/>
        </w:trPr>
        <w:tc>
          <w:tcPr>
            <w:tcW w:w="1050" w:type="dxa"/>
          </w:tcPr>
          <w:p w14:paraId="0AACB920" w14:textId="77777777" w:rsidR="005D0C13" w:rsidRPr="00F604EA" w:rsidRDefault="005D0C13" w:rsidP="00F604EA">
            <w:pPr>
              <w:widowControl w:val="0"/>
              <w:autoSpaceDE w:val="0"/>
              <w:autoSpaceDN w:val="0"/>
              <w:adjustRightInd w:val="0"/>
              <w:spacing w:before="40" w:after="20"/>
              <w:jc w:val="center"/>
              <w:rPr>
                <w:rFonts w:asciiTheme="minorHAnsi" w:hAnsiTheme="minorHAnsi" w:cs="Arial"/>
                <w:szCs w:val="22"/>
              </w:rPr>
            </w:pPr>
            <w:r w:rsidRPr="00F604EA">
              <w:rPr>
                <w:rFonts w:asciiTheme="minorHAnsi" w:hAnsiTheme="minorHAnsi" w:cs="Arial"/>
                <w:szCs w:val="22"/>
              </w:rPr>
              <w:t>2014</w:t>
            </w:r>
          </w:p>
        </w:tc>
        <w:tc>
          <w:tcPr>
            <w:tcW w:w="1850" w:type="dxa"/>
          </w:tcPr>
          <w:p w14:paraId="1F46BC32" w14:textId="344AD16A" w:rsidR="005D0C13" w:rsidRPr="00F604EA" w:rsidRDefault="005D0C13"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$1</w:t>
            </w:r>
            <w:r w:rsidR="00365537">
              <w:rPr>
                <w:rFonts w:asciiTheme="minorHAnsi" w:hAnsiTheme="minorHAnsi" w:cs="Arial"/>
                <w:szCs w:val="22"/>
              </w:rPr>
              <w:t>,</w:t>
            </w:r>
            <w:r w:rsidRPr="00F604EA">
              <w:rPr>
                <w:rFonts w:asciiTheme="minorHAnsi" w:hAnsiTheme="minorHAnsi" w:cs="Arial"/>
                <w:szCs w:val="22"/>
              </w:rPr>
              <w:t>000 flat increase</w:t>
            </w:r>
          </w:p>
        </w:tc>
        <w:tc>
          <w:tcPr>
            <w:tcW w:w="1503" w:type="dxa"/>
          </w:tcPr>
          <w:p w14:paraId="77AE8D26" w14:textId="77777777" w:rsidR="005D0C13" w:rsidRPr="00F604EA" w:rsidRDefault="005D0C13"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0</w:t>
            </w:r>
          </w:p>
        </w:tc>
        <w:tc>
          <w:tcPr>
            <w:tcW w:w="2699" w:type="dxa"/>
          </w:tcPr>
          <w:p w14:paraId="7E69D37A" w14:textId="77777777" w:rsidR="005D0C13" w:rsidRPr="00F604EA" w:rsidRDefault="005D0C13" w:rsidP="00F604EA">
            <w:pPr>
              <w:widowControl w:val="0"/>
              <w:autoSpaceDE w:val="0"/>
              <w:autoSpaceDN w:val="0"/>
              <w:adjustRightInd w:val="0"/>
              <w:spacing w:before="40" w:after="20"/>
              <w:jc w:val="right"/>
              <w:rPr>
                <w:rFonts w:asciiTheme="minorHAnsi" w:hAnsiTheme="minorHAnsi" w:cs="Arial"/>
                <w:szCs w:val="22"/>
              </w:rPr>
            </w:pPr>
            <w:r w:rsidRPr="00F604EA">
              <w:rPr>
                <w:rFonts w:asciiTheme="minorHAnsi" w:hAnsiTheme="minorHAnsi" w:cs="Arial"/>
                <w:szCs w:val="22"/>
              </w:rPr>
              <w:t>5 days bonus leave</w:t>
            </w:r>
          </w:p>
        </w:tc>
      </w:tr>
      <w:tr w:rsidR="004E561B" w:rsidRPr="00965DBE" w14:paraId="1ABA0538" w14:textId="77777777" w:rsidTr="006C72EF">
        <w:trPr>
          <w:jc w:val="center"/>
        </w:trPr>
        <w:tc>
          <w:tcPr>
            <w:tcW w:w="1050" w:type="dxa"/>
          </w:tcPr>
          <w:p w14:paraId="67A189B8" w14:textId="77777777" w:rsidR="004E561B" w:rsidRPr="00F604EA" w:rsidRDefault="004E561B" w:rsidP="00F604EA">
            <w:pPr>
              <w:widowControl w:val="0"/>
              <w:autoSpaceDE w:val="0"/>
              <w:autoSpaceDN w:val="0"/>
              <w:adjustRightInd w:val="0"/>
              <w:spacing w:before="40" w:after="20"/>
              <w:jc w:val="center"/>
              <w:rPr>
                <w:rFonts w:asciiTheme="minorHAnsi" w:hAnsiTheme="minorHAnsi" w:cs="Arial"/>
                <w:szCs w:val="22"/>
              </w:rPr>
            </w:pPr>
            <w:r>
              <w:rPr>
                <w:rFonts w:asciiTheme="minorHAnsi" w:hAnsiTheme="minorHAnsi" w:cs="Arial"/>
                <w:szCs w:val="22"/>
              </w:rPr>
              <w:t>2015</w:t>
            </w:r>
          </w:p>
        </w:tc>
        <w:tc>
          <w:tcPr>
            <w:tcW w:w="1850" w:type="dxa"/>
          </w:tcPr>
          <w:p w14:paraId="3B2D4CBC" w14:textId="77777777" w:rsidR="004E561B" w:rsidRPr="00F604EA" w:rsidRDefault="004E561B" w:rsidP="004E561B">
            <w:pPr>
              <w:widowControl w:val="0"/>
              <w:autoSpaceDE w:val="0"/>
              <w:autoSpaceDN w:val="0"/>
              <w:adjustRightInd w:val="0"/>
              <w:spacing w:before="40" w:after="20"/>
              <w:jc w:val="right"/>
              <w:rPr>
                <w:rFonts w:asciiTheme="minorHAnsi" w:hAnsiTheme="minorHAnsi" w:cs="Arial"/>
                <w:szCs w:val="22"/>
              </w:rPr>
            </w:pPr>
            <w:r>
              <w:rPr>
                <w:rFonts w:asciiTheme="minorHAnsi" w:hAnsiTheme="minorHAnsi" w:cs="Arial"/>
                <w:szCs w:val="22"/>
              </w:rPr>
              <w:t>0</w:t>
            </w:r>
          </w:p>
        </w:tc>
        <w:tc>
          <w:tcPr>
            <w:tcW w:w="1503" w:type="dxa"/>
          </w:tcPr>
          <w:p w14:paraId="53E5898F" w14:textId="77777777" w:rsidR="004E561B" w:rsidRPr="00F604EA" w:rsidRDefault="004E561B" w:rsidP="00F604EA">
            <w:pPr>
              <w:widowControl w:val="0"/>
              <w:autoSpaceDE w:val="0"/>
              <w:autoSpaceDN w:val="0"/>
              <w:adjustRightInd w:val="0"/>
              <w:spacing w:before="40" w:after="20"/>
              <w:jc w:val="right"/>
              <w:rPr>
                <w:rFonts w:asciiTheme="minorHAnsi" w:hAnsiTheme="minorHAnsi" w:cs="Arial"/>
                <w:szCs w:val="22"/>
              </w:rPr>
            </w:pPr>
            <w:r>
              <w:rPr>
                <w:rFonts w:asciiTheme="minorHAnsi" w:hAnsiTheme="minorHAnsi" w:cs="Arial"/>
                <w:szCs w:val="22"/>
              </w:rPr>
              <w:t>0</w:t>
            </w:r>
          </w:p>
        </w:tc>
        <w:tc>
          <w:tcPr>
            <w:tcW w:w="2699" w:type="dxa"/>
          </w:tcPr>
          <w:p w14:paraId="27DB14CF" w14:textId="77777777" w:rsidR="008E0738" w:rsidRPr="00F604EA" w:rsidRDefault="004E561B" w:rsidP="008E0738">
            <w:pPr>
              <w:widowControl w:val="0"/>
              <w:autoSpaceDE w:val="0"/>
              <w:autoSpaceDN w:val="0"/>
              <w:adjustRightInd w:val="0"/>
              <w:spacing w:before="40" w:after="20"/>
              <w:jc w:val="right"/>
              <w:rPr>
                <w:rFonts w:asciiTheme="minorHAnsi" w:hAnsiTheme="minorHAnsi" w:cs="Arial"/>
                <w:szCs w:val="22"/>
              </w:rPr>
            </w:pPr>
            <w:r>
              <w:rPr>
                <w:rFonts w:asciiTheme="minorHAnsi" w:hAnsiTheme="minorHAnsi" w:cs="Arial"/>
                <w:szCs w:val="22"/>
              </w:rPr>
              <w:t>$750</w:t>
            </w:r>
            <w:r w:rsidR="008E0738">
              <w:rPr>
                <w:rFonts w:asciiTheme="minorHAnsi" w:hAnsiTheme="minorHAnsi" w:cs="Arial"/>
                <w:szCs w:val="22"/>
              </w:rPr>
              <w:t xml:space="preserve"> bonus</w:t>
            </w:r>
          </w:p>
        </w:tc>
      </w:tr>
      <w:tr w:rsidR="0091612E" w:rsidRPr="00965DBE" w14:paraId="0780228B" w14:textId="77777777" w:rsidTr="006C72EF">
        <w:trPr>
          <w:jc w:val="center"/>
        </w:trPr>
        <w:tc>
          <w:tcPr>
            <w:tcW w:w="1050" w:type="dxa"/>
          </w:tcPr>
          <w:p w14:paraId="6D66FBC6" w14:textId="77777777" w:rsidR="0091612E" w:rsidRDefault="0091612E" w:rsidP="00F604EA">
            <w:pPr>
              <w:widowControl w:val="0"/>
              <w:autoSpaceDE w:val="0"/>
              <w:autoSpaceDN w:val="0"/>
              <w:adjustRightInd w:val="0"/>
              <w:spacing w:before="40" w:after="20"/>
              <w:jc w:val="center"/>
              <w:rPr>
                <w:rFonts w:asciiTheme="minorHAnsi" w:hAnsiTheme="minorHAnsi" w:cs="Arial"/>
                <w:szCs w:val="22"/>
              </w:rPr>
            </w:pPr>
            <w:r>
              <w:rPr>
                <w:rFonts w:asciiTheme="minorHAnsi" w:hAnsiTheme="minorHAnsi" w:cs="Arial"/>
                <w:szCs w:val="22"/>
              </w:rPr>
              <w:t>2016</w:t>
            </w:r>
          </w:p>
        </w:tc>
        <w:tc>
          <w:tcPr>
            <w:tcW w:w="1850" w:type="dxa"/>
          </w:tcPr>
          <w:p w14:paraId="22D5D13E" w14:textId="77777777" w:rsidR="0091612E" w:rsidRDefault="0091612E" w:rsidP="004E561B">
            <w:pPr>
              <w:widowControl w:val="0"/>
              <w:autoSpaceDE w:val="0"/>
              <w:autoSpaceDN w:val="0"/>
              <w:adjustRightInd w:val="0"/>
              <w:spacing w:before="40" w:after="20"/>
              <w:jc w:val="right"/>
              <w:rPr>
                <w:rFonts w:asciiTheme="minorHAnsi" w:hAnsiTheme="minorHAnsi" w:cs="Arial"/>
                <w:szCs w:val="22"/>
              </w:rPr>
            </w:pPr>
            <w:r>
              <w:rPr>
                <w:rFonts w:asciiTheme="minorHAnsi" w:hAnsiTheme="minorHAnsi" w:cs="Arial"/>
                <w:szCs w:val="22"/>
              </w:rPr>
              <w:t>1.5%</w:t>
            </w:r>
          </w:p>
        </w:tc>
        <w:tc>
          <w:tcPr>
            <w:tcW w:w="1503" w:type="dxa"/>
          </w:tcPr>
          <w:p w14:paraId="7FC90A2A" w14:textId="77777777" w:rsidR="0091612E" w:rsidRDefault="004C4615" w:rsidP="00F604EA">
            <w:pPr>
              <w:widowControl w:val="0"/>
              <w:autoSpaceDE w:val="0"/>
              <w:autoSpaceDN w:val="0"/>
              <w:adjustRightInd w:val="0"/>
              <w:spacing w:before="40" w:after="20"/>
              <w:jc w:val="right"/>
              <w:rPr>
                <w:rFonts w:asciiTheme="minorHAnsi" w:hAnsiTheme="minorHAnsi" w:cs="Arial"/>
                <w:szCs w:val="22"/>
              </w:rPr>
            </w:pPr>
            <w:r w:rsidRPr="00A270D0">
              <w:rPr>
                <w:rFonts w:asciiTheme="minorHAnsi" w:hAnsiTheme="minorHAnsi" w:cs="Arial"/>
                <w:szCs w:val="22"/>
              </w:rPr>
              <w:t>0</w:t>
            </w:r>
          </w:p>
        </w:tc>
        <w:tc>
          <w:tcPr>
            <w:tcW w:w="2699" w:type="dxa"/>
          </w:tcPr>
          <w:p w14:paraId="5E97FADF" w14:textId="77777777" w:rsidR="0091612E" w:rsidRDefault="0091612E" w:rsidP="008E0738">
            <w:pPr>
              <w:widowControl w:val="0"/>
              <w:autoSpaceDE w:val="0"/>
              <w:autoSpaceDN w:val="0"/>
              <w:adjustRightInd w:val="0"/>
              <w:spacing w:before="40" w:after="20"/>
              <w:jc w:val="right"/>
              <w:rPr>
                <w:rFonts w:asciiTheme="minorHAnsi" w:hAnsiTheme="minorHAnsi" w:cs="Arial"/>
                <w:szCs w:val="22"/>
              </w:rPr>
            </w:pPr>
            <w:r>
              <w:rPr>
                <w:rFonts w:asciiTheme="minorHAnsi" w:hAnsiTheme="minorHAnsi" w:cs="Arial"/>
                <w:szCs w:val="22"/>
              </w:rPr>
              <w:t>0.5% bonus; variable merit bonus ($475 for ME, $700 for EE)</w:t>
            </w:r>
          </w:p>
        </w:tc>
      </w:tr>
      <w:tr w:rsidR="00FA4900" w:rsidRPr="00965DBE" w14:paraId="6035FA3A" w14:textId="77777777" w:rsidTr="006C72EF">
        <w:trPr>
          <w:jc w:val="center"/>
        </w:trPr>
        <w:tc>
          <w:tcPr>
            <w:tcW w:w="1050" w:type="dxa"/>
          </w:tcPr>
          <w:p w14:paraId="59B9E6B1" w14:textId="77777777" w:rsidR="00FA4900" w:rsidRPr="00C171CF" w:rsidRDefault="00FA4900" w:rsidP="00F604EA">
            <w:pPr>
              <w:widowControl w:val="0"/>
              <w:autoSpaceDE w:val="0"/>
              <w:autoSpaceDN w:val="0"/>
              <w:adjustRightInd w:val="0"/>
              <w:spacing w:before="40" w:after="20"/>
              <w:jc w:val="center"/>
              <w:rPr>
                <w:rFonts w:asciiTheme="minorHAnsi" w:hAnsiTheme="minorHAnsi" w:cs="Arial"/>
                <w:szCs w:val="22"/>
              </w:rPr>
            </w:pPr>
            <w:r w:rsidRPr="00C171CF">
              <w:rPr>
                <w:rFonts w:asciiTheme="minorHAnsi" w:hAnsiTheme="minorHAnsi" w:cs="Arial"/>
                <w:szCs w:val="22"/>
              </w:rPr>
              <w:t>2017</w:t>
            </w:r>
          </w:p>
        </w:tc>
        <w:tc>
          <w:tcPr>
            <w:tcW w:w="1850" w:type="dxa"/>
          </w:tcPr>
          <w:p w14:paraId="4BD3F6FB" w14:textId="77777777" w:rsidR="00FA4900" w:rsidRPr="00C171CF" w:rsidRDefault="00551931" w:rsidP="004E561B">
            <w:pPr>
              <w:widowControl w:val="0"/>
              <w:autoSpaceDE w:val="0"/>
              <w:autoSpaceDN w:val="0"/>
              <w:adjustRightInd w:val="0"/>
              <w:spacing w:before="40" w:after="20"/>
              <w:jc w:val="right"/>
              <w:rPr>
                <w:rFonts w:asciiTheme="minorHAnsi" w:hAnsiTheme="minorHAnsi" w:cs="Arial"/>
                <w:szCs w:val="22"/>
              </w:rPr>
            </w:pPr>
            <w:r w:rsidRPr="00C171CF">
              <w:rPr>
                <w:rFonts w:asciiTheme="minorHAnsi" w:hAnsiTheme="minorHAnsi" w:cs="Arial"/>
                <w:szCs w:val="22"/>
              </w:rPr>
              <w:t>$1,000</w:t>
            </w:r>
          </w:p>
        </w:tc>
        <w:tc>
          <w:tcPr>
            <w:tcW w:w="1503" w:type="dxa"/>
          </w:tcPr>
          <w:p w14:paraId="1DB6DD7E" w14:textId="77777777" w:rsidR="00FA4900" w:rsidRPr="00C171CF" w:rsidRDefault="00FA4900" w:rsidP="00F604EA">
            <w:pPr>
              <w:widowControl w:val="0"/>
              <w:autoSpaceDE w:val="0"/>
              <w:autoSpaceDN w:val="0"/>
              <w:adjustRightInd w:val="0"/>
              <w:spacing w:before="40" w:after="20"/>
              <w:jc w:val="right"/>
              <w:rPr>
                <w:rFonts w:asciiTheme="minorHAnsi" w:hAnsiTheme="minorHAnsi" w:cs="Arial"/>
                <w:szCs w:val="22"/>
              </w:rPr>
            </w:pPr>
            <w:r w:rsidRPr="00C171CF">
              <w:rPr>
                <w:rFonts w:asciiTheme="minorHAnsi" w:hAnsiTheme="minorHAnsi" w:cs="Arial"/>
                <w:szCs w:val="22"/>
              </w:rPr>
              <w:t>0</w:t>
            </w:r>
          </w:p>
        </w:tc>
        <w:tc>
          <w:tcPr>
            <w:tcW w:w="2699" w:type="dxa"/>
          </w:tcPr>
          <w:p w14:paraId="0B5BEA3E" w14:textId="77777777" w:rsidR="00FA4900" w:rsidRPr="00C171CF" w:rsidRDefault="00A270D0" w:rsidP="008E0738">
            <w:pPr>
              <w:widowControl w:val="0"/>
              <w:autoSpaceDE w:val="0"/>
              <w:autoSpaceDN w:val="0"/>
              <w:adjustRightInd w:val="0"/>
              <w:spacing w:before="40" w:after="20"/>
              <w:jc w:val="right"/>
              <w:rPr>
                <w:rFonts w:asciiTheme="minorHAnsi" w:hAnsiTheme="minorHAnsi" w:cs="Arial"/>
                <w:szCs w:val="22"/>
              </w:rPr>
            </w:pPr>
            <w:r w:rsidRPr="00C171CF">
              <w:rPr>
                <w:rFonts w:asciiTheme="minorHAnsi" w:hAnsiTheme="minorHAnsi" w:cs="Arial"/>
                <w:szCs w:val="22"/>
              </w:rPr>
              <w:t>3 days “special bonus” leave</w:t>
            </w:r>
          </w:p>
        </w:tc>
      </w:tr>
    </w:tbl>
    <w:p w14:paraId="11CD7BA2" w14:textId="77777777" w:rsidR="00965DBE" w:rsidRDefault="00965DBE" w:rsidP="00965DBE">
      <w:pPr>
        <w:contextualSpacing/>
        <w:rPr>
          <w:rFonts w:ascii="Calibri" w:hAnsi="Calibri" w:cs="Arial"/>
          <w:sz w:val="18"/>
        </w:rPr>
      </w:pPr>
    </w:p>
    <w:p w14:paraId="69471BFC" w14:textId="77777777" w:rsidR="00701D37" w:rsidRDefault="00701D37" w:rsidP="005C62CE">
      <w:pPr>
        <w:pStyle w:val="BodyTextIndent"/>
        <w:rPr>
          <w:rFonts w:ascii="Arial" w:hAnsi="Arial" w:cs="Arial"/>
          <w:bCs/>
          <w:iCs/>
          <w:sz w:val="22"/>
          <w:szCs w:val="22"/>
        </w:rPr>
      </w:pPr>
    </w:p>
    <w:p w14:paraId="68098748" w14:textId="212A051C" w:rsidR="005C62CE" w:rsidRPr="006C72EF" w:rsidRDefault="005C62CE" w:rsidP="00E106FD">
      <w:pPr>
        <w:pStyle w:val="BodyTextIndent"/>
        <w:spacing w:after="120"/>
        <w:jc w:val="center"/>
        <w:rPr>
          <w:rFonts w:asciiTheme="minorHAnsi" w:hAnsiTheme="minorHAnsi" w:cstheme="minorHAnsi"/>
          <w:b/>
          <w:bCs/>
          <w:iCs/>
          <w:szCs w:val="24"/>
        </w:rPr>
      </w:pPr>
      <w:r w:rsidRPr="006C72EF">
        <w:rPr>
          <w:rFonts w:asciiTheme="minorHAnsi" w:hAnsiTheme="minorHAnsi" w:cstheme="minorHAnsi"/>
          <w:b/>
          <w:bCs/>
          <w:iCs/>
          <w:szCs w:val="24"/>
        </w:rPr>
        <w:t>N</w:t>
      </w:r>
      <w:r w:rsidR="00365537">
        <w:rPr>
          <w:rFonts w:asciiTheme="minorHAnsi" w:hAnsiTheme="minorHAnsi" w:cstheme="minorHAnsi"/>
          <w:b/>
          <w:bCs/>
          <w:iCs/>
          <w:szCs w:val="24"/>
        </w:rPr>
        <w:t>orth Carolina</w:t>
      </w:r>
      <w:r w:rsidRPr="006C72EF">
        <w:rPr>
          <w:rFonts w:asciiTheme="minorHAnsi" w:hAnsiTheme="minorHAnsi" w:cstheme="minorHAnsi"/>
          <w:b/>
          <w:bCs/>
          <w:iCs/>
          <w:szCs w:val="24"/>
        </w:rPr>
        <w:t xml:space="preserve"> Legislative Increases </w:t>
      </w:r>
      <w:r w:rsidR="00D71A17" w:rsidRPr="006C72EF">
        <w:rPr>
          <w:rFonts w:asciiTheme="minorHAnsi" w:hAnsiTheme="minorHAnsi" w:cstheme="minorHAnsi"/>
          <w:b/>
          <w:bCs/>
          <w:iCs/>
          <w:szCs w:val="24"/>
        </w:rPr>
        <w:t>Compared to Average Market Movement</w:t>
      </w:r>
    </w:p>
    <w:p w14:paraId="5097D535" w14:textId="77777777" w:rsidR="005C62CE" w:rsidRPr="00694051" w:rsidRDefault="00855A0D" w:rsidP="00D14CC6">
      <w:pPr>
        <w:pStyle w:val="BodyTextIndent"/>
        <w:jc w:val="center"/>
        <w:rPr>
          <w:rFonts w:ascii="Arial" w:hAnsi="Arial" w:cs="Arial"/>
          <w:sz w:val="18"/>
        </w:rPr>
      </w:pPr>
      <w:r>
        <w:rPr>
          <w:noProof/>
        </w:rPr>
        <w:drawing>
          <wp:inline distT="0" distB="0" distL="0" distR="0" wp14:anchorId="01C0E44E" wp14:editId="60032753">
            <wp:extent cx="5943600" cy="3566160"/>
            <wp:effectExtent l="0" t="0" r="0" b="15240"/>
            <wp:docPr id="1" name="Chart 1">
              <a:extLst xmlns:a="http://schemas.openxmlformats.org/drawingml/2006/main">
                <a:ext uri="{FF2B5EF4-FFF2-40B4-BE49-F238E27FC236}">
                  <a16:creationId xmlns:a16="http://schemas.microsoft.com/office/drawing/2014/main" id="{14A4EFD7-E3FD-4600-A3B9-EA32D9EBD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DB3C5A" w14:textId="539B3C7D" w:rsidR="005C62CE" w:rsidRPr="006C72EF" w:rsidRDefault="00365537" w:rsidP="005C62CE">
      <w:pPr>
        <w:pStyle w:val="BodyTextIndent"/>
        <w:jc w:val="left"/>
        <w:rPr>
          <w:rFonts w:ascii="Arial" w:hAnsi="Arial" w:cs="Arial"/>
          <w:i/>
          <w:sz w:val="18"/>
        </w:rPr>
      </w:pPr>
      <w:r>
        <w:rPr>
          <w:rFonts w:ascii="Arial" w:hAnsi="Arial" w:cs="Arial"/>
          <w:i/>
          <w:sz w:val="18"/>
        </w:rPr>
        <w:t>Source:  Mercer U.</w:t>
      </w:r>
      <w:r w:rsidR="00C63D6C" w:rsidRPr="006C72EF">
        <w:rPr>
          <w:rFonts w:ascii="Arial" w:hAnsi="Arial" w:cs="Arial"/>
          <w:i/>
          <w:sz w:val="18"/>
        </w:rPr>
        <w:t>S</w:t>
      </w:r>
      <w:r>
        <w:rPr>
          <w:rFonts w:ascii="Arial" w:hAnsi="Arial" w:cs="Arial"/>
          <w:i/>
          <w:sz w:val="18"/>
        </w:rPr>
        <w:t>.</w:t>
      </w:r>
      <w:r w:rsidR="00C63D6C" w:rsidRPr="006C72EF">
        <w:rPr>
          <w:rFonts w:ascii="Arial" w:hAnsi="Arial" w:cs="Arial"/>
          <w:i/>
          <w:sz w:val="18"/>
        </w:rPr>
        <w:t xml:space="preserve"> Compensation Plann</w:t>
      </w:r>
      <w:r w:rsidR="00A96F5B" w:rsidRPr="006C72EF">
        <w:rPr>
          <w:rFonts w:ascii="Arial" w:hAnsi="Arial" w:cs="Arial"/>
          <w:i/>
          <w:sz w:val="18"/>
        </w:rPr>
        <w:t>ing Survey</w:t>
      </w:r>
      <w:r w:rsidR="006C72EF">
        <w:rPr>
          <w:rFonts w:ascii="Arial" w:hAnsi="Arial" w:cs="Arial"/>
          <w:i/>
          <w:sz w:val="18"/>
        </w:rPr>
        <w:t>s</w:t>
      </w:r>
    </w:p>
    <w:p w14:paraId="54A72A53" w14:textId="5E44D790" w:rsidR="005C62CE" w:rsidRPr="006C72EF" w:rsidRDefault="002F1B26" w:rsidP="005C62CE">
      <w:pPr>
        <w:jc w:val="both"/>
        <w:rPr>
          <w:rFonts w:ascii="Arial" w:hAnsi="Arial" w:cs="Arial"/>
          <w:i/>
          <w:sz w:val="18"/>
        </w:rPr>
      </w:pPr>
      <w:r w:rsidRPr="006C72EF">
        <w:rPr>
          <w:rFonts w:ascii="Arial" w:hAnsi="Arial" w:cs="Arial"/>
          <w:i/>
          <w:sz w:val="18"/>
        </w:rPr>
        <w:t xml:space="preserve">NOTE: </w:t>
      </w:r>
      <w:r w:rsidR="005C62CE" w:rsidRPr="006C72EF">
        <w:rPr>
          <w:rFonts w:ascii="Arial" w:hAnsi="Arial" w:cs="Arial"/>
          <w:i/>
          <w:sz w:val="18"/>
        </w:rPr>
        <w:t>The greater of $1</w:t>
      </w:r>
      <w:r w:rsidR="00365537">
        <w:rPr>
          <w:rFonts w:ascii="Arial" w:hAnsi="Arial" w:cs="Arial"/>
          <w:i/>
          <w:sz w:val="18"/>
        </w:rPr>
        <w:t>,</w:t>
      </w:r>
      <w:r w:rsidR="005C62CE" w:rsidRPr="006C72EF">
        <w:rPr>
          <w:rFonts w:ascii="Arial" w:hAnsi="Arial" w:cs="Arial"/>
          <w:i/>
          <w:sz w:val="18"/>
        </w:rPr>
        <w:t>100 or 2.75% for 2008</w:t>
      </w:r>
    </w:p>
    <w:p w14:paraId="2C0FA611" w14:textId="59637A46" w:rsidR="00E94ECA" w:rsidRPr="006C72EF" w:rsidRDefault="002F1B26" w:rsidP="005C62CE">
      <w:pPr>
        <w:jc w:val="both"/>
        <w:rPr>
          <w:rFonts w:ascii="Arial" w:hAnsi="Arial" w:cs="Arial"/>
          <w:i/>
          <w:sz w:val="18"/>
        </w:rPr>
      </w:pPr>
      <w:r w:rsidRPr="006C72EF">
        <w:rPr>
          <w:rFonts w:ascii="Arial" w:hAnsi="Arial" w:cs="Arial"/>
          <w:i/>
          <w:sz w:val="18"/>
        </w:rPr>
        <w:t xml:space="preserve">NOTE: </w:t>
      </w:r>
      <w:r w:rsidR="00E94ECA" w:rsidRPr="006C72EF">
        <w:rPr>
          <w:rFonts w:ascii="Arial" w:hAnsi="Arial" w:cs="Arial"/>
          <w:i/>
          <w:sz w:val="18"/>
        </w:rPr>
        <w:t>$1</w:t>
      </w:r>
      <w:r w:rsidR="00365537">
        <w:rPr>
          <w:rFonts w:ascii="Arial" w:hAnsi="Arial" w:cs="Arial"/>
          <w:i/>
          <w:sz w:val="18"/>
        </w:rPr>
        <w:t>,</w:t>
      </w:r>
      <w:r w:rsidR="00E94ECA" w:rsidRPr="006C72EF">
        <w:rPr>
          <w:rFonts w:ascii="Arial" w:hAnsi="Arial" w:cs="Arial"/>
          <w:i/>
          <w:sz w:val="18"/>
        </w:rPr>
        <w:t>000 flat increase for 2014</w:t>
      </w:r>
      <w:r w:rsidR="00650F17" w:rsidRPr="006C72EF">
        <w:rPr>
          <w:rFonts w:ascii="Arial" w:hAnsi="Arial" w:cs="Arial"/>
          <w:i/>
          <w:sz w:val="18"/>
        </w:rPr>
        <w:t xml:space="preserve"> (2.3% average base pay)</w:t>
      </w:r>
    </w:p>
    <w:p w14:paraId="6F62B3F0" w14:textId="49A3FC89" w:rsidR="002A02FE" w:rsidRPr="006C72EF" w:rsidRDefault="002A02FE" w:rsidP="005C62CE">
      <w:pPr>
        <w:jc w:val="both"/>
        <w:rPr>
          <w:rFonts w:ascii="Arial" w:hAnsi="Arial" w:cs="Arial"/>
          <w:i/>
          <w:sz w:val="18"/>
        </w:rPr>
      </w:pPr>
      <w:r w:rsidRPr="006C72EF">
        <w:rPr>
          <w:rFonts w:ascii="Arial" w:hAnsi="Arial" w:cs="Arial"/>
          <w:i/>
          <w:sz w:val="18"/>
        </w:rPr>
        <w:t>NOTE: $1</w:t>
      </w:r>
      <w:r w:rsidR="00365537">
        <w:rPr>
          <w:rFonts w:ascii="Arial" w:hAnsi="Arial" w:cs="Arial"/>
          <w:i/>
          <w:sz w:val="18"/>
        </w:rPr>
        <w:t>,</w:t>
      </w:r>
      <w:r w:rsidRPr="006C72EF">
        <w:rPr>
          <w:rFonts w:ascii="Arial" w:hAnsi="Arial" w:cs="Arial"/>
          <w:i/>
          <w:sz w:val="18"/>
        </w:rPr>
        <w:t>000 flat increase for 2017 (2.1%  averge base pay)</w:t>
      </w:r>
    </w:p>
    <w:p w14:paraId="389DEF41" w14:textId="77777777" w:rsidR="00DE0B89" w:rsidRDefault="00DE0B89" w:rsidP="005C62CE">
      <w:pPr>
        <w:jc w:val="both"/>
        <w:rPr>
          <w:rFonts w:ascii="Arial" w:hAnsi="Arial" w:cs="Arial"/>
          <w:sz w:val="18"/>
        </w:rPr>
      </w:pPr>
    </w:p>
    <w:p w14:paraId="107C747D" w14:textId="77777777" w:rsidR="00DE0B89" w:rsidRDefault="00DE0B89">
      <w:pPr>
        <w:rPr>
          <w:rFonts w:asciiTheme="minorHAnsi" w:hAnsiTheme="minorHAnsi" w:cs="Arial"/>
          <w:b/>
          <w:bCs/>
          <w:iCs/>
        </w:rPr>
      </w:pPr>
    </w:p>
    <w:p w14:paraId="118D9A02" w14:textId="77777777" w:rsidR="00DE0B89" w:rsidRDefault="000F6C11" w:rsidP="006C72EF">
      <w:pPr>
        <w:jc w:val="center"/>
        <w:rPr>
          <w:rFonts w:asciiTheme="minorHAnsi" w:hAnsiTheme="minorHAnsi" w:cs="Arial"/>
          <w:b/>
          <w:bCs/>
          <w:iCs/>
        </w:rPr>
      </w:pPr>
      <w:r>
        <w:rPr>
          <w:noProof/>
        </w:rPr>
        <w:drawing>
          <wp:inline distT="0" distB="0" distL="0" distR="0" wp14:anchorId="740894AF" wp14:editId="083D063F">
            <wp:extent cx="4572000" cy="2743200"/>
            <wp:effectExtent l="0" t="0" r="0" b="0"/>
            <wp:docPr id="19" name="Chart 19">
              <a:extLst xmlns:a="http://schemas.openxmlformats.org/drawingml/2006/main">
                <a:ext uri="{FF2B5EF4-FFF2-40B4-BE49-F238E27FC236}">
                  <a16:creationId xmlns:a16="http://schemas.microsoft.com/office/drawing/2014/main" id="{113A0B19-31EF-45BA-ABB7-09FF35FCDE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59F3DB" w14:textId="77777777" w:rsidR="00DE0B89" w:rsidRDefault="00DE0B89">
      <w:pPr>
        <w:rPr>
          <w:rFonts w:asciiTheme="minorHAnsi" w:hAnsiTheme="minorHAnsi" w:cs="Arial"/>
          <w:b/>
          <w:bCs/>
          <w:iCs/>
        </w:rPr>
      </w:pPr>
    </w:p>
    <w:p w14:paraId="15ECC3B8" w14:textId="77777777" w:rsidR="00DE0B89" w:rsidRDefault="00DE0B89">
      <w:pPr>
        <w:rPr>
          <w:rFonts w:asciiTheme="minorHAnsi" w:hAnsiTheme="minorHAnsi" w:cs="Arial"/>
          <w:b/>
          <w:bCs/>
          <w:iCs/>
        </w:rPr>
      </w:pPr>
    </w:p>
    <w:p w14:paraId="371D354D" w14:textId="77777777" w:rsidR="00DE0B89" w:rsidRDefault="00DE0B89">
      <w:pPr>
        <w:rPr>
          <w:rFonts w:asciiTheme="minorHAnsi" w:hAnsiTheme="minorHAnsi" w:cs="Arial"/>
          <w:b/>
          <w:bCs/>
          <w:iCs/>
        </w:rPr>
      </w:pPr>
    </w:p>
    <w:p w14:paraId="6EAFA87D" w14:textId="77777777" w:rsidR="00DE0B89" w:rsidRDefault="00DE0B89">
      <w:pPr>
        <w:rPr>
          <w:rFonts w:asciiTheme="minorHAnsi" w:hAnsiTheme="minorHAnsi" w:cs="Arial"/>
          <w:b/>
          <w:bCs/>
          <w:iCs/>
        </w:rPr>
      </w:pPr>
    </w:p>
    <w:p w14:paraId="63DFA7BD" w14:textId="0D4E932F" w:rsidR="00966948" w:rsidRPr="006C72EF" w:rsidRDefault="00966948" w:rsidP="00966948">
      <w:pPr>
        <w:ind w:left="720" w:firstLine="720"/>
        <w:jc w:val="both"/>
        <w:rPr>
          <w:rFonts w:asciiTheme="minorHAnsi" w:hAnsiTheme="minorHAnsi" w:cs="Arial"/>
          <w:b/>
          <w:bCs/>
          <w:iCs/>
          <w:sz w:val="24"/>
          <w:szCs w:val="24"/>
        </w:rPr>
      </w:pPr>
      <w:r w:rsidRPr="006C72EF">
        <w:rPr>
          <w:rFonts w:asciiTheme="minorHAnsi" w:hAnsiTheme="minorHAnsi" w:cs="Arial"/>
          <w:b/>
          <w:bCs/>
          <w:iCs/>
          <w:sz w:val="24"/>
          <w:szCs w:val="24"/>
        </w:rPr>
        <w:t xml:space="preserve">Comparison </w:t>
      </w:r>
      <w:r w:rsidR="00D71A17" w:rsidRPr="006C72EF">
        <w:rPr>
          <w:rFonts w:asciiTheme="minorHAnsi" w:hAnsiTheme="minorHAnsi" w:cs="Arial"/>
          <w:b/>
          <w:bCs/>
          <w:iCs/>
          <w:sz w:val="24"/>
          <w:szCs w:val="24"/>
        </w:rPr>
        <w:t xml:space="preserve">of </w:t>
      </w:r>
      <w:r w:rsidRPr="006C72EF">
        <w:rPr>
          <w:rFonts w:asciiTheme="minorHAnsi" w:hAnsiTheme="minorHAnsi" w:cs="Arial"/>
          <w:b/>
          <w:bCs/>
          <w:iCs/>
          <w:sz w:val="24"/>
          <w:szCs w:val="24"/>
        </w:rPr>
        <w:t xml:space="preserve">CPI </w:t>
      </w:r>
      <w:r w:rsidR="00D71A17" w:rsidRPr="006C72EF">
        <w:rPr>
          <w:rFonts w:asciiTheme="minorHAnsi" w:hAnsiTheme="minorHAnsi" w:cs="Arial"/>
          <w:b/>
          <w:bCs/>
          <w:iCs/>
          <w:sz w:val="24"/>
          <w:szCs w:val="24"/>
        </w:rPr>
        <w:t xml:space="preserve">with </w:t>
      </w:r>
      <w:r w:rsidRPr="006C72EF">
        <w:rPr>
          <w:rFonts w:asciiTheme="minorHAnsi" w:hAnsiTheme="minorHAnsi" w:cs="Arial"/>
          <w:b/>
          <w:bCs/>
          <w:iCs/>
          <w:sz w:val="24"/>
          <w:szCs w:val="24"/>
        </w:rPr>
        <w:t xml:space="preserve">Legislative Increases </w:t>
      </w:r>
      <w:r w:rsidR="00D71A17" w:rsidRPr="006C72EF">
        <w:rPr>
          <w:rFonts w:asciiTheme="minorHAnsi" w:hAnsiTheme="minorHAnsi" w:cs="Arial"/>
          <w:b/>
          <w:bCs/>
          <w:iCs/>
          <w:sz w:val="24"/>
          <w:szCs w:val="24"/>
        </w:rPr>
        <w:t>(</w:t>
      </w:r>
      <w:r w:rsidRPr="006C72EF">
        <w:rPr>
          <w:rFonts w:asciiTheme="minorHAnsi" w:hAnsiTheme="minorHAnsi" w:cs="Arial"/>
          <w:b/>
          <w:bCs/>
          <w:iCs/>
          <w:sz w:val="24"/>
          <w:szCs w:val="24"/>
        </w:rPr>
        <w:t xml:space="preserve">COLA </w:t>
      </w:r>
      <w:r w:rsidR="007E780B" w:rsidRPr="006C72EF">
        <w:rPr>
          <w:rFonts w:asciiTheme="minorHAnsi" w:hAnsiTheme="minorHAnsi" w:cs="Arial"/>
          <w:b/>
          <w:bCs/>
          <w:iCs/>
          <w:sz w:val="24"/>
          <w:szCs w:val="24"/>
        </w:rPr>
        <w:t>Only)</w:t>
      </w:r>
    </w:p>
    <w:p w14:paraId="1632DFE5" w14:textId="77777777" w:rsidR="00DE0B89" w:rsidRDefault="00DE0B89" w:rsidP="00966948">
      <w:pPr>
        <w:ind w:left="720" w:firstLine="720"/>
        <w:jc w:val="both"/>
        <w:rPr>
          <w:rFonts w:asciiTheme="minorHAnsi" w:hAnsiTheme="minorHAnsi" w:cs="Arial"/>
          <w:b/>
          <w:bCs/>
          <w:iCs/>
        </w:rPr>
      </w:pPr>
    </w:p>
    <w:p w14:paraId="38C40CB0" w14:textId="77777777" w:rsidR="00701D37" w:rsidRDefault="000F6C11" w:rsidP="005C62CE">
      <w:pPr>
        <w:jc w:val="both"/>
        <w:rPr>
          <w:rFonts w:ascii="Arial" w:hAnsi="Arial" w:cs="Arial"/>
          <w:sz w:val="18"/>
        </w:rPr>
      </w:pPr>
      <w:r>
        <w:rPr>
          <w:noProof/>
        </w:rPr>
        <w:drawing>
          <wp:inline distT="0" distB="0" distL="0" distR="0" wp14:anchorId="28255E5A" wp14:editId="3CA176C4">
            <wp:extent cx="5943600" cy="3566160"/>
            <wp:effectExtent l="0" t="0" r="0" b="15240"/>
            <wp:docPr id="13" name="Chart 13">
              <a:extLst xmlns:a="http://schemas.openxmlformats.org/drawingml/2006/main">
                <a:ext uri="{FF2B5EF4-FFF2-40B4-BE49-F238E27FC236}">
                  <a16:creationId xmlns:a16="http://schemas.microsoft.com/office/drawing/2014/main" id="{8A72DFE5-7F2E-4B85-B929-608D9CBF56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279421" w14:textId="77777777" w:rsidR="005C62CE" w:rsidRPr="00694051" w:rsidRDefault="005C62CE" w:rsidP="00701D37">
      <w:pPr>
        <w:ind w:firstLine="720"/>
        <w:jc w:val="center"/>
        <w:rPr>
          <w:rFonts w:ascii="Arial" w:hAnsi="Arial" w:cs="Arial"/>
          <w:sz w:val="18"/>
        </w:rPr>
      </w:pPr>
    </w:p>
    <w:p w14:paraId="0D6A87D0" w14:textId="78090384" w:rsidR="005C62CE" w:rsidRPr="006C72EF" w:rsidRDefault="005C62CE" w:rsidP="009A18B0">
      <w:pPr>
        <w:pStyle w:val="MAPS"/>
        <w:jc w:val="both"/>
        <w:rPr>
          <w:rFonts w:asciiTheme="minorHAnsi" w:hAnsiTheme="minorHAnsi" w:cs="Arial"/>
          <w:i/>
          <w:sz w:val="18"/>
        </w:rPr>
      </w:pPr>
      <w:r w:rsidRPr="006C72EF">
        <w:rPr>
          <w:rFonts w:asciiTheme="minorHAnsi" w:hAnsiTheme="minorHAnsi" w:cs="Arial"/>
          <w:i/>
          <w:sz w:val="18"/>
        </w:rPr>
        <w:t>Sources: U</w:t>
      </w:r>
      <w:r w:rsidR="00365537">
        <w:rPr>
          <w:rFonts w:asciiTheme="minorHAnsi" w:hAnsiTheme="minorHAnsi" w:cs="Arial"/>
          <w:i/>
          <w:sz w:val="18"/>
        </w:rPr>
        <w:t>.</w:t>
      </w:r>
      <w:r w:rsidRPr="006C72EF">
        <w:rPr>
          <w:rFonts w:asciiTheme="minorHAnsi" w:hAnsiTheme="minorHAnsi" w:cs="Arial"/>
          <w:i/>
          <w:sz w:val="18"/>
        </w:rPr>
        <w:t>S</w:t>
      </w:r>
      <w:r w:rsidR="00365537">
        <w:rPr>
          <w:rFonts w:asciiTheme="minorHAnsi" w:hAnsiTheme="minorHAnsi" w:cs="Arial"/>
          <w:i/>
          <w:sz w:val="18"/>
        </w:rPr>
        <w:t>.</w:t>
      </w:r>
      <w:r w:rsidRPr="006C72EF">
        <w:rPr>
          <w:rFonts w:asciiTheme="minorHAnsi" w:hAnsiTheme="minorHAnsi" w:cs="Arial"/>
          <w:i/>
          <w:sz w:val="18"/>
        </w:rPr>
        <w:t xml:space="preserve"> Department of Labor/Bureau of Labor Statistics and the N.C. Office of State </w:t>
      </w:r>
      <w:r w:rsidR="00C63D6C" w:rsidRPr="006C72EF">
        <w:rPr>
          <w:rFonts w:asciiTheme="minorHAnsi" w:hAnsiTheme="minorHAnsi" w:cs="Arial"/>
          <w:i/>
          <w:sz w:val="18"/>
        </w:rPr>
        <w:t>Human Resources</w:t>
      </w:r>
    </w:p>
    <w:p w14:paraId="4AE8F786" w14:textId="77777777" w:rsidR="005C62CE" w:rsidRPr="006C72EF" w:rsidRDefault="007E780B" w:rsidP="009A18B0">
      <w:pPr>
        <w:pStyle w:val="MAPS"/>
        <w:jc w:val="both"/>
        <w:rPr>
          <w:rFonts w:asciiTheme="minorHAnsi" w:hAnsiTheme="minorHAnsi" w:cs="Arial"/>
          <w:i/>
          <w:sz w:val="18"/>
        </w:rPr>
      </w:pPr>
      <w:r w:rsidRPr="006C72EF">
        <w:rPr>
          <w:rFonts w:asciiTheme="minorHAnsi" w:hAnsiTheme="minorHAnsi" w:cs="Arial"/>
          <w:i/>
          <w:sz w:val="18"/>
        </w:rPr>
        <w:t xml:space="preserve">NOTE: </w:t>
      </w:r>
      <w:r w:rsidR="005C62CE" w:rsidRPr="006C72EF">
        <w:rPr>
          <w:rFonts w:asciiTheme="minorHAnsi" w:hAnsiTheme="minorHAnsi" w:cs="Arial"/>
          <w:i/>
          <w:sz w:val="18"/>
        </w:rPr>
        <w:t>The greater of $1100 or 2.75% for 2008</w:t>
      </w:r>
    </w:p>
    <w:p w14:paraId="666CBC06" w14:textId="77777777" w:rsidR="005C62CE" w:rsidRPr="006C72EF" w:rsidRDefault="007E780B" w:rsidP="009A18B0">
      <w:pPr>
        <w:pStyle w:val="MAPS"/>
        <w:jc w:val="both"/>
        <w:rPr>
          <w:rFonts w:asciiTheme="minorHAnsi" w:hAnsiTheme="minorHAnsi" w:cs="Arial"/>
          <w:i/>
          <w:sz w:val="18"/>
        </w:rPr>
      </w:pPr>
      <w:r w:rsidRPr="006C72EF">
        <w:rPr>
          <w:rFonts w:asciiTheme="minorHAnsi" w:hAnsiTheme="minorHAnsi" w:cs="Arial"/>
          <w:i/>
          <w:sz w:val="18"/>
        </w:rPr>
        <w:t xml:space="preserve">NOTE: </w:t>
      </w:r>
      <w:r w:rsidR="005C62CE" w:rsidRPr="006C72EF">
        <w:rPr>
          <w:rFonts w:asciiTheme="minorHAnsi" w:hAnsiTheme="minorHAnsi" w:cs="Arial"/>
          <w:i/>
          <w:sz w:val="18"/>
        </w:rPr>
        <w:t>CPI 2.2% as of end of October 2012</w:t>
      </w:r>
    </w:p>
    <w:p w14:paraId="7476250B" w14:textId="1EC105F6" w:rsidR="000F6C11" w:rsidRPr="006C72EF" w:rsidRDefault="007E780B" w:rsidP="009A18B0">
      <w:pPr>
        <w:jc w:val="both"/>
        <w:rPr>
          <w:rFonts w:asciiTheme="minorHAnsi" w:hAnsiTheme="minorHAnsi" w:cs="Arial"/>
          <w:i/>
          <w:sz w:val="18"/>
        </w:rPr>
      </w:pPr>
      <w:r w:rsidRPr="006C72EF">
        <w:rPr>
          <w:rFonts w:asciiTheme="minorHAnsi" w:hAnsiTheme="minorHAnsi" w:cs="Arial"/>
          <w:i/>
          <w:sz w:val="18"/>
        </w:rPr>
        <w:t xml:space="preserve">NOTE: </w:t>
      </w:r>
      <w:r w:rsidR="00CD70E0" w:rsidRPr="006C72EF">
        <w:rPr>
          <w:rFonts w:asciiTheme="minorHAnsi" w:hAnsiTheme="minorHAnsi" w:cs="Arial"/>
          <w:i/>
          <w:sz w:val="18"/>
        </w:rPr>
        <w:t>$1</w:t>
      </w:r>
      <w:r w:rsidR="00365537">
        <w:rPr>
          <w:rFonts w:asciiTheme="minorHAnsi" w:hAnsiTheme="minorHAnsi" w:cs="Arial"/>
          <w:i/>
          <w:sz w:val="18"/>
        </w:rPr>
        <w:t>,</w:t>
      </w:r>
      <w:r w:rsidR="00CD70E0" w:rsidRPr="006C72EF">
        <w:rPr>
          <w:rFonts w:asciiTheme="minorHAnsi" w:hAnsiTheme="minorHAnsi" w:cs="Arial"/>
          <w:i/>
          <w:sz w:val="18"/>
        </w:rPr>
        <w:t>000 flat increase for 2014 (2.3% average base pay</w:t>
      </w:r>
      <w:r w:rsidR="000F6C11" w:rsidRPr="006C72EF">
        <w:rPr>
          <w:rFonts w:asciiTheme="minorHAnsi" w:hAnsiTheme="minorHAnsi" w:cs="Arial"/>
          <w:i/>
          <w:sz w:val="18"/>
        </w:rPr>
        <w:t>)</w:t>
      </w:r>
    </w:p>
    <w:p w14:paraId="7378024A" w14:textId="7DF14D83" w:rsidR="00CD70E0" w:rsidRPr="006C72EF" w:rsidRDefault="000F6C11" w:rsidP="009A18B0">
      <w:pPr>
        <w:jc w:val="both"/>
        <w:rPr>
          <w:rFonts w:asciiTheme="minorHAnsi" w:hAnsiTheme="minorHAnsi" w:cs="Arial"/>
          <w:i/>
          <w:sz w:val="18"/>
        </w:rPr>
      </w:pPr>
      <w:r w:rsidRPr="006C72EF">
        <w:rPr>
          <w:rFonts w:asciiTheme="minorHAnsi" w:hAnsiTheme="minorHAnsi" w:cs="Arial"/>
          <w:i/>
          <w:sz w:val="18"/>
        </w:rPr>
        <w:t>NOTE: $1</w:t>
      </w:r>
      <w:r w:rsidR="00365537">
        <w:rPr>
          <w:rFonts w:asciiTheme="minorHAnsi" w:hAnsiTheme="minorHAnsi" w:cs="Arial"/>
          <w:i/>
          <w:sz w:val="18"/>
        </w:rPr>
        <w:t>,</w:t>
      </w:r>
      <w:r w:rsidRPr="006C72EF">
        <w:rPr>
          <w:rFonts w:asciiTheme="minorHAnsi" w:hAnsiTheme="minorHAnsi" w:cs="Arial"/>
          <w:i/>
          <w:sz w:val="18"/>
        </w:rPr>
        <w:t>000 flat increase for 201</w:t>
      </w:r>
      <w:r w:rsidR="00A151B5" w:rsidRPr="006C72EF">
        <w:rPr>
          <w:rFonts w:asciiTheme="minorHAnsi" w:hAnsiTheme="minorHAnsi" w:cs="Arial"/>
          <w:i/>
          <w:sz w:val="18"/>
        </w:rPr>
        <w:t>7</w:t>
      </w:r>
      <w:r w:rsidRPr="006C72EF">
        <w:rPr>
          <w:rFonts w:asciiTheme="minorHAnsi" w:hAnsiTheme="minorHAnsi" w:cs="Arial"/>
          <w:i/>
          <w:sz w:val="18"/>
        </w:rPr>
        <w:t xml:space="preserve"> (2.1% average base pay)</w:t>
      </w:r>
    </w:p>
    <w:p w14:paraId="5DFCD548" w14:textId="77777777" w:rsidR="00DE0B89" w:rsidRDefault="00DE0B89" w:rsidP="009A18B0">
      <w:pPr>
        <w:jc w:val="both"/>
        <w:rPr>
          <w:rFonts w:asciiTheme="minorHAnsi" w:hAnsiTheme="minorHAnsi" w:cs="Arial"/>
          <w:sz w:val="18"/>
        </w:rPr>
      </w:pPr>
    </w:p>
    <w:p w14:paraId="478F037F" w14:textId="77777777" w:rsidR="00DE0B89" w:rsidRDefault="00DE0B89" w:rsidP="00DE0B89">
      <w:pPr>
        <w:jc w:val="center"/>
        <w:rPr>
          <w:rFonts w:asciiTheme="minorHAnsi" w:hAnsiTheme="minorHAnsi" w:cs="Arial"/>
          <w:sz w:val="18"/>
        </w:rPr>
      </w:pPr>
    </w:p>
    <w:p w14:paraId="5485FEE5" w14:textId="77777777" w:rsidR="00DE0B89" w:rsidRDefault="000F6C11" w:rsidP="006C72EF">
      <w:pPr>
        <w:jc w:val="center"/>
        <w:rPr>
          <w:rFonts w:asciiTheme="minorHAnsi" w:hAnsiTheme="minorHAnsi" w:cs="Arial"/>
          <w:sz w:val="18"/>
        </w:rPr>
      </w:pPr>
      <w:r>
        <w:rPr>
          <w:noProof/>
        </w:rPr>
        <w:drawing>
          <wp:inline distT="0" distB="0" distL="0" distR="0" wp14:anchorId="19560F67" wp14:editId="15999FDD">
            <wp:extent cx="4572000" cy="2743200"/>
            <wp:effectExtent l="0" t="0" r="0" b="0"/>
            <wp:docPr id="20" name="Chart 20">
              <a:extLst xmlns:a="http://schemas.openxmlformats.org/drawingml/2006/main">
                <a:ext uri="{FF2B5EF4-FFF2-40B4-BE49-F238E27FC236}">
                  <a16:creationId xmlns:a16="http://schemas.microsoft.com/office/drawing/2014/main" id="{1451550B-3FF4-4AE2-B9F7-E23CE7AD9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907647" w14:textId="77777777" w:rsidR="00DE0B89" w:rsidRDefault="00DE0B89" w:rsidP="009A18B0">
      <w:pPr>
        <w:jc w:val="both"/>
        <w:rPr>
          <w:rFonts w:asciiTheme="minorHAnsi" w:hAnsiTheme="minorHAnsi" w:cs="Arial"/>
          <w:sz w:val="18"/>
        </w:rPr>
      </w:pPr>
    </w:p>
    <w:p w14:paraId="48164886" w14:textId="77777777" w:rsidR="00DE0B89" w:rsidRPr="009A18B0" w:rsidRDefault="00DE0B89" w:rsidP="009A18B0">
      <w:pPr>
        <w:jc w:val="both"/>
        <w:rPr>
          <w:rFonts w:asciiTheme="minorHAnsi" w:hAnsiTheme="minorHAnsi" w:cs="Arial"/>
          <w:sz w:val="18"/>
        </w:rPr>
      </w:pPr>
    </w:p>
    <w:p w14:paraId="20A7081B" w14:textId="62E28F3F" w:rsidR="006C72EF" w:rsidRPr="006C72EF" w:rsidRDefault="006C72EF" w:rsidP="006C72EF">
      <w:pPr>
        <w:ind w:left="2160" w:firstLine="720"/>
        <w:jc w:val="both"/>
        <w:rPr>
          <w:rFonts w:asciiTheme="minorHAnsi" w:hAnsiTheme="minorHAnsi" w:cs="Arial"/>
          <w:b/>
          <w:bCs/>
          <w:iCs/>
          <w:sz w:val="24"/>
          <w:szCs w:val="24"/>
        </w:rPr>
      </w:pPr>
      <w:r>
        <w:rPr>
          <w:rFonts w:asciiTheme="minorHAnsi" w:hAnsiTheme="minorHAnsi" w:cs="Arial"/>
          <w:b/>
          <w:bCs/>
          <w:iCs/>
          <w:sz w:val="24"/>
          <w:szCs w:val="24"/>
        </w:rPr>
        <w:t>Turnover and Aging Trends</w:t>
      </w:r>
    </w:p>
    <w:p w14:paraId="19E92881" w14:textId="77777777" w:rsidR="009A18B0" w:rsidRDefault="009A18B0" w:rsidP="00DD1AB3">
      <w:pPr>
        <w:jc w:val="center"/>
        <w:rPr>
          <w:rFonts w:ascii="Arial" w:hAnsi="Arial" w:cs="Arial"/>
          <w:sz w:val="18"/>
        </w:rPr>
      </w:pPr>
    </w:p>
    <w:p w14:paraId="0BB5B210" w14:textId="77777777" w:rsidR="00A0277D" w:rsidRDefault="00A0277D" w:rsidP="00A0277D">
      <w:pPr>
        <w:jc w:val="center"/>
        <w:rPr>
          <w:rFonts w:ascii="Arial" w:hAnsi="Arial" w:cs="Arial"/>
          <w:iCs/>
          <w:sz w:val="24"/>
        </w:rPr>
      </w:pPr>
    </w:p>
    <w:p w14:paraId="547CC4DC" w14:textId="77777777" w:rsidR="007707CB" w:rsidRDefault="0078171A" w:rsidP="00A0277D">
      <w:pPr>
        <w:jc w:val="center"/>
        <w:rPr>
          <w:rFonts w:ascii="Arial" w:hAnsi="Arial" w:cs="Arial"/>
          <w:color w:val="008000"/>
        </w:rPr>
      </w:pPr>
      <w:r>
        <w:rPr>
          <w:noProof/>
        </w:rPr>
        <w:drawing>
          <wp:inline distT="0" distB="0" distL="0" distR="0" wp14:anchorId="419692AA" wp14:editId="48855222">
            <wp:extent cx="5715000" cy="3429000"/>
            <wp:effectExtent l="0" t="0" r="0" b="0"/>
            <wp:docPr id="14" name="Chart 14">
              <a:extLst xmlns:a="http://schemas.openxmlformats.org/drawingml/2006/main">
                <a:ext uri="{FF2B5EF4-FFF2-40B4-BE49-F238E27FC236}">
                  <a16:creationId xmlns:a16="http://schemas.microsoft.com/office/drawing/2014/main" id="{EBE68D1C-015E-4162-9EF7-850E2CFE3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991CD7" w14:textId="77777777" w:rsidR="007707CB" w:rsidRDefault="007707CB" w:rsidP="00A0277D">
      <w:pPr>
        <w:jc w:val="center"/>
        <w:rPr>
          <w:rFonts w:ascii="Arial" w:hAnsi="Arial" w:cs="Arial"/>
          <w:color w:val="008000"/>
        </w:rPr>
      </w:pPr>
    </w:p>
    <w:p w14:paraId="79F433AD" w14:textId="77777777" w:rsidR="007707CB" w:rsidRDefault="007707CB" w:rsidP="00A0277D">
      <w:pPr>
        <w:jc w:val="center"/>
        <w:rPr>
          <w:rFonts w:ascii="Arial" w:hAnsi="Arial" w:cs="Arial"/>
          <w:color w:val="008000"/>
        </w:rPr>
      </w:pPr>
    </w:p>
    <w:p w14:paraId="286F704E" w14:textId="77777777" w:rsidR="007707CB" w:rsidRDefault="007707CB" w:rsidP="00A0277D">
      <w:pPr>
        <w:jc w:val="center"/>
        <w:rPr>
          <w:rFonts w:ascii="Arial" w:hAnsi="Arial" w:cs="Arial"/>
          <w:color w:val="008000"/>
        </w:rPr>
      </w:pPr>
    </w:p>
    <w:p w14:paraId="56342EEF" w14:textId="77777777" w:rsidR="007707CB" w:rsidRDefault="007C758B" w:rsidP="00A0277D">
      <w:pPr>
        <w:jc w:val="center"/>
        <w:rPr>
          <w:rFonts w:ascii="Arial" w:hAnsi="Arial" w:cs="Arial"/>
          <w:color w:val="008000"/>
        </w:rPr>
      </w:pPr>
      <w:r>
        <w:rPr>
          <w:noProof/>
        </w:rPr>
        <w:lastRenderedPageBreak/>
        <w:drawing>
          <wp:inline distT="0" distB="0" distL="0" distR="0" wp14:anchorId="3DACBC0B" wp14:editId="038AB4B1">
            <wp:extent cx="5943600" cy="3566160"/>
            <wp:effectExtent l="0" t="0" r="0" b="15240"/>
            <wp:docPr id="17" name="Chart 17">
              <a:extLst xmlns:a="http://schemas.openxmlformats.org/drawingml/2006/main">
                <a:ext uri="{FF2B5EF4-FFF2-40B4-BE49-F238E27FC236}">
                  <a16:creationId xmlns:a16="http://schemas.microsoft.com/office/drawing/2014/main" id="{292D5D6C-1C11-42A1-992A-9F2F17025F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F9756C" w14:textId="77777777" w:rsidR="00966948" w:rsidRDefault="001800CC" w:rsidP="00A0277D">
      <w:pPr>
        <w:jc w:val="center"/>
        <w:rPr>
          <w:rFonts w:ascii="Arial" w:hAnsi="Arial" w:cs="Arial"/>
          <w:color w:val="008000"/>
        </w:rPr>
      </w:pPr>
      <w:r>
        <w:rPr>
          <w:noProof/>
        </w:rPr>
        <w:drawing>
          <wp:inline distT="0" distB="0" distL="0" distR="0" wp14:anchorId="4A66A891" wp14:editId="5F5D9026">
            <wp:extent cx="5943600" cy="3256280"/>
            <wp:effectExtent l="0" t="0" r="0" b="1270"/>
            <wp:docPr id="5" name="Chart 5">
              <a:extLst xmlns:a="http://schemas.openxmlformats.org/drawingml/2006/main">
                <a:ext uri="{FF2B5EF4-FFF2-40B4-BE49-F238E27FC236}">
                  <a16:creationId xmlns:a16="http://schemas.microsoft.com/office/drawing/2014/main" id="{69C0C7CC-D9A2-4566-9F71-18C7CF1234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1A679B" w14:textId="77777777" w:rsidR="00DD1AB3" w:rsidRDefault="00DD1AB3" w:rsidP="00A0277D">
      <w:pPr>
        <w:jc w:val="center"/>
        <w:rPr>
          <w:rFonts w:ascii="Arial" w:hAnsi="Arial" w:cs="Arial"/>
          <w:color w:val="008000"/>
        </w:rPr>
      </w:pPr>
    </w:p>
    <w:p w14:paraId="73058810" w14:textId="77777777" w:rsidR="00DD1AB3" w:rsidRDefault="00DD1AB3" w:rsidP="00A0277D">
      <w:pPr>
        <w:jc w:val="center"/>
        <w:rPr>
          <w:rFonts w:ascii="Arial" w:hAnsi="Arial" w:cs="Arial"/>
          <w:color w:val="008000"/>
        </w:rPr>
      </w:pPr>
    </w:p>
    <w:p w14:paraId="3641B716" w14:textId="77777777" w:rsidR="00DD1AB3" w:rsidRDefault="00DD1AB3" w:rsidP="00A0277D">
      <w:pPr>
        <w:jc w:val="center"/>
        <w:rPr>
          <w:rFonts w:ascii="Arial" w:hAnsi="Arial" w:cs="Arial"/>
          <w:color w:val="008000"/>
        </w:rPr>
      </w:pPr>
    </w:p>
    <w:p w14:paraId="1219A8C7" w14:textId="77777777" w:rsidR="00DD1AB3" w:rsidRDefault="00DD1AB3" w:rsidP="00A0277D">
      <w:pPr>
        <w:jc w:val="center"/>
        <w:rPr>
          <w:rFonts w:ascii="Arial" w:hAnsi="Arial" w:cs="Arial"/>
          <w:color w:val="008000"/>
        </w:rPr>
      </w:pPr>
    </w:p>
    <w:p w14:paraId="7D6C8F57" w14:textId="77777777" w:rsidR="00A0277D" w:rsidRDefault="006E231D" w:rsidP="00A0277D">
      <w:pPr>
        <w:jc w:val="center"/>
        <w:rPr>
          <w:rFonts w:ascii="Arial" w:hAnsi="Arial" w:cs="Arial"/>
          <w:color w:val="008000"/>
        </w:rPr>
      </w:pPr>
      <w:r>
        <w:rPr>
          <w:noProof/>
        </w:rPr>
        <w:lastRenderedPageBreak/>
        <w:drawing>
          <wp:inline distT="0" distB="0" distL="0" distR="0" wp14:anchorId="236FFAF7" wp14:editId="4DEFACD5">
            <wp:extent cx="5943600" cy="3566160"/>
            <wp:effectExtent l="0" t="0" r="0" b="15240"/>
            <wp:docPr id="11" name="Chart 11">
              <a:extLst xmlns:a="http://schemas.openxmlformats.org/drawingml/2006/main">
                <a:ext uri="{FF2B5EF4-FFF2-40B4-BE49-F238E27FC236}">
                  <a16:creationId xmlns:a16="http://schemas.microsoft.com/office/drawing/2014/main" id="{FA13EA83-A39A-411C-831D-AA851D6F0C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C3ED86" w14:textId="77777777" w:rsidR="00AA3497" w:rsidRDefault="00AA3497" w:rsidP="00A0277D">
      <w:pPr>
        <w:jc w:val="center"/>
        <w:rPr>
          <w:rFonts w:ascii="Arial" w:hAnsi="Arial" w:cs="Arial"/>
          <w:color w:val="008000"/>
        </w:rPr>
      </w:pPr>
    </w:p>
    <w:p w14:paraId="1F7BFD55" w14:textId="77777777" w:rsidR="00966948" w:rsidRDefault="00966948">
      <w:pPr>
        <w:rPr>
          <w:rFonts w:ascii="Arial" w:hAnsi="Arial" w:cs="Arial"/>
          <w:color w:val="008000"/>
        </w:rPr>
      </w:pPr>
      <w:r>
        <w:rPr>
          <w:rFonts w:ascii="Arial" w:hAnsi="Arial" w:cs="Arial"/>
          <w:color w:val="008000"/>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420"/>
        <w:gridCol w:w="4230"/>
      </w:tblGrid>
      <w:tr w:rsidR="00673432" w:rsidRPr="00673432" w14:paraId="3F96642B" w14:textId="77777777" w:rsidTr="006C72EF">
        <w:trPr>
          <w:trHeight w:val="735"/>
        </w:trPr>
        <w:tc>
          <w:tcPr>
            <w:tcW w:w="10440" w:type="dxa"/>
            <w:gridSpan w:val="3"/>
            <w:shd w:val="clear" w:color="000000" w:fill="0070C0"/>
            <w:noWrap/>
            <w:vAlign w:val="center"/>
            <w:hideMark/>
          </w:tcPr>
          <w:p w14:paraId="72B25C93" w14:textId="77777777" w:rsidR="00673432" w:rsidRPr="00673432" w:rsidRDefault="00673432" w:rsidP="00673432">
            <w:pPr>
              <w:jc w:val="center"/>
              <w:rPr>
                <w:rFonts w:ascii="Calibri" w:hAnsi="Calibri" w:cs="Calibri"/>
                <w:b/>
                <w:bCs/>
                <w:color w:val="FFFFFF"/>
                <w:sz w:val="32"/>
                <w:szCs w:val="32"/>
              </w:rPr>
            </w:pPr>
            <w:r w:rsidRPr="00673432">
              <w:rPr>
                <w:rFonts w:ascii="Calibri" w:hAnsi="Calibri" w:cs="Calibri"/>
                <w:b/>
                <w:bCs/>
                <w:color w:val="FFFFFF"/>
                <w:sz w:val="32"/>
                <w:szCs w:val="32"/>
              </w:rPr>
              <w:lastRenderedPageBreak/>
              <w:t>NC Office of State Human Resources Survey Library 2017</w:t>
            </w:r>
          </w:p>
        </w:tc>
      </w:tr>
      <w:tr w:rsidR="00673432" w:rsidRPr="00673432" w14:paraId="096B0F6F" w14:textId="77777777" w:rsidTr="006C72EF">
        <w:trPr>
          <w:trHeight w:val="510"/>
        </w:trPr>
        <w:tc>
          <w:tcPr>
            <w:tcW w:w="2790" w:type="dxa"/>
            <w:shd w:val="clear" w:color="auto" w:fill="auto"/>
            <w:vAlign w:val="bottom"/>
            <w:hideMark/>
          </w:tcPr>
          <w:p w14:paraId="078DADB3"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2017 NCASG</w:t>
            </w:r>
          </w:p>
        </w:tc>
        <w:tc>
          <w:tcPr>
            <w:tcW w:w="3420" w:type="dxa"/>
            <w:shd w:val="clear" w:color="auto" w:fill="auto"/>
            <w:vAlign w:val="bottom"/>
            <w:hideMark/>
          </w:tcPr>
          <w:p w14:paraId="614D6AF7" w14:textId="7E41B51B"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McLagan Public Funds Investment M</w:t>
            </w:r>
            <w:r w:rsidR="00583187">
              <w:rPr>
                <w:rFonts w:ascii="Calibri" w:hAnsi="Calibri" w:cs="Calibri"/>
                <w:color w:val="000000"/>
                <w:sz w:val="18"/>
                <w:szCs w:val="18"/>
              </w:rPr>
              <w:t>gm</w:t>
            </w:r>
            <w:r w:rsidRPr="00673432">
              <w:rPr>
                <w:rFonts w:ascii="Calibri" w:hAnsi="Calibri" w:cs="Calibri"/>
                <w:color w:val="000000"/>
                <w:sz w:val="18"/>
                <w:szCs w:val="18"/>
              </w:rPr>
              <w:t>t</w:t>
            </w:r>
            <w:r w:rsidR="00365537">
              <w:rPr>
                <w:rFonts w:ascii="Calibri" w:hAnsi="Calibri" w:cs="Calibri"/>
                <w:color w:val="000000"/>
                <w:sz w:val="18"/>
                <w:szCs w:val="18"/>
              </w:rPr>
              <w:t>.</w:t>
            </w:r>
            <w:r w:rsidRPr="00673432">
              <w:rPr>
                <w:rFonts w:ascii="Calibri" w:hAnsi="Calibri" w:cs="Calibri"/>
                <w:color w:val="000000"/>
                <w:sz w:val="18"/>
                <w:szCs w:val="18"/>
              </w:rPr>
              <w:t xml:space="preserve"> 037 (State of North Carolina), 2015</w:t>
            </w:r>
          </w:p>
        </w:tc>
        <w:tc>
          <w:tcPr>
            <w:tcW w:w="4230" w:type="dxa"/>
            <w:shd w:val="clear" w:color="auto" w:fill="auto"/>
            <w:vAlign w:val="bottom"/>
            <w:hideMark/>
          </w:tcPr>
          <w:p w14:paraId="720D75BF"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Sullivan Cotter Physician, 2015</w:t>
            </w:r>
          </w:p>
        </w:tc>
      </w:tr>
      <w:tr w:rsidR="00673432" w:rsidRPr="00673432" w14:paraId="0A0463B3" w14:textId="77777777" w:rsidTr="006C72EF">
        <w:trPr>
          <w:trHeight w:val="510"/>
        </w:trPr>
        <w:tc>
          <w:tcPr>
            <w:tcW w:w="2790" w:type="dxa"/>
            <w:shd w:val="clear" w:color="auto" w:fill="auto"/>
            <w:vAlign w:val="bottom"/>
            <w:hideMark/>
          </w:tcPr>
          <w:p w14:paraId="6B3BD04A"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2017 NCASG</w:t>
            </w:r>
          </w:p>
        </w:tc>
        <w:tc>
          <w:tcPr>
            <w:tcW w:w="3420" w:type="dxa"/>
            <w:shd w:val="clear" w:color="auto" w:fill="auto"/>
            <w:vAlign w:val="bottom"/>
            <w:hideMark/>
          </w:tcPr>
          <w:p w14:paraId="70B2A53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Finance, Accounting &amp; Legal, 2013</w:t>
            </w:r>
          </w:p>
        </w:tc>
        <w:tc>
          <w:tcPr>
            <w:tcW w:w="4230" w:type="dxa"/>
            <w:shd w:val="clear" w:color="auto" w:fill="auto"/>
            <w:vAlign w:val="bottom"/>
            <w:hideMark/>
          </w:tcPr>
          <w:p w14:paraId="1078EC0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Call Center and Customer Service, 2017</w:t>
            </w:r>
          </w:p>
        </w:tc>
      </w:tr>
      <w:tr w:rsidR="00673432" w:rsidRPr="00673432" w14:paraId="3DDBD2B7" w14:textId="77777777" w:rsidTr="006C72EF">
        <w:trPr>
          <w:trHeight w:val="510"/>
        </w:trPr>
        <w:tc>
          <w:tcPr>
            <w:tcW w:w="2790" w:type="dxa"/>
            <w:shd w:val="clear" w:color="auto" w:fill="auto"/>
            <w:vAlign w:val="bottom"/>
            <w:hideMark/>
          </w:tcPr>
          <w:p w14:paraId="65718D9C"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2017 NCASG</w:t>
            </w:r>
          </w:p>
        </w:tc>
        <w:tc>
          <w:tcPr>
            <w:tcW w:w="3420" w:type="dxa"/>
            <w:shd w:val="clear" w:color="auto" w:fill="auto"/>
            <w:vAlign w:val="bottom"/>
            <w:hideMark/>
          </w:tcPr>
          <w:p w14:paraId="505293B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Finance, Accounting &amp; Legal, 2014</w:t>
            </w:r>
          </w:p>
        </w:tc>
        <w:tc>
          <w:tcPr>
            <w:tcW w:w="4230" w:type="dxa"/>
            <w:shd w:val="clear" w:color="auto" w:fill="auto"/>
            <w:vAlign w:val="bottom"/>
            <w:hideMark/>
          </w:tcPr>
          <w:p w14:paraId="0AFA42A8"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Engineering, Design &amp; Technical Specialty, 2014</w:t>
            </w:r>
          </w:p>
        </w:tc>
      </w:tr>
      <w:tr w:rsidR="00673432" w:rsidRPr="00673432" w14:paraId="25A48275" w14:textId="77777777" w:rsidTr="006C72EF">
        <w:trPr>
          <w:trHeight w:val="510"/>
        </w:trPr>
        <w:tc>
          <w:tcPr>
            <w:tcW w:w="2790" w:type="dxa"/>
            <w:shd w:val="clear" w:color="auto" w:fill="auto"/>
            <w:vAlign w:val="bottom"/>
            <w:hideMark/>
          </w:tcPr>
          <w:p w14:paraId="352F8C59"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AFT</w:t>
            </w:r>
          </w:p>
        </w:tc>
        <w:tc>
          <w:tcPr>
            <w:tcW w:w="3420" w:type="dxa"/>
            <w:shd w:val="clear" w:color="auto" w:fill="auto"/>
            <w:vAlign w:val="bottom"/>
            <w:hideMark/>
          </w:tcPr>
          <w:p w14:paraId="7C281250"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Finance, Accounting &amp; Legal, 2016</w:t>
            </w:r>
          </w:p>
        </w:tc>
        <w:tc>
          <w:tcPr>
            <w:tcW w:w="4230" w:type="dxa"/>
            <w:shd w:val="clear" w:color="auto" w:fill="auto"/>
            <w:vAlign w:val="bottom"/>
            <w:hideMark/>
          </w:tcPr>
          <w:p w14:paraId="28537B0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Engineering, Design &amp; Technical Specialty, 2015</w:t>
            </w:r>
          </w:p>
        </w:tc>
      </w:tr>
      <w:tr w:rsidR="00673432" w:rsidRPr="00673432" w14:paraId="25218536" w14:textId="77777777" w:rsidTr="006C72EF">
        <w:trPr>
          <w:trHeight w:val="510"/>
        </w:trPr>
        <w:tc>
          <w:tcPr>
            <w:tcW w:w="2790" w:type="dxa"/>
            <w:shd w:val="clear" w:color="auto" w:fill="auto"/>
            <w:vAlign w:val="bottom"/>
            <w:hideMark/>
          </w:tcPr>
          <w:p w14:paraId="332D8916" w14:textId="064ACFFA"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w:t>
            </w:r>
            <w:r w:rsidR="00C171CF">
              <w:rPr>
                <w:rFonts w:ascii="Calibri" w:hAnsi="Calibri" w:cs="Calibri"/>
                <w:color w:val="000000"/>
                <w:sz w:val="18"/>
                <w:szCs w:val="18"/>
              </w:rPr>
              <w:t>AI</w:t>
            </w:r>
            <w:r w:rsidRPr="00673432">
              <w:rPr>
                <w:rFonts w:ascii="Calibri" w:hAnsi="Calibri" w:cs="Calibri"/>
                <w:color w:val="000000"/>
                <w:sz w:val="18"/>
                <w:szCs w:val="18"/>
              </w:rPr>
              <w:t xml:space="preserve"> NC Wage, 2016</w:t>
            </w:r>
          </w:p>
        </w:tc>
        <w:tc>
          <w:tcPr>
            <w:tcW w:w="3420" w:type="dxa"/>
            <w:shd w:val="clear" w:color="auto" w:fill="auto"/>
            <w:vAlign w:val="bottom"/>
            <w:hideMark/>
          </w:tcPr>
          <w:p w14:paraId="74F0EEE0"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Finance, Accounting &amp; Legal, 2017</w:t>
            </w:r>
          </w:p>
        </w:tc>
        <w:tc>
          <w:tcPr>
            <w:tcW w:w="4230" w:type="dxa"/>
            <w:shd w:val="clear" w:color="auto" w:fill="auto"/>
            <w:vAlign w:val="bottom"/>
            <w:hideMark/>
          </w:tcPr>
          <w:p w14:paraId="5A08F811"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Engineering, Design &amp; Technical Specialty, 2016</w:t>
            </w:r>
          </w:p>
        </w:tc>
      </w:tr>
      <w:tr w:rsidR="00673432" w:rsidRPr="00673432" w14:paraId="09308F64" w14:textId="77777777" w:rsidTr="006C72EF">
        <w:trPr>
          <w:trHeight w:val="510"/>
        </w:trPr>
        <w:tc>
          <w:tcPr>
            <w:tcW w:w="2790" w:type="dxa"/>
            <w:shd w:val="clear" w:color="auto" w:fill="auto"/>
            <w:vAlign w:val="bottom"/>
            <w:hideMark/>
          </w:tcPr>
          <w:p w14:paraId="120024B6" w14:textId="581EE63A"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w:t>
            </w:r>
            <w:r w:rsidR="00C171CF">
              <w:rPr>
                <w:rFonts w:ascii="Calibri" w:hAnsi="Calibri" w:cs="Calibri"/>
                <w:color w:val="000000"/>
                <w:sz w:val="18"/>
                <w:szCs w:val="18"/>
              </w:rPr>
              <w:t>AI</w:t>
            </w:r>
            <w:r w:rsidRPr="00673432">
              <w:rPr>
                <w:rFonts w:ascii="Calibri" w:hAnsi="Calibri" w:cs="Calibri"/>
                <w:color w:val="000000"/>
                <w:sz w:val="18"/>
                <w:szCs w:val="18"/>
              </w:rPr>
              <w:t xml:space="preserve"> NC Wage, 2017</w:t>
            </w:r>
          </w:p>
        </w:tc>
        <w:tc>
          <w:tcPr>
            <w:tcW w:w="3420" w:type="dxa"/>
            <w:shd w:val="clear" w:color="auto" w:fill="auto"/>
            <w:vAlign w:val="bottom"/>
            <w:hideMark/>
          </w:tcPr>
          <w:p w14:paraId="2A8D278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Finance, Accounting &amp; Legal - Revised, 2015</w:t>
            </w:r>
          </w:p>
        </w:tc>
        <w:tc>
          <w:tcPr>
            <w:tcW w:w="4230" w:type="dxa"/>
            <w:shd w:val="clear" w:color="auto" w:fill="auto"/>
            <w:vAlign w:val="bottom"/>
            <w:hideMark/>
          </w:tcPr>
          <w:p w14:paraId="0431E52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Engineering, Design &amp; Technical Specialty, 2017</w:t>
            </w:r>
          </w:p>
        </w:tc>
      </w:tr>
      <w:tr w:rsidR="00673432" w:rsidRPr="00673432" w14:paraId="78A89187" w14:textId="77777777" w:rsidTr="006C72EF">
        <w:trPr>
          <w:trHeight w:val="315"/>
        </w:trPr>
        <w:tc>
          <w:tcPr>
            <w:tcW w:w="2790" w:type="dxa"/>
            <w:shd w:val="clear" w:color="auto" w:fill="auto"/>
            <w:vAlign w:val="bottom"/>
            <w:hideMark/>
          </w:tcPr>
          <w:p w14:paraId="26F9A5BA" w14:textId="4F98AD5E"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w:t>
            </w:r>
            <w:r w:rsidR="00C171CF">
              <w:rPr>
                <w:rFonts w:ascii="Calibri" w:hAnsi="Calibri" w:cs="Calibri"/>
                <w:color w:val="000000"/>
                <w:sz w:val="18"/>
                <w:szCs w:val="18"/>
              </w:rPr>
              <w:t>AI</w:t>
            </w:r>
            <w:r w:rsidRPr="00673432">
              <w:rPr>
                <w:rFonts w:ascii="Calibri" w:hAnsi="Calibri" w:cs="Calibri"/>
                <w:color w:val="000000"/>
                <w:sz w:val="18"/>
                <w:szCs w:val="18"/>
              </w:rPr>
              <w:t xml:space="preserve"> Wage, 2013</w:t>
            </w:r>
          </w:p>
        </w:tc>
        <w:tc>
          <w:tcPr>
            <w:tcW w:w="3420" w:type="dxa"/>
            <w:shd w:val="clear" w:color="auto" w:fill="auto"/>
            <w:vAlign w:val="bottom"/>
            <w:hideMark/>
          </w:tcPr>
          <w:p w14:paraId="5257A577"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Human Resources, 2014</w:t>
            </w:r>
          </w:p>
        </w:tc>
        <w:tc>
          <w:tcPr>
            <w:tcW w:w="4230" w:type="dxa"/>
            <w:shd w:val="clear" w:color="auto" w:fill="auto"/>
            <w:vAlign w:val="bottom"/>
            <w:hideMark/>
          </w:tcPr>
          <w:p w14:paraId="0773985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Accounting &amp; Finance, 2014</w:t>
            </w:r>
          </w:p>
        </w:tc>
      </w:tr>
      <w:tr w:rsidR="00673432" w:rsidRPr="00673432" w14:paraId="469B25F5" w14:textId="77777777" w:rsidTr="006C72EF">
        <w:trPr>
          <w:trHeight w:val="315"/>
        </w:trPr>
        <w:tc>
          <w:tcPr>
            <w:tcW w:w="2790" w:type="dxa"/>
            <w:shd w:val="clear" w:color="auto" w:fill="auto"/>
            <w:vAlign w:val="bottom"/>
            <w:hideMark/>
          </w:tcPr>
          <w:p w14:paraId="75E3EA44" w14:textId="1A204484"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w:t>
            </w:r>
            <w:r w:rsidR="00C171CF">
              <w:rPr>
                <w:rFonts w:ascii="Calibri" w:hAnsi="Calibri" w:cs="Calibri"/>
                <w:color w:val="000000"/>
                <w:sz w:val="18"/>
                <w:szCs w:val="18"/>
              </w:rPr>
              <w:t>AI</w:t>
            </w:r>
            <w:r w:rsidRPr="00673432">
              <w:rPr>
                <w:rFonts w:ascii="Calibri" w:hAnsi="Calibri" w:cs="Calibri"/>
                <w:color w:val="000000"/>
                <w:sz w:val="18"/>
                <w:szCs w:val="18"/>
              </w:rPr>
              <w:t xml:space="preserve"> NC Wage, 2014</w:t>
            </w:r>
          </w:p>
        </w:tc>
        <w:tc>
          <w:tcPr>
            <w:tcW w:w="3420" w:type="dxa"/>
            <w:shd w:val="clear" w:color="auto" w:fill="auto"/>
            <w:vAlign w:val="bottom"/>
            <w:hideMark/>
          </w:tcPr>
          <w:p w14:paraId="439F2737"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Human Resources, 2016</w:t>
            </w:r>
          </w:p>
        </w:tc>
        <w:tc>
          <w:tcPr>
            <w:tcW w:w="4230" w:type="dxa"/>
            <w:shd w:val="clear" w:color="auto" w:fill="auto"/>
            <w:vAlign w:val="bottom"/>
            <w:hideMark/>
          </w:tcPr>
          <w:p w14:paraId="4BB05434"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Accounting &amp; Finance, 2015</w:t>
            </w:r>
          </w:p>
        </w:tc>
      </w:tr>
      <w:tr w:rsidR="00673432" w:rsidRPr="00673432" w14:paraId="3A04ABCA" w14:textId="77777777" w:rsidTr="006C72EF">
        <w:trPr>
          <w:trHeight w:val="315"/>
        </w:trPr>
        <w:tc>
          <w:tcPr>
            <w:tcW w:w="2790" w:type="dxa"/>
            <w:shd w:val="clear" w:color="auto" w:fill="auto"/>
            <w:vAlign w:val="bottom"/>
            <w:hideMark/>
          </w:tcPr>
          <w:p w14:paraId="490C0464" w14:textId="5375433D"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w:t>
            </w:r>
            <w:r w:rsidR="00C171CF">
              <w:rPr>
                <w:rFonts w:ascii="Calibri" w:hAnsi="Calibri" w:cs="Calibri"/>
                <w:color w:val="000000"/>
                <w:sz w:val="18"/>
                <w:szCs w:val="18"/>
              </w:rPr>
              <w:t>AI</w:t>
            </w:r>
            <w:r w:rsidRPr="00673432">
              <w:rPr>
                <w:rFonts w:ascii="Calibri" w:hAnsi="Calibri" w:cs="Calibri"/>
                <w:color w:val="000000"/>
                <w:sz w:val="18"/>
                <w:szCs w:val="18"/>
              </w:rPr>
              <w:t xml:space="preserve"> NC Wage, 2015</w:t>
            </w:r>
          </w:p>
        </w:tc>
        <w:tc>
          <w:tcPr>
            <w:tcW w:w="3420" w:type="dxa"/>
            <w:shd w:val="clear" w:color="auto" w:fill="auto"/>
            <w:vAlign w:val="bottom"/>
            <w:hideMark/>
          </w:tcPr>
          <w:p w14:paraId="6D1148B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Human Resources, 2017</w:t>
            </w:r>
          </w:p>
        </w:tc>
        <w:tc>
          <w:tcPr>
            <w:tcW w:w="4230" w:type="dxa"/>
            <w:shd w:val="clear" w:color="auto" w:fill="auto"/>
            <w:vAlign w:val="bottom"/>
            <w:hideMark/>
          </w:tcPr>
          <w:p w14:paraId="4B2087C0"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Accounting &amp; Finance, 2016</w:t>
            </w:r>
          </w:p>
        </w:tc>
      </w:tr>
      <w:tr w:rsidR="00673432" w:rsidRPr="00673432" w14:paraId="0F33CAE2" w14:textId="77777777" w:rsidTr="006C72EF">
        <w:trPr>
          <w:trHeight w:val="315"/>
        </w:trPr>
        <w:tc>
          <w:tcPr>
            <w:tcW w:w="2790" w:type="dxa"/>
            <w:shd w:val="clear" w:color="auto" w:fill="auto"/>
            <w:vAlign w:val="bottom"/>
            <w:hideMark/>
          </w:tcPr>
          <w:p w14:paraId="603F327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City of Greensboro</w:t>
            </w:r>
          </w:p>
        </w:tc>
        <w:tc>
          <w:tcPr>
            <w:tcW w:w="3420" w:type="dxa"/>
            <w:shd w:val="clear" w:color="auto" w:fill="auto"/>
            <w:vAlign w:val="bottom"/>
            <w:hideMark/>
          </w:tcPr>
          <w:p w14:paraId="737F96A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Human Resources - Revised, 2015</w:t>
            </w:r>
          </w:p>
        </w:tc>
        <w:tc>
          <w:tcPr>
            <w:tcW w:w="4230" w:type="dxa"/>
            <w:shd w:val="clear" w:color="auto" w:fill="auto"/>
            <w:vAlign w:val="bottom"/>
            <w:hideMark/>
          </w:tcPr>
          <w:p w14:paraId="00C48BCC"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Accounting &amp; Finance, 2017</w:t>
            </w:r>
          </w:p>
        </w:tc>
      </w:tr>
      <w:tr w:rsidR="00673432" w:rsidRPr="00673432" w14:paraId="1770C04F" w14:textId="77777777" w:rsidTr="006C72EF">
        <w:trPr>
          <w:trHeight w:val="315"/>
        </w:trPr>
        <w:tc>
          <w:tcPr>
            <w:tcW w:w="2790" w:type="dxa"/>
            <w:shd w:val="clear" w:color="auto" w:fill="auto"/>
            <w:vAlign w:val="bottom"/>
            <w:hideMark/>
          </w:tcPr>
          <w:p w14:paraId="50FAF54D" w14:textId="379658F4"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Acc</w:t>
            </w:r>
            <w:r w:rsidR="00C171CF">
              <w:rPr>
                <w:rFonts w:ascii="Calibri" w:hAnsi="Calibri" w:cs="Calibri"/>
                <w:color w:val="000000"/>
                <w:sz w:val="18"/>
                <w:szCs w:val="18"/>
              </w:rPr>
              <w:t>t</w:t>
            </w:r>
            <w:r w:rsidRPr="00673432">
              <w:rPr>
                <w:rFonts w:ascii="Calibri" w:hAnsi="Calibri" w:cs="Calibri"/>
                <w:color w:val="000000"/>
                <w:sz w:val="18"/>
                <w:szCs w:val="18"/>
              </w:rPr>
              <w:t>g Service Suite, 2013</w:t>
            </w:r>
          </w:p>
        </w:tc>
        <w:tc>
          <w:tcPr>
            <w:tcW w:w="3420" w:type="dxa"/>
            <w:shd w:val="clear" w:color="auto" w:fill="auto"/>
            <w:vAlign w:val="bottom"/>
            <w:hideMark/>
          </w:tcPr>
          <w:p w14:paraId="46A16EF7"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FSSS Insurance, 2013</w:t>
            </w:r>
          </w:p>
        </w:tc>
        <w:tc>
          <w:tcPr>
            <w:tcW w:w="4230" w:type="dxa"/>
            <w:shd w:val="clear" w:color="auto" w:fill="auto"/>
            <w:vAlign w:val="bottom"/>
            <w:hideMark/>
          </w:tcPr>
          <w:p w14:paraId="3A2ACFC0"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Health Care Admin and Support, 2014</w:t>
            </w:r>
          </w:p>
        </w:tc>
      </w:tr>
      <w:tr w:rsidR="00673432" w:rsidRPr="00673432" w14:paraId="1D3DB6F1" w14:textId="77777777" w:rsidTr="006C72EF">
        <w:trPr>
          <w:trHeight w:val="315"/>
        </w:trPr>
        <w:tc>
          <w:tcPr>
            <w:tcW w:w="2790" w:type="dxa"/>
            <w:shd w:val="clear" w:color="auto" w:fill="auto"/>
            <w:vAlign w:val="bottom"/>
            <w:hideMark/>
          </w:tcPr>
          <w:p w14:paraId="5B8E5C15" w14:textId="49274A21"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Acc</w:t>
            </w:r>
            <w:r w:rsidR="00C171CF">
              <w:rPr>
                <w:rFonts w:ascii="Calibri" w:hAnsi="Calibri" w:cs="Calibri"/>
                <w:color w:val="000000"/>
                <w:sz w:val="18"/>
                <w:szCs w:val="18"/>
              </w:rPr>
              <w:t>t</w:t>
            </w:r>
            <w:r w:rsidRPr="00673432">
              <w:rPr>
                <w:rFonts w:ascii="Calibri" w:hAnsi="Calibri" w:cs="Calibri"/>
                <w:color w:val="000000"/>
                <w:sz w:val="18"/>
                <w:szCs w:val="18"/>
              </w:rPr>
              <w:t>g Service Suite, 2014</w:t>
            </w:r>
          </w:p>
        </w:tc>
        <w:tc>
          <w:tcPr>
            <w:tcW w:w="3420" w:type="dxa"/>
            <w:shd w:val="clear" w:color="auto" w:fill="auto"/>
            <w:vAlign w:val="bottom"/>
            <w:hideMark/>
          </w:tcPr>
          <w:p w14:paraId="7F6F731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FSSS Insurance, 2014</w:t>
            </w:r>
          </w:p>
        </w:tc>
        <w:tc>
          <w:tcPr>
            <w:tcW w:w="4230" w:type="dxa"/>
            <w:shd w:val="clear" w:color="auto" w:fill="auto"/>
            <w:vAlign w:val="bottom"/>
            <w:hideMark/>
          </w:tcPr>
          <w:p w14:paraId="719FDF1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Health Care Admin and Support, 2015</w:t>
            </w:r>
          </w:p>
        </w:tc>
      </w:tr>
      <w:tr w:rsidR="00673432" w:rsidRPr="00673432" w14:paraId="27EEE6EC" w14:textId="77777777" w:rsidTr="006C72EF">
        <w:trPr>
          <w:trHeight w:val="315"/>
        </w:trPr>
        <w:tc>
          <w:tcPr>
            <w:tcW w:w="2790" w:type="dxa"/>
            <w:shd w:val="clear" w:color="auto" w:fill="auto"/>
            <w:vAlign w:val="bottom"/>
            <w:hideMark/>
          </w:tcPr>
          <w:p w14:paraId="63A009B3" w14:textId="3576A803"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Acc</w:t>
            </w:r>
            <w:r w:rsidR="00C171CF">
              <w:rPr>
                <w:rFonts w:ascii="Calibri" w:hAnsi="Calibri" w:cs="Calibri"/>
                <w:color w:val="000000"/>
                <w:sz w:val="18"/>
                <w:szCs w:val="18"/>
              </w:rPr>
              <w:t>t</w:t>
            </w:r>
            <w:r w:rsidRPr="00673432">
              <w:rPr>
                <w:rFonts w:ascii="Calibri" w:hAnsi="Calibri" w:cs="Calibri"/>
                <w:color w:val="000000"/>
                <w:sz w:val="18"/>
                <w:szCs w:val="18"/>
              </w:rPr>
              <w:t>g Service Suite, 2015</w:t>
            </w:r>
          </w:p>
        </w:tc>
        <w:tc>
          <w:tcPr>
            <w:tcW w:w="3420" w:type="dxa"/>
            <w:shd w:val="clear" w:color="auto" w:fill="auto"/>
            <w:vAlign w:val="bottom"/>
            <w:hideMark/>
          </w:tcPr>
          <w:p w14:paraId="0DA1032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FSSS Insurance, 2015</w:t>
            </w:r>
          </w:p>
        </w:tc>
        <w:tc>
          <w:tcPr>
            <w:tcW w:w="4230" w:type="dxa"/>
            <w:shd w:val="clear" w:color="auto" w:fill="auto"/>
            <w:vAlign w:val="bottom"/>
            <w:hideMark/>
          </w:tcPr>
          <w:p w14:paraId="7503A571"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Health Care Admin and Support, 2016</w:t>
            </w:r>
          </w:p>
        </w:tc>
      </w:tr>
      <w:tr w:rsidR="00673432" w:rsidRPr="00673432" w14:paraId="651E6AAE" w14:textId="77777777" w:rsidTr="006C72EF">
        <w:trPr>
          <w:trHeight w:val="510"/>
        </w:trPr>
        <w:tc>
          <w:tcPr>
            <w:tcW w:w="2790" w:type="dxa"/>
            <w:shd w:val="clear" w:color="auto" w:fill="auto"/>
            <w:vAlign w:val="bottom"/>
            <w:hideMark/>
          </w:tcPr>
          <w:p w14:paraId="131DC3C7" w14:textId="5B326641"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Acc</w:t>
            </w:r>
            <w:r w:rsidR="00C171CF">
              <w:rPr>
                <w:rFonts w:ascii="Calibri" w:hAnsi="Calibri" w:cs="Calibri"/>
                <w:color w:val="000000"/>
                <w:sz w:val="18"/>
                <w:szCs w:val="18"/>
              </w:rPr>
              <w:t>t</w:t>
            </w:r>
            <w:r w:rsidRPr="00673432">
              <w:rPr>
                <w:rFonts w:ascii="Calibri" w:hAnsi="Calibri" w:cs="Calibri"/>
                <w:color w:val="000000"/>
                <w:sz w:val="18"/>
                <w:szCs w:val="18"/>
              </w:rPr>
              <w:t>g Service Suite, 2016</w:t>
            </w:r>
          </w:p>
        </w:tc>
        <w:tc>
          <w:tcPr>
            <w:tcW w:w="3420" w:type="dxa"/>
            <w:shd w:val="clear" w:color="auto" w:fill="auto"/>
            <w:vAlign w:val="bottom"/>
            <w:hideMark/>
          </w:tcPr>
          <w:p w14:paraId="77EC6D2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FSSS Insurance, 2016</w:t>
            </w:r>
          </w:p>
        </w:tc>
        <w:tc>
          <w:tcPr>
            <w:tcW w:w="4230" w:type="dxa"/>
            <w:shd w:val="clear" w:color="auto" w:fill="auto"/>
            <w:vAlign w:val="bottom"/>
            <w:hideMark/>
          </w:tcPr>
          <w:p w14:paraId="442546EA"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Health Care Admin and Support, 2017</w:t>
            </w:r>
          </w:p>
        </w:tc>
      </w:tr>
      <w:tr w:rsidR="00673432" w:rsidRPr="00673432" w14:paraId="6D0260AD" w14:textId="77777777" w:rsidTr="006C72EF">
        <w:trPr>
          <w:trHeight w:val="510"/>
        </w:trPr>
        <w:tc>
          <w:tcPr>
            <w:tcW w:w="2790" w:type="dxa"/>
            <w:shd w:val="clear" w:color="auto" w:fill="auto"/>
            <w:vAlign w:val="bottom"/>
            <w:hideMark/>
          </w:tcPr>
          <w:p w14:paraId="5AEF6FB9" w14:textId="2E392E0D"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Acc</w:t>
            </w:r>
            <w:r w:rsidR="00C171CF">
              <w:rPr>
                <w:rFonts w:ascii="Calibri" w:hAnsi="Calibri" w:cs="Calibri"/>
                <w:color w:val="000000"/>
                <w:sz w:val="18"/>
                <w:szCs w:val="18"/>
              </w:rPr>
              <w:t>t</w:t>
            </w:r>
            <w:r w:rsidRPr="00673432">
              <w:rPr>
                <w:rFonts w:ascii="Calibri" w:hAnsi="Calibri" w:cs="Calibri"/>
                <w:color w:val="000000"/>
                <w:sz w:val="18"/>
                <w:szCs w:val="18"/>
              </w:rPr>
              <w:t>g Service Suite, 2017</w:t>
            </w:r>
          </w:p>
        </w:tc>
        <w:tc>
          <w:tcPr>
            <w:tcW w:w="3420" w:type="dxa"/>
            <w:shd w:val="clear" w:color="auto" w:fill="auto"/>
            <w:vAlign w:val="bottom"/>
            <w:hideMark/>
          </w:tcPr>
          <w:p w14:paraId="2E9DF63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FSSS Insurance, 2017</w:t>
            </w:r>
          </w:p>
        </w:tc>
        <w:tc>
          <w:tcPr>
            <w:tcW w:w="4230" w:type="dxa"/>
            <w:shd w:val="clear" w:color="auto" w:fill="auto"/>
            <w:vAlign w:val="bottom"/>
            <w:hideMark/>
          </w:tcPr>
          <w:p w14:paraId="7CFC1018" w14:textId="05C8A7C3"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Health Care Executive &amp; Mgmt</w:t>
            </w:r>
            <w:r w:rsidR="00365537">
              <w:rPr>
                <w:rFonts w:ascii="Calibri" w:hAnsi="Calibri" w:cs="Calibri"/>
                <w:color w:val="000000"/>
                <w:sz w:val="18"/>
                <w:szCs w:val="18"/>
              </w:rPr>
              <w:t>.</w:t>
            </w:r>
            <w:r w:rsidRPr="00673432">
              <w:rPr>
                <w:rFonts w:ascii="Calibri" w:hAnsi="Calibri" w:cs="Calibri"/>
                <w:color w:val="000000"/>
                <w:sz w:val="18"/>
                <w:szCs w:val="18"/>
              </w:rPr>
              <w:t>, 2017</w:t>
            </w:r>
          </w:p>
        </w:tc>
      </w:tr>
      <w:tr w:rsidR="00673432" w:rsidRPr="00673432" w14:paraId="63791ADF" w14:textId="77777777" w:rsidTr="006C72EF">
        <w:trPr>
          <w:trHeight w:val="510"/>
        </w:trPr>
        <w:tc>
          <w:tcPr>
            <w:tcW w:w="2790" w:type="dxa"/>
            <w:shd w:val="clear" w:color="auto" w:fill="auto"/>
            <w:vAlign w:val="bottom"/>
            <w:hideMark/>
          </w:tcPr>
          <w:p w14:paraId="0F43C5B6" w14:textId="46700564"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Enginee</w:t>
            </w:r>
            <w:r w:rsidR="00C171CF">
              <w:rPr>
                <w:rFonts w:ascii="Calibri" w:hAnsi="Calibri" w:cs="Calibri"/>
                <w:color w:val="000000"/>
                <w:sz w:val="18"/>
                <w:szCs w:val="18"/>
              </w:rPr>
              <w:t>r</w:t>
            </w:r>
            <w:r w:rsidRPr="00673432">
              <w:rPr>
                <w:rFonts w:ascii="Calibri" w:hAnsi="Calibri" w:cs="Calibri"/>
                <w:color w:val="000000"/>
                <w:sz w:val="18"/>
                <w:szCs w:val="18"/>
              </w:rPr>
              <w:t xml:space="preserve"> Service Suite, 2013</w:t>
            </w:r>
          </w:p>
        </w:tc>
        <w:tc>
          <w:tcPr>
            <w:tcW w:w="3420" w:type="dxa"/>
            <w:shd w:val="clear" w:color="auto" w:fill="auto"/>
            <w:vAlign w:val="bottom"/>
            <w:hideMark/>
          </w:tcPr>
          <w:p w14:paraId="36048A2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Information Technology, 2014</w:t>
            </w:r>
          </w:p>
        </w:tc>
        <w:tc>
          <w:tcPr>
            <w:tcW w:w="4230" w:type="dxa"/>
            <w:shd w:val="clear" w:color="auto" w:fill="auto"/>
            <w:vAlign w:val="bottom"/>
            <w:hideMark/>
          </w:tcPr>
          <w:p w14:paraId="67347BAA"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Health Care Clinical and Professional, 2014</w:t>
            </w:r>
          </w:p>
        </w:tc>
      </w:tr>
      <w:tr w:rsidR="00673432" w:rsidRPr="00673432" w14:paraId="615B9029" w14:textId="77777777" w:rsidTr="006C72EF">
        <w:trPr>
          <w:trHeight w:val="510"/>
        </w:trPr>
        <w:tc>
          <w:tcPr>
            <w:tcW w:w="2790" w:type="dxa"/>
            <w:shd w:val="clear" w:color="auto" w:fill="auto"/>
            <w:vAlign w:val="bottom"/>
            <w:hideMark/>
          </w:tcPr>
          <w:p w14:paraId="3808CF5A" w14:textId="0584A64A"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Engineer Service Suite, 2014</w:t>
            </w:r>
          </w:p>
        </w:tc>
        <w:tc>
          <w:tcPr>
            <w:tcW w:w="3420" w:type="dxa"/>
            <w:shd w:val="clear" w:color="auto" w:fill="auto"/>
            <w:vAlign w:val="bottom"/>
            <w:hideMark/>
          </w:tcPr>
          <w:p w14:paraId="45079094"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Information Technology, 2016</w:t>
            </w:r>
          </w:p>
        </w:tc>
        <w:tc>
          <w:tcPr>
            <w:tcW w:w="4230" w:type="dxa"/>
            <w:shd w:val="clear" w:color="auto" w:fill="auto"/>
            <w:vAlign w:val="bottom"/>
            <w:hideMark/>
          </w:tcPr>
          <w:p w14:paraId="4E425249"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Health Care Clinical and Professional, 2015</w:t>
            </w:r>
          </w:p>
        </w:tc>
      </w:tr>
      <w:tr w:rsidR="00673432" w:rsidRPr="00673432" w14:paraId="5B1A5524" w14:textId="77777777" w:rsidTr="006C72EF">
        <w:trPr>
          <w:trHeight w:val="510"/>
        </w:trPr>
        <w:tc>
          <w:tcPr>
            <w:tcW w:w="2790" w:type="dxa"/>
            <w:shd w:val="clear" w:color="auto" w:fill="auto"/>
            <w:vAlign w:val="bottom"/>
            <w:hideMark/>
          </w:tcPr>
          <w:p w14:paraId="10B66657" w14:textId="628B8C56"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Engineer Service Suite, 2015</w:t>
            </w:r>
          </w:p>
        </w:tc>
        <w:tc>
          <w:tcPr>
            <w:tcW w:w="3420" w:type="dxa"/>
            <w:shd w:val="clear" w:color="auto" w:fill="auto"/>
            <w:vAlign w:val="bottom"/>
            <w:hideMark/>
          </w:tcPr>
          <w:p w14:paraId="4080CB3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Information Technology, 2017</w:t>
            </w:r>
          </w:p>
        </w:tc>
        <w:tc>
          <w:tcPr>
            <w:tcW w:w="4230" w:type="dxa"/>
            <w:shd w:val="clear" w:color="auto" w:fill="auto"/>
            <w:vAlign w:val="bottom"/>
            <w:hideMark/>
          </w:tcPr>
          <w:p w14:paraId="2801760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Health Care Clinical and Professional, 2016</w:t>
            </w:r>
          </w:p>
        </w:tc>
      </w:tr>
      <w:tr w:rsidR="00673432" w:rsidRPr="00673432" w14:paraId="517A6D9B" w14:textId="77777777" w:rsidTr="006C72EF">
        <w:trPr>
          <w:trHeight w:val="510"/>
        </w:trPr>
        <w:tc>
          <w:tcPr>
            <w:tcW w:w="2790" w:type="dxa"/>
            <w:shd w:val="clear" w:color="auto" w:fill="auto"/>
            <w:vAlign w:val="bottom"/>
            <w:hideMark/>
          </w:tcPr>
          <w:p w14:paraId="1C413B6B" w14:textId="28047280"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Engineer Service Suite, 2016</w:t>
            </w:r>
          </w:p>
        </w:tc>
        <w:tc>
          <w:tcPr>
            <w:tcW w:w="3420" w:type="dxa"/>
            <w:shd w:val="clear" w:color="auto" w:fill="auto"/>
            <w:vAlign w:val="bottom"/>
            <w:hideMark/>
          </w:tcPr>
          <w:p w14:paraId="0D913C9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Information Technology - Revised, 2015</w:t>
            </w:r>
          </w:p>
        </w:tc>
        <w:tc>
          <w:tcPr>
            <w:tcW w:w="4230" w:type="dxa"/>
            <w:shd w:val="clear" w:color="auto" w:fill="auto"/>
            <w:vAlign w:val="bottom"/>
            <w:hideMark/>
          </w:tcPr>
          <w:p w14:paraId="17CDE943"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Health Care Clinical and Professional, 2017</w:t>
            </w:r>
          </w:p>
        </w:tc>
      </w:tr>
      <w:tr w:rsidR="00673432" w:rsidRPr="00673432" w14:paraId="781A3776" w14:textId="77777777" w:rsidTr="006C72EF">
        <w:trPr>
          <w:trHeight w:val="315"/>
        </w:trPr>
        <w:tc>
          <w:tcPr>
            <w:tcW w:w="2790" w:type="dxa"/>
            <w:shd w:val="clear" w:color="auto" w:fill="auto"/>
            <w:vAlign w:val="bottom"/>
            <w:hideMark/>
          </w:tcPr>
          <w:p w14:paraId="60CBAAF9" w14:textId="1B2718C0"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Engineer Service Suite, 2017</w:t>
            </w:r>
          </w:p>
        </w:tc>
        <w:tc>
          <w:tcPr>
            <w:tcW w:w="3420" w:type="dxa"/>
            <w:shd w:val="clear" w:color="auto" w:fill="auto"/>
            <w:vAlign w:val="bottom"/>
            <w:hideMark/>
          </w:tcPr>
          <w:p w14:paraId="006B003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Logistics &amp; Supply Chain, 2013</w:t>
            </w:r>
          </w:p>
        </w:tc>
        <w:tc>
          <w:tcPr>
            <w:tcW w:w="4230" w:type="dxa"/>
            <w:shd w:val="clear" w:color="auto" w:fill="auto"/>
            <w:vAlign w:val="bottom"/>
            <w:hideMark/>
          </w:tcPr>
          <w:p w14:paraId="23F48EE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Human Resources, 2014</w:t>
            </w:r>
          </w:p>
        </w:tc>
      </w:tr>
      <w:tr w:rsidR="00673432" w:rsidRPr="00673432" w14:paraId="3EB2D0D3" w14:textId="77777777" w:rsidTr="006C72EF">
        <w:trPr>
          <w:trHeight w:val="315"/>
        </w:trPr>
        <w:tc>
          <w:tcPr>
            <w:tcW w:w="2790" w:type="dxa"/>
            <w:shd w:val="clear" w:color="auto" w:fill="auto"/>
            <w:vAlign w:val="bottom"/>
            <w:hideMark/>
          </w:tcPr>
          <w:p w14:paraId="20CE9A8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Health Care - Southeast, 2013</w:t>
            </w:r>
          </w:p>
        </w:tc>
        <w:tc>
          <w:tcPr>
            <w:tcW w:w="3420" w:type="dxa"/>
            <w:shd w:val="clear" w:color="auto" w:fill="auto"/>
            <w:vAlign w:val="bottom"/>
            <w:hideMark/>
          </w:tcPr>
          <w:p w14:paraId="310AD11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Logistics &amp; Supply Chain, 2014</w:t>
            </w:r>
          </w:p>
        </w:tc>
        <w:tc>
          <w:tcPr>
            <w:tcW w:w="4230" w:type="dxa"/>
            <w:shd w:val="clear" w:color="auto" w:fill="auto"/>
            <w:vAlign w:val="bottom"/>
            <w:hideMark/>
          </w:tcPr>
          <w:p w14:paraId="0703FAA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Human Resources, 2015</w:t>
            </w:r>
          </w:p>
        </w:tc>
      </w:tr>
      <w:tr w:rsidR="00673432" w:rsidRPr="00673432" w14:paraId="62B84549" w14:textId="77777777" w:rsidTr="006C72EF">
        <w:trPr>
          <w:trHeight w:val="315"/>
        </w:trPr>
        <w:tc>
          <w:tcPr>
            <w:tcW w:w="2790" w:type="dxa"/>
            <w:shd w:val="clear" w:color="auto" w:fill="auto"/>
            <w:vAlign w:val="bottom"/>
            <w:hideMark/>
          </w:tcPr>
          <w:p w14:paraId="6D01FC6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Health Care - Southeast, 2014</w:t>
            </w:r>
          </w:p>
        </w:tc>
        <w:tc>
          <w:tcPr>
            <w:tcW w:w="3420" w:type="dxa"/>
            <w:shd w:val="clear" w:color="auto" w:fill="auto"/>
            <w:vAlign w:val="bottom"/>
            <w:hideMark/>
          </w:tcPr>
          <w:p w14:paraId="003DD04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Logistics &amp; Supply Chain, 2016</w:t>
            </w:r>
          </w:p>
        </w:tc>
        <w:tc>
          <w:tcPr>
            <w:tcW w:w="4230" w:type="dxa"/>
            <w:shd w:val="clear" w:color="auto" w:fill="auto"/>
            <w:vAlign w:val="bottom"/>
            <w:hideMark/>
          </w:tcPr>
          <w:p w14:paraId="5E6BA57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Human Resources, 2016</w:t>
            </w:r>
          </w:p>
        </w:tc>
      </w:tr>
      <w:tr w:rsidR="00673432" w:rsidRPr="00673432" w14:paraId="65806AF5" w14:textId="77777777" w:rsidTr="006C72EF">
        <w:trPr>
          <w:trHeight w:val="315"/>
        </w:trPr>
        <w:tc>
          <w:tcPr>
            <w:tcW w:w="2790" w:type="dxa"/>
            <w:shd w:val="clear" w:color="auto" w:fill="auto"/>
            <w:vAlign w:val="bottom"/>
            <w:hideMark/>
          </w:tcPr>
          <w:p w14:paraId="5246F56F"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Health Care - Southeast, 2015</w:t>
            </w:r>
          </w:p>
        </w:tc>
        <w:tc>
          <w:tcPr>
            <w:tcW w:w="3420" w:type="dxa"/>
            <w:shd w:val="clear" w:color="auto" w:fill="auto"/>
            <w:vAlign w:val="bottom"/>
            <w:hideMark/>
          </w:tcPr>
          <w:p w14:paraId="07427D18"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Logistics &amp; Supply Chain, 2017</w:t>
            </w:r>
          </w:p>
        </w:tc>
        <w:tc>
          <w:tcPr>
            <w:tcW w:w="4230" w:type="dxa"/>
            <w:shd w:val="clear" w:color="auto" w:fill="auto"/>
            <w:vAlign w:val="bottom"/>
            <w:hideMark/>
          </w:tcPr>
          <w:p w14:paraId="1CC5A610"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Human Resources, 2017</w:t>
            </w:r>
          </w:p>
        </w:tc>
      </w:tr>
      <w:tr w:rsidR="00673432" w:rsidRPr="00673432" w14:paraId="6AC0A144" w14:textId="77777777" w:rsidTr="006C72EF">
        <w:trPr>
          <w:trHeight w:val="315"/>
        </w:trPr>
        <w:tc>
          <w:tcPr>
            <w:tcW w:w="2790" w:type="dxa"/>
            <w:shd w:val="clear" w:color="auto" w:fill="auto"/>
            <w:vAlign w:val="bottom"/>
            <w:hideMark/>
          </w:tcPr>
          <w:p w14:paraId="0A942D39"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Health Care - Southeast, 2016</w:t>
            </w:r>
          </w:p>
        </w:tc>
        <w:tc>
          <w:tcPr>
            <w:tcW w:w="3420" w:type="dxa"/>
            <w:shd w:val="clear" w:color="auto" w:fill="auto"/>
            <w:vAlign w:val="bottom"/>
            <w:hideMark/>
          </w:tcPr>
          <w:p w14:paraId="71978C9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Logistics &amp; Supply Chain - Revised, 2015</w:t>
            </w:r>
          </w:p>
        </w:tc>
        <w:tc>
          <w:tcPr>
            <w:tcW w:w="4230" w:type="dxa"/>
            <w:shd w:val="clear" w:color="auto" w:fill="auto"/>
            <w:vAlign w:val="bottom"/>
            <w:hideMark/>
          </w:tcPr>
          <w:p w14:paraId="5DFA69F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Information Technology, 2014</w:t>
            </w:r>
          </w:p>
        </w:tc>
      </w:tr>
      <w:tr w:rsidR="00673432" w:rsidRPr="00673432" w14:paraId="2A17DD4C" w14:textId="77777777" w:rsidTr="006C72EF">
        <w:trPr>
          <w:trHeight w:val="315"/>
        </w:trPr>
        <w:tc>
          <w:tcPr>
            <w:tcW w:w="2790" w:type="dxa"/>
            <w:shd w:val="clear" w:color="auto" w:fill="auto"/>
            <w:vAlign w:val="bottom"/>
            <w:hideMark/>
          </w:tcPr>
          <w:p w14:paraId="7AF79ACC"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Health Care - Southeast, 2017</w:t>
            </w:r>
          </w:p>
        </w:tc>
        <w:tc>
          <w:tcPr>
            <w:tcW w:w="3420" w:type="dxa"/>
            <w:shd w:val="clear" w:color="auto" w:fill="auto"/>
            <w:vAlign w:val="bottom"/>
            <w:hideMark/>
          </w:tcPr>
          <w:p w14:paraId="07FA6FEF"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Metro Benchmark - Southeast, 2013</w:t>
            </w:r>
          </w:p>
        </w:tc>
        <w:tc>
          <w:tcPr>
            <w:tcW w:w="4230" w:type="dxa"/>
            <w:shd w:val="clear" w:color="auto" w:fill="auto"/>
            <w:vAlign w:val="bottom"/>
            <w:hideMark/>
          </w:tcPr>
          <w:p w14:paraId="2DA4E5F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Information Technology, 2015</w:t>
            </w:r>
          </w:p>
        </w:tc>
      </w:tr>
    </w:tbl>
    <w:p w14:paraId="1D569F6C" w14:textId="6ECAB8B1" w:rsidR="006C72EF" w:rsidRDefault="006C72EF"/>
    <w:p w14:paraId="721C550F" w14:textId="3AED5498" w:rsidR="006C72EF" w:rsidRDefault="006C72EF"/>
    <w:p w14:paraId="787D21BD" w14:textId="77777777" w:rsidR="006C72EF" w:rsidRDefault="006C72EF" w:rsidP="006C72EF">
      <w:pPr>
        <w:rPr>
          <w:rFonts w:ascii="Arial" w:hAnsi="Arial" w:cs="Arial"/>
          <w:color w:val="008000"/>
        </w:rPr>
      </w:pPr>
    </w:p>
    <w:tbl>
      <w:tblPr>
        <w:tblW w:w="10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2780"/>
        <w:gridCol w:w="3420"/>
        <w:gridCol w:w="4230"/>
        <w:gridCol w:w="10"/>
      </w:tblGrid>
      <w:tr w:rsidR="006C72EF" w:rsidRPr="00673432" w14:paraId="37011723" w14:textId="77777777" w:rsidTr="006C72EF">
        <w:trPr>
          <w:gridBefore w:val="1"/>
          <w:wBefore w:w="10" w:type="dxa"/>
          <w:trHeight w:val="735"/>
        </w:trPr>
        <w:tc>
          <w:tcPr>
            <w:tcW w:w="10440" w:type="dxa"/>
            <w:gridSpan w:val="4"/>
            <w:shd w:val="clear" w:color="000000" w:fill="0070C0"/>
            <w:noWrap/>
            <w:vAlign w:val="center"/>
            <w:hideMark/>
          </w:tcPr>
          <w:p w14:paraId="738456C1" w14:textId="23D7C757" w:rsidR="006C72EF" w:rsidRPr="00673432" w:rsidRDefault="006C72EF" w:rsidP="00CF71A4">
            <w:pPr>
              <w:jc w:val="center"/>
              <w:rPr>
                <w:rFonts w:ascii="Calibri" w:hAnsi="Calibri" w:cs="Calibri"/>
                <w:b/>
                <w:bCs/>
                <w:color w:val="FFFFFF"/>
                <w:sz w:val="32"/>
                <w:szCs w:val="32"/>
              </w:rPr>
            </w:pPr>
            <w:r w:rsidRPr="00673432">
              <w:rPr>
                <w:rFonts w:ascii="Calibri" w:hAnsi="Calibri" w:cs="Calibri"/>
                <w:b/>
                <w:bCs/>
                <w:color w:val="FFFFFF"/>
                <w:sz w:val="32"/>
                <w:szCs w:val="32"/>
              </w:rPr>
              <w:t>NC Office of State Human Resources Survey Library 2017</w:t>
            </w:r>
            <w:r>
              <w:rPr>
                <w:rFonts w:ascii="Calibri" w:hAnsi="Calibri" w:cs="Calibri"/>
                <w:b/>
                <w:bCs/>
                <w:color w:val="FFFFFF"/>
                <w:sz w:val="32"/>
                <w:szCs w:val="32"/>
              </w:rPr>
              <w:t xml:space="preserve"> (cont’d)</w:t>
            </w:r>
          </w:p>
        </w:tc>
      </w:tr>
      <w:tr w:rsidR="00673432" w:rsidRPr="00673432" w14:paraId="7EB50CF3" w14:textId="77777777" w:rsidTr="006C72EF">
        <w:trPr>
          <w:gridAfter w:val="1"/>
          <w:wAfter w:w="10" w:type="dxa"/>
          <w:trHeight w:val="315"/>
        </w:trPr>
        <w:tc>
          <w:tcPr>
            <w:tcW w:w="2790" w:type="dxa"/>
            <w:gridSpan w:val="2"/>
            <w:shd w:val="clear" w:color="auto" w:fill="auto"/>
            <w:vAlign w:val="bottom"/>
            <w:hideMark/>
          </w:tcPr>
          <w:p w14:paraId="709183E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Legal Service Suite, 2013</w:t>
            </w:r>
          </w:p>
        </w:tc>
        <w:tc>
          <w:tcPr>
            <w:tcW w:w="3420" w:type="dxa"/>
            <w:shd w:val="clear" w:color="auto" w:fill="auto"/>
            <w:vAlign w:val="bottom"/>
            <w:hideMark/>
          </w:tcPr>
          <w:p w14:paraId="197DFFD9"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Metro Benchmark - Southeast, 2014</w:t>
            </w:r>
          </w:p>
        </w:tc>
        <w:tc>
          <w:tcPr>
            <w:tcW w:w="4230" w:type="dxa"/>
            <w:shd w:val="clear" w:color="auto" w:fill="auto"/>
            <w:vAlign w:val="bottom"/>
            <w:hideMark/>
          </w:tcPr>
          <w:p w14:paraId="11CCF3E3"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Information Technology, 2016</w:t>
            </w:r>
          </w:p>
        </w:tc>
      </w:tr>
      <w:tr w:rsidR="00673432" w:rsidRPr="00673432" w14:paraId="190F3B5A" w14:textId="77777777" w:rsidTr="006C72EF">
        <w:trPr>
          <w:gridAfter w:val="1"/>
          <w:wAfter w:w="10" w:type="dxa"/>
          <w:trHeight w:val="510"/>
        </w:trPr>
        <w:tc>
          <w:tcPr>
            <w:tcW w:w="2790" w:type="dxa"/>
            <w:gridSpan w:val="2"/>
            <w:shd w:val="clear" w:color="auto" w:fill="auto"/>
            <w:vAlign w:val="bottom"/>
            <w:hideMark/>
          </w:tcPr>
          <w:p w14:paraId="02BEBD0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Legal Service Suite, 2014</w:t>
            </w:r>
          </w:p>
        </w:tc>
        <w:tc>
          <w:tcPr>
            <w:tcW w:w="3420" w:type="dxa"/>
            <w:shd w:val="clear" w:color="auto" w:fill="auto"/>
            <w:vAlign w:val="bottom"/>
            <w:hideMark/>
          </w:tcPr>
          <w:p w14:paraId="6A66FEB9"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Metro Benchmark - Southeast, 2016</w:t>
            </w:r>
          </w:p>
        </w:tc>
        <w:tc>
          <w:tcPr>
            <w:tcW w:w="4230" w:type="dxa"/>
            <w:shd w:val="clear" w:color="auto" w:fill="auto"/>
            <w:vAlign w:val="bottom"/>
            <w:hideMark/>
          </w:tcPr>
          <w:p w14:paraId="0C46F41A"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Information Technology, 2017</w:t>
            </w:r>
          </w:p>
        </w:tc>
      </w:tr>
      <w:tr w:rsidR="00673432" w:rsidRPr="00673432" w14:paraId="5F96549F" w14:textId="77777777" w:rsidTr="006C72EF">
        <w:trPr>
          <w:gridAfter w:val="1"/>
          <w:wAfter w:w="10" w:type="dxa"/>
          <w:trHeight w:val="510"/>
        </w:trPr>
        <w:tc>
          <w:tcPr>
            <w:tcW w:w="2790" w:type="dxa"/>
            <w:gridSpan w:val="2"/>
            <w:shd w:val="clear" w:color="auto" w:fill="auto"/>
            <w:vAlign w:val="bottom"/>
            <w:hideMark/>
          </w:tcPr>
          <w:p w14:paraId="78649E1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Legal Service Suite, 2015</w:t>
            </w:r>
          </w:p>
        </w:tc>
        <w:tc>
          <w:tcPr>
            <w:tcW w:w="3420" w:type="dxa"/>
            <w:shd w:val="clear" w:color="auto" w:fill="auto"/>
            <w:vAlign w:val="bottom"/>
            <w:hideMark/>
          </w:tcPr>
          <w:p w14:paraId="4712EE77"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Metro Benchmark - Southeast, 2017</w:t>
            </w:r>
          </w:p>
        </w:tc>
        <w:tc>
          <w:tcPr>
            <w:tcW w:w="4230" w:type="dxa"/>
            <w:shd w:val="clear" w:color="auto" w:fill="auto"/>
            <w:vAlign w:val="bottom"/>
            <w:hideMark/>
          </w:tcPr>
          <w:p w14:paraId="3C5337F4"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Logistics and Supply Chain Mgmt, 2014</w:t>
            </w:r>
          </w:p>
        </w:tc>
      </w:tr>
      <w:tr w:rsidR="00673432" w:rsidRPr="00673432" w14:paraId="4E745B17" w14:textId="77777777" w:rsidTr="006C72EF">
        <w:trPr>
          <w:gridAfter w:val="1"/>
          <w:wAfter w:w="10" w:type="dxa"/>
          <w:trHeight w:val="510"/>
        </w:trPr>
        <w:tc>
          <w:tcPr>
            <w:tcW w:w="2790" w:type="dxa"/>
            <w:gridSpan w:val="2"/>
            <w:shd w:val="clear" w:color="auto" w:fill="auto"/>
            <w:vAlign w:val="bottom"/>
            <w:hideMark/>
          </w:tcPr>
          <w:p w14:paraId="25392E7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Legal Service Suite, 2016</w:t>
            </w:r>
          </w:p>
        </w:tc>
        <w:tc>
          <w:tcPr>
            <w:tcW w:w="3420" w:type="dxa"/>
            <w:shd w:val="clear" w:color="auto" w:fill="auto"/>
            <w:vAlign w:val="bottom"/>
            <w:hideMark/>
          </w:tcPr>
          <w:p w14:paraId="1DB7F80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Metro Benchmark - Southeast - Revised, 2015</w:t>
            </w:r>
          </w:p>
        </w:tc>
        <w:tc>
          <w:tcPr>
            <w:tcW w:w="4230" w:type="dxa"/>
            <w:shd w:val="clear" w:color="auto" w:fill="auto"/>
            <w:vAlign w:val="bottom"/>
            <w:hideMark/>
          </w:tcPr>
          <w:p w14:paraId="35B3D16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Logistics and Supply Chain Mgmt, 2015</w:t>
            </w:r>
          </w:p>
        </w:tc>
      </w:tr>
      <w:tr w:rsidR="00673432" w:rsidRPr="00673432" w14:paraId="345D6645" w14:textId="77777777" w:rsidTr="006C72EF">
        <w:trPr>
          <w:gridAfter w:val="1"/>
          <w:wAfter w:w="10" w:type="dxa"/>
          <w:trHeight w:val="510"/>
        </w:trPr>
        <w:tc>
          <w:tcPr>
            <w:tcW w:w="2790" w:type="dxa"/>
            <w:gridSpan w:val="2"/>
            <w:shd w:val="clear" w:color="auto" w:fill="auto"/>
            <w:vAlign w:val="bottom"/>
            <w:hideMark/>
          </w:tcPr>
          <w:p w14:paraId="60D76DE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Legal Service Suite, 2017</w:t>
            </w:r>
          </w:p>
        </w:tc>
        <w:tc>
          <w:tcPr>
            <w:tcW w:w="3420" w:type="dxa"/>
            <w:shd w:val="clear" w:color="auto" w:fill="auto"/>
            <w:vAlign w:val="bottom"/>
            <w:hideMark/>
          </w:tcPr>
          <w:p w14:paraId="43A0FE81"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Sales, Mktg &amp; Comm, 2014</w:t>
            </w:r>
          </w:p>
        </w:tc>
        <w:tc>
          <w:tcPr>
            <w:tcW w:w="4230" w:type="dxa"/>
            <w:shd w:val="clear" w:color="auto" w:fill="auto"/>
            <w:vAlign w:val="bottom"/>
            <w:hideMark/>
          </w:tcPr>
          <w:p w14:paraId="125079C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Logistics and Supply Chain Mgmt, 2017</w:t>
            </w:r>
          </w:p>
        </w:tc>
      </w:tr>
      <w:tr w:rsidR="00673432" w:rsidRPr="00673432" w14:paraId="290DF549" w14:textId="77777777" w:rsidTr="006C72EF">
        <w:trPr>
          <w:gridAfter w:val="1"/>
          <w:wAfter w:w="10" w:type="dxa"/>
          <w:trHeight w:val="510"/>
        </w:trPr>
        <w:tc>
          <w:tcPr>
            <w:tcW w:w="2790" w:type="dxa"/>
            <w:gridSpan w:val="2"/>
            <w:shd w:val="clear" w:color="auto" w:fill="auto"/>
            <w:vAlign w:val="bottom"/>
            <w:hideMark/>
          </w:tcPr>
          <w:p w14:paraId="7E2932C3"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Not-For-Profit - Southeast, 2013</w:t>
            </w:r>
          </w:p>
        </w:tc>
        <w:tc>
          <w:tcPr>
            <w:tcW w:w="3420" w:type="dxa"/>
            <w:shd w:val="clear" w:color="auto" w:fill="auto"/>
            <w:vAlign w:val="bottom"/>
            <w:hideMark/>
          </w:tcPr>
          <w:p w14:paraId="0D8D70E8"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Sales, Mktg &amp; Comm, 2016</w:t>
            </w:r>
          </w:p>
        </w:tc>
        <w:tc>
          <w:tcPr>
            <w:tcW w:w="4230" w:type="dxa"/>
            <w:shd w:val="clear" w:color="auto" w:fill="auto"/>
            <w:vAlign w:val="bottom"/>
            <w:hideMark/>
          </w:tcPr>
          <w:p w14:paraId="063136BF"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Marketing and Communications, 2017</w:t>
            </w:r>
          </w:p>
        </w:tc>
      </w:tr>
      <w:tr w:rsidR="00673432" w:rsidRPr="00673432" w14:paraId="09D080E6" w14:textId="77777777" w:rsidTr="006C72EF">
        <w:trPr>
          <w:gridAfter w:val="1"/>
          <w:wAfter w:w="10" w:type="dxa"/>
          <w:trHeight w:val="315"/>
        </w:trPr>
        <w:tc>
          <w:tcPr>
            <w:tcW w:w="2790" w:type="dxa"/>
            <w:gridSpan w:val="2"/>
            <w:shd w:val="clear" w:color="auto" w:fill="auto"/>
            <w:vAlign w:val="bottom"/>
            <w:hideMark/>
          </w:tcPr>
          <w:p w14:paraId="1787B854"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Not-For-Profit - Southeast, 2014</w:t>
            </w:r>
          </w:p>
        </w:tc>
        <w:tc>
          <w:tcPr>
            <w:tcW w:w="3420" w:type="dxa"/>
            <w:shd w:val="clear" w:color="auto" w:fill="auto"/>
            <w:vAlign w:val="bottom"/>
            <w:hideMark/>
          </w:tcPr>
          <w:p w14:paraId="4CB73AF1"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Sales, Mktg &amp; Comm, 2017</w:t>
            </w:r>
          </w:p>
        </w:tc>
        <w:tc>
          <w:tcPr>
            <w:tcW w:w="4230" w:type="dxa"/>
            <w:shd w:val="clear" w:color="auto" w:fill="auto"/>
            <w:vAlign w:val="bottom"/>
            <w:hideMark/>
          </w:tcPr>
          <w:p w14:paraId="2C5D13E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Office and Business Support, 2014</w:t>
            </w:r>
          </w:p>
        </w:tc>
      </w:tr>
      <w:tr w:rsidR="00673432" w:rsidRPr="00673432" w14:paraId="2047AD7D" w14:textId="77777777" w:rsidTr="006C72EF">
        <w:trPr>
          <w:gridAfter w:val="1"/>
          <w:wAfter w:w="10" w:type="dxa"/>
          <w:trHeight w:val="315"/>
        </w:trPr>
        <w:tc>
          <w:tcPr>
            <w:tcW w:w="2790" w:type="dxa"/>
            <w:gridSpan w:val="2"/>
            <w:shd w:val="clear" w:color="auto" w:fill="auto"/>
            <w:vAlign w:val="bottom"/>
            <w:hideMark/>
          </w:tcPr>
          <w:p w14:paraId="1EEDA91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Not-For-Profit - Southeast, 2015</w:t>
            </w:r>
          </w:p>
        </w:tc>
        <w:tc>
          <w:tcPr>
            <w:tcW w:w="3420" w:type="dxa"/>
            <w:shd w:val="clear" w:color="auto" w:fill="auto"/>
            <w:vAlign w:val="bottom"/>
            <w:hideMark/>
          </w:tcPr>
          <w:p w14:paraId="1E7C66F1"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Mercer Sales, Mktg &amp; Comm - Revised, 2015</w:t>
            </w:r>
          </w:p>
        </w:tc>
        <w:tc>
          <w:tcPr>
            <w:tcW w:w="4230" w:type="dxa"/>
            <w:shd w:val="clear" w:color="auto" w:fill="auto"/>
            <w:vAlign w:val="bottom"/>
            <w:hideMark/>
          </w:tcPr>
          <w:p w14:paraId="2585FD00"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Office and Business Support, 2015</w:t>
            </w:r>
          </w:p>
        </w:tc>
      </w:tr>
      <w:tr w:rsidR="00673432" w:rsidRPr="00673432" w14:paraId="679F1D22" w14:textId="77777777" w:rsidTr="006C72EF">
        <w:trPr>
          <w:gridAfter w:val="1"/>
          <w:wAfter w:w="10" w:type="dxa"/>
          <w:trHeight w:val="315"/>
        </w:trPr>
        <w:tc>
          <w:tcPr>
            <w:tcW w:w="2790" w:type="dxa"/>
            <w:gridSpan w:val="2"/>
            <w:shd w:val="clear" w:color="auto" w:fill="auto"/>
            <w:vAlign w:val="bottom"/>
            <w:hideMark/>
          </w:tcPr>
          <w:p w14:paraId="78D748A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Not-For-Profit - Southeast, 2016</w:t>
            </w:r>
          </w:p>
        </w:tc>
        <w:tc>
          <w:tcPr>
            <w:tcW w:w="3420" w:type="dxa"/>
            <w:shd w:val="clear" w:color="auto" w:fill="auto"/>
            <w:vAlign w:val="bottom"/>
            <w:hideMark/>
          </w:tcPr>
          <w:p w14:paraId="760A5FD7"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NACE Salary Survey</w:t>
            </w:r>
          </w:p>
        </w:tc>
        <w:tc>
          <w:tcPr>
            <w:tcW w:w="4230" w:type="dxa"/>
            <w:shd w:val="clear" w:color="auto" w:fill="auto"/>
            <w:vAlign w:val="bottom"/>
            <w:hideMark/>
          </w:tcPr>
          <w:p w14:paraId="070BB804"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Office and Business Support, 2016</w:t>
            </w:r>
          </w:p>
        </w:tc>
      </w:tr>
      <w:tr w:rsidR="00673432" w:rsidRPr="00673432" w14:paraId="7485B8A0" w14:textId="77777777" w:rsidTr="006C72EF">
        <w:trPr>
          <w:gridAfter w:val="1"/>
          <w:wAfter w:w="10" w:type="dxa"/>
          <w:trHeight w:val="510"/>
        </w:trPr>
        <w:tc>
          <w:tcPr>
            <w:tcW w:w="2790" w:type="dxa"/>
            <w:gridSpan w:val="2"/>
            <w:shd w:val="clear" w:color="auto" w:fill="auto"/>
            <w:vAlign w:val="bottom"/>
            <w:hideMark/>
          </w:tcPr>
          <w:p w14:paraId="5E2D9D9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Not-For-Profit - Southeast, 2017</w:t>
            </w:r>
          </w:p>
        </w:tc>
        <w:tc>
          <w:tcPr>
            <w:tcW w:w="3420" w:type="dxa"/>
            <w:shd w:val="clear" w:color="auto" w:fill="auto"/>
            <w:vAlign w:val="bottom"/>
            <w:hideMark/>
          </w:tcPr>
          <w:p w14:paraId="17033D1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National Compensation Association of State Government</w:t>
            </w:r>
          </w:p>
        </w:tc>
        <w:tc>
          <w:tcPr>
            <w:tcW w:w="4230" w:type="dxa"/>
            <w:shd w:val="clear" w:color="auto" w:fill="auto"/>
            <w:vAlign w:val="bottom"/>
            <w:hideMark/>
          </w:tcPr>
          <w:p w14:paraId="724C4F28"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Office and Business Support, 2017</w:t>
            </w:r>
          </w:p>
        </w:tc>
      </w:tr>
      <w:tr w:rsidR="00673432" w:rsidRPr="00673432" w14:paraId="14DD2D60" w14:textId="77777777" w:rsidTr="006C72EF">
        <w:trPr>
          <w:gridAfter w:val="1"/>
          <w:wAfter w:w="10" w:type="dxa"/>
          <w:trHeight w:val="510"/>
        </w:trPr>
        <w:tc>
          <w:tcPr>
            <w:tcW w:w="2790" w:type="dxa"/>
            <w:gridSpan w:val="2"/>
            <w:shd w:val="clear" w:color="auto" w:fill="auto"/>
            <w:vAlign w:val="bottom"/>
            <w:hideMark/>
          </w:tcPr>
          <w:p w14:paraId="4908BF2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Physicians  - National, 2013</w:t>
            </w:r>
          </w:p>
        </w:tc>
        <w:tc>
          <w:tcPr>
            <w:tcW w:w="3420" w:type="dxa"/>
            <w:shd w:val="clear" w:color="auto" w:fill="auto"/>
            <w:vAlign w:val="bottom"/>
            <w:hideMark/>
          </w:tcPr>
          <w:p w14:paraId="6F99D35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NCASG State Governments, 2013</w:t>
            </w:r>
          </w:p>
        </w:tc>
        <w:tc>
          <w:tcPr>
            <w:tcW w:w="4230" w:type="dxa"/>
            <w:shd w:val="clear" w:color="auto" w:fill="auto"/>
            <w:vAlign w:val="bottom"/>
            <w:hideMark/>
          </w:tcPr>
          <w:p w14:paraId="7B4EB0AF"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Supervisory &amp; Middle Management, 2014</w:t>
            </w:r>
          </w:p>
        </w:tc>
      </w:tr>
      <w:tr w:rsidR="00673432" w:rsidRPr="00673432" w14:paraId="2A872D14" w14:textId="77777777" w:rsidTr="006C72EF">
        <w:trPr>
          <w:gridAfter w:val="1"/>
          <w:wAfter w:w="10" w:type="dxa"/>
          <w:trHeight w:val="510"/>
        </w:trPr>
        <w:tc>
          <w:tcPr>
            <w:tcW w:w="2790" w:type="dxa"/>
            <w:gridSpan w:val="2"/>
            <w:shd w:val="clear" w:color="auto" w:fill="auto"/>
            <w:vAlign w:val="bottom"/>
            <w:hideMark/>
          </w:tcPr>
          <w:p w14:paraId="042282D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Physicians  - National, 2015</w:t>
            </w:r>
          </w:p>
        </w:tc>
        <w:tc>
          <w:tcPr>
            <w:tcW w:w="3420" w:type="dxa"/>
            <w:shd w:val="clear" w:color="auto" w:fill="auto"/>
            <w:vAlign w:val="bottom"/>
            <w:hideMark/>
          </w:tcPr>
          <w:p w14:paraId="3B01FFB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NCASG State Governments, 2014</w:t>
            </w:r>
          </w:p>
        </w:tc>
        <w:tc>
          <w:tcPr>
            <w:tcW w:w="4230" w:type="dxa"/>
            <w:shd w:val="clear" w:color="auto" w:fill="auto"/>
            <w:vAlign w:val="bottom"/>
            <w:hideMark/>
          </w:tcPr>
          <w:p w14:paraId="56BCF81C"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Supervisory &amp; Middle Management, 2015</w:t>
            </w:r>
          </w:p>
        </w:tc>
      </w:tr>
      <w:tr w:rsidR="00673432" w:rsidRPr="00673432" w14:paraId="240BB5CC" w14:textId="77777777" w:rsidTr="006C72EF">
        <w:trPr>
          <w:gridAfter w:val="1"/>
          <w:wAfter w:w="10" w:type="dxa"/>
          <w:trHeight w:val="510"/>
        </w:trPr>
        <w:tc>
          <w:tcPr>
            <w:tcW w:w="2790" w:type="dxa"/>
            <w:gridSpan w:val="2"/>
            <w:shd w:val="clear" w:color="auto" w:fill="auto"/>
            <w:vAlign w:val="bottom"/>
            <w:hideMark/>
          </w:tcPr>
          <w:p w14:paraId="1ED9291E"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Physicians - National, 2016</w:t>
            </w:r>
          </w:p>
        </w:tc>
        <w:tc>
          <w:tcPr>
            <w:tcW w:w="3420" w:type="dxa"/>
            <w:shd w:val="clear" w:color="auto" w:fill="auto"/>
            <w:vAlign w:val="bottom"/>
            <w:hideMark/>
          </w:tcPr>
          <w:p w14:paraId="0C0B1701"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NCASG State Governments, 2015</w:t>
            </w:r>
          </w:p>
        </w:tc>
        <w:tc>
          <w:tcPr>
            <w:tcW w:w="4230" w:type="dxa"/>
            <w:shd w:val="clear" w:color="auto" w:fill="auto"/>
            <w:vAlign w:val="bottom"/>
            <w:hideMark/>
          </w:tcPr>
          <w:p w14:paraId="207E303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Towers Watson CSR Supervisory &amp; Middle Management, 2016</w:t>
            </w:r>
          </w:p>
        </w:tc>
      </w:tr>
      <w:tr w:rsidR="00673432" w:rsidRPr="00673432" w14:paraId="19644F98" w14:textId="77777777" w:rsidTr="006C72EF">
        <w:trPr>
          <w:gridAfter w:val="1"/>
          <w:wAfter w:w="10" w:type="dxa"/>
          <w:trHeight w:val="510"/>
        </w:trPr>
        <w:tc>
          <w:tcPr>
            <w:tcW w:w="2790" w:type="dxa"/>
            <w:gridSpan w:val="2"/>
            <w:shd w:val="clear" w:color="auto" w:fill="auto"/>
            <w:vAlign w:val="bottom"/>
            <w:hideMark/>
          </w:tcPr>
          <w:p w14:paraId="704A1F7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CompData Physicians - National, 2017</w:t>
            </w:r>
          </w:p>
        </w:tc>
        <w:tc>
          <w:tcPr>
            <w:tcW w:w="3420" w:type="dxa"/>
            <w:shd w:val="clear" w:color="auto" w:fill="auto"/>
            <w:vAlign w:val="bottom"/>
            <w:hideMark/>
          </w:tcPr>
          <w:p w14:paraId="66A5CF3A"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NCASG State Governments, 2016</w:t>
            </w:r>
          </w:p>
        </w:tc>
        <w:tc>
          <w:tcPr>
            <w:tcW w:w="4230" w:type="dxa"/>
            <w:shd w:val="clear" w:color="auto" w:fill="auto"/>
            <w:vAlign w:val="bottom"/>
            <w:hideMark/>
          </w:tcPr>
          <w:p w14:paraId="020BCA80"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Supervisory &amp; Middle Management, 2017</w:t>
            </w:r>
          </w:p>
        </w:tc>
      </w:tr>
      <w:tr w:rsidR="00673432" w:rsidRPr="00673432" w14:paraId="609CC66D" w14:textId="77777777" w:rsidTr="006C72EF">
        <w:trPr>
          <w:gridAfter w:val="1"/>
          <w:wAfter w:w="10" w:type="dxa"/>
          <w:trHeight w:val="315"/>
        </w:trPr>
        <w:tc>
          <w:tcPr>
            <w:tcW w:w="2790" w:type="dxa"/>
            <w:gridSpan w:val="2"/>
            <w:shd w:val="clear" w:color="auto" w:fill="auto"/>
            <w:vAlign w:val="bottom"/>
            <w:hideMark/>
          </w:tcPr>
          <w:p w14:paraId="384E2B73"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County Salaries</w:t>
            </w:r>
          </w:p>
        </w:tc>
        <w:tc>
          <w:tcPr>
            <w:tcW w:w="3420" w:type="dxa"/>
            <w:shd w:val="clear" w:color="auto" w:fill="auto"/>
            <w:vAlign w:val="bottom"/>
            <w:hideMark/>
          </w:tcPr>
          <w:p w14:paraId="29E5B238"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NCASG State Governments, 2017</w:t>
            </w:r>
          </w:p>
        </w:tc>
        <w:tc>
          <w:tcPr>
            <w:tcW w:w="4230" w:type="dxa"/>
            <w:shd w:val="clear" w:color="auto" w:fill="auto"/>
            <w:vAlign w:val="bottom"/>
            <w:hideMark/>
          </w:tcPr>
          <w:p w14:paraId="6BF2E73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Willis Towers Watson CSR Top Management, 2017</w:t>
            </w:r>
          </w:p>
        </w:tc>
      </w:tr>
      <w:tr w:rsidR="00673432" w:rsidRPr="00673432" w14:paraId="44CC56EF" w14:textId="77777777" w:rsidTr="006C72EF">
        <w:trPr>
          <w:gridAfter w:val="1"/>
          <w:wAfter w:w="10" w:type="dxa"/>
          <w:trHeight w:val="315"/>
        </w:trPr>
        <w:tc>
          <w:tcPr>
            <w:tcW w:w="2790" w:type="dxa"/>
            <w:gridSpan w:val="2"/>
            <w:shd w:val="clear" w:color="auto" w:fill="auto"/>
            <w:vAlign w:val="bottom"/>
            <w:hideMark/>
          </w:tcPr>
          <w:p w14:paraId="79752C4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CUPA Non Exempt in Higher Education</w:t>
            </w:r>
          </w:p>
        </w:tc>
        <w:tc>
          <w:tcPr>
            <w:tcW w:w="3420" w:type="dxa"/>
            <w:shd w:val="clear" w:color="auto" w:fill="auto"/>
            <w:vAlign w:val="bottom"/>
            <w:hideMark/>
          </w:tcPr>
          <w:p w14:paraId="1F3049C1"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North Carolina County Salaries, 2014</w:t>
            </w:r>
          </w:p>
        </w:tc>
        <w:tc>
          <w:tcPr>
            <w:tcW w:w="4230" w:type="dxa"/>
            <w:shd w:val="clear" w:color="auto" w:fill="auto"/>
            <w:vAlign w:val="bottom"/>
            <w:hideMark/>
          </w:tcPr>
          <w:p w14:paraId="1A8A402A"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Western Management CompBase - Winter, 2014</w:t>
            </w:r>
          </w:p>
        </w:tc>
      </w:tr>
      <w:tr w:rsidR="00673432" w:rsidRPr="00673432" w14:paraId="2AC0E65F" w14:textId="77777777" w:rsidTr="006C72EF">
        <w:trPr>
          <w:gridAfter w:val="1"/>
          <w:wAfter w:w="10" w:type="dxa"/>
          <w:trHeight w:val="510"/>
        </w:trPr>
        <w:tc>
          <w:tcPr>
            <w:tcW w:w="2790" w:type="dxa"/>
            <w:gridSpan w:val="2"/>
            <w:shd w:val="clear" w:color="auto" w:fill="auto"/>
            <w:vAlign w:val="bottom"/>
            <w:hideMark/>
          </w:tcPr>
          <w:p w14:paraId="6E2FFA32"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CUPA Professional in Higher Education</w:t>
            </w:r>
          </w:p>
        </w:tc>
        <w:tc>
          <w:tcPr>
            <w:tcW w:w="3420" w:type="dxa"/>
            <w:shd w:val="clear" w:color="auto" w:fill="auto"/>
            <w:vAlign w:val="bottom"/>
            <w:hideMark/>
          </w:tcPr>
          <w:p w14:paraId="419E352B"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North Carolina County Salaries (State of North Carolina), 2015</w:t>
            </w:r>
          </w:p>
        </w:tc>
        <w:tc>
          <w:tcPr>
            <w:tcW w:w="4230" w:type="dxa"/>
            <w:shd w:val="clear" w:color="auto" w:fill="auto"/>
            <w:vAlign w:val="bottom"/>
            <w:hideMark/>
          </w:tcPr>
          <w:p w14:paraId="6D6A86C3"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Western Management Group CompBase - Winter, 2015</w:t>
            </w:r>
          </w:p>
        </w:tc>
      </w:tr>
      <w:tr w:rsidR="00673432" w:rsidRPr="00673432" w14:paraId="5E9769C3" w14:textId="77777777" w:rsidTr="006C72EF">
        <w:trPr>
          <w:gridAfter w:val="1"/>
          <w:wAfter w:w="10" w:type="dxa"/>
          <w:trHeight w:val="315"/>
        </w:trPr>
        <w:tc>
          <w:tcPr>
            <w:tcW w:w="2790" w:type="dxa"/>
            <w:gridSpan w:val="2"/>
            <w:shd w:val="clear" w:color="auto" w:fill="auto"/>
            <w:vAlign w:val="bottom"/>
            <w:hideMark/>
          </w:tcPr>
          <w:p w14:paraId="455283FB" w14:textId="497F93F5"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Foushee Environ, Health &amp; Safety, 2015</w:t>
            </w:r>
          </w:p>
        </w:tc>
        <w:tc>
          <w:tcPr>
            <w:tcW w:w="3420" w:type="dxa"/>
            <w:shd w:val="clear" w:color="auto" w:fill="auto"/>
            <w:vAlign w:val="bottom"/>
            <w:hideMark/>
          </w:tcPr>
          <w:p w14:paraId="099E1A3D"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Sullivan Cotter Physician, 2013</w:t>
            </w:r>
          </w:p>
        </w:tc>
        <w:tc>
          <w:tcPr>
            <w:tcW w:w="4230" w:type="dxa"/>
            <w:shd w:val="clear" w:color="auto" w:fill="auto"/>
            <w:vAlign w:val="bottom"/>
            <w:hideMark/>
          </w:tcPr>
          <w:p w14:paraId="116158C6"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Western Management Group CompBase - Winter, 2016</w:t>
            </w:r>
          </w:p>
        </w:tc>
      </w:tr>
      <w:tr w:rsidR="00673432" w:rsidRPr="00673432" w14:paraId="77015FBF" w14:textId="77777777" w:rsidTr="006C72EF">
        <w:trPr>
          <w:gridAfter w:val="1"/>
          <w:wAfter w:w="10" w:type="dxa"/>
          <w:trHeight w:val="315"/>
        </w:trPr>
        <w:tc>
          <w:tcPr>
            <w:tcW w:w="2790" w:type="dxa"/>
            <w:gridSpan w:val="2"/>
            <w:shd w:val="clear" w:color="auto" w:fill="FFFFFF" w:themeFill="background1"/>
            <w:noWrap/>
            <w:vAlign w:val="bottom"/>
            <w:hideMark/>
          </w:tcPr>
          <w:p w14:paraId="71C142C4"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 </w:t>
            </w:r>
          </w:p>
        </w:tc>
        <w:tc>
          <w:tcPr>
            <w:tcW w:w="3420" w:type="dxa"/>
            <w:shd w:val="clear" w:color="auto" w:fill="FFFFFF" w:themeFill="background1"/>
            <w:noWrap/>
            <w:vAlign w:val="bottom"/>
            <w:hideMark/>
          </w:tcPr>
          <w:p w14:paraId="1E2B4CBF"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 </w:t>
            </w:r>
          </w:p>
        </w:tc>
        <w:tc>
          <w:tcPr>
            <w:tcW w:w="4230" w:type="dxa"/>
            <w:shd w:val="clear" w:color="auto" w:fill="auto"/>
            <w:vAlign w:val="bottom"/>
            <w:hideMark/>
          </w:tcPr>
          <w:p w14:paraId="7E2BF275" w14:textId="77777777" w:rsidR="00673432" w:rsidRPr="00673432" w:rsidRDefault="00673432" w:rsidP="00673432">
            <w:pPr>
              <w:rPr>
                <w:rFonts w:ascii="Calibri" w:hAnsi="Calibri" w:cs="Calibri"/>
                <w:color w:val="000000"/>
                <w:sz w:val="18"/>
                <w:szCs w:val="18"/>
              </w:rPr>
            </w:pPr>
            <w:r w:rsidRPr="00673432">
              <w:rPr>
                <w:rFonts w:ascii="Calibri" w:hAnsi="Calibri" w:cs="Calibri"/>
                <w:color w:val="000000"/>
                <w:sz w:val="18"/>
                <w:szCs w:val="18"/>
              </w:rPr>
              <w:t>Western Management Group CompBase - Winter, 2017</w:t>
            </w:r>
          </w:p>
        </w:tc>
      </w:tr>
    </w:tbl>
    <w:p w14:paraId="0AC31C4C" w14:textId="77777777" w:rsidR="00023695" w:rsidRDefault="00023695" w:rsidP="00DD1AB3">
      <w:pPr>
        <w:jc w:val="center"/>
        <w:rPr>
          <w:rFonts w:ascii="Arial" w:hAnsi="Arial" w:cs="Arial"/>
          <w:color w:val="008000"/>
        </w:rPr>
      </w:pPr>
    </w:p>
    <w:p w14:paraId="7A215776" w14:textId="77777777" w:rsidR="00023695" w:rsidRDefault="00023695">
      <w:pPr>
        <w:rPr>
          <w:rFonts w:ascii="Arial" w:hAnsi="Arial" w:cs="Arial"/>
          <w:color w:val="008000"/>
        </w:rPr>
      </w:pPr>
      <w:r>
        <w:rPr>
          <w:rFonts w:ascii="Arial" w:hAnsi="Arial" w:cs="Arial"/>
          <w:color w:val="008000"/>
        </w:rPr>
        <w:br w:type="page"/>
      </w:r>
    </w:p>
    <w:p w14:paraId="6EB3F98E" w14:textId="77777777" w:rsidR="00C63D6C" w:rsidRPr="003E75EA" w:rsidRDefault="00D71A17" w:rsidP="00AE7510">
      <w:pPr>
        <w:widowControl w:val="0"/>
        <w:autoSpaceDE w:val="0"/>
        <w:autoSpaceDN w:val="0"/>
        <w:adjustRightInd w:val="0"/>
        <w:jc w:val="center"/>
        <w:rPr>
          <w:rFonts w:asciiTheme="minorHAnsi" w:hAnsiTheme="minorHAnsi" w:cs="Arial"/>
          <w:b/>
          <w:bCs/>
          <w:sz w:val="24"/>
        </w:rPr>
      </w:pPr>
      <w:r w:rsidRPr="003E75EA">
        <w:rPr>
          <w:rFonts w:asciiTheme="minorHAnsi" w:hAnsiTheme="minorHAnsi" w:cs="Arial"/>
          <w:b/>
          <w:bCs/>
          <w:sz w:val="24"/>
        </w:rPr>
        <w:lastRenderedPageBreak/>
        <w:t>BENCHMARK CLASSES</w:t>
      </w:r>
    </w:p>
    <w:p w14:paraId="0979B201" w14:textId="77777777" w:rsidR="008809E7" w:rsidRPr="003E75EA" w:rsidRDefault="00C63D6C" w:rsidP="00AE7510">
      <w:pPr>
        <w:pStyle w:val="BodyText"/>
        <w:tabs>
          <w:tab w:val="left" w:pos="2160"/>
          <w:tab w:val="left" w:pos="2250"/>
        </w:tabs>
        <w:jc w:val="center"/>
        <w:rPr>
          <w:rFonts w:asciiTheme="minorHAnsi" w:hAnsiTheme="minorHAnsi" w:cs="Arial"/>
          <w:b/>
          <w:bCs/>
          <w:sz w:val="24"/>
        </w:rPr>
      </w:pPr>
      <w:r w:rsidRPr="003E75EA">
        <w:rPr>
          <w:rFonts w:asciiTheme="minorHAnsi" w:hAnsiTheme="minorHAnsi" w:cs="Arial"/>
          <w:b/>
          <w:bCs/>
          <w:sz w:val="24"/>
        </w:rPr>
        <w:t xml:space="preserve">Labor Market Data </w:t>
      </w:r>
      <w:r w:rsidR="00D14017" w:rsidRPr="003E75EA">
        <w:rPr>
          <w:rFonts w:asciiTheme="minorHAnsi" w:hAnsiTheme="minorHAnsi" w:cs="Arial"/>
          <w:b/>
          <w:bCs/>
          <w:sz w:val="24"/>
        </w:rPr>
        <w:t>Summary (</w:t>
      </w:r>
      <w:r w:rsidR="00857D71" w:rsidRPr="003E75EA">
        <w:rPr>
          <w:rFonts w:asciiTheme="minorHAnsi" w:hAnsiTheme="minorHAnsi" w:cs="Arial"/>
          <w:b/>
          <w:bCs/>
          <w:sz w:val="24"/>
        </w:rPr>
        <w:t xml:space="preserve">State </w:t>
      </w:r>
      <w:r w:rsidR="008809E7" w:rsidRPr="003E75EA">
        <w:rPr>
          <w:rFonts w:asciiTheme="minorHAnsi" w:hAnsiTheme="minorHAnsi" w:cs="Arial"/>
          <w:b/>
          <w:bCs/>
          <w:sz w:val="24"/>
        </w:rPr>
        <w:t>Agencies Only, Does Not Include Universities)</w:t>
      </w:r>
    </w:p>
    <w:p w14:paraId="1CAE75C1" w14:textId="77777777" w:rsidR="00AA3497" w:rsidRPr="003A1085" w:rsidRDefault="00AA3497" w:rsidP="00AA3497">
      <w:pPr>
        <w:pStyle w:val="BodyText"/>
        <w:tabs>
          <w:tab w:val="left" w:pos="2160"/>
          <w:tab w:val="left" w:pos="2250"/>
        </w:tabs>
        <w:jc w:val="left"/>
        <w:rPr>
          <w:rFonts w:asciiTheme="minorHAnsi" w:hAnsiTheme="minorHAnsi" w:cs="Arial"/>
          <w:b/>
          <w:bCs/>
          <w:sz w:val="24"/>
          <w:highlight w:val="red"/>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260"/>
        <w:gridCol w:w="1080"/>
        <w:gridCol w:w="1260"/>
        <w:gridCol w:w="1440"/>
        <w:gridCol w:w="1622"/>
      </w:tblGrid>
      <w:tr w:rsidR="001479C5" w:rsidRPr="001D201C" w14:paraId="509110BD" w14:textId="77777777" w:rsidTr="001479C5">
        <w:trPr>
          <w:trHeight w:val="998"/>
        </w:trPr>
        <w:tc>
          <w:tcPr>
            <w:tcW w:w="3860" w:type="dxa"/>
            <w:shd w:val="clear" w:color="000000" w:fill="B7DEE8"/>
            <w:vAlign w:val="center"/>
            <w:hideMark/>
          </w:tcPr>
          <w:p w14:paraId="6BE83917" w14:textId="77777777" w:rsidR="001479C5" w:rsidRPr="001D201C" w:rsidRDefault="001479C5" w:rsidP="001D201C">
            <w:pPr>
              <w:rPr>
                <w:rFonts w:ascii="Calibri" w:hAnsi="Calibri" w:cs="Calibri"/>
                <w:b/>
                <w:bCs/>
                <w:color w:val="000000"/>
                <w:szCs w:val="22"/>
              </w:rPr>
            </w:pPr>
            <w:r w:rsidRPr="001D201C">
              <w:rPr>
                <w:rFonts w:ascii="Calibri" w:hAnsi="Calibri" w:cs="Calibri"/>
                <w:b/>
                <w:bCs/>
                <w:color w:val="000000"/>
                <w:szCs w:val="22"/>
              </w:rPr>
              <w:t>Job Title</w:t>
            </w:r>
          </w:p>
        </w:tc>
        <w:tc>
          <w:tcPr>
            <w:tcW w:w="1260" w:type="dxa"/>
            <w:shd w:val="clear" w:color="000000" w:fill="B7DEE8"/>
            <w:vAlign w:val="center"/>
            <w:hideMark/>
          </w:tcPr>
          <w:p w14:paraId="46E3083D" w14:textId="77777777" w:rsidR="001479C5" w:rsidRPr="001D201C" w:rsidRDefault="001479C5" w:rsidP="001D201C">
            <w:pPr>
              <w:jc w:val="center"/>
              <w:rPr>
                <w:rFonts w:ascii="Calibri" w:hAnsi="Calibri" w:cs="Calibri"/>
                <w:b/>
                <w:bCs/>
                <w:color w:val="000000"/>
                <w:szCs w:val="22"/>
              </w:rPr>
            </w:pPr>
            <w:r w:rsidRPr="001D201C">
              <w:rPr>
                <w:rFonts w:ascii="Calibri" w:hAnsi="Calibri" w:cs="Calibri"/>
                <w:b/>
                <w:bCs/>
                <w:color w:val="000000"/>
                <w:szCs w:val="22"/>
              </w:rPr>
              <w:t>Number of Employees</w:t>
            </w:r>
          </w:p>
        </w:tc>
        <w:tc>
          <w:tcPr>
            <w:tcW w:w="1080" w:type="dxa"/>
            <w:shd w:val="clear" w:color="000000" w:fill="B7DEE8"/>
            <w:vAlign w:val="center"/>
            <w:hideMark/>
          </w:tcPr>
          <w:p w14:paraId="0EBFE0C2" w14:textId="77777777" w:rsidR="001479C5" w:rsidRPr="001D201C" w:rsidRDefault="001479C5" w:rsidP="001D201C">
            <w:pPr>
              <w:jc w:val="center"/>
              <w:rPr>
                <w:rFonts w:ascii="Calibri" w:hAnsi="Calibri" w:cs="Calibri"/>
                <w:b/>
                <w:bCs/>
                <w:color w:val="000000"/>
                <w:szCs w:val="22"/>
              </w:rPr>
            </w:pPr>
            <w:r w:rsidRPr="001D201C">
              <w:rPr>
                <w:rFonts w:ascii="Calibri" w:hAnsi="Calibri" w:cs="Calibri"/>
                <w:b/>
                <w:bCs/>
                <w:color w:val="000000"/>
                <w:szCs w:val="22"/>
              </w:rPr>
              <w:t>Base Salary Avg</w:t>
            </w:r>
          </w:p>
        </w:tc>
        <w:tc>
          <w:tcPr>
            <w:tcW w:w="1260" w:type="dxa"/>
            <w:shd w:val="clear" w:color="000000" w:fill="B7DEE8"/>
            <w:vAlign w:val="center"/>
            <w:hideMark/>
          </w:tcPr>
          <w:p w14:paraId="721E28B9" w14:textId="70AA05F1" w:rsidR="001479C5" w:rsidRPr="001D201C" w:rsidRDefault="001479C5" w:rsidP="001D201C">
            <w:pPr>
              <w:jc w:val="center"/>
              <w:rPr>
                <w:rFonts w:ascii="Calibri" w:hAnsi="Calibri" w:cs="Calibri"/>
                <w:b/>
                <w:bCs/>
                <w:color w:val="000000"/>
                <w:szCs w:val="22"/>
              </w:rPr>
            </w:pPr>
            <w:r w:rsidRPr="001D201C">
              <w:rPr>
                <w:rFonts w:ascii="Calibri" w:hAnsi="Calibri" w:cs="Calibri"/>
                <w:b/>
                <w:bCs/>
                <w:color w:val="000000"/>
                <w:szCs w:val="22"/>
              </w:rPr>
              <w:t>Market Base Salary Avg</w:t>
            </w:r>
          </w:p>
        </w:tc>
        <w:tc>
          <w:tcPr>
            <w:tcW w:w="1440" w:type="dxa"/>
            <w:shd w:val="clear" w:color="000000" w:fill="B7DEE8"/>
            <w:vAlign w:val="center"/>
            <w:hideMark/>
          </w:tcPr>
          <w:p w14:paraId="0A0D2E88" w14:textId="77777777" w:rsidR="001479C5" w:rsidRPr="001D201C" w:rsidRDefault="001479C5" w:rsidP="001D201C">
            <w:pPr>
              <w:jc w:val="center"/>
              <w:rPr>
                <w:rFonts w:ascii="Calibri" w:hAnsi="Calibri" w:cs="Calibri"/>
                <w:b/>
                <w:bCs/>
                <w:color w:val="000000"/>
                <w:szCs w:val="22"/>
              </w:rPr>
            </w:pPr>
            <w:r w:rsidRPr="001D201C">
              <w:rPr>
                <w:rFonts w:ascii="Calibri" w:hAnsi="Calibri" w:cs="Calibri"/>
                <w:b/>
                <w:bCs/>
                <w:color w:val="000000"/>
                <w:szCs w:val="22"/>
              </w:rPr>
              <w:t>Labor Market Pay Gap</w:t>
            </w:r>
          </w:p>
        </w:tc>
        <w:tc>
          <w:tcPr>
            <w:tcW w:w="1622" w:type="dxa"/>
            <w:shd w:val="clear" w:color="000000" w:fill="B7DEE8"/>
            <w:vAlign w:val="center"/>
            <w:hideMark/>
          </w:tcPr>
          <w:p w14:paraId="208A140C" w14:textId="77777777" w:rsidR="001479C5" w:rsidRPr="001D201C" w:rsidRDefault="001479C5" w:rsidP="001D201C">
            <w:pPr>
              <w:jc w:val="center"/>
              <w:rPr>
                <w:rFonts w:ascii="Calibri" w:hAnsi="Calibri" w:cs="Calibri"/>
                <w:b/>
                <w:bCs/>
                <w:color w:val="000000"/>
                <w:szCs w:val="22"/>
              </w:rPr>
            </w:pPr>
            <w:r w:rsidRPr="001D201C">
              <w:rPr>
                <w:rFonts w:ascii="Calibri" w:hAnsi="Calibri" w:cs="Calibri"/>
                <w:b/>
                <w:bCs/>
                <w:color w:val="000000"/>
                <w:szCs w:val="22"/>
              </w:rPr>
              <w:t>FY16/17</w:t>
            </w:r>
          </w:p>
          <w:p w14:paraId="36BECB7B" w14:textId="6C2FDFEE" w:rsidR="001479C5" w:rsidRPr="001D201C" w:rsidRDefault="001479C5" w:rsidP="001D201C">
            <w:pPr>
              <w:jc w:val="center"/>
              <w:rPr>
                <w:rFonts w:ascii="Calibri" w:hAnsi="Calibri" w:cs="Calibri"/>
                <w:b/>
                <w:bCs/>
                <w:color w:val="000000"/>
                <w:szCs w:val="22"/>
              </w:rPr>
            </w:pPr>
            <w:r w:rsidRPr="001D201C">
              <w:rPr>
                <w:rFonts w:ascii="Calibri" w:hAnsi="Calibri" w:cs="Calibri"/>
                <w:b/>
                <w:bCs/>
                <w:color w:val="000000"/>
                <w:szCs w:val="22"/>
              </w:rPr>
              <w:t>Turnover Rate</w:t>
            </w:r>
          </w:p>
        </w:tc>
      </w:tr>
      <w:tr w:rsidR="001D201C" w:rsidRPr="001D201C" w14:paraId="2943CF95" w14:textId="77777777" w:rsidTr="001479C5">
        <w:trPr>
          <w:trHeight w:val="315"/>
        </w:trPr>
        <w:tc>
          <w:tcPr>
            <w:tcW w:w="10522" w:type="dxa"/>
            <w:gridSpan w:val="6"/>
            <w:shd w:val="clear" w:color="000000" w:fill="D9D9D9"/>
            <w:vAlign w:val="center"/>
            <w:hideMark/>
          </w:tcPr>
          <w:p w14:paraId="03D1F8D6" w14:textId="77777777" w:rsidR="001D201C" w:rsidRPr="001D201C" w:rsidRDefault="001D201C" w:rsidP="001D201C">
            <w:pPr>
              <w:rPr>
                <w:rFonts w:ascii="Calibri" w:hAnsi="Calibri" w:cs="Calibri"/>
                <w:color w:val="000000"/>
                <w:szCs w:val="22"/>
              </w:rPr>
            </w:pPr>
            <w:r w:rsidRPr="001D201C">
              <w:rPr>
                <w:rFonts w:ascii="Calibri" w:hAnsi="Calibri" w:cs="Calibri"/>
                <w:color w:val="000000"/>
                <w:szCs w:val="22"/>
              </w:rPr>
              <w:t>ADMINISTRATIVE SUPPORT</w:t>
            </w:r>
          </w:p>
        </w:tc>
      </w:tr>
      <w:tr w:rsidR="001D201C" w:rsidRPr="001D201C" w14:paraId="43709F18" w14:textId="77777777" w:rsidTr="001479C5">
        <w:trPr>
          <w:trHeight w:val="315"/>
        </w:trPr>
        <w:tc>
          <w:tcPr>
            <w:tcW w:w="3860" w:type="dxa"/>
            <w:shd w:val="clear" w:color="auto" w:fill="auto"/>
            <w:noWrap/>
            <w:vAlign w:val="center"/>
            <w:hideMark/>
          </w:tcPr>
          <w:p w14:paraId="297F620D"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Office Assistant IV</w:t>
            </w:r>
          </w:p>
        </w:tc>
        <w:tc>
          <w:tcPr>
            <w:tcW w:w="1260" w:type="dxa"/>
            <w:shd w:val="clear" w:color="auto" w:fill="auto"/>
            <w:noWrap/>
            <w:vAlign w:val="bottom"/>
            <w:hideMark/>
          </w:tcPr>
          <w:p w14:paraId="16E15BE3"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833</w:t>
            </w:r>
          </w:p>
        </w:tc>
        <w:tc>
          <w:tcPr>
            <w:tcW w:w="1080" w:type="dxa"/>
            <w:shd w:val="clear" w:color="auto" w:fill="auto"/>
            <w:noWrap/>
            <w:vAlign w:val="bottom"/>
            <w:hideMark/>
          </w:tcPr>
          <w:p w14:paraId="5E8ED66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34,888.</w:t>
            </w:r>
          </w:p>
        </w:tc>
        <w:tc>
          <w:tcPr>
            <w:tcW w:w="1260" w:type="dxa"/>
            <w:shd w:val="clear" w:color="auto" w:fill="auto"/>
            <w:noWrap/>
            <w:vAlign w:val="center"/>
            <w:hideMark/>
          </w:tcPr>
          <w:p w14:paraId="28C47285"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38,119</w:t>
            </w:r>
          </w:p>
        </w:tc>
        <w:tc>
          <w:tcPr>
            <w:tcW w:w="1440" w:type="dxa"/>
            <w:shd w:val="clear" w:color="auto" w:fill="auto"/>
            <w:noWrap/>
            <w:vAlign w:val="center"/>
            <w:hideMark/>
          </w:tcPr>
          <w:p w14:paraId="136A178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-9.26%</w:t>
            </w:r>
          </w:p>
        </w:tc>
        <w:tc>
          <w:tcPr>
            <w:tcW w:w="1622" w:type="dxa"/>
            <w:shd w:val="clear" w:color="auto" w:fill="auto"/>
            <w:noWrap/>
            <w:vAlign w:val="center"/>
            <w:hideMark/>
          </w:tcPr>
          <w:p w14:paraId="6816881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10.10%</w:t>
            </w:r>
          </w:p>
        </w:tc>
      </w:tr>
      <w:tr w:rsidR="001D201C" w:rsidRPr="001D201C" w14:paraId="2AAC0570" w14:textId="77777777" w:rsidTr="001479C5">
        <w:trPr>
          <w:trHeight w:val="315"/>
        </w:trPr>
        <w:tc>
          <w:tcPr>
            <w:tcW w:w="3860" w:type="dxa"/>
            <w:shd w:val="clear" w:color="auto" w:fill="auto"/>
            <w:noWrap/>
            <w:vAlign w:val="center"/>
            <w:hideMark/>
          </w:tcPr>
          <w:p w14:paraId="52943E66"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Executive Assistant I</w:t>
            </w:r>
          </w:p>
        </w:tc>
        <w:tc>
          <w:tcPr>
            <w:tcW w:w="1260" w:type="dxa"/>
            <w:shd w:val="clear" w:color="auto" w:fill="auto"/>
            <w:noWrap/>
            <w:vAlign w:val="bottom"/>
            <w:hideMark/>
          </w:tcPr>
          <w:p w14:paraId="1C2AB15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40</w:t>
            </w:r>
          </w:p>
        </w:tc>
        <w:tc>
          <w:tcPr>
            <w:tcW w:w="1080" w:type="dxa"/>
            <w:shd w:val="clear" w:color="auto" w:fill="auto"/>
            <w:noWrap/>
            <w:vAlign w:val="bottom"/>
            <w:hideMark/>
          </w:tcPr>
          <w:p w14:paraId="2CE2FC40"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45,558.</w:t>
            </w:r>
          </w:p>
        </w:tc>
        <w:tc>
          <w:tcPr>
            <w:tcW w:w="1260" w:type="dxa"/>
            <w:shd w:val="clear" w:color="auto" w:fill="auto"/>
            <w:noWrap/>
            <w:vAlign w:val="center"/>
            <w:hideMark/>
          </w:tcPr>
          <w:p w14:paraId="1AF3F75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59,916</w:t>
            </w:r>
          </w:p>
        </w:tc>
        <w:tc>
          <w:tcPr>
            <w:tcW w:w="1440" w:type="dxa"/>
            <w:shd w:val="clear" w:color="auto" w:fill="auto"/>
            <w:noWrap/>
            <w:vAlign w:val="center"/>
            <w:hideMark/>
          </w:tcPr>
          <w:p w14:paraId="1C63D6F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-31.52%</w:t>
            </w:r>
          </w:p>
        </w:tc>
        <w:tc>
          <w:tcPr>
            <w:tcW w:w="1622" w:type="dxa"/>
            <w:shd w:val="clear" w:color="auto" w:fill="auto"/>
            <w:noWrap/>
            <w:vAlign w:val="center"/>
            <w:hideMark/>
          </w:tcPr>
          <w:p w14:paraId="3D3B655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15.80%</w:t>
            </w:r>
          </w:p>
        </w:tc>
      </w:tr>
      <w:tr w:rsidR="001D201C" w:rsidRPr="001D201C" w14:paraId="14FA0781" w14:textId="77777777" w:rsidTr="001479C5">
        <w:trPr>
          <w:trHeight w:val="315"/>
        </w:trPr>
        <w:tc>
          <w:tcPr>
            <w:tcW w:w="10522" w:type="dxa"/>
            <w:gridSpan w:val="6"/>
            <w:shd w:val="clear" w:color="000000" w:fill="D9D9D9"/>
            <w:noWrap/>
            <w:vAlign w:val="center"/>
            <w:hideMark/>
          </w:tcPr>
          <w:p w14:paraId="24596811"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AGRICULTURAL, ENVIRONMENTAL AND SCIENTIFIC</w:t>
            </w:r>
          </w:p>
        </w:tc>
      </w:tr>
      <w:tr w:rsidR="001D201C" w:rsidRPr="001D201C" w14:paraId="75A0F9D7" w14:textId="77777777" w:rsidTr="001479C5">
        <w:trPr>
          <w:trHeight w:val="315"/>
        </w:trPr>
        <w:tc>
          <w:tcPr>
            <w:tcW w:w="3860" w:type="dxa"/>
            <w:shd w:val="clear" w:color="auto" w:fill="auto"/>
            <w:noWrap/>
            <w:vAlign w:val="center"/>
            <w:hideMark/>
          </w:tcPr>
          <w:p w14:paraId="56FEA399"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Chemist I</w:t>
            </w:r>
          </w:p>
        </w:tc>
        <w:tc>
          <w:tcPr>
            <w:tcW w:w="1260" w:type="dxa"/>
            <w:shd w:val="clear" w:color="auto" w:fill="auto"/>
            <w:noWrap/>
            <w:vAlign w:val="bottom"/>
            <w:hideMark/>
          </w:tcPr>
          <w:p w14:paraId="01D7063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32</w:t>
            </w:r>
          </w:p>
        </w:tc>
        <w:tc>
          <w:tcPr>
            <w:tcW w:w="1080" w:type="dxa"/>
            <w:shd w:val="clear" w:color="auto" w:fill="auto"/>
            <w:noWrap/>
            <w:vAlign w:val="bottom"/>
            <w:hideMark/>
          </w:tcPr>
          <w:p w14:paraId="31163975"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50,326.</w:t>
            </w:r>
          </w:p>
        </w:tc>
        <w:tc>
          <w:tcPr>
            <w:tcW w:w="1260" w:type="dxa"/>
            <w:shd w:val="clear" w:color="auto" w:fill="auto"/>
            <w:noWrap/>
            <w:vAlign w:val="center"/>
            <w:hideMark/>
          </w:tcPr>
          <w:p w14:paraId="3CA7104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60,778</w:t>
            </w:r>
          </w:p>
        </w:tc>
        <w:tc>
          <w:tcPr>
            <w:tcW w:w="1440" w:type="dxa"/>
            <w:shd w:val="clear" w:color="auto" w:fill="auto"/>
            <w:noWrap/>
            <w:vAlign w:val="center"/>
            <w:hideMark/>
          </w:tcPr>
          <w:p w14:paraId="70293FC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-20.77%</w:t>
            </w:r>
          </w:p>
        </w:tc>
        <w:tc>
          <w:tcPr>
            <w:tcW w:w="1622" w:type="dxa"/>
            <w:shd w:val="clear" w:color="auto" w:fill="auto"/>
            <w:noWrap/>
            <w:vAlign w:val="center"/>
            <w:hideMark/>
          </w:tcPr>
          <w:p w14:paraId="79816F8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6.30%</w:t>
            </w:r>
          </w:p>
        </w:tc>
      </w:tr>
      <w:tr w:rsidR="001D201C" w:rsidRPr="001D201C" w14:paraId="11EA4A37" w14:textId="77777777" w:rsidTr="001479C5">
        <w:trPr>
          <w:trHeight w:val="315"/>
        </w:trPr>
        <w:tc>
          <w:tcPr>
            <w:tcW w:w="3860" w:type="dxa"/>
            <w:shd w:val="clear" w:color="auto" w:fill="auto"/>
            <w:noWrap/>
            <w:vAlign w:val="center"/>
            <w:hideMark/>
          </w:tcPr>
          <w:p w14:paraId="3B9D9EEC"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Forester I</w:t>
            </w:r>
          </w:p>
        </w:tc>
        <w:tc>
          <w:tcPr>
            <w:tcW w:w="1260" w:type="dxa"/>
            <w:shd w:val="clear" w:color="auto" w:fill="auto"/>
            <w:noWrap/>
            <w:vAlign w:val="bottom"/>
            <w:hideMark/>
          </w:tcPr>
          <w:p w14:paraId="28E69A47"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25</w:t>
            </w:r>
          </w:p>
        </w:tc>
        <w:tc>
          <w:tcPr>
            <w:tcW w:w="1080" w:type="dxa"/>
            <w:shd w:val="clear" w:color="auto" w:fill="auto"/>
            <w:noWrap/>
            <w:vAlign w:val="bottom"/>
            <w:hideMark/>
          </w:tcPr>
          <w:p w14:paraId="31B967C4"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40,521.</w:t>
            </w:r>
          </w:p>
        </w:tc>
        <w:tc>
          <w:tcPr>
            <w:tcW w:w="1260" w:type="dxa"/>
            <w:shd w:val="clear" w:color="auto" w:fill="auto"/>
            <w:noWrap/>
            <w:vAlign w:val="center"/>
            <w:hideMark/>
          </w:tcPr>
          <w:p w14:paraId="30CE991B"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42,043</w:t>
            </w:r>
          </w:p>
        </w:tc>
        <w:tc>
          <w:tcPr>
            <w:tcW w:w="1440" w:type="dxa"/>
            <w:shd w:val="clear" w:color="auto" w:fill="auto"/>
            <w:noWrap/>
            <w:vAlign w:val="center"/>
            <w:hideMark/>
          </w:tcPr>
          <w:p w14:paraId="00D45E8E"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-3.76%</w:t>
            </w:r>
          </w:p>
        </w:tc>
        <w:tc>
          <w:tcPr>
            <w:tcW w:w="1622" w:type="dxa"/>
            <w:shd w:val="clear" w:color="auto" w:fill="auto"/>
            <w:noWrap/>
            <w:vAlign w:val="center"/>
            <w:hideMark/>
          </w:tcPr>
          <w:p w14:paraId="6E3C147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0.00%</w:t>
            </w:r>
          </w:p>
        </w:tc>
      </w:tr>
      <w:tr w:rsidR="001D201C" w:rsidRPr="001D201C" w14:paraId="4F046AEE" w14:textId="77777777" w:rsidTr="001479C5">
        <w:trPr>
          <w:trHeight w:val="315"/>
        </w:trPr>
        <w:tc>
          <w:tcPr>
            <w:tcW w:w="10522" w:type="dxa"/>
            <w:gridSpan w:val="6"/>
            <w:shd w:val="clear" w:color="000000" w:fill="D9D9D9"/>
            <w:noWrap/>
            <w:vAlign w:val="center"/>
            <w:hideMark/>
          </w:tcPr>
          <w:p w14:paraId="642DE058"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EDUCATION AND TRAINING</w:t>
            </w:r>
          </w:p>
        </w:tc>
      </w:tr>
      <w:tr w:rsidR="001D201C" w:rsidRPr="001D201C" w14:paraId="02EBB22B" w14:textId="77777777" w:rsidTr="001479C5">
        <w:trPr>
          <w:trHeight w:val="315"/>
        </w:trPr>
        <w:tc>
          <w:tcPr>
            <w:tcW w:w="3860" w:type="dxa"/>
            <w:shd w:val="clear" w:color="auto" w:fill="auto"/>
            <w:noWrap/>
            <w:vAlign w:val="center"/>
            <w:hideMark/>
          </w:tcPr>
          <w:p w14:paraId="778719EE"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Staff Development Specialist II</w:t>
            </w:r>
          </w:p>
        </w:tc>
        <w:tc>
          <w:tcPr>
            <w:tcW w:w="1260" w:type="dxa"/>
            <w:shd w:val="clear" w:color="auto" w:fill="auto"/>
            <w:noWrap/>
            <w:vAlign w:val="bottom"/>
            <w:hideMark/>
          </w:tcPr>
          <w:p w14:paraId="14FAA7C4"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38</w:t>
            </w:r>
          </w:p>
        </w:tc>
        <w:tc>
          <w:tcPr>
            <w:tcW w:w="1080" w:type="dxa"/>
            <w:shd w:val="clear" w:color="auto" w:fill="auto"/>
            <w:noWrap/>
            <w:vAlign w:val="bottom"/>
            <w:hideMark/>
          </w:tcPr>
          <w:p w14:paraId="6F02B7A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49,586.</w:t>
            </w:r>
          </w:p>
        </w:tc>
        <w:tc>
          <w:tcPr>
            <w:tcW w:w="1260" w:type="dxa"/>
            <w:shd w:val="clear" w:color="auto" w:fill="auto"/>
            <w:noWrap/>
            <w:vAlign w:val="center"/>
            <w:hideMark/>
          </w:tcPr>
          <w:p w14:paraId="564D983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59,468</w:t>
            </w:r>
          </w:p>
        </w:tc>
        <w:tc>
          <w:tcPr>
            <w:tcW w:w="1440" w:type="dxa"/>
            <w:shd w:val="clear" w:color="auto" w:fill="auto"/>
            <w:noWrap/>
            <w:vAlign w:val="center"/>
            <w:hideMark/>
          </w:tcPr>
          <w:p w14:paraId="79D5D96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-19.93%</w:t>
            </w:r>
          </w:p>
        </w:tc>
        <w:tc>
          <w:tcPr>
            <w:tcW w:w="1622" w:type="dxa"/>
            <w:shd w:val="clear" w:color="auto" w:fill="auto"/>
            <w:noWrap/>
            <w:vAlign w:val="center"/>
            <w:hideMark/>
          </w:tcPr>
          <w:p w14:paraId="1C018F85"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14.70%</w:t>
            </w:r>
          </w:p>
        </w:tc>
      </w:tr>
      <w:tr w:rsidR="001D201C" w:rsidRPr="001D201C" w14:paraId="63ED6467" w14:textId="77777777" w:rsidTr="001479C5">
        <w:trPr>
          <w:trHeight w:val="315"/>
        </w:trPr>
        <w:tc>
          <w:tcPr>
            <w:tcW w:w="10522" w:type="dxa"/>
            <w:gridSpan w:val="6"/>
            <w:shd w:val="clear" w:color="000000" w:fill="D9D9D9"/>
            <w:noWrap/>
            <w:vAlign w:val="center"/>
            <w:hideMark/>
          </w:tcPr>
          <w:p w14:paraId="271ECEB9"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ENGINEERING</w:t>
            </w:r>
          </w:p>
        </w:tc>
      </w:tr>
      <w:tr w:rsidR="001D201C" w:rsidRPr="001D201C" w14:paraId="31375DC8" w14:textId="77777777" w:rsidTr="001479C5">
        <w:trPr>
          <w:trHeight w:val="315"/>
        </w:trPr>
        <w:tc>
          <w:tcPr>
            <w:tcW w:w="3860" w:type="dxa"/>
            <w:shd w:val="clear" w:color="auto" w:fill="auto"/>
            <w:noWrap/>
            <w:vAlign w:val="center"/>
            <w:hideMark/>
          </w:tcPr>
          <w:p w14:paraId="2531A20E"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Architect</w:t>
            </w:r>
          </w:p>
        </w:tc>
        <w:tc>
          <w:tcPr>
            <w:tcW w:w="1260" w:type="dxa"/>
            <w:shd w:val="clear" w:color="auto" w:fill="auto"/>
            <w:noWrap/>
            <w:vAlign w:val="bottom"/>
            <w:hideMark/>
          </w:tcPr>
          <w:p w14:paraId="7C22B65E"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22</w:t>
            </w:r>
          </w:p>
        </w:tc>
        <w:tc>
          <w:tcPr>
            <w:tcW w:w="1080" w:type="dxa"/>
            <w:shd w:val="clear" w:color="auto" w:fill="auto"/>
            <w:noWrap/>
            <w:vAlign w:val="bottom"/>
            <w:hideMark/>
          </w:tcPr>
          <w:p w14:paraId="5ABB38B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77,248.</w:t>
            </w:r>
          </w:p>
        </w:tc>
        <w:tc>
          <w:tcPr>
            <w:tcW w:w="1260" w:type="dxa"/>
            <w:shd w:val="clear" w:color="auto" w:fill="auto"/>
            <w:noWrap/>
            <w:vAlign w:val="center"/>
            <w:hideMark/>
          </w:tcPr>
          <w:p w14:paraId="5B7AEAF1"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82,289</w:t>
            </w:r>
          </w:p>
        </w:tc>
        <w:tc>
          <w:tcPr>
            <w:tcW w:w="1440" w:type="dxa"/>
            <w:shd w:val="clear" w:color="auto" w:fill="auto"/>
            <w:noWrap/>
            <w:vAlign w:val="center"/>
            <w:hideMark/>
          </w:tcPr>
          <w:p w14:paraId="1593F71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-6.53%</w:t>
            </w:r>
          </w:p>
        </w:tc>
        <w:tc>
          <w:tcPr>
            <w:tcW w:w="1622" w:type="dxa"/>
            <w:shd w:val="clear" w:color="auto" w:fill="auto"/>
            <w:noWrap/>
            <w:vAlign w:val="center"/>
            <w:hideMark/>
          </w:tcPr>
          <w:p w14:paraId="687A270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16.70%</w:t>
            </w:r>
          </w:p>
        </w:tc>
      </w:tr>
      <w:tr w:rsidR="001D201C" w:rsidRPr="001D201C" w14:paraId="4220B7C4" w14:textId="77777777" w:rsidTr="001479C5">
        <w:trPr>
          <w:trHeight w:val="315"/>
        </w:trPr>
        <w:tc>
          <w:tcPr>
            <w:tcW w:w="3860" w:type="dxa"/>
            <w:shd w:val="clear" w:color="auto" w:fill="auto"/>
            <w:noWrap/>
            <w:vAlign w:val="center"/>
            <w:hideMark/>
          </w:tcPr>
          <w:p w14:paraId="34158445"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Engineer</w:t>
            </w:r>
          </w:p>
        </w:tc>
        <w:tc>
          <w:tcPr>
            <w:tcW w:w="1260" w:type="dxa"/>
            <w:shd w:val="clear" w:color="auto" w:fill="auto"/>
            <w:noWrap/>
            <w:vAlign w:val="bottom"/>
            <w:hideMark/>
          </w:tcPr>
          <w:p w14:paraId="388010E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1207</w:t>
            </w:r>
          </w:p>
        </w:tc>
        <w:tc>
          <w:tcPr>
            <w:tcW w:w="1080" w:type="dxa"/>
            <w:shd w:val="clear" w:color="auto" w:fill="auto"/>
            <w:noWrap/>
            <w:vAlign w:val="bottom"/>
            <w:hideMark/>
          </w:tcPr>
          <w:p w14:paraId="24152C7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71,288.</w:t>
            </w:r>
          </w:p>
        </w:tc>
        <w:tc>
          <w:tcPr>
            <w:tcW w:w="1260" w:type="dxa"/>
            <w:shd w:val="clear" w:color="auto" w:fill="auto"/>
            <w:noWrap/>
            <w:vAlign w:val="center"/>
            <w:hideMark/>
          </w:tcPr>
          <w:p w14:paraId="5B585E3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70,612</w:t>
            </w:r>
          </w:p>
        </w:tc>
        <w:tc>
          <w:tcPr>
            <w:tcW w:w="1440" w:type="dxa"/>
            <w:shd w:val="clear" w:color="auto" w:fill="auto"/>
            <w:noWrap/>
            <w:vAlign w:val="center"/>
            <w:hideMark/>
          </w:tcPr>
          <w:p w14:paraId="68238DFE"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0.95%</w:t>
            </w:r>
          </w:p>
        </w:tc>
        <w:tc>
          <w:tcPr>
            <w:tcW w:w="1622" w:type="dxa"/>
            <w:shd w:val="clear" w:color="auto" w:fill="auto"/>
            <w:noWrap/>
            <w:vAlign w:val="center"/>
            <w:hideMark/>
          </w:tcPr>
          <w:p w14:paraId="370B2895"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15.90%</w:t>
            </w:r>
          </w:p>
        </w:tc>
      </w:tr>
      <w:tr w:rsidR="001D201C" w:rsidRPr="001D201C" w14:paraId="5A7D71F8" w14:textId="77777777" w:rsidTr="001479C5">
        <w:trPr>
          <w:trHeight w:val="315"/>
        </w:trPr>
        <w:tc>
          <w:tcPr>
            <w:tcW w:w="10522" w:type="dxa"/>
            <w:gridSpan w:val="6"/>
            <w:shd w:val="clear" w:color="000000" w:fill="D9D9D9"/>
            <w:noWrap/>
            <w:vAlign w:val="center"/>
            <w:hideMark/>
          </w:tcPr>
          <w:p w14:paraId="7C36B9A9"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FINANCIAL &amp; BUSINESS MANAGEMENT</w:t>
            </w:r>
          </w:p>
        </w:tc>
      </w:tr>
      <w:tr w:rsidR="001D201C" w:rsidRPr="001D201C" w14:paraId="1C0A0DFD" w14:textId="77777777" w:rsidTr="001479C5">
        <w:trPr>
          <w:trHeight w:val="315"/>
        </w:trPr>
        <w:tc>
          <w:tcPr>
            <w:tcW w:w="3860" w:type="dxa"/>
            <w:shd w:val="clear" w:color="auto" w:fill="auto"/>
            <w:noWrap/>
            <w:vAlign w:val="center"/>
            <w:hideMark/>
          </w:tcPr>
          <w:p w14:paraId="198A0E63"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Accountant</w:t>
            </w:r>
          </w:p>
        </w:tc>
        <w:tc>
          <w:tcPr>
            <w:tcW w:w="1260" w:type="dxa"/>
            <w:shd w:val="clear" w:color="auto" w:fill="auto"/>
            <w:noWrap/>
            <w:vAlign w:val="bottom"/>
            <w:hideMark/>
          </w:tcPr>
          <w:p w14:paraId="6056B6E4"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256</w:t>
            </w:r>
          </w:p>
        </w:tc>
        <w:tc>
          <w:tcPr>
            <w:tcW w:w="1080" w:type="dxa"/>
            <w:shd w:val="clear" w:color="auto" w:fill="auto"/>
            <w:noWrap/>
            <w:vAlign w:val="bottom"/>
            <w:hideMark/>
          </w:tcPr>
          <w:p w14:paraId="79B33B3E"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62,424.</w:t>
            </w:r>
          </w:p>
        </w:tc>
        <w:tc>
          <w:tcPr>
            <w:tcW w:w="1260" w:type="dxa"/>
            <w:shd w:val="clear" w:color="auto" w:fill="auto"/>
            <w:noWrap/>
            <w:vAlign w:val="center"/>
            <w:hideMark/>
          </w:tcPr>
          <w:p w14:paraId="6BF4A15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62,845</w:t>
            </w:r>
          </w:p>
        </w:tc>
        <w:tc>
          <w:tcPr>
            <w:tcW w:w="1440" w:type="dxa"/>
            <w:shd w:val="clear" w:color="auto" w:fill="auto"/>
            <w:noWrap/>
            <w:vAlign w:val="center"/>
            <w:hideMark/>
          </w:tcPr>
          <w:p w14:paraId="22DFB06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-0.67%</w:t>
            </w:r>
          </w:p>
        </w:tc>
        <w:tc>
          <w:tcPr>
            <w:tcW w:w="1622" w:type="dxa"/>
            <w:shd w:val="clear" w:color="auto" w:fill="auto"/>
            <w:noWrap/>
            <w:vAlign w:val="center"/>
            <w:hideMark/>
          </w:tcPr>
          <w:p w14:paraId="7A800343"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7.10%</w:t>
            </w:r>
          </w:p>
        </w:tc>
      </w:tr>
      <w:tr w:rsidR="001D201C" w:rsidRPr="001D201C" w14:paraId="3ECD0630" w14:textId="77777777" w:rsidTr="001479C5">
        <w:trPr>
          <w:trHeight w:val="315"/>
        </w:trPr>
        <w:tc>
          <w:tcPr>
            <w:tcW w:w="3860" w:type="dxa"/>
            <w:shd w:val="clear" w:color="auto" w:fill="auto"/>
            <w:noWrap/>
            <w:vAlign w:val="center"/>
            <w:hideMark/>
          </w:tcPr>
          <w:p w14:paraId="48C76512"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Accounting Technician</w:t>
            </w:r>
          </w:p>
        </w:tc>
        <w:tc>
          <w:tcPr>
            <w:tcW w:w="1260" w:type="dxa"/>
            <w:shd w:val="clear" w:color="auto" w:fill="auto"/>
            <w:noWrap/>
            <w:vAlign w:val="bottom"/>
            <w:hideMark/>
          </w:tcPr>
          <w:p w14:paraId="247D4C4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368</w:t>
            </w:r>
          </w:p>
        </w:tc>
        <w:tc>
          <w:tcPr>
            <w:tcW w:w="1080" w:type="dxa"/>
            <w:shd w:val="clear" w:color="auto" w:fill="auto"/>
            <w:noWrap/>
            <w:vAlign w:val="bottom"/>
            <w:hideMark/>
          </w:tcPr>
          <w:p w14:paraId="75E48A2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40,223.</w:t>
            </w:r>
          </w:p>
        </w:tc>
        <w:tc>
          <w:tcPr>
            <w:tcW w:w="1260" w:type="dxa"/>
            <w:shd w:val="clear" w:color="auto" w:fill="auto"/>
            <w:noWrap/>
            <w:vAlign w:val="center"/>
            <w:hideMark/>
          </w:tcPr>
          <w:p w14:paraId="5B95AB4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42,058</w:t>
            </w:r>
          </w:p>
        </w:tc>
        <w:tc>
          <w:tcPr>
            <w:tcW w:w="1440" w:type="dxa"/>
            <w:shd w:val="clear" w:color="auto" w:fill="auto"/>
            <w:noWrap/>
            <w:vAlign w:val="center"/>
            <w:hideMark/>
          </w:tcPr>
          <w:p w14:paraId="17D88ED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-4.56%</w:t>
            </w:r>
          </w:p>
        </w:tc>
        <w:tc>
          <w:tcPr>
            <w:tcW w:w="1622" w:type="dxa"/>
            <w:shd w:val="clear" w:color="auto" w:fill="auto"/>
            <w:noWrap/>
            <w:vAlign w:val="center"/>
            <w:hideMark/>
          </w:tcPr>
          <w:p w14:paraId="69ECDC51"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9.60%</w:t>
            </w:r>
          </w:p>
        </w:tc>
      </w:tr>
      <w:tr w:rsidR="001D201C" w:rsidRPr="001D201C" w14:paraId="10D69110" w14:textId="77777777" w:rsidTr="001479C5">
        <w:trPr>
          <w:trHeight w:val="315"/>
        </w:trPr>
        <w:tc>
          <w:tcPr>
            <w:tcW w:w="10522" w:type="dxa"/>
            <w:gridSpan w:val="6"/>
            <w:shd w:val="clear" w:color="000000" w:fill="D9D9D9"/>
            <w:noWrap/>
            <w:vAlign w:val="center"/>
            <w:hideMark/>
          </w:tcPr>
          <w:p w14:paraId="5A733574"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HUMAN RESOURCES</w:t>
            </w:r>
          </w:p>
        </w:tc>
      </w:tr>
      <w:tr w:rsidR="001D201C" w:rsidRPr="001D201C" w14:paraId="75A50770" w14:textId="77777777" w:rsidTr="001479C5">
        <w:trPr>
          <w:trHeight w:val="315"/>
        </w:trPr>
        <w:tc>
          <w:tcPr>
            <w:tcW w:w="3860" w:type="dxa"/>
            <w:shd w:val="clear" w:color="auto" w:fill="auto"/>
            <w:noWrap/>
            <w:vAlign w:val="center"/>
            <w:hideMark/>
          </w:tcPr>
          <w:p w14:paraId="1287D833"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Personnel Analyst II</w:t>
            </w:r>
          </w:p>
        </w:tc>
        <w:tc>
          <w:tcPr>
            <w:tcW w:w="1260" w:type="dxa"/>
            <w:shd w:val="clear" w:color="auto" w:fill="auto"/>
            <w:noWrap/>
            <w:vAlign w:val="bottom"/>
            <w:hideMark/>
          </w:tcPr>
          <w:p w14:paraId="007DD7A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65</w:t>
            </w:r>
          </w:p>
        </w:tc>
        <w:tc>
          <w:tcPr>
            <w:tcW w:w="1080" w:type="dxa"/>
            <w:shd w:val="clear" w:color="auto" w:fill="auto"/>
            <w:noWrap/>
            <w:vAlign w:val="bottom"/>
            <w:hideMark/>
          </w:tcPr>
          <w:p w14:paraId="76C6BAD7"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60,623.</w:t>
            </w:r>
          </w:p>
        </w:tc>
        <w:tc>
          <w:tcPr>
            <w:tcW w:w="1260" w:type="dxa"/>
            <w:shd w:val="clear" w:color="auto" w:fill="auto"/>
            <w:noWrap/>
            <w:vAlign w:val="center"/>
            <w:hideMark/>
          </w:tcPr>
          <w:p w14:paraId="40FACB8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66,175</w:t>
            </w:r>
          </w:p>
        </w:tc>
        <w:tc>
          <w:tcPr>
            <w:tcW w:w="1440" w:type="dxa"/>
            <w:shd w:val="clear" w:color="auto" w:fill="auto"/>
            <w:noWrap/>
            <w:vAlign w:val="center"/>
            <w:hideMark/>
          </w:tcPr>
          <w:p w14:paraId="705E13E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-9.16%</w:t>
            </w:r>
          </w:p>
        </w:tc>
        <w:tc>
          <w:tcPr>
            <w:tcW w:w="1622" w:type="dxa"/>
            <w:shd w:val="clear" w:color="auto" w:fill="auto"/>
            <w:noWrap/>
            <w:vAlign w:val="center"/>
            <w:hideMark/>
          </w:tcPr>
          <w:p w14:paraId="642EE21B"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7.70%</w:t>
            </w:r>
          </w:p>
        </w:tc>
      </w:tr>
      <w:tr w:rsidR="001D201C" w:rsidRPr="001D201C" w14:paraId="4C93D8FD" w14:textId="77777777" w:rsidTr="001479C5">
        <w:trPr>
          <w:trHeight w:val="315"/>
        </w:trPr>
        <w:tc>
          <w:tcPr>
            <w:tcW w:w="10522" w:type="dxa"/>
            <w:gridSpan w:val="6"/>
            <w:shd w:val="clear" w:color="000000" w:fill="D9D9D9"/>
            <w:noWrap/>
            <w:vAlign w:val="center"/>
            <w:hideMark/>
          </w:tcPr>
          <w:p w14:paraId="571B4787"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HUMAN SERVICES</w:t>
            </w:r>
          </w:p>
        </w:tc>
      </w:tr>
      <w:tr w:rsidR="001D201C" w:rsidRPr="001D201C" w14:paraId="6D862404" w14:textId="77777777" w:rsidTr="001479C5">
        <w:trPr>
          <w:trHeight w:val="315"/>
        </w:trPr>
        <w:tc>
          <w:tcPr>
            <w:tcW w:w="3860" w:type="dxa"/>
            <w:shd w:val="clear" w:color="auto" w:fill="auto"/>
            <w:noWrap/>
            <w:vAlign w:val="center"/>
            <w:hideMark/>
          </w:tcPr>
          <w:p w14:paraId="5EF83EAB"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Social Worker III</w:t>
            </w:r>
          </w:p>
        </w:tc>
        <w:tc>
          <w:tcPr>
            <w:tcW w:w="1260" w:type="dxa"/>
            <w:shd w:val="clear" w:color="auto" w:fill="auto"/>
            <w:noWrap/>
            <w:vAlign w:val="bottom"/>
            <w:hideMark/>
          </w:tcPr>
          <w:p w14:paraId="74892160"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126</w:t>
            </w:r>
          </w:p>
        </w:tc>
        <w:tc>
          <w:tcPr>
            <w:tcW w:w="1080" w:type="dxa"/>
            <w:shd w:val="clear" w:color="auto" w:fill="auto"/>
            <w:noWrap/>
            <w:vAlign w:val="bottom"/>
            <w:hideMark/>
          </w:tcPr>
          <w:p w14:paraId="4BD2585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47,953.</w:t>
            </w:r>
          </w:p>
        </w:tc>
        <w:tc>
          <w:tcPr>
            <w:tcW w:w="1260" w:type="dxa"/>
            <w:shd w:val="clear" w:color="auto" w:fill="auto"/>
            <w:noWrap/>
            <w:vAlign w:val="center"/>
            <w:hideMark/>
          </w:tcPr>
          <w:p w14:paraId="5F949E4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57,272</w:t>
            </w:r>
          </w:p>
        </w:tc>
        <w:tc>
          <w:tcPr>
            <w:tcW w:w="1440" w:type="dxa"/>
            <w:shd w:val="clear" w:color="auto" w:fill="auto"/>
            <w:noWrap/>
            <w:vAlign w:val="center"/>
            <w:hideMark/>
          </w:tcPr>
          <w:p w14:paraId="638825D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-19.43%</w:t>
            </w:r>
          </w:p>
        </w:tc>
        <w:tc>
          <w:tcPr>
            <w:tcW w:w="1622" w:type="dxa"/>
            <w:shd w:val="clear" w:color="auto" w:fill="auto"/>
            <w:noWrap/>
            <w:vAlign w:val="center"/>
            <w:hideMark/>
          </w:tcPr>
          <w:p w14:paraId="7920771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7.30%</w:t>
            </w:r>
          </w:p>
        </w:tc>
      </w:tr>
      <w:tr w:rsidR="001D201C" w:rsidRPr="001D201C" w14:paraId="1D2BBD79" w14:textId="77777777" w:rsidTr="001479C5">
        <w:trPr>
          <w:trHeight w:val="315"/>
        </w:trPr>
        <w:tc>
          <w:tcPr>
            <w:tcW w:w="3860" w:type="dxa"/>
            <w:shd w:val="clear" w:color="auto" w:fill="auto"/>
            <w:noWrap/>
            <w:vAlign w:val="center"/>
            <w:hideMark/>
          </w:tcPr>
          <w:p w14:paraId="4E20AC28"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Staff Psychologist</w:t>
            </w:r>
          </w:p>
        </w:tc>
        <w:tc>
          <w:tcPr>
            <w:tcW w:w="1260" w:type="dxa"/>
            <w:shd w:val="clear" w:color="auto" w:fill="auto"/>
            <w:noWrap/>
            <w:vAlign w:val="bottom"/>
            <w:hideMark/>
          </w:tcPr>
          <w:p w14:paraId="56795A5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87</w:t>
            </w:r>
          </w:p>
        </w:tc>
        <w:tc>
          <w:tcPr>
            <w:tcW w:w="1080" w:type="dxa"/>
            <w:shd w:val="clear" w:color="auto" w:fill="auto"/>
            <w:noWrap/>
            <w:vAlign w:val="bottom"/>
            <w:hideMark/>
          </w:tcPr>
          <w:p w14:paraId="088C87D7"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59,200.</w:t>
            </w:r>
          </w:p>
        </w:tc>
        <w:tc>
          <w:tcPr>
            <w:tcW w:w="1260" w:type="dxa"/>
            <w:shd w:val="clear" w:color="auto" w:fill="auto"/>
            <w:noWrap/>
            <w:vAlign w:val="center"/>
            <w:hideMark/>
          </w:tcPr>
          <w:p w14:paraId="124405B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90,702</w:t>
            </w:r>
          </w:p>
        </w:tc>
        <w:tc>
          <w:tcPr>
            <w:tcW w:w="1440" w:type="dxa"/>
            <w:shd w:val="clear" w:color="auto" w:fill="auto"/>
            <w:noWrap/>
            <w:vAlign w:val="center"/>
            <w:hideMark/>
          </w:tcPr>
          <w:p w14:paraId="569C29A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-53.21%</w:t>
            </w:r>
          </w:p>
        </w:tc>
        <w:tc>
          <w:tcPr>
            <w:tcW w:w="1622" w:type="dxa"/>
            <w:shd w:val="clear" w:color="auto" w:fill="auto"/>
            <w:noWrap/>
            <w:vAlign w:val="center"/>
            <w:hideMark/>
          </w:tcPr>
          <w:p w14:paraId="3FF7B6C7"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16.10%</w:t>
            </w:r>
          </w:p>
        </w:tc>
      </w:tr>
      <w:tr w:rsidR="001D201C" w:rsidRPr="001D201C" w14:paraId="3E53740C" w14:textId="77777777" w:rsidTr="001479C5">
        <w:trPr>
          <w:trHeight w:val="315"/>
        </w:trPr>
        <w:tc>
          <w:tcPr>
            <w:tcW w:w="10522" w:type="dxa"/>
            <w:gridSpan w:val="6"/>
            <w:shd w:val="clear" w:color="000000" w:fill="D9D9D9"/>
            <w:noWrap/>
            <w:vAlign w:val="center"/>
            <w:hideMark/>
          </w:tcPr>
          <w:p w14:paraId="321081E1"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INFORMATION, COMMUNICATION AND MEDIA</w:t>
            </w:r>
          </w:p>
        </w:tc>
      </w:tr>
      <w:tr w:rsidR="001D201C" w:rsidRPr="001D201C" w14:paraId="1B631ACE" w14:textId="77777777" w:rsidTr="001479C5">
        <w:trPr>
          <w:trHeight w:val="315"/>
        </w:trPr>
        <w:tc>
          <w:tcPr>
            <w:tcW w:w="3860" w:type="dxa"/>
            <w:shd w:val="clear" w:color="auto" w:fill="auto"/>
            <w:noWrap/>
            <w:vAlign w:val="center"/>
            <w:hideMark/>
          </w:tcPr>
          <w:p w14:paraId="2297CC00" w14:textId="04B69793"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 xml:space="preserve">Information </w:t>
            </w:r>
            <w:r w:rsidR="00365537">
              <w:rPr>
                <w:rFonts w:asciiTheme="minorHAnsi" w:hAnsiTheme="minorHAnsi" w:cstheme="minorHAnsi"/>
                <w:color w:val="000000"/>
                <w:szCs w:val="22"/>
              </w:rPr>
              <w:t>and</w:t>
            </w:r>
            <w:r w:rsidRPr="00344B4E">
              <w:rPr>
                <w:rFonts w:asciiTheme="minorHAnsi" w:hAnsiTheme="minorHAnsi" w:cstheme="minorHAnsi"/>
                <w:color w:val="000000"/>
                <w:szCs w:val="22"/>
              </w:rPr>
              <w:t xml:space="preserve"> Communications Spec II</w:t>
            </w:r>
          </w:p>
        </w:tc>
        <w:tc>
          <w:tcPr>
            <w:tcW w:w="1260" w:type="dxa"/>
            <w:shd w:val="clear" w:color="auto" w:fill="auto"/>
            <w:noWrap/>
            <w:vAlign w:val="bottom"/>
            <w:hideMark/>
          </w:tcPr>
          <w:p w14:paraId="3479D51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46</w:t>
            </w:r>
          </w:p>
        </w:tc>
        <w:tc>
          <w:tcPr>
            <w:tcW w:w="1080" w:type="dxa"/>
            <w:shd w:val="clear" w:color="auto" w:fill="auto"/>
            <w:noWrap/>
            <w:vAlign w:val="bottom"/>
            <w:hideMark/>
          </w:tcPr>
          <w:p w14:paraId="40F0E34B"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49,115.</w:t>
            </w:r>
          </w:p>
        </w:tc>
        <w:tc>
          <w:tcPr>
            <w:tcW w:w="1260" w:type="dxa"/>
            <w:shd w:val="clear" w:color="auto" w:fill="auto"/>
            <w:noWrap/>
            <w:vAlign w:val="center"/>
            <w:hideMark/>
          </w:tcPr>
          <w:p w14:paraId="744C8B7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56,897</w:t>
            </w:r>
          </w:p>
        </w:tc>
        <w:tc>
          <w:tcPr>
            <w:tcW w:w="1440" w:type="dxa"/>
            <w:shd w:val="clear" w:color="auto" w:fill="auto"/>
            <w:noWrap/>
            <w:vAlign w:val="center"/>
            <w:hideMark/>
          </w:tcPr>
          <w:p w14:paraId="378F1831"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-15.84%</w:t>
            </w:r>
          </w:p>
        </w:tc>
        <w:tc>
          <w:tcPr>
            <w:tcW w:w="1622" w:type="dxa"/>
            <w:shd w:val="clear" w:color="auto" w:fill="auto"/>
            <w:noWrap/>
            <w:vAlign w:val="center"/>
            <w:hideMark/>
          </w:tcPr>
          <w:p w14:paraId="079FE00E"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19.60%</w:t>
            </w:r>
          </w:p>
        </w:tc>
      </w:tr>
      <w:tr w:rsidR="001D201C" w:rsidRPr="001D201C" w14:paraId="06D8D1DA" w14:textId="77777777" w:rsidTr="001479C5">
        <w:trPr>
          <w:trHeight w:val="315"/>
        </w:trPr>
        <w:tc>
          <w:tcPr>
            <w:tcW w:w="10522" w:type="dxa"/>
            <w:gridSpan w:val="6"/>
            <w:shd w:val="clear" w:color="000000" w:fill="D9D9D9"/>
            <w:noWrap/>
            <w:vAlign w:val="center"/>
            <w:hideMark/>
          </w:tcPr>
          <w:p w14:paraId="440820A2"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INFORMATION TECHNOLOGY</w:t>
            </w:r>
          </w:p>
        </w:tc>
      </w:tr>
      <w:tr w:rsidR="001D201C" w:rsidRPr="001D201C" w14:paraId="23B44A51" w14:textId="77777777" w:rsidTr="001479C5">
        <w:trPr>
          <w:trHeight w:val="315"/>
        </w:trPr>
        <w:tc>
          <w:tcPr>
            <w:tcW w:w="3860" w:type="dxa"/>
            <w:shd w:val="clear" w:color="auto" w:fill="auto"/>
            <w:noWrap/>
            <w:vAlign w:val="center"/>
            <w:hideMark/>
          </w:tcPr>
          <w:p w14:paraId="46F75A5B"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Business And Technology Applic Analyst</w:t>
            </w:r>
          </w:p>
        </w:tc>
        <w:tc>
          <w:tcPr>
            <w:tcW w:w="1260" w:type="dxa"/>
            <w:shd w:val="clear" w:color="auto" w:fill="auto"/>
            <w:noWrap/>
            <w:vAlign w:val="bottom"/>
            <w:hideMark/>
          </w:tcPr>
          <w:p w14:paraId="1A523DD0"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390</w:t>
            </w:r>
          </w:p>
        </w:tc>
        <w:tc>
          <w:tcPr>
            <w:tcW w:w="1080" w:type="dxa"/>
            <w:shd w:val="clear" w:color="auto" w:fill="auto"/>
            <w:noWrap/>
            <w:vAlign w:val="bottom"/>
            <w:hideMark/>
          </w:tcPr>
          <w:p w14:paraId="601A057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77,661.</w:t>
            </w:r>
          </w:p>
        </w:tc>
        <w:tc>
          <w:tcPr>
            <w:tcW w:w="1260" w:type="dxa"/>
            <w:shd w:val="clear" w:color="auto" w:fill="auto"/>
            <w:noWrap/>
            <w:vAlign w:val="center"/>
            <w:hideMark/>
          </w:tcPr>
          <w:p w14:paraId="61517DB3"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84,777</w:t>
            </w:r>
          </w:p>
        </w:tc>
        <w:tc>
          <w:tcPr>
            <w:tcW w:w="1440" w:type="dxa"/>
            <w:shd w:val="clear" w:color="auto" w:fill="auto"/>
            <w:noWrap/>
            <w:vAlign w:val="center"/>
            <w:hideMark/>
          </w:tcPr>
          <w:p w14:paraId="0E502E7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-9.16%</w:t>
            </w:r>
          </w:p>
        </w:tc>
        <w:tc>
          <w:tcPr>
            <w:tcW w:w="1622" w:type="dxa"/>
            <w:shd w:val="clear" w:color="auto" w:fill="auto"/>
            <w:noWrap/>
            <w:vAlign w:val="center"/>
            <w:hideMark/>
          </w:tcPr>
          <w:p w14:paraId="35128CE7"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7.30%</w:t>
            </w:r>
          </w:p>
        </w:tc>
      </w:tr>
      <w:tr w:rsidR="001D201C" w:rsidRPr="001D201C" w14:paraId="01566BFA" w14:textId="77777777" w:rsidTr="001479C5">
        <w:trPr>
          <w:trHeight w:val="315"/>
        </w:trPr>
        <w:tc>
          <w:tcPr>
            <w:tcW w:w="10522" w:type="dxa"/>
            <w:gridSpan w:val="6"/>
            <w:shd w:val="clear" w:color="000000" w:fill="D9D9D9"/>
            <w:noWrap/>
            <w:vAlign w:val="center"/>
            <w:hideMark/>
          </w:tcPr>
          <w:p w14:paraId="5693DB71"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INSTITUTIONAL SUPPORT</w:t>
            </w:r>
          </w:p>
        </w:tc>
      </w:tr>
      <w:tr w:rsidR="001D201C" w:rsidRPr="001D201C" w14:paraId="28F02CB2" w14:textId="77777777" w:rsidTr="001479C5">
        <w:trPr>
          <w:trHeight w:val="315"/>
        </w:trPr>
        <w:tc>
          <w:tcPr>
            <w:tcW w:w="3860" w:type="dxa"/>
            <w:shd w:val="clear" w:color="auto" w:fill="auto"/>
            <w:noWrap/>
            <w:vAlign w:val="center"/>
            <w:hideMark/>
          </w:tcPr>
          <w:p w14:paraId="6B78F4D7"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Cook II</w:t>
            </w:r>
          </w:p>
        </w:tc>
        <w:tc>
          <w:tcPr>
            <w:tcW w:w="1260" w:type="dxa"/>
            <w:shd w:val="clear" w:color="auto" w:fill="auto"/>
            <w:noWrap/>
            <w:vAlign w:val="bottom"/>
            <w:hideMark/>
          </w:tcPr>
          <w:p w14:paraId="1A55BD97"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134</w:t>
            </w:r>
          </w:p>
        </w:tc>
        <w:tc>
          <w:tcPr>
            <w:tcW w:w="1080" w:type="dxa"/>
            <w:shd w:val="clear" w:color="auto" w:fill="auto"/>
            <w:noWrap/>
            <w:vAlign w:val="bottom"/>
            <w:hideMark/>
          </w:tcPr>
          <w:p w14:paraId="6657150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29,331.</w:t>
            </w:r>
          </w:p>
        </w:tc>
        <w:tc>
          <w:tcPr>
            <w:tcW w:w="1260" w:type="dxa"/>
            <w:shd w:val="clear" w:color="auto" w:fill="auto"/>
            <w:noWrap/>
            <w:vAlign w:val="center"/>
            <w:hideMark/>
          </w:tcPr>
          <w:p w14:paraId="35CDCEA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28,973</w:t>
            </w:r>
          </w:p>
        </w:tc>
        <w:tc>
          <w:tcPr>
            <w:tcW w:w="1440" w:type="dxa"/>
            <w:shd w:val="clear" w:color="auto" w:fill="auto"/>
            <w:noWrap/>
            <w:vAlign w:val="center"/>
            <w:hideMark/>
          </w:tcPr>
          <w:p w14:paraId="337EEB10"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1.22%</w:t>
            </w:r>
          </w:p>
        </w:tc>
        <w:tc>
          <w:tcPr>
            <w:tcW w:w="1622" w:type="dxa"/>
            <w:shd w:val="clear" w:color="auto" w:fill="auto"/>
            <w:noWrap/>
            <w:vAlign w:val="center"/>
            <w:hideMark/>
          </w:tcPr>
          <w:p w14:paraId="270C965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13.70%</w:t>
            </w:r>
          </w:p>
        </w:tc>
      </w:tr>
      <w:tr w:rsidR="001D201C" w:rsidRPr="001D201C" w14:paraId="739ECFE4" w14:textId="77777777" w:rsidTr="001479C5">
        <w:trPr>
          <w:trHeight w:val="315"/>
        </w:trPr>
        <w:tc>
          <w:tcPr>
            <w:tcW w:w="3860" w:type="dxa"/>
            <w:shd w:val="clear" w:color="auto" w:fill="auto"/>
            <w:noWrap/>
            <w:vAlign w:val="center"/>
            <w:hideMark/>
          </w:tcPr>
          <w:p w14:paraId="20EF7F22"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Housekeeper</w:t>
            </w:r>
          </w:p>
        </w:tc>
        <w:tc>
          <w:tcPr>
            <w:tcW w:w="1260" w:type="dxa"/>
            <w:shd w:val="clear" w:color="auto" w:fill="auto"/>
            <w:noWrap/>
            <w:vAlign w:val="bottom"/>
            <w:hideMark/>
          </w:tcPr>
          <w:p w14:paraId="1EED065B"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422</w:t>
            </w:r>
          </w:p>
        </w:tc>
        <w:tc>
          <w:tcPr>
            <w:tcW w:w="1080" w:type="dxa"/>
            <w:shd w:val="clear" w:color="auto" w:fill="auto"/>
            <w:noWrap/>
            <w:vAlign w:val="bottom"/>
            <w:hideMark/>
          </w:tcPr>
          <w:p w14:paraId="0619A415"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26,150.</w:t>
            </w:r>
          </w:p>
        </w:tc>
        <w:tc>
          <w:tcPr>
            <w:tcW w:w="1260" w:type="dxa"/>
            <w:shd w:val="clear" w:color="auto" w:fill="auto"/>
            <w:noWrap/>
            <w:vAlign w:val="center"/>
            <w:hideMark/>
          </w:tcPr>
          <w:p w14:paraId="20B876F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25,256</w:t>
            </w:r>
          </w:p>
        </w:tc>
        <w:tc>
          <w:tcPr>
            <w:tcW w:w="1440" w:type="dxa"/>
            <w:shd w:val="clear" w:color="auto" w:fill="auto"/>
            <w:noWrap/>
            <w:vAlign w:val="center"/>
            <w:hideMark/>
          </w:tcPr>
          <w:p w14:paraId="5FB9E56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3.42%</w:t>
            </w:r>
          </w:p>
        </w:tc>
        <w:tc>
          <w:tcPr>
            <w:tcW w:w="1622" w:type="dxa"/>
            <w:shd w:val="clear" w:color="auto" w:fill="auto"/>
            <w:noWrap/>
            <w:vAlign w:val="center"/>
            <w:hideMark/>
          </w:tcPr>
          <w:p w14:paraId="79A2BFA3"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12.30%</w:t>
            </w:r>
          </w:p>
        </w:tc>
      </w:tr>
      <w:tr w:rsidR="001D201C" w:rsidRPr="001D201C" w14:paraId="704D4AB9" w14:textId="77777777" w:rsidTr="001479C5">
        <w:trPr>
          <w:trHeight w:val="315"/>
        </w:trPr>
        <w:tc>
          <w:tcPr>
            <w:tcW w:w="10522" w:type="dxa"/>
            <w:gridSpan w:val="6"/>
            <w:shd w:val="clear" w:color="000000" w:fill="BFBFBF"/>
            <w:noWrap/>
            <w:vAlign w:val="center"/>
            <w:hideMark/>
          </w:tcPr>
          <w:p w14:paraId="2E9A4B73"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LAW ENFORCEMENT AND PUBLIC SAFETY</w:t>
            </w:r>
          </w:p>
        </w:tc>
      </w:tr>
      <w:tr w:rsidR="001D201C" w:rsidRPr="001D201C" w14:paraId="6DB4DCCF" w14:textId="77777777" w:rsidTr="001479C5">
        <w:trPr>
          <w:trHeight w:val="315"/>
        </w:trPr>
        <w:tc>
          <w:tcPr>
            <w:tcW w:w="3860" w:type="dxa"/>
            <w:shd w:val="clear" w:color="auto" w:fill="auto"/>
            <w:noWrap/>
            <w:vAlign w:val="center"/>
            <w:hideMark/>
          </w:tcPr>
          <w:p w14:paraId="60389424"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Correctional Officer II*</w:t>
            </w:r>
          </w:p>
        </w:tc>
        <w:tc>
          <w:tcPr>
            <w:tcW w:w="1260" w:type="dxa"/>
            <w:shd w:val="clear" w:color="auto" w:fill="auto"/>
            <w:noWrap/>
            <w:vAlign w:val="bottom"/>
            <w:hideMark/>
          </w:tcPr>
          <w:p w14:paraId="75980982"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3446</w:t>
            </w:r>
          </w:p>
        </w:tc>
        <w:tc>
          <w:tcPr>
            <w:tcW w:w="1080" w:type="dxa"/>
            <w:shd w:val="clear" w:color="auto" w:fill="auto"/>
            <w:noWrap/>
            <w:vAlign w:val="bottom"/>
            <w:hideMark/>
          </w:tcPr>
          <w:p w14:paraId="64B1B7A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34,528.</w:t>
            </w:r>
          </w:p>
        </w:tc>
        <w:tc>
          <w:tcPr>
            <w:tcW w:w="1260" w:type="dxa"/>
            <w:shd w:val="clear" w:color="auto" w:fill="auto"/>
            <w:noWrap/>
            <w:vAlign w:val="center"/>
            <w:hideMark/>
          </w:tcPr>
          <w:p w14:paraId="10DFBCEB"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35,076</w:t>
            </w:r>
          </w:p>
        </w:tc>
        <w:tc>
          <w:tcPr>
            <w:tcW w:w="1440" w:type="dxa"/>
            <w:shd w:val="clear" w:color="auto" w:fill="auto"/>
            <w:noWrap/>
            <w:vAlign w:val="center"/>
            <w:hideMark/>
          </w:tcPr>
          <w:p w14:paraId="725F33C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-1.59%</w:t>
            </w:r>
          </w:p>
        </w:tc>
        <w:tc>
          <w:tcPr>
            <w:tcW w:w="1622" w:type="dxa"/>
            <w:shd w:val="clear" w:color="auto" w:fill="auto"/>
            <w:noWrap/>
            <w:vAlign w:val="center"/>
            <w:hideMark/>
          </w:tcPr>
          <w:p w14:paraId="495219CE"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22.40%</w:t>
            </w:r>
          </w:p>
        </w:tc>
      </w:tr>
      <w:tr w:rsidR="001D201C" w:rsidRPr="001D201C" w14:paraId="59652BD3" w14:textId="77777777" w:rsidTr="001479C5">
        <w:trPr>
          <w:trHeight w:val="315"/>
        </w:trPr>
        <w:tc>
          <w:tcPr>
            <w:tcW w:w="3860" w:type="dxa"/>
            <w:shd w:val="clear" w:color="auto" w:fill="auto"/>
            <w:noWrap/>
            <w:vAlign w:val="center"/>
            <w:hideMark/>
          </w:tcPr>
          <w:p w14:paraId="4E87DD65"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Public Safety Officer</w:t>
            </w:r>
          </w:p>
        </w:tc>
        <w:tc>
          <w:tcPr>
            <w:tcW w:w="1260" w:type="dxa"/>
            <w:shd w:val="clear" w:color="auto" w:fill="auto"/>
            <w:noWrap/>
            <w:vAlign w:val="bottom"/>
            <w:hideMark/>
          </w:tcPr>
          <w:p w14:paraId="4D45509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70</w:t>
            </w:r>
          </w:p>
        </w:tc>
        <w:tc>
          <w:tcPr>
            <w:tcW w:w="1080" w:type="dxa"/>
            <w:shd w:val="clear" w:color="auto" w:fill="auto"/>
            <w:noWrap/>
            <w:vAlign w:val="bottom"/>
            <w:hideMark/>
          </w:tcPr>
          <w:p w14:paraId="7732B0E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39,070.</w:t>
            </w:r>
          </w:p>
        </w:tc>
        <w:tc>
          <w:tcPr>
            <w:tcW w:w="1260" w:type="dxa"/>
            <w:shd w:val="clear" w:color="auto" w:fill="auto"/>
            <w:noWrap/>
            <w:vAlign w:val="center"/>
            <w:hideMark/>
          </w:tcPr>
          <w:p w14:paraId="6EBAC47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50,925</w:t>
            </w:r>
          </w:p>
        </w:tc>
        <w:tc>
          <w:tcPr>
            <w:tcW w:w="1440" w:type="dxa"/>
            <w:shd w:val="clear" w:color="auto" w:fill="auto"/>
            <w:noWrap/>
            <w:vAlign w:val="center"/>
            <w:hideMark/>
          </w:tcPr>
          <w:p w14:paraId="0E10355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-30.34%</w:t>
            </w:r>
          </w:p>
        </w:tc>
        <w:tc>
          <w:tcPr>
            <w:tcW w:w="1622" w:type="dxa"/>
            <w:shd w:val="clear" w:color="auto" w:fill="auto"/>
            <w:noWrap/>
            <w:vAlign w:val="center"/>
            <w:hideMark/>
          </w:tcPr>
          <w:p w14:paraId="1EDB2D4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10.00%</w:t>
            </w:r>
          </w:p>
        </w:tc>
      </w:tr>
      <w:tr w:rsidR="001D201C" w:rsidRPr="001D201C" w14:paraId="0C10F9C2" w14:textId="77777777" w:rsidTr="001479C5">
        <w:trPr>
          <w:trHeight w:val="315"/>
        </w:trPr>
        <w:tc>
          <w:tcPr>
            <w:tcW w:w="10522" w:type="dxa"/>
            <w:gridSpan w:val="6"/>
            <w:shd w:val="clear" w:color="000000" w:fill="D9D9D9"/>
            <w:noWrap/>
            <w:vAlign w:val="center"/>
            <w:hideMark/>
          </w:tcPr>
          <w:p w14:paraId="194F237C"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LEGAL</w:t>
            </w:r>
          </w:p>
        </w:tc>
      </w:tr>
      <w:tr w:rsidR="006115CE" w:rsidRPr="001D201C" w14:paraId="2FFCA8A5" w14:textId="77777777" w:rsidTr="001479C5">
        <w:trPr>
          <w:trHeight w:val="315"/>
        </w:trPr>
        <w:tc>
          <w:tcPr>
            <w:tcW w:w="3860" w:type="dxa"/>
            <w:shd w:val="clear" w:color="auto" w:fill="auto"/>
            <w:noWrap/>
            <w:vAlign w:val="center"/>
            <w:hideMark/>
          </w:tcPr>
          <w:p w14:paraId="024A3350" w14:textId="77777777" w:rsidR="006115CE" w:rsidRPr="00344B4E" w:rsidRDefault="006115CE" w:rsidP="006115CE">
            <w:pPr>
              <w:rPr>
                <w:rFonts w:asciiTheme="minorHAnsi" w:hAnsiTheme="minorHAnsi" w:cstheme="minorHAnsi"/>
                <w:color w:val="000000"/>
                <w:szCs w:val="22"/>
              </w:rPr>
            </w:pPr>
            <w:r w:rsidRPr="00344B4E">
              <w:rPr>
                <w:rFonts w:asciiTheme="minorHAnsi" w:hAnsiTheme="minorHAnsi" w:cstheme="minorHAnsi"/>
                <w:color w:val="000000"/>
                <w:szCs w:val="22"/>
              </w:rPr>
              <w:t>Attorney III</w:t>
            </w:r>
          </w:p>
        </w:tc>
        <w:tc>
          <w:tcPr>
            <w:tcW w:w="1260" w:type="dxa"/>
            <w:shd w:val="clear" w:color="auto" w:fill="auto"/>
            <w:noWrap/>
            <w:vAlign w:val="bottom"/>
            <w:hideMark/>
          </w:tcPr>
          <w:p w14:paraId="739F4180" w14:textId="60713A7C" w:rsidR="006115CE" w:rsidRPr="00344B4E" w:rsidRDefault="006115CE" w:rsidP="00344B4E">
            <w:pPr>
              <w:jc w:val="center"/>
              <w:rPr>
                <w:rFonts w:asciiTheme="minorHAnsi" w:hAnsiTheme="minorHAnsi" w:cstheme="minorHAnsi"/>
                <w:szCs w:val="22"/>
              </w:rPr>
            </w:pPr>
            <w:r w:rsidRPr="00344B4E">
              <w:rPr>
                <w:rFonts w:asciiTheme="minorHAnsi" w:hAnsiTheme="minorHAnsi" w:cstheme="minorHAnsi"/>
                <w:szCs w:val="22"/>
              </w:rPr>
              <w:t>132</w:t>
            </w:r>
          </w:p>
        </w:tc>
        <w:tc>
          <w:tcPr>
            <w:tcW w:w="1080" w:type="dxa"/>
            <w:shd w:val="clear" w:color="auto" w:fill="auto"/>
            <w:noWrap/>
            <w:vAlign w:val="bottom"/>
            <w:hideMark/>
          </w:tcPr>
          <w:p w14:paraId="3FA0C99B" w14:textId="71023556" w:rsidR="006115CE" w:rsidRPr="00344B4E" w:rsidRDefault="006115CE" w:rsidP="00344B4E">
            <w:pPr>
              <w:jc w:val="center"/>
              <w:rPr>
                <w:rFonts w:asciiTheme="minorHAnsi" w:hAnsiTheme="minorHAnsi" w:cstheme="minorHAnsi"/>
                <w:szCs w:val="22"/>
              </w:rPr>
            </w:pPr>
            <w:r w:rsidRPr="00344B4E">
              <w:rPr>
                <w:rFonts w:asciiTheme="minorHAnsi" w:hAnsiTheme="minorHAnsi" w:cstheme="minorHAnsi"/>
                <w:szCs w:val="22"/>
              </w:rPr>
              <w:t>89,454</w:t>
            </w:r>
          </w:p>
        </w:tc>
        <w:tc>
          <w:tcPr>
            <w:tcW w:w="1260" w:type="dxa"/>
            <w:shd w:val="clear" w:color="auto" w:fill="auto"/>
            <w:noWrap/>
            <w:vAlign w:val="bottom"/>
            <w:hideMark/>
          </w:tcPr>
          <w:p w14:paraId="166324B0" w14:textId="53851F45" w:rsidR="006115CE" w:rsidRPr="00344B4E" w:rsidRDefault="006115CE" w:rsidP="00344B4E">
            <w:pPr>
              <w:jc w:val="center"/>
              <w:rPr>
                <w:rFonts w:asciiTheme="minorHAnsi" w:hAnsiTheme="minorHAnsi" w:cstheme="minorHAnsi"/>
                <w:szCs w:val="22"/>
              </w:rPr>
            </w:pPr>
            <w:r w:rsidRPr="00344B4E">
              <w:rPr>
                <w:rFonts w:asciiTheme="minorHAnsi" w:hAnsiTheme="minorHAnsi" w:cstheme="minorHAnsi"/>
                <w:szCs w:val="22"/>
              </w:rPr>
              <w:t>$106,257</w:t>
            </w:r>
          </w:p>
        </w:tc>
        <w:tc>
          <w:tcPr>
            <w:tcW w:w="1440" w:type="dxa"/>
            <w:shd w:val="clear" w:color="auto" w:fill="auto"/>
            <w:noWrap/>
            <w:vAlign w:val="bottom"/>
            <w:hideMark/>
          </w:tcPr>
          <w:p w14:paraId="7483448F" w14:textId="76500158" w:rsidR="006115CE" w:rsidRPr="00344B4E" w:rsidRDefault="006115CE" w:rsidP="00344B4E">
            <w:pPr>
              <w:jc w:val="center"/>
              <w:rPr>
                <w:rFonts w:asciiTheme="minorHAnsi" w:hAnsiTheme="minorHAnsi" w:cstheme="minorHAnsi"/>
                <w:szCs w:val="22"/>
              </w:rPr>
            </w:pPr>
            <w:r w:rsidRPr="00344B4E">
              <w:rPr>
                <w:rFonts w:asciiTheme="minorHAnsi" w:hAnsiTheme="minorHAnsi" w:cstheme="minorHAnsi"/>
                <w:szCs w:val="22"/>
              </w:rPr>
              <w:t>-18.78%</w:t>
            </w:r>
          </w:p>
        </w:tc>
        <w:tc>
          <w:tcPr>
            <w:tcW w:w="1622" w:type="dxa"/>
            <w:shd w:val="clear" w:color="auto" w:fill="auto"/>
            <w:noWrap/>
            <w:vAlign w:val="bottom"/>
            <w:hideMark/>
          </w:tcPr>
          <w:p w14:paraId="6AEA0CDF" w14:textId="6AA4A04C" w:rsidR="006115CE" w:rsidRPr="00344B4E" w:rsidRDefault="006115CE" w:rsidP="00344B4E">
            <w:pPr>
              <w:jc w:val="center"/>
              <w:rPr>
                <w:rFonts w:asciiTheme="minorHAnsi" w:hAnsiTheme="minorHAnsi" w:cstheme="minorHAnsi"/>
                <w:szCs w:val="22"/>
              </w:rPr>
            </w:pPr>
            <w:r w:rsidRPr="00344B4E">
              <w:rPr>
                <w:rFonts w:asciiTheme="minorHAnsi" w:hAnsiTheme="minorHAnsi" w:cstheme="minorHAnsi"/>
                <w:szCs w:val="22"/>
              </w:rPr>
              <w:t>5.88%</w:t>
            </w:r>
          </w:p>
        </w:tc>
      </w:tr>
      <w:tr w:rsidR="001D201C" w:rsidRPr="001D201C" w14:paraId="0FBFA599" w14:textId="77777777" w:rsidTr="001479C5">
        <w:trPr>
          <w:trHeight w:val="315"/>
        </w:trPr>
        <w:tc>
          <w:tcPr>
            <w:tcW w:w="3860" w:type="dxa"/>
            <w:shd w:val="clear" w:color="auto" w:fill="auto"/>
            <w:noWrap/>
            <w:vAlign w:val="center"/>
            <w:hideMark/>
          </w:tcPr>
          <w:p w14:paraId="0ADE8F7F"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Paralegal </w:t>
            </w:r>
          </w:p>
        </w:tc>
        <w:tc>
          <w:tcPr>
            <w:tcW w:w="1260" w:type="dxa"/>
            <w:shd w:val="clear" w:color="auto" w:fill="auto"/>
            <w:noWrap/>
            <w:vAlign w:val="bottom"/>
            <w:hideMark/>
          </w:tcPr>
          <w:p w14:paraId="1733AE8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w:t>
            </w:r>
          </w:p>
        </w:tc>
        <w:tc>
          <w:tcPr>
            <w:tcW w:w="1080" w:type="dxa"/>
            <w:shd w:val="clear" w:color="auto" w:fill="auto"/>
            <w:noWrap/>
            <w:vAlign w:val="bottom"/>
            <w:hideMark/>
          </w:tcPr>
          <w:p w14:paraId="34BBAED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45,845.</w:t>
            </w:r>
          </w:p>
        </w:tc>
        <w:tc>
          <w:tcPr>
            <w:tcW w:w="1260" w:type="dxa"/>
            <w:shd w:val="clear" w:color="auto" w:fill="auto"/>
            <w:noWrap/>
            <w:vAlign w:val="center"/>
            <w:hideMark/>
          </w:tcPr>
          <w:p w14:paraId="1F2F2541"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61,784</w:t>
            </w:r>
          </w:p>
        </w:tc>
        <w:tc>
          <w:tcPr>
            <w:tcW w:w="1440" w:type="dxa"/>
            <w:shd w:val="clear" w:color="auto" w:fill="auto"/>
            <w:noWrap/>
            <w:vAlign w:val="center"/>
            <w:hideMark/>
          </w:tcPr>
          <w:p w14:paraId="6EB4FC7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-34.77%</w:t>
            </w:r>
          </w:p>
        </w:tc>
        <w:tc>
          <w:tcPr>
            <w:tcW w:w="1622" w:type="dxa"/>
            <w:shd w:val="clear" w:color="auto" w:fill="auto"/>
            <w:noWrap/>
            <w:vAlign w:val="center"/>
            <w:hideMark/>
          </w:tcPr>
          <w:p w14:paraId="30463082"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0.00%</w:t>
            </w:r>
          </w:p>
        </w:tc>
      </w:tr>
    </w:tbl>
    <w:p w14:paraId="3A971460" w14:textId="338824A2" w:rsidR="00BA6C5B" w:rsidRDefault="00BA6C5B"/>
    <w:p w14:paraId="08F2337F" w14:textId="57957589" w:rsidR="00BA6C5B" w:rsidRDefault="00BA6C5B"/>
    <w:p w14:paraId="4C195F73" w14:textId="62AE4D37" w:rsidR="00BA6C5B" w:rsidRPr="003E75EA" w:rsidRDefault="00BA6C5B" w:rsidP="00BA6C5B">
      <w:pPr>
        <w:widowControl w:val="0"/>
        <w:autoSpaceDE w:val="0"/>
        <w:autoSpaceDN w:val="0"/>
        <w:adjustRightInd w:val="0"/>
        <w:jc w:val="center"/>
        <w:rPr>
          <w:rFonts w:asciiTheme="minorHAnsi" w:hAnsiTheme="minorHAnsi" w:cs="Arial"/>
          <w:b/>
          <w:bCs/>
          <w:sz w:val="24"/>
        </w:rPr>
      </w:pPr>
      <w:r w:rsidRPr="003E75EA">
        <w:rPr>
          <w:rFonts w:asciiTheme="minorHAnsi" w:hAnsiTheme="minorHAnsi" w:cs="Arial"/>
          <w:b/>
          <w:bCs/>
          <w:sz w:val="24"/>
        </w:rPr>
        <w:lastRenderedPageBreak/>
        <w:t>BENCHMARK CLASSES</w:t>
      </w:r>
      <w:r>
        <w:rPr>
          <w:rFonts w:asciiTheme="minorHAnsi" w:hAnsiTheme="minorHAnsi" w:cs="Arial"/>
          <w:b/>
          <w:bCs/>
          <w:sz w:val="24"/>
        </w:rPr>
        <w:t xml:space="preserve"> (cont’d)</w:t>
      </w:r>
    </w:p>
    <w:p w14:paraId="046F9BC5" w14:textId="77777777" w:rsidR="00BA6C5B" w:rsidRPr="003E75EA" w:rsidRDefault="00BA6C5B" w:rsidP="00BA6C5B">
      <w:pPr>
        <w:pStyle w:val="BodyText"/>
        <w:tabs>
          <w:tab w:val="left" w:pos="2160"/>
          <w:tab w:val="left" w:pos="2250"/>
        </w:tabs>
        <w:jc w:val="center"/>
        <w:rPr>
          <w:rFonts w:asciiTheme="minorHAnsi" w:hAnsiTheme="minorHAnsi" w:cs="Arial"/>
          <w:b/>
          <w:bCs/>
          <w:sz w:val="24"/>
        </w:rPr>
      </w:pPr>
      <w:r w:rsidRPr="003E75EA">
        <w:rPr>
          <w:rFonts w:asciiTheme="minorHAnsi" w:hAnsiTheme="minorHAnsi" w:cs="Arial"/>
          <w:b/>
          <w:bCs/>
          <w:sz w:val="24"/>
        </w:rPr>
        <w:t>Labor Market Data Summary (State Agencies Only, Does Not Include Universities)</w:t>
      </w:r>
    </w:p>
    <w:p w14:paraId="45C77BC5" w14:textId="77777777" w:rsidR="00BA6C5B" w:rsidRPr="003A1085" w:rsidRDefault="00BA6C5B" w:rsidP="00BA6C5B">
      <w:pPr>
        <w:pStyle w:val="BodyText"/>
        <w:tabs>
          <w:tab w:val="left" w:pos="2160"/>
          <w:tab w:val="left" w:pos="2250"/>
        </w:tabs>
        <w:jc w:val="left"/>
        <w:rPr>
          <w:rFonts w:asciiTheme="minorHAnsi" w:hAnsiTheme="minorHAnsi" w:cs="Arial"/>
          <w:b/>
          <w:bCs/>
          <w:sz w:val="24"/>
          <w:highlight w:val="red"/>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260"/>
        <w:gridCol w:w="1080"/>
        <w:gridCol w:w="1260"/>
        <w:gridCol w:w="1440"/>
        <w:gridCol w:w="1622"/>
      </w:tblGrid>
      <w:tr w:rsidR="00BA6C5B" w:rsidRPr="001D201C" w14:paraId="3A56CC87" w14:textId="77777777" w:rsidTr="00CF71A4">
        <w:trPr>
          <w:trHeight w:val="998"/>
        </w:trPr>
        <w:tc>
          <w:tcPr>
            <w:tcW w:w="3860" w:type="dxa"/>
            <w:shd w:val="clear" w:color="000000" w:fill="B7DEE8"/>
            <w:vAlign w:val="center"/>
            <w:hideMark/>
          </w:tcPr>
          <w:p w14:paraId="79602823" w14:textId="77777777" w:rsidR="00BA6C5B" w:rsidRPr="001D201C" w:rsidRDefault="00BA6C5B" w:rsidP="00CF71A4">
            <w:pPr>
              <w:rPr>
                <w:rFonts w:ascii="Calibri" w:hAnsi="Calibri" w:cs="Calibri"/>
                <w:b/>
                <w:bCs/>
                <w:color w:val="000000"/>
                <w:szCs w:val="22"/>
              </w:rPr>
            </w:pPr>
            <w:r w:rsidRPr="001D201C">
              <w:rPr>
                <w:rFonts w:ascii="Calibri" w:hAnsi="Calibri" w:cs="Calibri"/>
                <w:b/>
                <w:bCs/>
                <w:color w:val="000000"/>
                <w:szCs w:val="22"/>
              </w:rPr>
              <w:t>Job Title</w:t>
            </w:r>
          </w:p>
        </w:tc>
        <w:tc>
          <w:tcPr>
            <w:tcW w:w="1260" w:type="dxa"/>
            <w:shd w:val="clear" w:color="000000" w:fill="B7DEE8"/>
            <w:vAlign w:val="center"/>
            <w:hideMark/>
          </w:tcPr>
          <w:p w14:paraId="78F0BF32" w14:textId="77777777" w:rsidR="00BA6C5B" w:rsidRPr="001D201C" w:rsidRDefault="00BA6C5B" w:rsidP="00CF71A4">
            <w:pPr>
              <w:jc w:val="center"/>
              <w:rPr>
                <w:rFonts w:ascii="Calibri" w:hAnsi="Calibri" w:cs="Calibri"/>
                <w:b/>
                <w:bCs/>
                <w:color w:val="000000"/>
                <w:szCs w:val="22"/>
              </w:rPr>
            </w:pPr>
            <w:r w:rsidRPr="001D201C">
              <w:rPr>
                <w:rFonts w:ascii="Calibri" w:hAnsi="Calibri" w:cs="Calibri"/>
                <w:b/>
                <w:bCs/>
                <w:color w:val="000000"/>
                <w:szCs w:val="22"/>
              </w:rPr>
              <w:t>Number of Employees</w:t>
            </w:r>
          </w:p>
        </w:tc>
        <w:tc>
          <w:tcPr>
            <w:tcW w:w="1080" w:type="dxa"/>
            <w:shd w:val="clear" w:color="000000" w:fill="B7DEE8"/>
            <w:vAlign w:val="center"/>
            <w:hideMark/>
          </w:tcPr>
          <w:p w14:paraId="46E3E45D" w14:textId="77777777" w:rsidR="00BA6C5B" w:rsidRPr="001D201C" w:rsidRDefault="00BA6C5B" w:rsidP="00CF71A4">
            <w:pPr>
              <w:jc w:val="center"/>
              <w:rPr>
                <w:rFonts w:ascii="Calibri" w:hAnsi="Calibri" w:cs="Calibri"/>
                <w:b/>
                <w:bCs/>
                <w:color w:val="000000"/>
                <w:szCs w:val="22"/>
              </w:rPr>
            </w:pPr>
            <w:r w:rsidRPr="001D201C">
              <w:rPr>
                <w:rFonts w:ascii="Calibri" w:hAnsi="Calibri" w:cs="Calibri"/>
                <w:b/>
                <w:bCs/>
                <w:color w:val="000000"/>
                <w:szCs w:val="22"/>
              </w:rPr>
              <w:t>Base Salary Avg</w:t>
            </w:r>
          </w:p>
        </w:tc>
        <w:tc>
          <w:tcPr>
            <w:tcW w:w="1260" w:type="dxa"/>
            <w:shd w:val="clear" w:color="000000" w:fill="B7DEE8"/>
            <w:vAlign w:val="center"/>
            <w:hideMark/>
          </w:tcPr>
          <w:p w14:paraId="2FBC9FB9" w14:textId="77777777" w:rsidR="00BA6C5B" w:rsidRPr="001D201C" w:rsidRDefault="00BA6C5B" w:rsidP="00CF71A4">
            <w:pPr>
              <w:jc w:val="center"/>
              <w:rPr>
                <w:rFonts w:ascii="Calibri" w:hAnsi="Calibri" w:cs="Calibri"/>
                <w:b/>
                <w:bCs/>
                <w:color w:val="000000"/>
                <w:szCs w:val="22"/>
              </w:rPr>
            </w:pPr>
            <w:r w:rsidRPr="001D201C">
              <w:rPr>
                <w:rFonts w:ascii="Calibri" w:hAnsi="Calibri" w:cs="Calibri"/>
                <w:b/>
                <w:bCs/>
                <w:color w:val="000000"/>
                <w:szCs w:val="22"/>
              </w:rPr>
              <w:t>Market Base Salary Avg</w:t>
            </w:r>
          </w:p>
        </w:tc>
        <w:tc>
          <w:tcPr>
            <w:tcW w:w="1440" w:type="dxa"/>
            <w:shd w:val="clear" w:color="000000" w:fill="B7DEE8"/>
            <w:vAlign w:val="center"/>
            <w:hideMark/>
          </w:tcPr>
          <w:p w14:paraId="7248512C" w14:textId="77777777" w:rsidR="00BA6C5B" w:rsidRPr="001D201C" w:rsidRDefault="00BA6C5B" w:rsidP="00CF71A4">
            <w:pPr>
              <w:jc w:val="center"/>
              <w:rPr>
                <w:rFonts w:ascii="Calibri" w:hAnsi="Calibri" w:cs="Calibri"/>
                <w:b/>
                <w:bCs/>
                <w:color w:val="000000"/>
                <w:szCs w:val="22"/>
              </w:rPr>
            </w:pPr>
            <w:r w:rsidRPr="001D201C">
              <w:rPr>
                <w:rFonts w:ascii="Calibri" w:hAnsi="Calibri" w:cs="Calibri"/>
                <w:b/>
                <w:bCs/>
                <w:color w:val="000000"/>
                <w:szCs w:val="22"/>
              </w:rPr>
              <w:t>Labor Market Pay Gap</w:t>
            </w:r>
          </w:p>
        </w:tc>
        <w:tc>
          <w:tcPr>
            <w:tcW w:w="1622" w:type="dxa"/>
            <w:shd w:val="clear" w:color="000000" w:fill="B7DEE8"/>
            <w:vAlign w:val="center"/>
            <w:hideMark/>
          </w:tcPr>
          <w:p w14:paraId="5B5F0470" w14:textId="77777777" w:rsidR="00BA6C5B" w:rsidRPr="001D201C" w:rsidRDefault="00BA6C5B" w:rsidP="00CF71A4">
            <w:pPr>
              <w:jc w:val="center"/>
              <w:rPr>
                <w:rFonts w:ascii="Calibri" w:hAnsi="Calibri" w:cs="Calibri"/>
                <w:b/>
                <w:bCs/>
                <w:color w:val="000000"/>
                <w:szCs w:val="22"/>
              </w:rPr>
            </w:pPr>
            <w:r w:rsidRPr="001D201C">
              <w:rPr>
                <w:rFonts w:ascii="Calibri" w:hAnsi="Calibri" w:cs="Calibri"/>
                <w:b/>
                <w:bCs/>
                <w:color w:val="000000"/>
                <w:szCs w:val="22"/>
              </w:rPr>
              <w:t>FY16/17</w:t>
            </w:r>
          </w:p>
          <w:p w14:paraId="673A157A" w14:textId="77777777" w:rsidR="00BA6C5B" w:rsidRPr="001D201C" w:rsidRDefault="00BA6C5B" w:rsidP="00CF71A4">
            <w:pPr>
              <w:jc w:val="center"/>
              <w:rPr>
                <w:rFonts w:ascii="Calibri" w:hAnsi="Calibri" w:cs="Calibri"/>
                <w:b/>
                <w:bCs/>
                <w:color w:val="000000"/>
                <w:szCs w:val="22"/>
              </w:rPr>
            </w:pPr>
            <w:r w:rsidRPr="001D201C">
              <w:rPr>
                <w:rFonts w:ascii="Calibri" w:hAnsi="Calibri" w:cs="Calibri"/>
                <w:b/>
                <w:bCs/>
                <w:color w:val="000000"/>
                <w:szCs w:val="22"/>
              </w:rPr>
              <w:t>Turnover Rate</w:t>
            </w:r>
          </w:p>
        </w:tc>
      </w:tr>
      <w:tr w:rsidR="001D201C" w:rsidRPr="001D201C" w14:paraId="390D1A25" w14:textId="77777777" w:rsidTr="001479C5">
        <w:trPr>
          <w:trHeight w:val="315"/>
        </w:trPr>
        <w:tc>
          <w:tcPr>
            <w:tcW w:w="10522" w:type="dxa"/>
            <w:gridSpan w:val="6"/>
            <w:shd w:val="clear" w:color="000000" w:fill="D9D9D9"/>
            <w:noWrap/>
            <w:vAlign w:val="center"/>
            <w:hideMark/>
          </w:tcPr>
          <w:p w14:paraId="4640A52A"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MEDICAL AND HEALTH</w:t>
            </w:r>
          </w:p>
        </w:tc>
      </w:tr>
      <w:tr w:rsidR="001D201C" w:rsidRPr="001D201C" w14:paraId="74A32E60" w14:textId="77777777" w:rsidTr="001479C5">
        <w:trPr>
          <w:trHeight w:val="315"/>
        </w:trPr>
        <w:tc>
          <w:tcPr>
            <w:tcW w:w="3860" w:type="dxa"/>
            <w:shd w:val="clear" w:color="auto" w:fill="auto"/>
            <w:noWrap/>
            <w:vAlign w:val="center"/>
            <w:hideMark/>
          </w:tcPr>
          <w:p w14:paraId="46B0C7C5"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Health Care Technician I</w:t>
            </w:r>
          </w:p>
        </w:tc>
        <w:tc>
          <w:tcPr>
            <w:tcW w:w="1260" w:type="dxa"/>
            <w:shd w:val="clear" w:color="auto" w:fill="auto"/>
            <w:noWrap/>
            <w:vAlign w:val="bottom"/>
            <w:hideMark/>
          </w:tcPr>
          <w:p w14:paraId="06ECB19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3385</w:t>
            </w:r>
          </w:p>
        </w:tc>
        <w:tc>
          <w:tcPr>
            <w:tcW w:w="1080" w:type="dxa"/>
            <w:shd w:val="clear" w:color="auto" w:fill="auto"/>
            <w:noWrap/>
            <w:vAlign w:val="bottom"/>
            <w:hideMark/>
          </w:tcPr>
          <w:p w14:paraId="41661D0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29,132.</w:t>
            </w:r>
          </w:p>
        </w:tc>
        <w:tc>
          <w:tcPr>
            <w:tcW w:w="1260" w:type="dxa"/>
            <w:shd w:val="clear" w:color="auto" w:fill="auto"/>
            <w:noWrap/>
            <w:vAlign w:val="center"/>
            <w:hideMark/>
          </w:tcPr>
          <w:p w14:paraId="0574D60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27,247</w:t>
            </w:r>
          </w:p>
        </w:tc>
        <w:tc>
          <w:tcPr>
            <w:tcW w:w="1440" w:type="dxa"/>
            <w:shd w:val="clear" w:color="auto" w:fill="auto"/>
            <w:noWrap/>
            <w:vAlign w:val="center"/>
            <w:hideMark/>
          </w:tcPr>
          <w:p w14:paraId="6E43E31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6.47%</w:t>
            </w:r>
          </w:p>
        </w:tc>
        <w:tc>
          <w:tcPr>
            <w:tcW w:w="1622" w:type="dxa"/>
            <w:shd w:val="clear" w:color="auto" w:fill="auto"/>
            <w:noWrap/>
            <w:vAlign w:val="center"/>
            <w:hideMark/>
          </w:tcPr>
          <w:p w14:paraId="3D6C0907"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17.20%</w:t>
            </w:r>
          </w:p>
        </w:tc>
      </w:tr>
      <w:tr w:rsidR="001D201C" w:rsidRPr="001D201C" w14:paraId="623BEF12" w14:textId="77777777" w:rsidTr="001479C5">
        <w:trPr>
          <w:trHeight w:val="315"/>
        </w:trPr>
        <w:tc>
          <w:tcPr>
            <w:tcW w:w="3860" w:type="dxa"/>
            <w:shd w:val="clear" w:color="auto" w:fill="auto"/>
            <w:noWrap/>
            <w:vAlign w:val="center"/>
            <w:hideMark/>
          </w:tcPr>
          <w:p w14:paraId="33371B1A"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Professional Nurse</w:t>
            </w:r>
          </w:p>
        </w:tc>
        <w:tc>
          <w:tcPr>
            <w:tcW w:w="1260" w:type="dxa"/>
            <w:shd w:val="clear" w:color="auto" w:fill="auto"/>
            <w:noWrap/>
            <w:vAlign w:val="bottom"/>
            <w:hideMark/>
          </w:tcPr>
          <w:p w14:paraId="6417829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1124</w:t>
            </w:r>
          </w:p>
        </w:tc>
        <w:tc>
          <w:tcPr>
            <w:tcW w:w="1080" w:type="dxa"/>
            <w:shd w:val="clear" w:color="auto" w:fill="auto"/>
            <w:noWrap/>
            <w:vAlign w:val="bottom"/>
            <w:hideMark/>
          </w:tcPr>
          <w:p w14:paraId="74F9EC5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61,006.</w:t>
            </w:r>
          </w:p>
        </w:tc>
        <w:tc>
          <w:tcPr>
            <w:tcW w:w="1260" w:type="dxa"/>
            <w:shd w:val="clear" w:color="auto" w:fill="auto"/>
            <w:noWrap/>
            <w:vAlign w:val="center"/>
            <w:hideMark/>
          </w:tcPr>
          <w:p w14:paraId="32EDA23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62,056</w:t>
            </w:r>
          </w:p>
        </w:tc>
        <w:tc>
          <w:tcPr>
            <w:tcW w:w="1440" w:type="dxa"/>
            <w:shd w:val="clear" w:color="auto" w:fill="auto"/>
            <w:noWrap/>
            <w:vAlign w:val="center"/>
            <w:hideMark/>
          </w:tcPr>
          <w:p w14:paraId="61762B7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-1.72%</w:t>
            </w:r>
          </w:p>
        </w:tc>
        <w:tc>
          <w:tcPr>
            <w:tcW w:w="1622" w:type="dxa"/>
            <w:shd w:val="clear" w:color="auto" w:fill="auto"/>
            <w:noWrap/>
            <w:vAlign w:val="center"/>
            <w:hideMark/>
          </w:tcPr>
          <w:p w14:paraId="0D6E799B"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24.10%</w:t>
            </w:r>
          </w:p>
        </w:tc>
      </w:tr>
      <w:tr w:rsidR="001D201C" w:rsidRPr="001D201C" w14:paraId="735AD7C2" w14:textId="77777777" w:rsidTr="001479C5">
        <w:trPr>
          <w:trHeight w:val="315"/>
        </w:trPr>
        <w:tc>
          <w:tcPr>
            <w:tcW w:w="10522" w:type="dxa"/>
            <w:gridSpan w:val="6"/>
            <w:shd w:val="clear" w:color="000000" w:fill="D9D9D9"/>
            <w:noWrap/>
            <w:vAlign w:val="center"/>
            <w:hideMark/>
          </w:tcPr>
          <w:p w14:paraId="304F757C"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NATURAL, HISTORIC AND CULTURAL RESOURCES</w:t>
            </w:r>
          </w:p>
        </w:tc>
      </w:tr>
      <w:tr w:rsidR="001D201C" w:rsidRPr="001D201C" w14:paraId="49D63E28" w14:textId="77777777" w:rsidTr="001479C5">
        <w:trPr>
          <w:trHeight w:val="315"/>
        </w:trPr>
        <w:tc>
          <w:tcPr>
            <w:tcW w:w="3860" w:type="dxa"/>
            <w:shd w:val="clear" w:color="auto" w:fill="auto"/>
            <w:noWrap/>
            <w:vAlign w:val="center"/>
            <w:hideMark/>
          </w:tcPr>
          <w:p w14:paraId="7F1412C7"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Museum Curator</w:t>
            </w:r>
          </w:p>
        </w:tc>
        <w:tc>
          <w:tcPr>
            <w:tcW w:w="1260" w:type="dxa"/>
            <w:shd w:val="clear" w:color="auto" w:fill="auto"/>
            <w:noWrap/>
            <w:vAlign w:val="bottom"/>
            <w:hideMark/>
          </w:tcPr>
          <w:p w14:paraId="40214C50"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12</w:t>
            </w:r>
          </w:p>
        </w:tc>
        <w:tc>
          <w:tcPr>
            <w:tcW w:w="1080" w:type="dxa"/>
            <w:shd w:val="clear" w:color="auto" w:fill="auto"/>
            <w:noWrap/>
            <w:vAlign w:val="bottom"/>
            <w:hideMark/>
          </w:tcPr>
          <w:p w14:paraId="587961D1"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46,910.</w:t>
            </w:r>
          </w:p>
        </w:tc>
        <w:tc>
          <w:tcPr>
            <w:tcW w:w="1260" w:type="dxa"/>
            <w:shd w:val="clear" w:color="auto" w:fill="auto"/>
            <w:noWrap/>
            <w:vAlign w:val="center"/>
            <w:hideMark/>
          </w:tcPr>
          <w:p w14:paraId="43AA7714"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67,410</w:t>
            </w:r>
          </w:p>
        </w:tc>
        <w:tc>
          <w:tcPr>
            <w:tcW w:w="1440" w:type="dxa"/>
            <w:shd w:val="clear" w:color="auto" w:fill="auto"/>
            <w:noWrap/>
            <w:vAlign w:val="center"/>
            <w:hideMark/>
          </w:tcPr>
          <w:p w14:paraId="7DA7002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-43.70%</w:t>
            </w:r>
          </w:p>
        </w:tc>
        <w:tc>
          <w:tcPr>
            <w:tcW w:w="1622" w:type="dxa"/>
            <w:shd w:val="clear" w:color="auto" w:fill="auto"/>
            <w:noWrap/>
            <w:vAlign w:val="center"/>
            <w:hideMark/>
          </w:tcPr>
          <w:p w14:paraId="0ABE83E2"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0.00%</w:t>
            </w:r>
          </w:p>
        </w:tc>
      </w:tr>
      <w:tr w:rsidR="001D201C" w:rsidRPr="001D201C" w14:paraId="2492CD97" w14:textId="77777777" w:rsidTr="001479C5">
        <w:trPr>
          <w:trHeight w:val="315"/>
        </w:trPr>
        <w:tc>
          <w:tcPr>
            <w:tcW w:w="10522" w:type="dxa"/>
            <w:gridSpan w:val="6"/>
            <w:shd w:val="clear" w:color="000000" w:fill="D9D9D9"/>
            <w:noWrap/>
            <w:vAlign w:val="center"/>
            <w:hideMark/>
          </w:tcPr>
          <w:p w14:paraId="3B1B6231"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OPERATIONS AND TRADES</w:t>
            </w:r>
          </w:p>
        </w:tc>
      </w:tr>
      <w:tr w:rsidR="001D201C" w:rsidRPr="001D201C" w14:paraId="5C6A0DEF" w14:textId="77777777" w:rsidTr="001479C5">
        <w:trPr>
          <w:trHeight w:val="315"/>
        </w:trPr>
        <w:tc>
          <w:tcPr>
            <w:tcW w:w="3860" w:type="dxa"/>
            <w:shd w:val="clear" w:color="auto" w:fill="auto"/>
            <w:noWrap/>
            <w:vAlign w:val="center"/>
            <w:hideMark/>
          </w:tcPr>
          <w:p w14:paraId="2EE5E0E4"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Maintenance Mechanic IV</w:t>
            </w:r>
          </w:p>
        </w:tc>
        <w:tc>
          <w:tcPr>
            <w:tcW w:w="1260" w:type="dxa"/>
            <w:shd w:val="clear" w:color="auto" w:fill="auto"/>
            <w:noWrap/>
            <w:vAlign w:val="bottom"/>
            <w:hideMark/>
          </w:tcPr>
          <w:p w14:paraId="43F145C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295</w:t>
            </w:r>
          </w:p>
        </w:tc>
        <w:tc>
          <w:tcPr>
            <w:tcW w:w="1080" w:type="dxa"/>
            <w:shd w:val="clear" w:color="auto" w:fill="auto"/>
            <w:noWrap/>
            <w:vAlign w:val="bottom"/>
            <w:hideMark/>
          </w:tcPr>
          <w:p w14:paraId="1A0F7B14"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40,413.</w:t>
            </w:r>
          </w:p>
        </w:tc>
        <w:tc>
          <w:tcPr>
            <w:tcW w:w="1260" w:type="dxa"/>
            <w:shd w:val="clear" w:color="auto" w:fill="auto"/>
            <w:noWrap/>
            <w:vAlign w:val="center"/>
            <w:hideMark/>
          </w:tcPr>
          <w:p w14:paraId="5EF16B2E"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60,679</w:t>
            </w:r>
          </w:p>
        </w:tc>
        <w:tc>
          <w:tcPr>
            <w:tcW w:w="1440" w:type="dxa"/>
            <w:shd w:val="clear" w:color="auto" w:fill="auto"/>
            <w:noWrap/>
            <w:vAlign w:val="center"/>
            <w:hideMark/>
          </w:tcPr>
          <w:p w14:paraId="6EA9B766"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-50.15%</w:t>
            </w:r>
          </w:p>
        </w:tc>
        <w:tc>
          <w:tcPr>
            <w:tcW w:w="1622" w:type="dxa"/>
            <w:shd w:val="clear" w:color="auto" w:fill="auto"/>
            <w:noWrap/>
            <w:vAlign w:val="center"/>
            <w:hideMark/>
          </w:tcPr>
          <w:p w14:paraId="7FEDAF46"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14.90%</w:t>
            </w:r>
          </w:p>
        </w:tc>
      </w:tr>
      <w:tr w:rsidR="001D201C" w:rsidRPr="001D201C" w14:paraId="66E7A65B" w14:textId="77777777" w:rsidTr="001479C5">
        <w:trPr>
          <w:trHeight w:val="315"/>
        </w:trPr>
        <w:tc>
          <w:tcPr>
            <w:tcW w:w="3860" w:type="dxa"/>
            <w:shd w:val="clear" w:color="auto" w:fill="auto"/>
            <w:noWrap/>
            <w:vAlign w:val="center"/>
            <w:hideMark/>
          </w:tcPr>
          <w:p w14:paraId="6BA56D40"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Vehicle/Equipment Repair Technician</w:t>
            </w:r>
          </w:p>
        </w:tc>
        <w:tc>
          <w:tcPr>
            <w:tcW w:w="1260" w:type="dxa"/>
            <w:shd w:val="clear" w:color="auto" w:fill="auto"/>
            <w:noWrap/>
            <w:vAlign w:val="bottom"/>
            <w:hideMark/>
          </w:tcPr>
          <w:p w14:paraId="445D31E0"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460</w:t>
            </w:r>
          </w:p>
        </w:tc>
        <w:tc>
          <w:tcPr>
            <w:tcW w:w="1080" w:type="dxa"/>
            <w:shd w:val="clear" w:color="auto" w:fill="auto"/>
            <w:noWrap/>
            <w:vAlign w:val="bottom"/>
            <w:hideMark/>
          </w:tcPr>
          <w:p w14:paraId="464F4181"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43,063.</w:t>
            </w:r>
          </w:p>
        </w:tc>
        <w:tc>
          <w:tcPr>
            <w:tcW w:w="1260" w:type="dxa"/>
            <w:shd w:val="clear" w:color="auto" w:fill="auto"/>
            <w:noWrap/>
            <w:vAlign w:val="center"/>
            <w:hideMark/>
          </w:tcPr>
          <w:p w14:paraId="6990D79D"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49,244</w:t>
            </w:r>
          </w:p>
        </w:tc>
        <w:tc>
          <w:tcPr>
            <w:tcW w:w="1440" w:type="dxa"/>
            <w:shd w:val="clear" w:color="auto" w:fill="auto"/>
            <w:noWrap/>
            <w:vAlign w:val="center"/>
            <w:hideMark/>
          </w:tcPr>
          <w:p w14:paraId="74AC957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-14.35%</w:t>
            </w:r>
          </w:p>
        </w:tc>
        <w:tc>
          <w:tcPr>
            <w:tcW w:w="1622" w:type="dxa"/>
            <w:shd w:val="clear" w:color="auto" w:fill="auto"/>
            <w:noWrap/>
            <w:vAlign w:val="center"/>
            <w:hideMark/>
          </w:tcPr>
          <w:p w14:paraId="1BF025D2"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7.30%</w:t>
            </w:r>
          </w:p>
        </w:tc>
      </w:tr>
      <w:tr w:rsidR="001D201C" w:rsidRPr="001D201C" w14:paraId="0DDC48C6" w14:textId="77777777" w:rsidTr="001479C5">
        <w:trPr>
          <w:trHeight w:val="315"/>
        </w:trPr>
        <w:tc>
          <w:tcPr>
            <w:tcW w:w="10522" w:type="dxa"/>
            <w:gridSpan w:val="6"/>
            <w:shd w:val="clear" w:color="000000" w:fill="D9D9D9"/>
            <w:noWrap/>
            <w:vAlign w:val="center"/>
            <w:hideMark/>
          </w:tcPr>
          <w:p w14:paraId="5FE5CC52"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PLANNING AND ECONOMIC DEVELOPMENT</w:t>
            </w:r>
          </w:p>
        </w:tc>
      </w:tr>
      <w:tr w:rsidR="001D201C" w:rsidRPr="001D201C" w14:paraId="5A351DA3" w14:textId="77777777" w:rsidTr="001479C5">
        <w:trPr>
          <w:trHeight w:val="315"/>
        </w:trPr>
        <w:tc>
          <w:tcPr>
            <w:tcW w:w="3860" w:type="dxa"/>
            <w:shd w:val="clear" w:color="auto" w:fill="auto"/>
            <w:noWrap/>
            <w:vAlign w:val="center"/>
            <w:hideMark/>
          </w:tcPr>
          <w:p w14:paraId="56E08562"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Statistician II</w:t>
            </w:r>
          </w:p>
        </w:tc>
        <w:tc>
          <w:tcPr>
            <w:tcW w:w="1260" w:type="dxa"/>
            <w:shd w:val="clear" w:color="auto" w:fill="auto"/>
            <w:noWrap/>
            <w:vAlign w:val="bottom"/>
            <w:hideMark/>
          </w:tcPr>
          <w:p w14:paraId="7E69D5F1"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3</w:t>
            </w:r>
          </w:p>
        </w:tc>
        <w:tc>
          <w:tcPr>
            <w:tcW w:w="1080" w:type="dxa"/>
            <w:shd w:val="clear" w:color="auto" w:fill="auto"/>
            <w:noWrap/>
            <w:vAlign w:val="bottom"/>
            <w:hideMark/>
          </w:tcPr>
          <w:p w14:paraId="3D417A7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59,877.</w:t>
            </w:r>
          </w:p>
        </w:tc>
        <w:tc>
          <w:tcPr>
            <w:tcW w:w="1260" w:type="dxa"/>
            <w:shd w:val="clear" w:color="auto" w:fill="auto"/>
            <w:noWrap/>
            <w:vAlign w:val="center"/>
            <w:hideMark/>
          </w:tcPr>
          <w:p w14:paraId="1404AB4F"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63,679</w:t>
            </w:r>
          </w:p>
        </w:tc>
        <w:tc>
          <w:tcPr>
            <w:tcW w:w="1440" w:type="dxa"/>
            <w:shd w:val="clear" w:color="auto" w:fill="auto"/>
            <w:noWrap/>
            <w:vAlign w:val="center"/>
            <w:hideMark/>
          </w:tcPr>
          <w:p w14:paraId="122CBB63"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-6.35%</w:t>
            </w:r>
          </w:p>
        </w:tc>
        <w:tc>
          <w:tcPr>
            <w:tcW w:w="1622" w:type="dxa"/>
            <w:shd w:val="clear" w:color="auto" w:fill="auto"/>
            <w:noWrap/>
            <w:vAlign w:val="center"/>
            <w:hideMark/>
          </w:tcPr>
          <w:p w14:paraId="591D7598"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0.00%</w:t>
            </w:r>
          </w:p>
        </w:tc>
      </w:tr>
      <w:tr w:rsidR="001D201C" w:rsidRPr="001D201C" w14:paraId="2DA7F61A" w14:textId="77777777" w:rsidTr="001479C5">
        <w:trPr>
          <w:trHeight w:val="315"/>
        </w:trPr>
        <w:tc>
          <w:tcPr>
            <w:tcW w:w="10522" w:type="dxa"/>
            <w:gridSpan w:val="6"/>
            <w:shd w:val="clear" w:color="000000" w:fill="D9D9D9"/>
            <w:noWrap/>
            <w:vAlign w:val="center"/>
            <w:hideMark/>
          </w:tcPr>
          <w:p w14:paraId="42BED2C0"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PROGRAM MANAGEMENT</w:t>
            </w:r>
          </w:p>
        </w:tc>
      </w:tr>
      <w:tr w:rsidR="001D201C" w:rsidRPr="001D201C" w14:paraId="5B889DD2" w14:textId="77777777" w:rsidTr="001479C5">
        <w:trPr>
          <w:trHeight w:val="315"/>
        </w:trPr>
        <w:tc>
          <w:tcPr>
            <w:tcW w:w="3860" w:type="dxa"/>
            <w:shd w:val="clear" w:color="auto" w:fill="auto"/>
            <w:noWrap/>
            <w:vAlign w:val="center"/>
            <w:hideMark/>
          </w:tcPr>
          <w:p w14:paraId="1F9921EF"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Administrative Officer II</w:t>
            </w:r>
          </w:p>
        </w:tc>
        <w:tc>
          <w:tcPr>
            <w:tcW w:w="1260" w:type="dxa"/>
            <w:shd w:val="clear" w:color="auto" w:fill="auto"/>
            <w:noWrap/>
            <w:vAlign w:val="bottom"/>
            <w:hideMark/>
          </w:tcPr>
          <w:p w14:paraId="50B7832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210</w:t>
            </w:r>
          </w:p>
        </w:tc>
        <w:tc>
          <w:tcPr>
            <w:tcW w:w="1080" w:type="dxa"/>
            <w:shd w:val="clear" w:color="auto" w:fill="auto"/>
            <w:noWrap/>
            <w:vAlign w:val="bottom"/>
            <w:hideMark/>
          </w:tcPr>
          <w:p w14:paraId="2B30156A"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51,006.</w:t>
            </w:r>
          </w:p>
        </w:tc>
        <w:tc>
          <w:tcPr>
            <w:tcW w:w="1260" w:type="dxa"/>
            <w:shd w:val="clear" w:color="auto" w:fill="auto"/>
            <w:noWrap/>
            <w:vAlign w:val="center"/>
            <w:hideMark/>
          </w:tcPr>
          <w:p w14:paraId="6EB2429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57,607</w:t>
            </w:r>
          </w:p>
        </w:tc>
        <w:tc>
          <w:tcPr>
            <w:tcW w:w="1440" w:type="dxa"/>
            <w:shd w:val="clear" w:color="auto" w:fill="auto"/>
            <w:noWrap/>
            <w:vAlign w:val="center"/>
            <w:hideMark/>
          </w:tcPr>
          <w:p w14:paraId="47B1BF2C"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-12.94%</w:t>
            </w:r>
          </w:p>
        </w:tc>
        <w:tc>
          <w:tcPr>
            <w:tcW w:w="1622" w:type="dxa"/>
            <w:shd w:val="clear" w:color="auto" w:fill="auto"/>
            <w:noWrap/>
            <w:vAlign w:val="center"/>
            <w:hideMark/>
          </w:tcPr>
          <w:p w14:paraId="08FFE1DD"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14.30%</w:t>
            </w:r>
          </w:p>
        </w:tc>
      </w:tr>
      <w:tr w:rsidR="001D201C" w:rsidRPr="001D201C" w14:paraId="6D38BF00" w14:textId="77777777" w:rsidTr="001479C5">
        <w:trPr>
          <w:trHeight w:val="315"/>
        </w:trPr>
        <w:tc>
          <w:tcPr>
            <w:tcW w:w="10522" w:type="dxa"/>
            <w:gridSpan w:val="6"/>
            <w:shd w:val="clear" w:color="000000" w:fill="D9D9D9"/>
            <w:noWrap/>
            <w:vAlign w:val="center"/>
            <w:hideMark/>
          </w:tcPr>
          <w:p w14:paraId="231B6685"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SAFETY AND INSPECTION</w:t>
            </w:r>
          </w:p>
        </w:tc>
      </w:tr>
      <w:tr w:rsidR="001D201C" w:rsidRPr="001D201C" w14:paraId="429B9CCA" w14:textId="77777777" w:rsidTr="001479C5">
        <w:trPr>
          <w:trHeight w:val="315"/>
        </w:trPr>
        <w:tc>
          <w:tcPr>
            <w:tcW w:w="3860" w:type="dxa"/>
            <w:shd w:val="clear" w:color="auto" w:fill="auto"/>
            <w:noWrap/>
            <w:vAlign w:val="center"/>
            <w:hideMark/>
          </w:tcPr>
          <w:p w14:paraId="3504562A" w14:textId="77777777" w:rsidR="001D201C" w:rsidRPr="00344B4E" w:rsidRDefault="001D201C" w:rsidP="001D201C">
            <w:pPr>
              <w:rPr>
                <w:rFonts w:asciiTheme="minorHAnsi" w:hAnsiTheme="minorHAnsi" w:cstheme="minorHAnsi"/>
                <w:color w:val="000000"/>
                <w:szCs w:val="22"/>
              </w:rPr>
            </w:pPr>
            <w:r w:rsidRPr="00344B4E">
              <w:rPr>
                <w:rFonts w:asciiTheme="minorHAnsi" w:hAnsiTheme="minorHAnsi" w:cstheme="minorHAnsi"/>
                <w:color w:val="000000"/>
                <w:szCs w:val="22"/>
              </w:rPr>
              <w:t>Safety Officer II</w:t>
            </w:r>
          </w:p>
        </w:tc>
        <w:tc>
          <w:tcPr>
            <w:tcW w:w="1260" w:type="dxa"/>
            <w:shd w:val="clear" w:color="auto" w:fill="auto"/>
            <w:noWrap/>
            <w:vAlign w:val="bottom"/>
            <w:hideMark/>
          </w:tcPr>
          <w:p w14:paraId="026A6A25"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20</w:t>
            </w:r>
          </w:p>
        </w:tc>
        <w:tc>
          <w:tcPr>
            <w:tcW w:w="1080" w:type="dxa"/>
            <w:shd w:val="clear" w:color="auto" w:fill="auto"/>
            <w:noWrap/>
            <w:vAlign w:val="bottom"/>
            <w:hideMark/>
          </w:tcPr>
          <w:p w14:paraId="4776BB99"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48,575.</w:t>
            </w:r>
          </w:p>
        </w:tc>
        <w:tc>
          <w:tcPr>
            <w:tcW w:w="1260" w:type="dxa"/>
            <w:shd w:val="clear" w:color="auto" w:fill="auto"/>
            <w:noWrap/>
            <w:vAlign w:val="center"/>
            <w:hideMark/>
          </w:tcPr>
          <w:p w14:paraId="3107B23B"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60,438</w:t>
            </w:r>
          </w:p>
        </w:tc>
        <w:tc>
          <w:tcPr>
            <w:tcW w:w="1440" w:type="dxa"/>
            <w:shd w:val="clear" w:color="auto" w:fill="auto"/>
            <w:noWrap/>
            <w:vAlign w:val="center"/>
            <w:hideMark/>
          </w:tcPr>
          <w:p w14:paraId="0F4D3D28" w14:textId="77777777" w:rsidR="001D201C" w:rsidRPr="00344B4E" w:rsidRDefault="001D201C" w:rsidP="001D201C">
            <w:pPr>
              <w:jc w:val="right"/>
              <w:rPr>
                <w:rFonts w:asciiTheme="minorHAnsi" w:hAnsiTheme="minorHAnsi" w:cstheme="minorHAnsi"/>
                <w:color w:val="000000"/>
                <w:szCs w:val="22"/>
              </w:rPr>
            </w:pPr>
            <w:r w:rsidRPr="00344B4E">
              <w:rPr>
                <w:rFonts w:asciiTheme="minorHAnsi" w:hAnsiTheme="minorHAnsi" w:cstheme="minorHAnsi"/>
                <w:color w:val="000000"/>
                <w:szCs w:val="22"/>
              </w:rPr>
              <w:t>-24.42%</w:t>
            </w:r>
          </w:p>
        </w:tc>
        <w:tc>
          <w:tcPr>
            <w:tcW w:w="1622" w:type="dxa"/>
            <w:shd w:val="clear" w:color="auto" w:fill="auto"/>
            <w:noWrap/>
            <w:vAlign w:val="center"/>
            <w:hideMark/>
          </w:tcPr>
          <w:p w14:paraId="212FD218" w14:textId="77777777" w:rsidR="001D201C" w:rsidRPr="001D201C" w:rsidRDefault="001D201C" w:rsidP="001D201C">
            <w:pPr>
              <w:jc w:val="right"/>
              <w:rPr>
                <w:rFonts w:ascii="Calibri" w:hAnsi="Calibri" w:cs="Calibri"/>
                <w:color w:val="000000"/>
                <w:szCs w:val="22"/>
              </w:rPr>
            </w:pPr>
            <w:r w:rsidRPr="001D201C">
              <w:rPr>
                <w:rFonts w:ascii="Calibri" w:hAnsi="Calibri" w:cs="Calibri"/>
                <w:color w:val="000000"/>
                <w:szCs w:val="22"/>
              </w:rPr>
              <w:t>5.60%</w:t>
            </w:r>
          </w:p>
        </w:tc>
      </w:tr>
    </w:tbl>
    <w:p w14:paraId="18FC731A" w14:textId="77777777" w:rsidR="001479C5" w:rsidRPr="001479C5" w:rsidRDefault="001479C5" w:rsidP="00723C34">
      <w:pPr>
        <w:pStyle w:val="BodyText"/>
        <w:tabs>
          <w:tab w:val="left" w:pos="2160"/>
          <w:tab w:val="left" w:pos="2250"/>
        </w:tabs>
        <w:jc w:val="left"/>
        <w:rPr>
          <w:rFonts w:asciiTheme="minorHAnsi" w:hAnsiTheme="minorHAnsi" w:cstheme="minorHAnsi"/>
          <w:bCs/>
          <w:i/>
          <w:sz w:val="18"/>
          <w:szCs w:val="18"/>
        </w:rPr>
      </w:pPr>
    </w:p>
    <w:p w14:paraId="7162CA82" w14:textId="43A12B07" w:rsidR="00CF2B50" w:rsidRPr="001479C5" w:rsidRDefault="006C72EF" w:rsidP="00723C34">
      <w:pPr>
        <w:pStyle w:val="BodyText"/>
        <w:tabs>
          <w:tab w:val="left" w:pos="2160"/>
          <w:tab w:val="left" w:pos="2250"/>
        </w:tabs>
        <w:jc w:val="left"/>
        <w:rPr>
          <w:rFonts w:asciiTheme="minorHAnsi" w:hAnsiTheme="minorHAnsi" w:cstheme="minorHAnsi"/>
          <w:bCs/>
          <w:i/>
          <w:sz w:val="18"/>
          <w:szCs w:val="18"/>
        </w:rPr>
      </w:pPr>
      <w:r w:rsidRPr="001479C5">
        <w:rPr>
          <w:rFonts w:asciiTheme="minorHAnsi" w:hAnsiTheme="minorHAnsi" w:cstheme="minorHAnsi"/>
          <w:bCs/>
          <w:i/>
          <w:sz w:val="18"/>
          <w:szCs w:val="18"/>
        </w:rPr>
        <w:t xml:space="preserve">NOTE: </w:t>
      </w:r>
      <w:r w:rsidR="00CF2B50" w:rsidRPr="001479C5">
        <w:rPr>
          <w:rFonts w:asciiTheme="minorHAnsi" w:hAnsiTheme="minorHAnsi" w:cstheme="minorHAnsi"/>
          <w:bCs/>
          <w:i/>
          <w:sz w:val="18"/>
          <w:szCs w:val="18"/>
        </w:rPr>
        <w:t xml:space="preserve">*Correctional Officer series is now split into three levels. </w:t>
      </w:r>
    </w:p>
    <w:p w14:paraId="75FFCC6B" w14:textId="77777777" w:rsidR="00CF2B50" w:rsidRPr="001479C5" w:rsidRDefault="00CF2B50" w:rsidP="00723C34">
      <w:pPr>
        <w:pStyle w:val="BodyText"/>
        <w:tabs>
          <w:tab w:val="left" w:pos="2160"/>
          <w:tab w:val="left" w:pos="2250"/>
        </w:tabs>
        <w:jc w:val="left"/>
        <w:rPr>
          <w:rFonts w:asciiTheme="minorHAnsi" w:hAnsiTheme="minorHAnsi" w:cstheme="minorHAnsi"/>
          <w:bCs/>
          <w:i/>
          <w:sz w:val="18"/>
          <w:szCs w:val="18"/>
        </w:rPr>
      </w:pPr>
    </w:p>
    <w:p w14:paraId="715213FD" w14:textId="77777777" w:rsidR="005C04A5" w:rsidRDefault="005C04A5" w:rsidP="00723C34">
      <w:pPr>
        <w:pStyle w:val="BodyText"/>
        <w:tabs>
          <w:tab w:val="left" w:pos="2160"/>
          <w:tab w:val="left" w:pos="2250"/>
        </w:tabs>
        <w:jc w:val="left"/>
        <w:rPr>
          <w:rFonts w:ascii="Arial" w:hAnsi="Arial" w:cs="Arial"/>
          <w:bCs/>
          <w:sz w:val="20"/>
        </w:rPr>
      </w:pPr>
    </w:p>
    <w:sectPr w:rsidR="005C04A5" w:rsidSect="003A1085">
      <w:type w:val="continuous"/>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BB07" w14:textId="77777777" w:rsidR="00F94718" w:rsidRDefault="00F94718">
      <w:r>
        <w:separator/>
      </w:r>
    </w:p>
  </w:endnote>
  <w:endnote w:type="continuationSeparator" w:id="0">
    <w:p w14:paraId="0F3D6E62" w14:textId="77777777" w:rsidR="00F94718" w:rsidRDefault="00F9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59D9" w14:textId="77777777" w:rsidR="00CF71A4" w:rsidRDefault="00CF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FC402" w14:textId="77777777" w:rsidR="00CF71A4" w:rsidRDefault="00CF71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4329"/>
      <w:docPartObj>
        <w:docPartGallery w:val="Page Numbers (Bottom of Page)"/>
        <w:docPartUnique/>
      </w:docPartObj>
    </w:sdtPr>
    <w:sdtEndPr/>
    <w:sdtContent>
      <w:sdt>
        <w:sdtPr>
          <w:id w:val="1728636285"/>
          <w:docPartObj>
            <w:docPartGallery w:val="Page Numbers (Top of Page)"/>
            <w:docPartUnique/>
          </w:docPartObj>
        </w:sdtPr>
        <w:sdtEndPr/>
        <w:sdtContent>
          <w:p w14:paraId="5B37EBB3" w14:textId="36B0FB18" w:rsidR="00CF71A4" w:rsidRDefault="00CF71A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24FC9">
              <w:rPr>
                <w:b/>
                <w:bCs/>
                <w:noProof/>
              </w:rPr>
              <w:t>2</w:t>
            </w:r>
            <w:r>
              <w:rPr>
                <w:b/>
                <w:bCs/>
                <w:szCs w:val="24"/>
              </w:rPr>
              <w:fldChar w:fldCharType="end"/>
            </w:r>
          </w:p>
          <w:bookmarkStart w:id="0" w:name="_GoBack" w:displacedByCustomXml="next"/>
          <w:bookmarkEnd w:id="0" w:displacedByCustomXml="next"/>
        </w:sdtContent>
      </w:sdt>
    </w:sdtContent>
  </w:sdt>
  <w:p w14:paraId="01CAFAA6" w14:textId="15D3CDCF" w:rsidR="00CF71A4" w:rsidRPr="00236630" w:rsidRDefault="00CF71A4" w:rsidP="00C870A8">
    <w:pPr>
      <w:rPr>
        <w:rFonts w:asciiTheme="minorHAnsi" w:hAnsiTheme="minorHAnsi" w:cs="Arial"/>
        <w:sz w:val="18"/>
        <w:szCs w:val="18"/>
      </w:rPr>
    </w:pPr>
    <w:r w:rsidRPr="00236630">
      <w:rPr>
        <w:rFonts w:asciiTheme="minorHAnsi" w:hAnsiTheme="minorHAnsi" w:cs="Arial"/>
        <w:sz w:val="18"/>
        <w:szCs w:val="18"/>
      </w:rPr>
      <w:t>Office of State Human Resources</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April 2018</w:t>
    </w:r>
  </w:p>
  <w:p w14:paraId="5090D40D" w14:textId="77777777" w:rsidR="00CF71A4" w:rsidRDefault="00CF71A4" w:rsidP="00724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E1E5" w14:textId="77777777" w:rsidR="00D24FC9" w:rsidRDefault="00D2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83FF" w14:textId="77777777" w:rsidR="00F94718" w:rsidRDefault="00F94718">
      <w:r>
        <w:separator/>
      </w:r>
    </w:p>
  </w:footnote>
  <w:footnote w:type="continuationSeparator" w:id="0">
    <w:p w14:paraId="1EE3119D" w14:textId="77777777" w:rsidR="00F94718" w:rsidRDefault="00F9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44AE" w14:textId="0C786371" w:rsidR="00CF71A4" w:rsidRDefault="00CF71A4">
    <w:pPr>
      <w:pStyle w:val="Header"/>
    </w:pPr>
    <w:r>
      <w:rPr>
        <w:rStyle w:val="PageNumber"/>
      </w:rPr>
      <w:fldChar w:fldCharType="begin"/>
    </w:r>
    <w:r>
      <w:rPr>
        <w:rStyle w:val="PageNumber"/>
      </w:rPr>
      <w:instrText xml:space="preserve"> NUMPAGES </w:instrText>
    </w:r>
    <w:r>
      <w:rPr>
        <w:rStyle w:val="PageNumber"/>
      </w:rPr>
      <w:fldChar w:fldCharType="separate"/>
    </w:r>
    <w:r w:rsidR="00D24FC9">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8AF7" w14:textId="092D6038" w:rsidR="00CF71A4" w:rsidRDefault="00CF71A4">
    <w:pPr>
      <w:pStyle w:val="Header"/>
    </w:pPr>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B2AF" w14:textId="77777777" w:rsidR="00D24FC9" w:rsidRDefault="00D24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6A1"/>
    <w:multiLevelType w:val="hybridMultilevel"/>
    <w:tmpl w:val="C08C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75DC"/>
    <w:multiLevelType w:val="singleLevel"/>
    <w:tmpl w:val="286E4872"/>
    <w:lvl w:ilvl="0">
      <w:start w:val="2"/>
      <w:numFmt w:val="upperRoman"/>
      <w:pStyle w:val="Heading9"/>
      <w:lvlText w:val="%1."/>
      <w:lvlJc w:val="left"/>
      <w:pPr>
        <w:tabs>
          <w:tab w:val="num" w:pos="720"/>
        </w:tabs>
        <w:ind w:left="720" w:hanging="720"/>
      </w:pPr>
      <w:rPr>
        <w:rFonts w:hint="default"/>
        <w:u w:val="none"/>
      </w:rPr>
    </w:lvl>
  </w:abstractNum>
  <w:abstractNum w:abstractNumId="2" w15:restartNumberingAfterBreak="0">
    <w:nsid w:val="07114253"/>
    <w:multiLevelType w:val="hybridMultilevel"/>
    <w:tmpl w:val="21B8D378"/>
    <w:lvl w:ilvl="0" w:tplc="2FB82562">
      <w:start w:val="2"/>
      <w:numFmt w:val="upperRoman"/>
      <w:lvlText w:val="%1."/>
      <w:lvlJc w:val="left"/>
      <w:pPr>
        <w:tabs>
          <w:tab w:val="num" w:pos="1440"/>
        </w:tabs>
        <w:ind w:left="1440" w:hanging="720"/>
      </w:pPr>
      <w:rPr>
        <w:rFonts w:hint="default"/>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F82FF3"/>
    <w:multiLevelType w:val="hybridMultilevel"/>
    <w:tmpl w:val="5156D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77950"/>
    <w:multiLevelType w:val="hybridMultilevel"/>
    <w:tmpl w:val="F4F4E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8546D"/>
    <w:multiLevelType w:val="hybridMultilevel"/>
    <w:tmpl w:val="4F30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0583A"/>
    <w:multiLevelType w:val="hybridMultilevel"/>
    <w:tmpl w:val="0080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75B3"/>
    <w:multiLevelType w:val="hybridMultilevel"/>
    <w:tmpl w:val="BBD458CC"/>
    <w:lvl w:ilvl="0" w:tplc="2398C3C6">
      <w:start w:val="1"/>
      <w:numFmt w:val="decimal"/>
      <w:lvlText w:val="%1."/>
      <w:lvlJc w:val="left"/>
      <w:pPr>
        <w:tabs>
          <w:tab w:val="num" w:pos="1080"/>
        </w:tabs>
        <w:ind w:left="1080" w:hanging="360"/>
      </w:pPr>
      <w:rPr>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7C776B"/>
    <w:multiLevelType w:val="hybridMultilevel"/>
    <w:tmpl w:val="31BE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33249"/>
    <w:multiLevelType w:val="hybridMultilevel"/>
    <w:tmpl w:val="CEE486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246654"/>
    <w:multiLevelType w:val="hybridMultilevel"/>
    <w:tmpl w:val="7A44F182"/>
    <w:lvl w:ilvl="0" w:tplc="04090001">
      <w:start w:val="1"/>
      <w:numFmt w:val="bullet"/>
      <w:lvlText w:val=""/>
      <w:lvlJc w:val="left"/>
      <w:pPr>
        <w:tabs>
          <w:tab w:val="num" w:pos="720"/>
        </w:tabs>
        <w:ind w:left="720" w:hanging="360"/>
      </w:pPr>
      <w:rPr>
        <w:rFonts w:ascii="Symbol" w:hAnsi="Symbol" w:hint="default"/>
      </w:rPr>
    </w:lvl>
    <w:lvl w:ilvl="1" w:tplc="4EC8D3B2">
      <w:start w:val="1"/>
      <w:numFmt w:val="bullet"/>
      <w:lvlText w:val=""/>
      <w:lvlJc w:val="left"/>
      <w:pPr>
        <w:tabs>
          <w:tab w:val="num" w:pos="1440"/>
        </w:tabs>
        <w:ind w:left="1440" w:hanging="360"/>
      </w:pPr>
      <w:rPr>
        <w:rFonts w:ascii="Symbol" w:hAnsi="Symbol" w:hint="default"/>
        <w:color w:val="auto"/>
      </w:rPr>
    </w:lvl>
    <w:lvl w:ilvl="2" w:tplc="AF3E5A7E">
      <w:start w:val="7"/>
      <w:numFmt w:val="bullet"/>
      <w:lvlText w:val=""/>
      <w:lvlJc w:val="left"/>
      <w:pPr>
        <w:tabs>
          <w:tab w:val="num" w:pos="2535"/>
        </w:tabs>
        <w:ind w:left="2535" w:hanging="735"/>
      </w:pPr>
      <w:rPr>
        <w:rFonts w:ascii="Wingdings 2" w:eastAsia="Times New Roman" w:hAnsi="Wingdings 2" w:cs="Times New Roman" w:hint="default"/>
        <w:i w:val="0"/>
        <w:color w:val="0000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37F19"/>
    <w:multiLevelType w:val="hybridMultilevel"/>
    <w:tmpl w:val="5E4E7330"/>
    <w:lvl w:ilvl="0" w:tplc="2C0E7204">
      <w:start w:val="1992"/>
      <w:numFmt w:val="bullet"/>
      <w:lvlText w:val=""/>
      <w:lvlJc w:val="left"/>
      <w:pPr>
        <w:ind w:left="1845" w:hanging="405"/>
      </w:pPr>
      <w:rPr>
        <w:rFonts w:ascii="Wingdings 2" w:eastAsia="Times New Roman" w:hAnsi="Wingdings 2"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5E1264"/>
    <w:multiLevelType w:val="hybridMultilevel"/>
    <w:tmpl w:val="704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06D0B"/>
    <w:multiLevelType w:val="singleLevel"/>
    <w:tmpl w:val="52028E6C"/>
    <w:lvl w:ilvl="0">
      <w:start w:val="1"/>
      <w:numFmt w:val="bullet"/>
      <w:lvlText w:val=""/>
      <w:lvlJc w:val="left"/>
      <w:pPr>
        <w:tabs>
          <w:tab w:val="num" w:pos="720"/>
        </w:tabs>
        <w:ind w:left="720" w:hanging="360"/>
      </w:pPr>
      <w:rPr>
        <w:rFonts w:ascii="Symbol" w:hAnsi="Symbol" w:hint="default"/>
        <w:color w:val="auto"/>
      </w:rPr>
    </w:lvl>
  </w:abstractNum>
  <w:abstractNum w:abstractNumId="14" w15:restartNumberingAfterBreak="0">
    <w:nsid w:val="2AED794A"/>
    <w:multiLevelType w:val="hybridMultilevel"/>
    <w:tmpl w:val="A210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30A3C"/>
    <w:multiLevelType w:val="hybridMultilevel"/>
    <w:tmpl w:val="BB74F9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C224AF"/>
    <w:multiLevelType w:val="hybridMultilevel"/>
    <w:tmpl w:val="0B1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30299"/>
    <w:multiLevelType w:val="hybridMultilevel"/>
    <w:tmpl w:val="9AFC42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2D2F29"/>
    <w:multiLevelType w:val="hybridMultilevel"/>
    <w:tmpl w:val="DA9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902BF"/>
    <w:multiLevelType w:val="hybridMultilevel"/>
    <w:tmpl w:val="15083184"/>
    <w:lvl w:ilvl="0" w:tplc="2C0E7204">
      <w:start w:val="1992"/>
      <w:numFmt w:val="bullet"/>
      <w:lvlText w:val=""/>
      <w:lvlJc w:val="left"/>
      <w:pPr>
        <w:ind w:left="1845" w:hanging="405"/>
      </w:pPr>
      <w:rPr>
        <w:rFonts w:ascii="Wingdings 2" w:eastAsia="Times New Roman" w:hAnsi="Wingdings 2"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13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3E5B5C"/>
    <w:multiLevelType w:val="hybridMultilevel"/>
    <w:tmpl w:val="4D7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14F24"/>
    <w:multiLevelType w:val="hybridMultilevel"/>
    <w:tmpl w:val="D20488B0"/>
    <w:lvl w:ilvl="0" w:tplc="3D58A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F2CA0"/>
    <w:multiLevelType w:val="hybridMultilevel"/>
    <w:tmpl w:val="00FE4B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146A9D"/>
    <w:multiLevelType w:val="hybridMultilevel"/>
    <w:tmpl w:val="D026FC8C"/>
    <w:lvl w:ilvl="0" w:tplc="BF02309A">
      <w:start w:val="1"/>
      <w:numFmt w:val="bullet"/>
      <w:lvlText w:val=""/>
      <w:lvlJc w:val="left"/>
      <w:pPr>
        <w:tabs>
          <w:tab w:val="num" w:pos="720"/>
        </w:tabs>
        <w:ind w:left="720" w:hanging="360"/>
      </w:pPr>
      <w:rPr>
        <w:rFonts w:ascii="Symbol" w:hAnsi="Symbol" w:hint="default"/>
        <w:color w:val="auto"/>
      </w:rPr>
    </w:lvl>
    <w:lvl w:ilvl="1" w:tplc="4EC8D3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31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4417BD"/>
    <w:multiLevelType w:val="multilevel"/>
    <w:tmpl w:val="5A46C3C0"/>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5845F57"/>
    <w:multiLevelType w:val="hybridMultilevel"/>
    <w:tmpl w:val="BB6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563A6"/>
    <w:multiLevelType w:val="hybridMultilevel"/>
    <w:tmpl w:val="A956C24E"/>
    <w:lvl w:ilvl="0" w:tplc="BF7A4B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42700B2"/>
    <w:multiLevelType w:val="hybridMultilevel"/>
    <w:tmpl w:val="D8582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E83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C54809"/>
    <w:multiLevelType w:val="hybridMultilevel"/>
    <w:tmpl w:val="A912B9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24658"/>
    <w:multiLevelType w:val="hybridMultilevel"/>
    <w:tmpl w:val="B0E6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715FB"/>
    <w:multiLevelType w:val="singleLevel"/>
    <w:tmpl w:val="6B1C8F24"/>
    <w:lvl w:ilvl="0">
      <w:start w:val="1"/>
      <w:numFmt w:val="bullet"/>
      <w:lvlText w:val=""/>
      <w:lvlJc w:val="left"/>
      <w:pPr>
        <w:tabs>
          <w:tab w:val="num" w:pos="360"/>
        </w:tabs>
        <w:ind w:left="0" w:firstLine="0"/>
      </w:pPr>
      <w:rPr>
        <w:rFonts w:ascii="Symbol" w:hAnsi="Symbol" w:hint="default"/>
      </w:rPr>
    </w:lvl>
  </w:abstractNum>
  <w:abstractNum w:abstractNumId="34" w15:restartNumberingAfterBreak="0">
    <w:nsid w:val="78F47508"/>
    <w:multiLevelType w:val="singleLevel"/>
    <w:tmpl w:val="04090001"/>
    <w:lvl w:ilvl="0">
      <w:start w:val="1"/>
      <w:numFmt w:val="bullet"/>
      <w:lvlText w:val=""/>
      <w:lvlJc w:val="left"/>
      <w:pPr>
        <w:ind w:left="720" w:hanging="360"/>
      </w:pPr>
      <w:rPr>
        <w:rFonts w:ascii="Symbol" w:hAnsi="Symbol" w:hint="default"/>
      </w:rPr>
    </w:lvl>
  </w:abstractNum>
  <w:num w:numId="1">
    <w:abstractNumId w:val="34"/>
  </w:num>
  <w:num w:numId="2">
    <w:abstractNumId w:val="13"/>
  </w:num>
  <w:num w:numId="3">
    <w:abstractNumId w:val="1"/>
  </w:num>
  <w:num w:numId="4">
    <w:abstractNumId w:val="33"/>
  </w:num>
  <w:num w:numId="5">
    <w:abstractNumId w:val="20"/>
  </w:num>
  <w:num w:numId="6">
    <w:abstractNumId w:val="8"/>
  </w:num>
  <w:num w:numId="7">
    <w:abstractNumId w:val="25"/>
  </w:num>
  <w:num w:numId="8">
    <w:abstractNumId w:val="30"/>
  </w:num>
  <w:num w:numId="9">
    <w:abstractNumId w:val="23"/>
  </w:num>
  <w:num w:numId="10">
    <w:abstractNumId w:val="15"/>
  </w:num>
  <w:num w:numId="11">
    <w:abstractNumId w:val="28"/>
  </w:num>
  <w:num w:numId="12">
    <w:abstractNumId w:val="7"/>
  </w:num>
  <w:num w:numId="13">
    <w:abstractNumId w:val="10"/>
  </w:num>
  <w:num w:numId="14">
    <w:abstractNumId w:val="24"/>
  </w:num>
  <w:num w:numId="15">
    <w:abstractNumId w:val="26"/>
  </w:num>
  <w:num w:numId="16">
    <w:abstractNumId w:val="3"/>
  </w:num>
  <w:num w:numId="17">
    <w:abstractNumId w:val="4"/>
  </w:num>
  <w:num w:numId="18">
    <w:abstractNumId w:val="29"/>
  </w:num>
  <w:num w:numId="19">
    <w:abstractNumId w:val="27"/>
  </w:num>
  <w:num w:numId="20">
    <w:abstractNumId w:val="11"/>
  </w:num>
  <w:num w:numId="21">
    <w:abstractNumId w:val="0"/>
  </w:num>
  <w:num w:numId="22">
    <w:abstractNumId w:val="16"/>
  </w:num>
  <w:num w:numId="23">
    <w:abstractNumId w:val="5"/>
  </w:num>
  <w:num w:numId="24">
    <w:abstractNumId w:val="19"/>
  </w:num>
  <w:num w:numId="25">
    <w:abstractNumId w:val="22"/>
  </w:num>
  <w:num w:numId="26">
    <w:abstractNumId w:val="2"/>
  </w:num>
  <w:num w:numId="27">
    <w:abstractNumId w:val="14"/>
  </w:num>
  <w:num w:numId="28">
    <w:abstractNumId w:val="12"/>
  </w:num>
  <w:num w:numId="29">
    <w:abstractNumId w:val="21"/>
  </w:num>
  <w:num w:numId="30">
    <w:abstractNumId w:val="18"/>
  </w:num>
  <w:num w:numId="31">
    <w:abstractNumId w:val="32"/>
  </w:num>
  <w:num w:numId="32">
    <w:abstractNumId w:val="17"/>
  </w:num>
  <w:num w:numId="33">
    <w:abstractNumId w:val="31"/>
  </w:num>
  <w:num w:numId="34">
    <w:abstractNumId w:val="9"/>
  </w:num>
  <w:num w:numId="3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27"/>
    <w:rsid w:val="00000DCF"/>
    <w:rsid w:val="00002849"/>
    <w:rsid w:val="000032A1"/>
    <w:rsid w:val="00003928"/>
    <w:rsid w:val="00006796"/>
    <w:rsid w:val="00007110"/>
    <w:rsid w:val="00010F26"/>
    <w:rsid w:val="000170AA"/>
    <w:rsid w:val="0001715A"/>
    <w:rsid w:val="00023695"/>
    <w:rsid w:val="00025142"/>
    <w:rsid w:val="000304C7"/>
    <w:rsid w:val="00033C6B"/>
    <w:rsid w:val="00041BEB"/>
    <w:rsid w:val="000438CB"/>
    <w:rsid w:val="00046EAB"/>
    <w:rsid w:val="00051783"/>
    <w:rsid w:val="00054E1C"/>
    <w:rsid w:val="00055E67"/>
    <w:rsid w:val="00057282"/>
    <w:rsid w:val="00060DA2"/>
    <w:rsid w:val="000626A1"/>
    <w:rsid w:val="0006285B"/>
    <w:rsid w:val="000629F8"/>
    <w:rsid w:val="000654D7"/>
    <w:rsid w:val="00065F41"/>
    <w:rsid w:val="00066F6B"/>
    <w:rsid w:val="000748F2"/>
    <w:rsid w:val="00074FEE"/>
    <w:rsid w:val="00075A95"/>
    <w:rsid w:val="0007634D"/>
    <w:rsid w:val="00080FE2"/>
    <w:rsid w:val="00081595"/>
    <w:rsid w:val="000815DD"/>
    <w:rsid w:val="0008371A"/>
    <w:rsid w:val="000840A0"/>
    <w:rsid w:val="00085A73"/>
    <w:rsid w:val="0008749F"/>
    <w:rsid w:val="00087FC6"/>
    <w:rsid w:val="00090BF6"/>
    <w:rsid w:val="00093709"/>
    <w:rsid w:val="00094283"/>
    <w:rsid w:val="0009546D"/>
    <w:rsid w:val="00095C90"/>
    <w:rsid w:val="000A18A8"/>
    <w:rsid w:val="000A1ECB"/>
    <w:rsid w:val="000A6C45"/>
    <w:rsid w:val="000B07CA"/>
    <w:rsid w:val="000B23CE"/>
    <w:rsid w:val="000B3851"/>
    <w:rsid w:val="000B5C14"/>
    <w:rsid w:val="000B5F6A"/>
    <w:rsid w:val="000C1418"/>
    <w:rsid w:val="000C16B5"/>
    <w:rsid w:val="000C21D0"/>
    <w:rsid w:val="000C4B75"/>
    <w:rsid w:val="000C6292"/>
    <w:rsid w:val="000D00DA"/>
    <w:rsid w:val="000D145A"/>
    <w:rsid w:val="000D2961"/>
    <w:rsid w:val="000D4540"/>
    <w:rsid w:val="000D741E"/>
    <w:rsid w:val="000E0A80"/>
    <w:rsid w:val="000F18B6"/>
    <w:rsid w:val="000F6C11"/>
    <w:rsid w:val="000F7BE0"/>
    <w:rsid w:val="00100338"/>
    <w:rsid w:val="00100481"/>
    <w:rsid w:val="00100D95"/>
    <w:rsid w:val="001015FB"/>
    <w:rsid w:val="00113354"/>
    <w:rsid w:val="0011519A"/>
    <w:rsid w:val="00115DC9"/>
    <w:rsid w:val="00117302"/>
    <w:rsid w:val="00122403"/>
    <w:rsid w:val="00122B8E"/>
    <w:rsid w:val="00126F8C"/>
    <w:rsid w:val="00127A0D"/>
    <w:rsid w:val="00130553"/>
    <w:rsid w:val="001422C2"/>
    <w:rsid w:val="001479C5"/>
    <w:rsid w:val="00150703"/>
    <w:rsid w:val="001521C0"/>
    <w:rsid w:val="00157471"/>
    <w:rsid w:val="001800CC"/>
    <w:rsid w:val="00181168"/>
    <w:rsid w:val="00181B5C"/>
    <w:rsid w:val="001828DF"/>
    <w:rsid w:val="00190028"/>
    <w:rsid w:val="0019221E"/>
    <w:rsid w:val="00194790"/>
    <w:rsid w:val="001A4E0B"/>
    <w:rsid w:val="001A5D65"/>
    <w:rsid w:val="001A64B6"/>
    <w:rsid w:val="001B216D"/>
    <w:rsid w:val="001B31F0"/>
    <w:rsid w:val="001B4FAF"/>
    <w:rsid w:val="001C5552"/>
    <w:rsid w:val="001D0567"/>
    <w:rsid w:val="001D201C"/>
    <w:rsid w:val="001D485F"/>
    <w:rsid w:val="001D4CFB"/>
    <w:rsid w:val="001D6BA4"/>
    <w:rsid w:val="001E01A4"/>
    <w:rsid w:val="001E0DFC"/>
    <w:rsid w:val="001E5A01"/>
    <w:rsid w:val="001E60DF"/>
    <w:rsid w:val="001F0B80"/>
    <w:rsid w:val="001F27D2"/>
    <w:rsid w:val="001F598D"/>
    <w:rsid w:val="001F7F37"/>
    <w:rsid w:val="002010B7"/>
    <w:rsid w:val="00202629"/>
    <w:rsid w:val="0020509A"/>
    <w:rsid w:val="002148C9"/>
    <w:rsid w:val="0021644E"/>
    <w:rsid w:val="00220D26"/>
    <w:rsid w:val="00224418"/>
    <w:rsid w:val="00225AA1"/>
    <w:rsid w:val="00225FC3"/>
    <w:rsid w:val="00226C57"/>
    <w:rsid w:val="00230A02"/>
    <w:rsid w:val="00233206"/>
    <w:rsid w:val="002344E7"/>
    <w:rsid w:val="002462C9"/>
    <w:rsid w:val="00250589"/>
    <w:rsid w:val="00251B87"/>
    <w:rsid w:val="002538C0"/>
    <w:rsid w:val="00260D26"/>
    <w:rsid w:val="002650C9"/>
    <w:rsid w:val="00267E9A"/>
    <w:rsid w:val="00272F4B"/>
    <w:rsid w:val="00274C44"/>
    <w:rsid w:val="00274D31"/>
    <w:rsid w:val="0027739F"/>
    <w:rsid w:val="002834A2"/>
    <w:rsid w:val="00285325"/>
    <w:rsid w:val="0029031F"/>
    <w:rsid w:val="002975F3"/>
    <w:rsid w:val="002A02FE"/>
    <w:rsid w:val="002A1812"/>
    <w:rsid w:val="002A2C4B"/>
    <w:rsid w:val="002A3B75"/>
    <w:rsid w:val="002B37DE"/>
    <w:rsid w:val="002B3FDB"/>
    <w:rsid w:val="002B4667"/>
    <w:rsid w:val="002C515E"/>
    <w:rsid w:val="002C6B7E"/>
    <w:rsid w:val="002C72F1"/>
    <w:rsid w:val="002C751E"/>
    <w:rsid w:val="002C7A0B"/>
    <w:rsid w:val="002D2763"/>
    <w:rsid w:val="002D500A"/>
    <w:rsid w:val="002D50B6"/>
    <w:rsid w:val="002D6632"/>
    <w:rsid w:val="002E21C3"/>
    <w:rsid w:val="002E2934"/>
    <w:rsid w:val="002F19C1"/>
    <w:rsid w:val="002F1B26"/>
    <w:rsid w:val="002F64C4"/>
    <w:rsid w:val="002F71A9"/>
    <w:rsid w:val="00303A10"/>
    <w:rsid w:val="003059D5"/>
    <w:rsid w:val="00306ED8"/>
    <w:rsid w:val="00310BFC"/>
    <w:rsid w:val="00314760"/>
    <w:rsid w:val="003171AC"/>
    <w:rsid w:val="003210BC"/>
    <w:rsid w:val="00324FE0"/>
    <w:rsid w:val="003306D4"/>
    <w:rsid w:val="003309F7"/>
    <w:rsid w:val="00333DC8"/>
    <w:rsid w:val="00333F4C"/>
    <w:rsid w:val="003361E4"/>
    <w:rsid w:val="00336ACD"/>
    <w:rsid w:val="00337B2E"/>
    <w:rsid w:val="00344B4E"/>
    <w:rsid w:val="00347C28"/>
    <w:rsid w:val="00347F1A"/>
    <w:rsid w:val="003542D6"/>
    <w:rsid w:val="0035451A"/>
    <w:rsid w:val="00356D3C"/>
    <w:rsid w:val="00361190"/>
    <w:rsid w:val="00365537"/>
    <w:rsid w:val="00365754"/>
    <w:rsid w:val="00372CAF"/>
    <w:rsid w:val="00374175"/>
    <w:rsid w:val="00376DAB"/>
    <w:rsid w:val="00380870"/>
    <w:rsid w:val="00382270"/>
    <w:rsid w:val="00382BFC"/>
    <w:rsid w:val="00383F7D"/>
    <w:rsid w:val="0038480B"/>
    <w:rsid w:val="00385F67"/>
    <w:rsid w:val="00386ACC"/>
    <w:rsid w:val="00386B03"/>
    <w:rsid w:val="0039013F"/>
    <w:rsid w:val="003933C7"/>
    <w:rsid w:val="00393C34"/>
    <w:rsid w:val="00393FAC"/>
    <w:rsid w:val="003A1085"/>
    <w:rsid w:val="003A11D5"/>
    <w:rsid w:val="003A34A3"/>
    <w:rsid w:val="003A440A"/>
    <w:rsid w:val="003A478F"/>
    <w:rsid w:val="003B568B"/>
    <w:rsid w:val="003B6EB1"/>
    <w:rsid w:val="003C046A"/>
    <w:rsid w:val="003C189F"/>
    <w:rsid w:val="003C2E92"/>
    <w:rsid w:val="003C4DB6"/>
    <w:rsid w:val="003C7E0B"/>
    <w:rsid w:val="003D30F6"/>
    <w:rsid w:val="003D3C53"/>
    <w:rsid w:val="003D5B68"/>
    <w:rsid w:val="003D6D61"/>
    <w:rsid w:val="003D7721"/>
    <w:rsid w:val="003E2991"/>
    <w:rsid w:val="003E3AEC"/>
    <w:rsid w:val="003E59D8"/>
    <w:rsid w:val="003E64EF"/>
    <w:rsid w:val="003E75EA"/>
    <w:rsid w:val="003F0125"/>
    <w:rsid w:val="003F11F6"/>
    <w:rsid w:val="003F143B"/>
    <w:rsid w:val="003F340F"/>
    <w:rsid w:val="003F3C66"/>
    <w:rsid w:val="003F3E24"/>
    <w:rsid w:val="003F4C40"/>
    <w:rsid w:val="003F51FF"/>
    <w:rsid w:val="003F705A"/>
    <w:rsid w:val="00401C9C"/>
    <w:rsid w:val="00402182"/>
    <w:rsid w:val="00402C39"/>
    <w:rsid w:val="00404422"/>
    <w:rsid w:val="004066F6"/>
    <w:rsid w:val="0041077B"/>
    <w:rsid w:val="00412A4B"/>
    <w:rsid w:val="0041304A"/>
    <w:rsid w:val="004147BC"/>
    <w:rsid w:val="00417CDC"/>
    <w:rsid w:val="00420B98"/>
    <w:rsid w:val="00422590"/>
    <w:rsid w:val="0043282F"/>
    <w:rsid w:val="00435339"/>
    <w:rsid w:val="0043540E"/>
    <w:rsid w:val="00436607"/>
    <w:rsid w:val="004402D1"/>
    <w:rsid w:val="004463AA"/>
    <w:rsid w:val="00447357"/>
    <w:rsid w:val="00450CBB"/>
    <w:rsid w:val="00451E20"/>
    <w:rsid w:val="004534BE"/>
    <w:rsid w:val="00453E1E"/>
    <w:rsid w:val="004555B8"/>
    <w:rsid w:val="00456603"/>
    <w:rsid w:val="00460A49"/>
    <w:rsid w:val="00461A89"/>
    <w:rsid w:val="00462AA5"/>
    <w:rsid w:val="00464168"/>
    <w:rsid w:val="00465F21"/>
    <w:rsid w:val="00472013"/>
    <w:rsid w:val="00472A11"/>
    <w:rsid w:val="004814F7"/>
    <w:rsid w:val="00483E57"/>
    <w:rsid w:val="004847AD"/>
    <w:rsid w:val="00484FD2"/>
    <w:rsid w:val="004866E9"/>
    <w:rsid w:val="004868EB"/>
    <w:rsid w:val="00494DCA"/>
    <w:rsid w:val="00496A45"/>
    <w:rsid w:val="004973D6"/>
    <w:rsid w:val="00497D12"/>
    <w:rsid w:val="004A1ABF"/>
    <w:rsid w:val="004A2396"/>
    <w:rsid w:val="004B16B8"/>
    <w:rsid w:val="004B1B84"/>
    <w:rsid w:val="004B220D"/>
    <w:rsid w:val="004B4F36"/>
    <w:rsid w:val="004C0BF7"/>
    <w:rsid w:val="004C2DA8"/>
    <w:rsid w:val="004C3E0D"/>
    <w:rsid w:val="004C4248"/>
    <w:rsid w:val="004C4615"/>
    <w:rsid w:val="004C4B34"/>
    <w:rsid w:val="004C4D34"/>
    <w:rsid w:val="004C647E"/>
    <w:rsid w:val="004D40C3"/>
    <w:rsid w:val="004D44DB"/>
    <w:rsid w:val="004D6938"/>
    <w:rsid w:val="004D74ED"/>
    <w:rsid w:val="004E23B2"/>
    <w:rsid w:val="004E3491"/>
    <w:rsid w:val="004E561B"/>
    <w:rsid w:val="004F29EF"/>
    <w:rsid w:val="004F379E"/>
    <w:rsid w:val="004F798B"/>
    <w:rsid w:val="00500273"/>
    <w:rsid w:val="0050099C"/>
    <w:rsid w:val="005017BF"/>
    <w:rsid w:val="00502D54"/>
    <w:rsid w:val="005054E7"/>
    <w:rsid w:val="00506A0F"/>
    <w:rsid w:val="00515796"/>
    <w:rsid w:val="00515902"/>
    <w:rsid w:val="005260AB"/>
    <w:rsid w:val="00526C1B"/>
    <w:rsid w:val="00527195"/>
    <w:rsid w:val="00534417"/>
    <w:rsid w:val="00540B4A"/>
    <w:rsid w:val="005421A2"/>
    <w:rsid w:val="00543E2D"/>
    <w:rsid w:val="005448C4"/>
    <w:rsid w:val="00547F43"/>
    <w:rsid w:val="00551931"/>
    <w:rsid w:val="00554B00"/>
    <w:rsid w:val="00561846"/>
    <w:rsid w:val="00575A3F"/>
    <w:rsid w:val="0058169C"/>
    <w:rsid w:val="00583187"/>
    <w:rsid w:val="00583D37"/>
    <w:rsid w:val="005846C7"/>
    <w:rsid w:val="00584DC5"/>
    <w:rsid w:val="00585E3F"/>
    <w:rsid w:val="00585FD3"/>
    <w:rsid w:val="0058695E"/>
    <w:rsid w:val="00587B27"/>
    <w:rsid w:val="00594E36"/>
    <w:rsid w:val="005A18CA"/>
    <w:rsid w:val="005A20CD"/>
    <w:rsid w:val="005A2D21"/>
    <w:rsid w:val="005A4E30"/>
    <w:rsid w:val="005B6620"/>
    <w:rsid w:val="005C04A5"/>
    <w:rsid w:val="005C28D5"/>
    <w:rsid w:val="005C3569"/>
    <w:rsid w:val="005C3CF2"/>
    <w:rsid w:val="005C425E"/>
    <w:rsid w:val="005C5BAC"/>
    <w:rsid w:val="005C62CE"/>
    <w:rsid w:val="005C6F0B"/>
    <w:rsid w:val="005D0C13"/>
    <w:rsid w:val="005D2DC9"/>
    <w:rsid w:val="005E1E6D"/>
    <w:rsid w:val="005E2989"/>
    <w:rsid w:val="005E41C6"/>
    <w:rsid w:val="005E68E5"/>
    <w:rsid w:val="005F1218"/>
    <w:rsid w:val="005F1321"/>
    <w:rsid w:val="005F1DF8"/>
    <w:rsid w:val="005F1E91"/>
    <w:rsid w:val="005F2597"/>
    <w:rsid w:val="005F6BC7"/>
    <w:rsid w:val="005F704C"/>
    <w:rsid w:val="005F7C3E"/>
    <w:rsid w:val="006005BD"/>
    <w:rsid w:val="00600808"/>
    <w:rsid w:val="00606741"/>
    <w:rsid w:val="006115CE"/>
    <w:rsid w:val="00614539"/>
    <w:rsid w:val="006146B4"/>
    <w:rsid w:val="00620DE7"/>
    <w:rsid w:val="00624ED8"/>
    <w:rsid w:val="00626D94"/>
    <w:rsid w:val="00630203"/>
    <w:rsid w:val="006365EE"/>
    <w:rsid w:val="00645DF6"/>
    <w:rsid w:val="0064661A"/>
    <w:rsid w:val="00650485"/>
    <w:rsid w:val="00650F17"/>
    <w:rsid w:val="006516C5"/>
    <w:rsid w:val="00651BB0"/>
    <w:rsid w:val="00653B7C"/>
    <w:rsid w:val="0065647A"/>
    <w:rsid w:val="00662094"/>
    <w:rsid w:val="0066570B"/>
    <w:rsid w:val="00666EAF"/>
    <w:rsid w:val="00673432"/>
    <w:rsid w:val="00673A3C"/>
    <w:rsid w:val="00673D80"/>
    <w:rsid w:val="00675B57"/>
    <w:rsid w:val="0067689C"/>
    <w:rsid w:val="00676B61"/>
    <w:rsid w:val="00681327"/>
    <w:rsid w:val="00681AA9"/>
    <w:rsid w:val="00682B28"/>
    <w:rsid w:val="00682E82"/>
    <w:rsid w:val="006841AC"/>
    <w:rsid w:val="006861DC"/>
    <w:rsid w:val="00686A35"/>
    <w:rsid w:val="00694051"/>
    <w:rsid w:val="006977AE"/>
    <w:rsid w:val="006979C1"/>
    <w:rsid w:val="006A0428"/>
    <w:rsid w:val="006A1452"/>
    <w:rsid w:val="006A188D"/>
    <w:rsid w:val="006A4331"/>
    <w:rsid w:val="006A4EF5"/>
    <w:rsid w:val="006A54BB"/>
    <w:rsid w:val="006B02E3"/>
    <w:rsid w:val="006B03AF"/>
    <w:rsid w:val="006B752F"/>
    <w:rsid w:val="006C058C"/>
    <w:rsid w:val="006C3DA7"/>
    <w:rsid w:val="006C4019"/>
    <w:rsid w:val="006C4919"/>
    <w:rsid w:val="006C5908"/>
    <w:rsid w:val="006C6E6A"/>
    <w:rsid w:val="006C72EF"/>
    <w:rsid w:val="006D2592"/>
    <w:rsid w:val="006D5B81"/>
    <w:rsid w:val="006D79FE"/>
    <w:rsid w:val="006E1E01"/>
    <w:rsid w:val="006E231D"/>
    <w:rsid w:val="006E50C2"/>
    <w:rsid w:val="006F1DAE"/>
    <w:rsid w:val="006F220B"/>
    <w:rsid w:val="006F2597"/>
    <w:rsid w:val="006F3B9F"/>
    <w:rsid w:val="006F6F2B"/>
    <w:rsid w:val="00701D37"/>
    <w:rsid w:val="0070474B"/>
    <w:rsid w:val="00707CF4"/>
    <w:rsid w:val="00710D2F"/>
    <w:rsid w:val="0071458E"/>
    <w:rsid w:val="00714611"/>
    <w:rsid w:val="007224F9"/>
    <w:rsid w:val="00723C34"/>
    <w:rsid w:val="00724162"/>
    <w:rsid w:val="00724423"/>
    <w:rsid w:val="007251AA"/>
    <w:rsid w:val="007274FC"/>
    <w:rsid w:val="00727919"/>
    <w:rsid w:val="007306A5"/>
    <w:rsid w:val="007315C4"/>
    <w:rsid w:val="00734155"/>
    <w:rsid w:val="00737880"/>
    <w:rsid w:val="00737AAF"/>
    <w:rsid w:val="00742527"/>
    <w:rsid w:val="007444E9"/>
    <w:rsid w:val="007470A7"/>
    <w:rsid w:val="00750547"/>
    <w:rsid w:val="007512FA"/>
    <w:rsid w:val="0075146A"/>
    <w:rsid w:val="007534D1"/>
    <w:rsid w:val="007541A3"/>
    <w:rsid w:val="00755AAD"/>
    <w:rsid w:val="00757498"/>
    <w:rsid w:val="00762E96"/>
    <w:rsid w:val="0076458E"/>
    <w:rsid w:val="007707CB"/>
    <w:rsid w:val="00771F7B"/>
    <w:rsid w:val="00773B75"/>
    <w:rsid w:val="00777FD8"/>
    <w:rsid w:val="0078171A"/>
    <w:rsid w:val="00783EA5"/>
    <w:rsid w:val="00784BC9"/>
    <w:rsid w:val="007873C7"/>
    <w:rsid w:val="00791039"/>
    <w:rsid w:val="007910D4"/>
    <w:rsid w:val="00792889"/>
    <w:rsid w:val="007947C0"/>
    <w:rsid w:val="00794B35"/>
    <w:rsid w:val="00797D27"/>
    <w:rsid w:val="007A1F14"/>
    <w:rsid w:val="007A2721"/>
    <w:rsid w:val="007A434D"/>
    <w:rsid w:val="007A517A"/>
    <w:rsid w:val="007A738B"/>
    <w:rsid w:val="007B31AA"/>
    <w:rsid w:val="007B58DC"/>
    <w:rsid w:val="007C14B2"/>
    <w:rsid w:val="007C758B"/>
    <w:rsid w:val="007D194F"/>
    <w:rsid w:val="007D2984"/>
    <w:rsid w:val="007D2B25"/>
    <w:rsid w:val="007D4251"/>
    <w:rsid w:val="007D4F12"/>
    <w:rsid w:val="007D64A3"/>
    <w:rsid w:val="007D6F03"/>
    <w:rsid w:val="007D79B6"/>
    <w:rsid w:val="007E2188"/>
    <w:rsid w:val="007E2375"/>
    <w:rsid w:val="007E4348"/>
    <w:rsid w:val="007E530E"/>
    <w:rsid w:val="007E5C5F"/>
    <w:rsid w:val="007E780B"/>
    <w:rsid w:val="007F1104"/>
    <w:rsid w:val="007F32A8"/>
    <w:rsid w:val="007F3456"/>
    <w:rsid w:val="007F408E"/>
    <w:rsid w:val="007F5045"/>
    <w:rsid w:val="0080083C"/>
    <w:rsid w:val="00800D74"/>
    <w:rsid w:val="00803677"/>
    <w:rsid w:val="00807B07"/>
    <w:rsid w:val="00811E77"/>
    <w:rsid w:val="00812046"/>
    <w:rsid w:val="00815BAD"/>
    <w:rsid w:val="00815DA7"/>
    <w:rsid w:val="00816A43"/>
    <w:rsid w:val="008176CF"/>
    <w:rsid w:val="008264CB"/>
    <w:rsid w:val="00830668"/>
    <w:rsid w:val="00841629"/>
    <w:rsid w:val="008448D6"/>
    <w:rsid w:val="00845F06"/>
    <w:rsid w:val="008475BE"/>
    <w:rsid w:val="00853559"/>
    <w:rsid w:val="00855A0D"/>
    <w:rsid w:val="0085744A"/>
    <w:rsid w:val="00857D71"/>
    <w:rsid w:val="00862B89"/>
    <w:rsid w:val="00862E64"/>
    <w:rsid w:val="008704BD"/>
    <w:rsid w:val="00871603"/>
    <w:rsid w:val="00872191"/>
    <w:rsid w:val="00872250"/>
    <w:rsid w:val="008727D5"/>
    <w:rsid w:val="00873DAD"/>
    <w:rsid w:val="00874CA7"/>
    <w:rsid w:val="0087547C"/>
    <w:rsid w:val="008809E7"/>
    <w:rsid w:val="00880F8B"/>
    <w:rsid w:val="008817EC"/>
    <w:rsid w:val="00881A76"/>
    <w:rsid w:val="00883D06"/>
    <w:rsid w:val="0088423C"/>
    <w:rsid w:val="00884260"/>
    <w:rsid w:val="008870CB"/>
    <w:rsid w:val="008903FB"/>
    <w:rsid w:val="00890446"/>
    <w:rsid w:val="008930C8"/>
    <w:rsid w:val="00894212"/>
    <w:rsid w:val="00894805"/>
    <w:rsid w:val="00896410"/>
    <w:rsid w:val="00896514"/>
    <w:rsid w:val="008A370A"/>
    <w:rsid w:val="008A4568"/>
    <w:rsid w:val="008A690C"/>
    <w:rsid w:val="008A6A83"/>
    <w:rsid w:val="008B301C"/>
    <w:rsid w:val="008B4416"/>
    <w:rsid w:val="008B48D4"/>
    <w:rsid w:val="008B4CEF"/>
    <w:rsid w:val="008C0E95"/>
    <w:rsid w:val="008C3330"/>
    <w:rsid w:val="008C3A6F"/>
    <w:rsid w:val="008C7D10"/>
    <w:rsid w:val="008D2B8D"/>
    <w:rsid w:val="008D56C2"/>
    <w:rsid w:val="008D6272"/>
    <w:rsid w:val="008D6C40"/>
    <w:rsid w:val="008E021D"/>
    <w:rsid w:val="008E0738"/>
    <w:rsid w:val="008E277E"/>
    <w:rsid w:val="008E537C"/>
    <w:rsid w:val="008F3340"/>
    <w:rsid w:val="008F3848"/>
    <w:rsid w:val="008F74F9"/>
    <w:rsid w:val="009050E1"/>
    <w:rsid w:val="00907B25"/>
    <w:rsid w:val="009104AE"/>
    <w:rsid w:val="00910EDC"/>
    <w:rsid w:val="00911EA6"/>
    <w:rsid w:val="0091612E"/>
    <w:rsid w:val="009161B3"/>
    <w:rsid w:val="00917415"/>
    <w:rsid w:val="00920860"/>
    <w:rsid w:val="00920A3E"/>
    <w:rsid w:val="00920D70"/>
    <w:rsid w:val="00922BFA"/>
    <w:rsid w:val="009256B9"/>
    <w:rsid w:val="00930161"/>
    <w:rsid w:val="0093092D"/>
    <w:rsid w:val="00933074"/>
    <w:rsid w:val="00933154"/>
    <w:rsid w:val="00944589"/>
    <w:rsid w:val="00945C88"/>
    <w:rsid w:val="0095219F"/>
    <w:rsid w:val="00953AD2"/>
    <w:rsid w:val="00956874"/>
    <w:rsid w:val="00961826"/>
    <w:rsid w:val="00963359"/>
    <w:rsid w:val="00965DBE"/>
    <w:rsid w:val="00966948"/>
    <w:rsid w:val="00967071"/>
    <w:rsid w:val="00970595"/>
    <w:rsid w:val="0097648D"/>
    <w:rsid w:val="00977768"/>
    <w:rsid w:val="00980A87"/>
    <w:rsid w:val="0098166B"/>
    <w:rsid w:val="00997963"/>
    <w:rsid w:val="009A090F"/>
    <w:rsid w:val="009A18B0"/>
    <w:rsid w:val="009A400A"/>
    <w:rsid w:val="009A46A5"/>
    <w:rsid w:val="009A4EFD"/>
    <w:rsid w:val="009B1B20"/>
    <w:rsid w:val="009B3DAE"/>
    <w:rsid w:val="009B5004"/>
    <w:rsid w:val="009B5A9D"/>
    <w:rsid w:val="009B7664"/>
    <w:rsid w:val="009C1843"/>
    <w:rsid w:val="009C19FE"/>
    <w:rsid w:val="009C36B7"/>
    <w:rsid w:val="009D2A3F"/>
    <w:rsid w:val="009D5534"/>
    <w:rsid w:val="009D6297"/>
    <w:rsid w:val="009D757C"/>
    <w:rsid w:val="009E1452"/>
    <w:rsid w:val="009E1CB8"/>
    <w:rsid w:val="009E3054"/>
    <w:rsid w:val="009E330B"/>
    <w:rsid w:val="009E49AE"/>
    <w:rsid w:val="009E5954"/>
    <w:rsid w:val="009E62F8"/>
    <w:rsid w:val="009E6857"/>
    <w:rsid w:val="009E7AB6"/>
    <w:rsid w:val="009E7CD5"/>
    <w:rsid w:val="009F0C53"/>
    <w:rsid w:val="009F4C19"/>
    <w:rsid w:val="009F5F1C"/>
    <w:rsid w:val="009F67BA"/>
    <w:rsid w:val="009F69A8"/>
    <w:rsid w:val="00A00B31"/>
    <w:rsid w:val="00A00FC4"/>
    <w:rsid w:val="00A01A6D"/>
    <w:rsid w:val="00A0277D"/>
    <w:rsid w:val="00A0424B"/>
    <w:rsid w:val="00A05E8D"/>
    <w:rsid w:val="00A0601B"/>
    <w:rsid w:val="00A06F20"/>
    <w:rsid w:val="00A122C7"/>
    <w:rsid w:val="00A151B5"/>
    <w:rsid w:val="00A168FA"/>
    <w:rsid w:val="00A21339"/>
    <w:rsid w:val="00A26984"/>
    <w:rsid w:val="00A270D0"/>
    <w:rsid w:val="00A342E4"/>
    <w:rsid w:val="00A4045B"/>
    <w:rsid w:val="00A413B1"/>
    <w:rsid w:val="00A41BE4"/>
    <w:rsid w:val="00A44B6E"/>
    <w:rsid w:val="00A457E0"/>
    <w:rsid w:val="00A543D4"/>
    <w:rsid w:val="00A5675F"/>
    <w:rsid w:val="00A573D2"/>
    <w:rsid w:val="00A624E6"/>
    <w:rsid w:val="00A64EDA"/>
    <w:rsid w:val="00A654D2"/>
    <w:rsid w:val="00A65B0E"/>
    <w:rsid w:val="00A70635"/>
    <w:rsid w:val="00A71734"/>
    <w:rsid w:val="00A71A20"/>
    <w:rsid w:val="00A74913"/>
    <w:rsid w:val="00A7696D"/>
    <w:rsid w:val="00A76EFA"/>
    <w:rsid w:val="00A76F5D"/>
    <w:rsid w:val="00A8158B"/>
    <w:rsid w:val="00A84E50"/>
    <w:rsid w:val="00A85723"/>
    <w:rsid w:val="00A85C30"/>
    <w:rsid w:val="00A924F2"/>
    <w:rsid w:val="00A96F5B"/>
    <w:rsid w:val="00AA3497"/>
    <w:rsid w:val="00AA3E49"/>
    <w:rsid w:val="00AA631F"/>
    <w:rsid w:val="00AB0871"/>
    <w:rsid w:val="00AB0894"/>
    <w:rsid w:val="00AB0A50"/>
    <w:rsid w:val="00AC25A0"/>
    <w:rsid w:val="00AC6234"/>
    <w:rsid w:val="00AC646A"/>
    <w:rsid w:val="00AC7766"/>
    <w:rsid w:val="00AD02A0"/>
    <w:rsid w:val="00AD0784"/>
    <w:rsid w:val="00AD250A"/>
    <w:rsid w:val="00AD564F"/>
    <w:rsid w:val="00AE2039"/>
    <w:rsid w:val="00AE2BA4"/>
    <w:rsid w:val="00AE3C57"/>
    <w:rsid w:val="00AE45B7"/>
    <w:rsid w:val="00AE5FCD"/>
    <w:rsid w:val="00AE7510"/>
    <w:rsid w:val="00AF17B1"/>
    <w:rsid w:val="00AF294D"/>
    <w:rsid w:val="00AF5B4F"/>
    <w:rsid w:val="00AF63AA"/>
    <w:rsid w:val="00AF69D0"/>
    <w:rsid w:val="00AF717E"/>
    <w:rsid w:val="00B00868"/>
    <w:rsid w:val="00B00A3A"/>
    <w:rsid w:val="00B05B11"/>
    <w:rsid w:val="00B0743D"/>
    <w:rsid w:val="00B12D86"/>
    <w:rsid w:val="00B13FF4"/>
    <w:rsid w:val="00B17817"/>
    <w:rsid w:val="00B20394"/>
    <w:rsid w:val="00B2276F"/>
    <w:rsid w:val="00B22FF8"/>
    <w:rsid w:val="00B304C3"/>
    <w:rsid w:val="00B32B65"/>
    <w:rsid w:val="00B33782"/>
    <w:rsid w:val="00B35B8E"/>
    <w:rsid w:val="00B361AC"/>
    <w:rsid w:val="00B3778D"/>
    <w:rsid w:val="00B42308"/>
    <w:rsid w:val="00B42846"/>
    <w:rsid w:val="00B43944"/>
    <w:rsid w:val="00B43F9B"/>
    <w:rsid w:val="00B46400"/>
    <w:rsid w:val="00B47946"/>
    <w:rsid w:val="00B5032F"/>
    <w:rsid w:val="00B52602"/>
    <w:rsid w:val="00B547CD"/>
    <w:rsid w:val="00B61337"/>
    <w:rsid w:val="00B657F7"/>
    <w:rsid w:val="00B72488"/>
    <w:rsid w:val="00B725C9"/>
    <w:rsid w:val="00B77655"/>
    <w:rsid w:val="00B777D7"/>
    <w:rsid w:val="00B811BE"/>
    <w:rsid w:val="00B816F5"/>
    <w:rsid w:val="00B81AB1"/>
    <w:rsid w:val="00B85387"/>
    <w:rsid w:val="00B85F8E"/>
    <w:rsid w:val="00B90D1D"/>
    <w:rsid w:val="00B916DF"/>
    <w:rsid w:val="00B91E1A"/>
    <w:rsid w:val="00B92231"/>
    <w:rsid w:val="00B922B6"/>
    <w:rsid w:val="00B9509D"/>
    <w:rsid w:val="00B958D9"/>
    <w:rsid w:val="00BA365B"/>
    <w:rsid w:val="00BA5004"/>
    <w:rsid w:val="00BA65B4"/>
    <w:rsid w:val="00BA6C5B"/>
    <w:rsid w:val="00BA7695"/>
    <w:rsid w:val="00BB2AAD"/>
    <w:rsid w:val="00BB2C18"/>
    <w:rsid w:val="00BB3B28"/>
    <w:rsid w:val="00BB5580"/>
    <w:rsid w:val="00BB586C"/>
    <w:rsid w:val="00BB6721"/>
    <w:rsid w:val="00BB79FE"/>
    <w:rsid w:val="00BB7B76"/>
    <w:rsid w:val="00BC0CAC"/>
    <w:rsid w:val="00BC203C"/>
    <w:rsid w:val="00BC7230"/>
    <w:rsid w:val="00BD7FF8"/>
    <w:rsid w:val="00BE586B"/>
    <w:rsid w:val="00BE59E9"/>
    <w:rsid w:val="00BE7ED2"/>
    <w:rsid w:val="00BF2C6D"/>
    <w:rsid w:val="00BF3143"/>
    <w:rsid w:val="00BF48E2"/>
    <w:rsid w:val="00BF62D6"/>
    <w:rsid w:val="00C015F6"/>
    <w:rsid w:val="00C13D8A"/>
    <w:rsid w:val="00C14429"/>
    <w:rsid w:val="00C1536A"/>
    <w:rsid w:val="00C15E1D"/>
    <w:rsid w:val="00C171CF"/>
    <w:rsid w:val="00C20E6C"/>
    <w:rsid w:val="00C2244B"/>
    <w:rsid w:val="00C26011"/>
    <w:rsid w:val="00C32739"/>
    <w:rsid w:val="00C33623"/>
    <w:rsid w:val="00C33A69"/>
    <w:rsid w:val="00C33F77"/>
    <w:rsid w:val="00C3561D"/>
    <w:rsid w:val="00C36A25"/>
    <w:rsid w:val="00C36ED9"/>
    <w:rsid w:val="00C372A8"/>
    <w:rsid w:val="00C40485"/>
    <w:rsid w:val="00C420F7"/>
    <w:rsid w:val="00C423AF"/>
    <w:rsid w:val="00C42835"/>
    <w:rsid w:val="00C44FB3"/>
    <w:rsid w:val="00C45495"/>
    <w:rsid w:val="00C459F4"/>
    <w:rsid w:val="00C50DB1"/>
    <w:rsid w:val="00C51E96"/>
    <w:rsid w:val="00C52C5C"/>
    <w:rsid w:val="00C552B4"/>
    <w:rsid w:val="00C56A3D"/>
    <w:rsid w:val="00C57420"/>
    <w:rsid w:val="00C57634"/>
    <w:rsid w:val="00C61C8F"/>
    <w:rsid w:val="00C62622"/>
    <w:rsid w:val="00C63D6C"/>
    <w:rsid w:val="00C6455B"/>
    <w:rsid w:val="00C6479C"/>
    <w:rsid w:val="00C66FB4"/>
    <w:rsid w:val="00C70DCB"/>
    <w:rsid w:val="00C73DAE"/>
    <w:rsid w:val="00C73EA1"/>
    <w:rsid w:val="00C75E42"/>
    <w:rsid w:val="00C760B9"/>
    <w:rsid w:val="00C847AB"/>
    <w:rsid w:val="00C862CC"/>
    <w:rsid w:val="00C86E88"/>
    <w:rsid w:val="00C870A8"/>
    <w:rsid w:val="00C874BF"/>
    <w:rsid w:val="00C94FE1"/>
    <w:rsid w:val="00C976A6"/>
    <w:rsid w:val="00CA3FFA"/>
    <w:rsid w:val="00CA49B0"/>
    <w:rsid w:val="00CA52EA"/>
    <w:rsid w:val="00CA6698"/>
    <w:rsid w:val="00CB012A"/>
    <w:rsid w:val="00CB7376"/>
    <w:rsid w:val="00CB7694"/>
    <w:rsid w:val="00CC4177"/>
    <w:rsid w:val="00CC4EFF"/>
    <w:rsid w:val="00CC7510"/>
    <w:rsid w:val="00CD2C40"/>
    <w:rsid w:val="00CD31DD"/>
    <w:rsid w:val="00CD70E0"/>
    <w:rsid w:val="00CD734E"/>
    <w:rsid w:val="00CE5E4D"/>
    <w:rsid w:val="00CF0FE9"/>
    <w:rsid w:val="00CF2B50"/>
    <w:rsid w:val="00CF38F3"/>
    <w:rsid w:val="00CF71A4"/>
    <w:rsid w:val="00D01BBA"/>
    <w:rsid w:val="00D05048"/>
    <w:rsid w:val="00D07528"/>
    <w:rsid w:val="00D14017"/>
    <w:rsid w:val="00D14CC6"/>
    <w:rsid w:val="00D1672A"/>
    <w:rsid w:val="00D20B0A"/>
    <w:rsid w:val="00D24BF4"/>
    <w:rsid w:val="00D24FC9"/>
    <w:rsid w:val="00D25FC3"/>
    <w:rsid w:val="00D27252"/>
    <w:rsid w:val="00D31A5D"/>
    <w:rsid w:val="00D3239A"/>
    <w:rsid w:val="00D34F06"/>
    <w:rsid w:val="00D3571D"/>
    <w:rsid w:val="00D42053"/>
    <w:rsid w:val="00D43146"/>
    <w:rsid w:val="00D4359D"/>
    <w:rsid w:val="00D521F0"/>
    <w:rsid w:val="00D54569"/>
    <w:rsid w:val="00D55D8E"/>
    <w:rsid w:val="00D577D3"/>
    <w:rsid w:val="00D57E3B"/>
    <w:rsid w:val="00D60B07"/>
    <w:rsid w:val="00D66D3B"/>
    <w:rsid w:val="00D7041C"/>
    <w:rsid w:val="00D710DA"/>
    <w:rsid w:val="00D71802"/>
    <w:rsid w:val="00D7194E"/>
    <w:rsid w:val="00D71A17"/>
    <w:rsid w:val="00D750AD"/>
    <w:rsid w:val="00D75E7C"/>
    <w:rsid w:val="00D765DF"/>
    <w:rsid w:val="00D77C4B"/>
    <w:rsid w:val="00D8729E"/>
    <w:rsid w:val="00D910B1"/>
    <w:rsid w:val="00D912F9"/>
    <w:rsid w:val="00D92903"/>
    <w:rsid w:val="00D97C85"/>
    <w:rsid w:val="00DA53F4"/>
    <w:rsid w:val="00DA541D"/>
    <w:rsid w:val="00DA6890"/>
    <w:rsid w:val="00DA7090"/>
    <w:rsid w:val="00DB2018"/>
    <w:rsid w:val="00DB4A92"/>
    <w:rsid w:val="00DB545E"/>
    <w:rsid w:val="00DB7DEA"/>
    <w:rsid w:val="00DC07CF"/>
    <w:rsid w:val="00DC1117"/>
    <w:rsid w:val="00DC17A3"/>
    <w:rsid w:val="00DC2FFB"/>
    <w:rsid w:val="00DD164E"/>
    <w:rsid w:val="00DD1A07"/>
    <w:rsid w:val="00DD1AB3"/>
    <w:rsid w:val="00DD3E08"/>
    <w:rsid w:val="00DD5ED2"/>
    <w:rsid w:val="00DE0B89"/>
    <w:rsid w:val="00DE1CA0"/>
    <w:rsid w:val="00DE1DA8"/>
    <w:rsid w:val="00DE1FE9"/>
    <w:rsid w:val="00DE2315"/>
    <w:rsid w:val="00DE6E4B"/>
    <w:rsid w:val="00DF1CDB"/>
    <w:rsid w:val="00DF2677"/>
    <w:rsid w:val="00DF6F23"/>
    <w:rsid w:val="00E01BC0"/>
    <w:rsid w:val="00E03819"/>
    <w:rsid w:val="00E047BB"/>
    <w:rsid w:val="00E05A02"/>
    <w:rsid w:val="00E106FD"/>
    <w:rsid w:val="00E127D3"/>
    <w:rsid w:val="00E1611F"/>
    <w:rsid w:val="00E17D82"/>
    <w:rsid w:val="00E23818"/>
    <w:rsid w:val="00E26653"/>
    <w:rsid w:val="00E27366"/>
    <w:rsid w:val="00E313A9"/>
    <w:rsid w:val="00E316B2"/>
    <w:rsid w:val="00E31E53"/>
    <w:rsid w:val="00E321F4"/>
    <w:rsid w:val="00E32A20"/>
    <w:rsid w:val="00E34442"/>
    <w:rsid w:val="00E355FC"/>
    <w:rsid w:val="00E37DAF"/>
    <w:rsid w:val="00E4141D"/>
    <w:rsid w:val="00E43451"/>
    <w:rsid w:val="00E44F58"/>
    <w:rsid w:val="00E459D6"/>
    <w:rsid w:val="00E544D4"/>
    <w:rsid w:val="00E55D67"/>
    <w:rsid w:val="00E62868"/>
    <w:rsid w:val="00E630B4"/>
    <w:rsid w:val="00E64F51"/>
    <w:rsid w:val="00E6572E"/>
    <w:rsid w:val="00E748EE"/>
    <w:rsid w:val="00E77D55"/>
    <w:rsid w:val="00E8161E"/>
    <w:rsid w:val="00E834F1"/>
    <w:rsid w:val="00E94ECA"/>
    <w:rsid w:val="00EA188D"/>
    <w:rsid w:val="00EA6964"/>
    <w:rsid w:val="00EB1AD6"/>
    <w:rsid w:val="00EB280D"/>
    <w:rsid w:val="00EB466E"/>
    <w:rsid w:val="00EB4CB2"/>
    <w:rsid w:val="00EB7121"/>
    <w:rsid w:val="00EB7DDE"/>
    <w:rsid w:val="00EC06D0"/>
    <w:rsid w:val="00EC1EF6"/>
    <w:rsid w:val="00EC7890"/>
    <w:rsid w:val="00ED300B"/>
    <w:rsid w:val="00ED62AD"/>
    <w:rsid w:val="00ED7318"/>
    <w:rsid w:val="00EE3480"/>
    <w:rsid w:val="00EE6178"/>
    <w:rsid w:val="00EE7B8E"/>
    <w:rsid w:val="00EF0E3F"/>
    <w:rsid w:val="00EF16F9"/>
    <w:rsid w:val="00EF2A94"/>
    <w:rsid w:val="00EF2F41"/>
    <w:rsid w:val="00EF327F"/>
    <w:rsid w:val="00F00682"/>
    <w:rsid w:val="00F0152F"/>
    <w:rsid w:val="00F0191D"/>
    <w:rsid w:val="00F03158"/>
    <w:rsid w:val="00F038CC"/>
    <w:rsid w:val="00F04612"/>
    <w:rsid w:val="00F04795"/>
    <w:rsid w:val="00F0573B"/>
    <w:rsid w:val="00F06C1A"/>
    <w:rsid w:val="00F12DF1"/>
    <w:rsid w:val="00F13275"/>
    <w:rsid w:val="00F1348A"/>
    <w:rsid w:val="00F13A30"/>
    <w:rsid w:val="00F156AE"/>
    <w:rsid w:val="00F179D6"/>
    <w:rsid w:val="00F17A4F"/>
    <w:rsid w:val="00F20608"/>
    <w:rsid w:val="00F2171D"/>
    <w:rsid w:val="00F24B1A"/>
    <w:rsid w:val="00F25811"/>
    <w:rsid w:val="00F3044A"/>
    <w:rsid w:val="00F30C7E"/>
    <w:rsid w:val="00F34FBF"/>
    <w:rsid w:val="00F37412"/>
    <w:rsid w:val="00F37C00"/>
    <w:rsid w:val="00F40949"/>
    <w:rsid w:val="00F4224D"/>
    <w:rsid w:val="00F438C4"/>
    <w:rsid w:val="00F43BCB"/>
    <w:rsid w:val="00F5085B"/>
    <w:rsid w:val="00F51C75"/>
    <w:rsid w:val="00F57105"/>
    <w:rsid w:val="00F571F3"/>
    <w:rsid w:val="00F576EC"/>
    <w:rsid w:val="00F604EA"/>
    <w:rsid w:val="00F63E76"/>
    <w:rsid w:val="00F65A84"/>
    <w:rsid w:val="00F67D75"/>
    <w:rsid w:val="00F700CD"/>
    <w:rsid w:val="00F70DBD"/>
    <w:rsid w:val="00F71986"/>
    <w:rsid w:val="00F746D4"/>
    <w:rsid w:val="00F81C3D"/>
    <w:rsid w:val="00F83B31"/>
    <w:rsid w:val="00F91BA8"/>
    <w:rsid w:val="00F92211"/>
    <w:rsid w:val="00F92548"/>
    <w:rsid w:val="00F94718"/>
    <w:rsid w:val="00FA156D"/>
    <w:rsid w:val="00FA2382"/>
    <w:rsid w:val="00FA2463"/>
    <w:rsid w:val="00FA4900"/>
    <w:rsid w:val="00FA596C"/>
    <w:rsid w:val="00FA5CCA"/>
    <w:rsid w:val="00FB3339"/>
    <w:rsid w:val="00FB3D94"/>
    <w:rsid w:val="00FB4D2F"/>
    <w:rsid w:val="00FB5105"/>
    <w:rsid w:val="00FB7E24"/>
    <w:rsid w:val="00FC1869"/>
    <w:rsid w:val="00FC2AC5"/>
    <w:rsid w:val="00FC330C"/>
    <w:rsid w:val="00FC52CB"/>
    <w:rsid w:val="00FC7263"/>
    <w:rsid w:val="00FD0831"/>
    <w:rsid w:val="00FD0952"/>
    <w:rsid w:val="00FE02C3"/>
    <w:rsid w:val="00FE0C0A"/>
    <w:rsid w:val="00FE14F5"/>
    <w:rsid w:val="00FE3C24"/>
    <w:rsid w:val="00FE46E9"/>
    <w:rsid w:val="00FE5476"/>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11F19D"/>
  <w15:docId w15:val="{3037806F-25C9-4F94-A0EB-0E58EB0C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FC"/>
    <w:rPr>
      <w:rFonts w:ascii="Garamond" w:hAnsi="Garamond"/>
      <w:sz w:val="22"/>
    </w:rPr>
  </w:style>
  <w:style w:type="paragraph" w:styleId="Heading1">
    <w:name w:val="heading 1"/>
    <w:basedOn w:val="Normal"/>
    <w:next w:val="Normal"/>
    <w:qFormat/>
    <w:rsid w:val="00435339"/>
    <w:pPr>
      <w:keepNext/>
      <w:jc w:val="both"/>
      <w:outlineLvl w:val="0"/>
    </w:pPr>
    <w:rPr>
      <w:sz w:val="24"/>
      <w:u w:val="single"/>
    </w:rPr>
  </w:style>
  <w:style w:type="paragraph" w:styleId="Heading2">
    <w:name w:val="heading 2"/>
    <w:basedOn w:val="Normal"/>
    <w:next w:val="Normal"/>
    <w:qFormat/>
    <w:rsid w:val="00435339"/>
    <w:pPr>
      <w:keepNext/>
      <w:ind w:left="-900"/>
      <w:jc w:val="both"/>
      <w:outlineLvl w:val="1"/>
    </w:pPr>
    <w:rPr>
      <w:i/>
    </w:rPr>
  </w:style>
  <w:style w:type="paragraph" w:styleId="Heading3">
    <w:name w:val="heading 3"/>
    <w:basedOn w:val="Normal"/>
    <w:next w:val="Normal"/>
    <w:link w:val="Heading3Char"/>
    <w:qFormat/>
    <w:rsid w:val="00435339"/>
    <w:pPr>
      <w:keepNext/>
      <w:tabs>
        <w:tab w:val="right" w:pos="810"/>
      </w:tabs>
      <w:ind w:left="-900"/>
      <w:jc w:val="both"/>
      <w:outlineLvl w:val="2"/>
    </w:pPr>
    <w:rPr>
      <w:i/>
      <w:u w:val="single"/>
    </w:rPr>
  </w:style>
  <w:style w:type="paragraph" w:styleId="Heading4">
    <w:name w:val="heading 4"/>
    <w:basedOn w:val="Normal"/>
    <w:next w:val="Normal"/>
    <w:qFormat/>
    <w:rsid w:val="00435339"/>
    <w:pPr>
      <w:keepNext/>
      <w:ind w:left="-900"/>
      <w:jc w:val="both"/>
      <w:outlineLvl w:val="3"/>
    </w:pPr>
    <w:rPr>
      <w:i/>
      <w:sz w:val="24"/>
    </w:rPr>
  </w:style>
  <w:style w:type="paragraph" w:styleId="Heading5">
    <w:name w:val="heading 5"/>
    <w:basedOn w:val="Normal"/>
    <w:next w:val="Normal"/>
    <w:qFormat/>
    <w:rsid w:val="00435339"/>
    <w:pPr>
      <w:keepNext/>
      <w:jc w:val="both"/>
      <w:outlineLvl w:val="4"/>
    </w:pPr>
    <w:rPr>
      <w:i/>
      <w:sz w:val="24"/>
    </w:rPr>
  </w:style>
  <w:style w:type="paragraph" w:styleId="Heading6">
    <w:name w:val="heading 6"/>
    <w:basedOn w:val="Normal"/>
    <w:next w:val="Normal"/>
    <w:qFormat/>
    <w:rsid w:val="00435339"/>
    <w:pPr>
      <w:keepNext/>
      <w:jc w:val="both"/>
      <w:outlineLvl w:val="5"/>
    </w:pPr>
    <w:rPr>
      <w:i/>
    </w:rPr>
  </w:style>
  <w:style w:type="paragraph" w:styleId="Heading7">
    <w:name w:val="heading 7"/>
    <w:basedOn w:val="Normal"/>
    <w:next w:val="Normal"/>
    <w:qFormat/>
    <w:rsid w:val="00435339"/>
    <w:pPr>
      <w:keepNext/>
      <w:jc w:val="both"/>
      <w:outlineLvl w:val="6"/>
    </w:pPr>
    <w:rPr>
      <w:b/>
      <w:color w:val="FF0000"/>
    </w:rPr>
  </w:style>
  <w:style w:type="paragraph" w:styleId="Heading8">
    <w:name w:val="heading 8"/>
    <w:basedOn w:val="Normal"/>
    <w:next w:val="Normal"/>
    <w:qFormat/>
    <w:rsid w:val="00435339"/>
    <w:pPr>
      <w:keepNext/>
      <w:tabs>
        <w:tab w:val="left" w:pos="162"/>
      </w:tabs>
      <w:jc w:val="both"/>
      <w:outlineLvl w:val="7"/>
    </w:pPr>
    <w:rPr>
      <w:b/>
      <w:smallCaps/>
      <w:sz w:val="24"/>
    </w:rPr>
  </w:style>
  <w:style w:type="paragraph" w:styleId="Heading9">
    <w:name w:val="heading 9"/>
    <w:basedOn w:val="Normal"/>
    <w:next w:val="Normal"/>
    <w:qFormat/>
    <w:rsid w:val="00435339"/>
    <w:pPr>
      <w:keepNext/>
      <w:numPr>
        <w:numId w:val="3"/>
      </w:numPr>
      <w:jc w:val="both"/>
      <w:outlineLvl w:val="8"/>
    </w:pPr>
    <w:rPr>
      <w:i/>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5339"/>
    <w:pPr>
      <w:jc w:val="both"/>
    </w:pPr>
  </w:style>
  <w:style w:type="paragraph" w:customStyle="1" w:styleId="MAPS">
    <w:name w:val="MAPS"/>
    <w:basedOn w:val="Normal"/>
    <w:rsid w:val="00435339"/>
    <w:rPr>
      <w:rFonts w:ascii="Arial" w:hAnsi="Arial"/>
      <w:sz w:val="24"/>
    </w:rPr>
  </w:style>
  <w:style w:type="character" w:styleId="PageNumber">
    <w:name w:val="page number"/>
    <w:basedOn w:val="DefaultParagraphFont"/>
    <w:rsid w:val="00435339"/>
  </w:style>
  <w:style w:type="paragraph" w:styleId="Footer">
    <w:name w:val="footer"/>
    <w:basedOn w:val="Normal"/>
    <w:link w:val="FooterChar"/>
    <w:uiPriority w:val="99"/>
    <w:rsid w:val="00435339"/>
    <w:pPr>
      <w:tabs>
        <w:tab w:val="center" w:pos="4320"/>
        <w:tab w:val="right" w:pos="8640"/>
      </w:tabs>
    </w:pPr>
    <w:rPr>
      <w:rFonts w:ascii="Times New Roman" w:hAnsi="Times New Roman"/>
      <w:sz w:val="24"/>
    </w:rPr>
  </w:style>
  <w:style w:type="paragraph" w:styleId="BodyTextIndent">
    <w:name w:val="Body Text Indent"/>
    <w:basedOn w:val="Normal"/>
    <w:rsid w:val="00435339"/>
    <w:pPr>
      <w:tabs>
        <w:tab w:val="left" w:pos="90"/>
      </w:tabs>
      <w:jc w:val="both"/>
    </w:pPr>
    <w:rPr>
      <w:sz w:val="24"/>
    </w:rPr>
  </w:style>
  <w:style w:type="paragraph" w:styleId="BodyTextIndent2">
    <w:name w:val="Body Text Indent 2"/>
    <w:basedOn w:val="Normal"/>
    <w:link w:val="BodyTextIndent2Char"/>
    <w:rsid w:val="00435339"/>
    <w:pPr>
      <w:ind w:left="-540"/>
    </w:pPr>
  </w:style>
  <w:style w:type="paragraph" w:styleId="BodyText2">
    <w:name w:val="Body Text 2"/>
    <w:basedOn w:val="Normal"/>
    <w:rsid w:val="00435339"/>
    <w:pPr>
      <w:jc w:val="both"/>
    </w:pPr>
    <w:rPr>
      <w:b/>
      <w:color w:val="FF0000"/>
    </w:rPr>
  </w:style>
  <w:style w:type="paragraph" w:styleId="BodyTextIndent3">
    <w:name w:val="Body Text Indent 3"/>
    <w:basedOn w:val="Normal"/>
    <w:rsid w:val="00435339"/>
    <w:pPr>
      <w:ind w:left="360"/>
      <w:jc w:val="both"/>
    </w:pPr>
  </w:style>
  <w:style w:type="paragraph" w:styleId="BodyText3">
    <w:name w:val="Body Text 3"/>
    <w:basedOn w:val="Normal"/>
    <w:rsid w:val="00435339"/>
    <w:rPr>
      <w:color w:val="FFFFFF"/>
    </w:rPr>
  </w:style>
  <w:style w:type="paragraph" w:styleId="Title">
    <w:name w:val="Title"/>
    <w:basedOn w:val="Normal"/>
    <w:qFormat/>
    <w:rsid w:val="00435339"/>
    <w:pPr>
      <w:jc w:val="center"/>
    </w:pPr>
    <w:rPr>
      <w:rFonts w:ascii="Tahoma" w:hAnsi="Tahoma"/>
      <w:i/>
      <w:smallCaps/>
      <w14:shadow w14:blurRad="50800" w14:dist="38100" w14:dir="2700000" w14:sx="100000" w14:sy="100000" w14:kx="0" w14:ky="0" w14:algn="tl">
        <w14:srgbClr w14:val="000000">
          <w14:alpha w14:val="60000"/>
        </w14:srgbClr>
      </w14:shadow>
    </w:rPr>
  </w:style>
  <w:style w:type="paragraph" w:styleId="Header">
    <w:name w:val="header"/>
    <w:basedOn w:val="Normal"/>
    <w:rsid w:val="00435339"/>
    <w:pPr>
      <w:tabs>
        <w:tab w:val="center" w:pos="4320"/>
        <w:tab w:val="right" w:pos="8640"/>
      </w:tabs>
    </w:pPr>
  </w:style>
  <w:style w:type="character" w:styleId="Hyperlink">
    <w:name w:val="Hyperlink"/>
    <w:rsid w:val="00435339"/>
    <w:rPr>
      <w:color w:val="0000FF"/>
      <w:u w:val="single"/>
    </w:rPr>
  </w:style>
  <w:style w:type="character" w:styleId="FollowedHyperlink">
    <w:name w:val="FollowedHyperlink"/>
    <w:rsid w:val="00435339"/>
    <w:rPr>
      <w:color w:val="800080"/>
      <w:u w:val="single"/>
    </w:rPr>
  </w:style>
  <w:style w:type="paragraph" w:styleId="Caption">
    <w:name w:val="caption"/>
    <w:basedOn w:val="Normal"/>
    <w:next w:val="Normal"/>
    <w:qFormat/>
    <w:rsid w:val="00435339"/>
    <w:pPr>
      <w:jc w:val="both"/>
    </w:pPr>
    <w:rPr>
      <w:i/>
    </w:rPr>
  </w:style>
  <w:style w:type="paragraph" w:styleId="NormalWeb">
    <w:name w:val="Normal (Web)"/>
    <w:basedOn w:val="Normal"/>
    <w:rsid w:val="00435339"/>
    <w:pPr>
      <w:spacing w:before="100" w:beforeAutospacing="1" w:after="100" w:afterAutospacing="1"/>
    </w:pPr>
    <w:rPr>
      <w:rFonts w:ascii="Verdana" w:hAnsi="Verdana"/>
      <w:color w:val="111111"/>
      <w:sz w:val="18"/>
      <w:szCs w:val="18"/>
    </w:rPr>
  </w:style>
  <w:style w:type="character" w:styleId="Strong">
    <w:name w:val="Strong"/>
    <w:uiPriority w:val="22"/>
    <w:qFormat/>
    <w:rsid w:val="00435339"/>
    <w:rPr>
      <w:b/>
      <w:bCs/>
    </w:rPr>
  </w:style>
  <w:style w:type="character" w:customStyle="1" w:styleId="text">
    <w:name w:val="text"/>
    <w:basedOn w:val="DefaultParagraphFont"/>
    <w:rsid w:val="00435339"/>
  </w:style>
  <w:style w:type="table" w:styleId="TableGrid">
    <w:name w:val="Table Grid"/>
    <w:basedOn w:val="TableNormal"/>
    <w:rsid w:val="0040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D0"/>
    <w:pPr>
      <w:ind w:left="720"/>
    </w:pPr>
  </w:style>
  <w:style w:type="paragraph" w:styleId="BalloonText">
    <w:name w:val="Balloon Text"/>
    <w:basedOn w:val="Normal"/>
    <w:link w:val="BalloonTextChar"/>
    <w:rsid w:val="002A1812"/>
    <w:rPr>
      <w:rFonts w:ascii="Tahoma" w:hAnsi="Tahoma" w:cs="Tahoma"/>
      <w:sz w:val="16"/>
      <w:szCs w:val="16"/>
    </w:rPr>
  </w:style>
  <w:style w:type="character" w:customStyle="1" w:styleId="BalloonTextChar">
    <w:name w:val="Balloon Text Char"/>
    <w:link w:val="BalloonText"/>
    <w:rsid w:val="002A1812"/>
    <w:rPr>
      <w:rFonts w:ascii="Tahoma" w:hAnsi="Tahoma" w:cs="Tahoma"/>
      <w:sz w:val="16"/>
      <w:szCs w:val="16"/>
    </w:rPr>
  </w:style>
  <w:style w:type="character" w:customStyle="1" w:styleId="FooterChar">
    <w:name w:val="Footer Char"/>
    <w:basedOn w:val="DefaultParagraphFont"/>
    <w:link w:val="Footer"/>
    <w:uiPriority w:val="99"/>
    <w:rsid w:val="00966948"/>
    <w:rPr>
      <w:sz w:val="24"/>
    </w:rPr>
  </w:style>
  <w:style w:type="character" w:styleId="CommentReference">
    <w:name w:val="annotation reference"/>
    <w:basedOn w:val="DefaultParagraphFont"/>
    <w:rsid w:val="00871603"/>
    <w:rPr>
      <w:sz w:val="16"/>
      <w:szCs w:val="16"/>
    </w:rPr>
  </w:style>
  <w:style w:type="paragraph" w:styleId="CommentText">
    <w:name w:val="annotation text"/>
    <w:basedOn w:val="Normal"/>
    <w:link w:val="CommentTextChar"/>
    <w:rsid w:val="00871603"/>
    <w:rPr>
      <w:sz w:val="20"/>
    </w:rPr>
  </w:style>
  <w:style w:type="character" w:customStyle="1" w:styleId="CommentTextChar">
    <w:name w:val="Comment Text Char"/>
    <w:basedOn w:val="DefaultParagraphFont"/>
    <w:link w:val="CommentText"/>
    <w:rsid w:val="00871603"/>
    <w:rPr>
      <w:rFonts w:ascii="Garamond" w:hAnsi="Garamond"/>
    </w:rPr>
  </w:style>
  <w:style w:type="paragraph" w:styleId="CommentSubject">
    <w:name w:val="annotation subject"/>
    <w:basedOn w:val="CommentText"/>
    <w:next w:val="CommentText"/>
    <w:link w:val="CommentSubjectChar"/>
    <w:rsid w:val="00871603"/>
    <w:rPr>
      <w:b/>
      <w:bCs/>
    </w:rPr>
  </w:style>
  <w:style w:type="character" w:customStyle="1" w:styleId="CommentSubjectChar">
    <w:name w:val="Comment Subject Char"/>
    <w:basedOn w:val="CommentTextChar"/>
    <w:link w:val="CommentSubject"/>
    <w:rsid w:val="00871603"/>
    <w:rPr>
      <w:rFonts w:ascii="Garamond" w:hAnsi="Garamond"/>
      <w:b/>
      <w:bCs/>
    </w:rPr>
  </w:style>
  <w:style w:type="character" w:customStyle="1" w:styleId="Heading3Char">
    <w:name w:val="Heading 3 Char"/>
    <w:basedOn w:val="DefaultParagraphFont"/>
    <w:link w:val="Heading3"/>
    <w:rsid w:val="000654D7"/>
    <w:rPr>
      <w:rFonts w:ascii="Garamond" w:hAnsi="Garamond"/>
      <w:i/>
      <w:sz w:val="22"/>
      <w:u w:val="single"/>
    </w:rPr>
  </w:style>
  <w:style w:type="character" w:customStyle="1" w:styleId="BodyTextChar">
    <w:name w:val="Body Text Char"/>
    <w:basedOn w:val="DefaultParagraphFont"/>
    <w:link w:val="BodyText"/>
    <w:rsid w:val="000654D7"/>
    <w:rPr>
      <w:rFonts w:ascii="Garamond" w:hAnsi="Garamond"/>
      <w:sz w:val="22"/>
    </w:rPr>
  </w:style>
  <w:style w:type="character" w:customStyle="1" w:styleId="BodyTextIndent2Char">
    <w:name w:val="Body Text Indent 2 Char"/>
    <w:basedOn w:val="DefaultParagraphFont"/>
    <w:link w:val="BodyTextIndent2"/>
    <w:rsid w:val="000654D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0874">
      <w:bodyDiv w:val="1"/>
      <w:marLeft w:val="0"/>
      <w:marRight w:val="0"/>
      <w:marTop w:val="0"/>
      <w:marBottom w:val="0"/>
      <w:divBdr>
        <w:top w:val="none" w:sz="0" w:space="0" w:color="auto"/>
        <w:left w:val="none" w:sz="0" w:space="0" w:color="auto"/>
        <w:bottom w:val="none" w:sz="0" w:space="0" w:color="auto"/>
        <w:right w:val="none" w:sz="0" w:space="0" w:color="auto"/>
      </w:divBdr>
    </w:div>
    <w:div w:id="306596968">
      <w:bodyDiv w:val="1"/>
      <w:marLeft w:val="0"/>
      <w:marRight w:val="0"/>
      <w:marTop w:val="0"/>
      <w:marBottom w:val="0"/>
      <w:divBdr>
        <w:top w:val="none" w:sz="0" w:space="0" w:color="auto"/>
        <w:left w:val="none" w:sz="0" w:space="0" w:color="auto"/>
        <w:bottom w:val="none" w:sz="0" w:space="0" w:color="auto"/>
        <w:right w:val="none" w:sz="0" w:space="0" w:color="auto"/>
      </w:divBdr>
    </w:div>
    <w:div w:id="38915526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55403702">
          <w:marLeft w:val="0"/>
          <w:marRight w:val="0"/>
          <w:marTop w:val="0"/>
          <w:marBottom w:val="0"/>
          <w:divBdr>
            <w:top w:val="none" w:sz="0" w:space="0" w:color="auto"/>
            <w:left w:val="none" w:sz="0" w:space="0" w:color="auto"/>
            <w:bottom w:val="none" w:sz="0" w:space="0" w:color="auto"/>
            <w:right w:val="none" w:sz="0" w:space="0" w:color="auto"/>
          </w:divBdr>
          <w:divsChild>
            <w:div w:id="1743874222">
              <w:marLeft w:val="0"/>
              <w:marRight w:val="0"/>
              <w:marTop w:val="0"/>
              <w:marBottom w:val="0"/>
              <w:divBdr>
                <w:top w:val="none" w:sz="0" w:space="0" w:color="auto"/>
                <w:left w:val="none" w:sz="0" w:space="0" w:color="auto"/>
                <w:bottom w:val="none" w:sz="0" w:space="0" w:color="auto"/>
                <w:right w:val="none" w:sz="0" w:space="0" w:color="auto"/>
              </w:divBdr>
              <w:divsChild>
                <w:div w:id="236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99987">
      <w:bodyDiv w:val="1"/>
      <w:marLeft w:val="0"/>
      <w:marRight w:val="0"/>
      <w:marTop w:val="0"/>
      <w:marBottom w:val="0"/>
      <w:divBdr>
        <w:top w:val="none" w:sz="0" w:space="0" w:color="auto"/>
        <w:left w:val="none" w:sz="0" w:space="0" w:color="auto"/>
        <w:bottom w:val="none" w:sz="0" w:space="0" w:color="auto"/>
        <w:right w:val="none" w:sz="0" w:space="0" w:color="auto"/>
      </w:divBdr>
    </w:div>
    <w:div w:id="412551658">
      <w:bodyDiv w:val="1"/>
      <w:marLeft w:val="0"/>
      <w:marRight w:val="0"/>
      <w:marTop w:val="0"/>
      <w:marBottom w:val="0"/>
      <w:divBdr>
        <w:top w:val="none" w:sz="0" w:space="0" w:color="auto"/>
        <w:left w:val="none" w:sz="0" w:space="0" w:color="auto"/>
        <w:bottom w:val="none" w:sz="0" w:space="0" w:color="auto"/>
        <w:right w:val="none" w:sz="0" w:space="0" w:color="auto"/>
      </w:divBdr>
    </w:div>
    <w:div w:id="463160656">
      <w:bodyDiv w:val="1"/>
      <w:marLeft w:val="0"/>
      <w:marRight w:val="0"/>
      <w:marTop w:val="0"/>
      <w:marBottom w:val="0"/>
      <w:divBdr>
        <w:top w:val="none" w:sz="0" w:space="0" w:color="auto"/>
        <w:left w:val="none" w:sz="0" w:space="0" w:color="auto"/>
        <w:bottom w:val="none" w:sz="0" w:space="0" w:color="auto"/>
        <w:right w:val="none" w:sz="0" w:space="0" w:color="auto"/>
      </w:divBdr>
    </w:div>
    <w:div w:id="550652639">
      <w:bodyDiv w:val="1"/>
      <w:marLeft w:val="0"/>
      <w:marRight w:val="0"/>
      <w:marTop w:val="0"/>
      <w:marBottom w:val="0"/>
      <w:divBdr>
        <w:top w:val="none" w:sz="0" w:space="0" w:color="auto"/>
        <w:left w:val="none" w:sz="0" w:space="0" w:color="auto"/>
        <w:bottom w:val="none" w:sz="0" w:space="0" w:color="auto"/>
        <w:right w:val="none" w:sz="0" w:space="0" w:color="auto"/>
      </w:divBdr>
    </w:div>
    <w:div w:id="654842760">
      <w:bodyDiv w:val="1"/>
      <w:marLeft w:val="0"/>
      <w:marRight w:val="0"/>
      <w:marTop w:val="0"/>
      <w:marBottom w:val="0"/>
      <w:divBdr>
        <w:top w:val="none" w:sz="0" w:space="0" w:color="auto"/>
        <w:left w:val="none" w:sz="0" w:space="0" w:color="auto"/>
        <w:bottom w:val="none" w:sz="0" w:space="0" w:color="auto"/>
        <w:right w:val="none" w:sz="0" w:space="0" w:color="auto"/>
      </w:divBdr>
    </w:div>
    <w:div w:id="825248686">
      <w:bodyDiv w:val="1"/>
      <w:marLeft w:val="0"/>
      <w:marRight w:val="0"/>
      <w:marTop w:val="0"/>
      <w:marBottom w:val="0"/>
      <w:divBdr>
        <w:top w:val="none" w:sz="0" w:space="0" w:color="auto"/>
        <w:left w:val="none" w:sz="0" w:space="0" w:color="auto"/>
        <w:bottom w:val="none" w:sz="0" w:space="0" w:color="auto"/>
        <w:right w:val="none" w:sz="0" w:space="0" w:color="auto"/>
      </w:divBdr>
    </w:div>
    <w:div w:id="831915168">
      <w:bodyDiv w:val="1"/>
      <w:marLeft w:val="0"/>
      <w:marRight w:val="0"/>
      <w:marTop w:val="0"/>
      <w:marBottom w:val="0"/>
      <w:divBdr>
        <w:top w:val="none" w:sz="0" w:space="0" w:color="auto"/>
        <w:left w:val="none" w:sz="0" w:space="0" w:color="auto"/>
        <w:bottom w:val="none" w:sz="0" w:space="0" w:color="auto"/>
        <w:right w:val="none" w:sz="0" w:space="0" w:color="auto"/>
      </w:divBdr>
    </w:div>
    <w:div w:id="1141770998">
      <w:bodyDiv w:val="1"/>
      <w:marLeft w:val="0"/>
      <w:marRight w:val="0"/>
      <w:marTop w:val="0"/>
      <w:marBottom w:val="0"/>
      <w:divBdr>
        <w:top w:val="none" w:sz="0" w:space="0" w:color="auto"/>
        <w:left w:val="none" w:sz="0" w:space="0" w:color="auto"/>
        <w:bottom w:val="none" w:sz="0" w:space="0" w:color="auto"/>
        <w:right w:val="none" w:sz="0" w:space="0" w:color="auto"/>
      </w:divBdr>
    </w:div>
    <w:div w:id="1283802065">
      <w:bodyDiv w:val="1"/>
      <w:marLeft w:val="0"/>
      <w:marRight w:val="0"/>
      <w:marTop w:val="0"/>
      <w:marBottom w:val="0"/>
      <w:divBdr>
        <w:top w:val="none" w:sz="0" w:space="0" w:color="auto"/>
        <w:left w:val="none" w:sz="0" w:space="0" w:color="auto"/>
        <w:bottom w:val="none" w:sz="0" w:space="0" w:color="auto"/>
        <w:right w:val="none" w:sz="0" w:space="0" w:color="auto"/>
      </w:divBdr>
    </w:div>
    <w:div w:id="1425801323">
      <w:bodyDiv w:val="1"/>
      <w:marLeft w:val="0"/>
      <w:marRight w:val="0"/>
      <w:marTop w:val="0"/>
      <w:marBottom w:val="0"/>
      <w:divBdr>
        <w:top w:val="none" w:sz="0" w:space="0" w:color="auto"/>
        <w:left w:val="none" w:sz="0" w:space="0" w:color="auto"/>
        <w:bottom w:val="none" w:sz="0" w:space="0" w:color="auto"/>
        <w:right w:val="none" w:sz="0" w:space="0" w:color="auto"/>
      </w:divBdr>
    </w:div>
    <w:div w:id="1498498359">
      <w:bodyDiv w:val="1"/>
      <w:marLeft w:val="0"/>
      <w:marRight w:val="0"/>
      <w:marTop w:val="0"/>
      <w:marBottom w:val="0"/>
      <w:divBdr>
        <w:top w:val="none" w:sz="0" w:space="0" w:color="auto"/>
        <w:left w:val="none" w:sz="0" w:space="0" w:color="auto"/>
        <w:bottom w:val="none" w:sz="0" w:space="0" w:color="auto"/>
        <w:right w:val="none" w:sz="0" w:space="0" w:color="auto"/>
      </w:divBdr>
    </w:div>
    <w:div w:id="1533498762">
      <w:bodyDiv w:val="1"/>
      <w:marLeft w:val="0"/>
      <w:marRight w:val="0"/>
      <w:marTop w:val="0"/>
      <w:marBottom w:val="0"/>
      <w:divBdr>
        <w:top w:val="none" w:sz="0" w:space="0" w:color="auto"/>
        <w:left w:val="none" w:sz="0" w:space="0" w:color="auto"/>
        <w:bottom w:val="none" w:sz="0" w:space="0" w:color="auto"/>
        <w:right w:val="none" w:sz="0" w:space="0" w:color="auto"/>
      </w:divBdr>
    </w:div>
    <w:div w:id="1665235597">
      <w:bodyDiv w:val="1"/>
      <w:marLeft w:val="0"/>
      <w:marRight w:val="0"/>
      <w:marTop w:val="0"/>
      <w:marBottom w:val="0"/>
      <w:divBdr>
        <w:top w:val="none" w:sz="0" w:space="0" w:color="auto"/>
        <w:left w:val="none" w:sz="0" w:space="0" w:color="auto"/>
        <w:bottom w:val="none" w:sz="0" w:space="0" w:color="auto"/>
        <w:right w:val="none" w:sz="0" w:space="0" w:color="auto"/>
      </w:divBdr>
    </w:div>
    <w:div w:id="1687249938">
      <w:bodyDiv w:val="1"/>
      <w:marLeft w:val="0"/>
      <w:marRight w:val="0"/>
      <w:marTop w:val="0"/>
      <w:marBottom w:val="0"/>
      <w:divBdr>
        <w:top w:val="none" w:sz="0" w:space="0" w:color="auto"/>
        <w:left w:val="none" w:sz="0" w:space="0" w:color="auto"/>
        <w:bottom w:val="none" w:sz="0" w:space="0" w:color="auto"/>
        <w:right w:val="none" w:sz="0" w:space="0" w:color="auto"/>
      </w:divBdr>
    </w:div>
    <w:div w:id="1729766421">
      <w:bodyDiv w:val="1"/>
      <w:marLeft w:val="0"/>
      <w:marRight w:val="0"/>
      <w:marTop w:val="0"/>
      <w:marBottom w:val="0"/>
      <w:divBdr>
        <w:top w:val="none" w:sz="0" w:space="0" w:color="auto"/>
        <w:left w:val="none" w:sz="0" w:space="0" w:color="auto"/>
        <w:bottom w:val="none" w:sz="0" w:space="0" w:color="auto"/>
        <w:right w:val="none" w:sz="0" w:space="0" w:color="auto"/>
      </w:divBdr>
    </w:div>
    <w:div w:id="19164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8%20Compensation%20&amp;%20Benefits%20Report\average%20total%20comp%202018%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8%20Compensation%20&amp;%20Benefits%20Report\average%20total%20comp%202018%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8%20Compensation%20&amp;%20Benefits%20Report\average%20total%20comp%202018%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8%20Compensation%20&amp;%20Benefits%20Report\average%20total%20comp%202018%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8%20Compensation%20&amp;%20Benefits%20Report\turnover%20charts%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8%20Compensation%20&amp;%20Benefits%20Report\turnover%20charts%20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7%20Compensation%20&amp;%20Benefits%20Report\18-25%20hiring%20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p3spfp01.eads.ncads.net\share01\CLASSIFICATIONANDCOMPENSATIONDIVISION\All%20Comp%20&amp;%20Benefits%20Reports\2018%20Compensation%20&amp;%20Benefits%20Report\average%20state%20employee%20ages%202018.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Average</a:t>
            </a:r>
            <a:r>
              <a:rPr lang="en-US" baseline="0"/>
              <a:t> Market Movement vs Legislative Increases 2007-2017</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v>Average Market Movement</c:v>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'avg mkt &amp; cpi'!$B$1:$L$1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'avg mkt &amp; cpi'!$B$2:$L$2</c:f>
              <c:numCache>
                <c:formatCode>0.0%</c:formatCode>
                <c:ptCount val="11"/>
                <c:pt idx="0">
                  <c:v>3.7999999999999999E-2</c:v>
                </c:pt>
                <c:pt idx="1">
                  <c:v>3.7999999999999999E-2</c:v>
                </c:pt>
                <c:pt idx="2">
                  <c:v>2.1000000000000001E-2</c:v>
                </c:pt>
                <c:pt idx="3">
                  <c:v>2.3E-2</c:v>
                </c:pt>
                <c:pt idx="4">
                  <c:v>2.7E-2</c:v>
                </c:pt>
                <c:pt idx="5">
                  <c:v>2.7E-2</c:v>
                </c:pt>
                <c:pt idx="6">
                  <c:v>2.8000000000000001E-2</c:v>
                </c:pt>
                <c:pt idx="7">
                  <c:v>2.9000000000000001E-2</c:v>
                </c:pt>
                <c:pt idx="8">
                  <c:v>2.8000000000000001E-2</c:v>
                </c:pt>
                <c:pt idx="9">
                  <c:v>2.7999999999999997E-2</c:v>
                </c:pt>
                <c:pt idx="10" formatCode="0.00%">
                  <c:v>2.8000000000000001E-2</c:v>
                </c:pt>
              </c:numCache>
            </c:numRef>
          </c:val>
          <c:smooth val="0"/>
          <c:extLst>
            <c:ext xmlns:c16="http://schemas.microsoft.com/office/drawing/2014/chart" uri="{C3380CC4-5D6E-409C-BE32-E72D297353CC}">
              <c16:uniqueId val="{00000000-8D83-46F7-8B2F-913A4A23C98B}"/>
            </c:ext>
          </c:extLst>
        </c:ser>
        <c:ser>
          <c:idx val="1"/>
          <c:order val="1"/>
          <c:tx>
            <c:v>Legislative Increases</c:v>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'avg mkt &amp; cpi'!$B$1:$L$1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'avg mkt &amp; cpi'!$B$3:$L$3</c:f>
              <c:numCache>
                <c:formatCode>0.0%</c:formatCode>
                <c:ptCount val="11"/>
                <c:pt idx="0">
                  <c:v>0.04</c:v>
                </c:pt>
                <c:pt idx="1">
                  <c:v>2.75E-2</c:v>
                </c:pt>
                <c:pt idx="2">
                  <c:v>0</c:v>
                </c:pt>
                <c:pt idx="3">
                  <c:v>0</c:v>
                </c:pt>
                <c:pt idx="4">
                  <c:v>0</c:v>
                </c:pt>
                <c:pt idx="5">
                  <c:v>1.2E-2</c:v>
                </c:pt>
                <c:pt idx="6">
                  <c:v>0</c:v>
                </c:pt>
                <c:pt idx="7">
                  <c:v>2.3E-2</c:v>
                </c:pt>
                <c:pt idx="8">
                  <c:v>0</c:v>
                </c:pt>
                <c:pt idx="9">
                  <c:v>1.4999999999999999E-2</c:v>
                </c:pt>
                <c:pt idx="10" formatCode="0.00%">
                  <c:v>2.1000000000000001E-2</c:v>
                </c:pt>
              </c:numCache>
            </c:numRef>
          </c:val>
          <c:smooth val="0"/>
          <c:extLst>
            <c:ext xmlns:c16="http://schemas.microsoft.com/office/drawing/2014/chart" uri="{C3380CC4-5D6E-409C-BE32-E72D297353CC}">
              <c16:uniqueId val="{00000001-8D83-46F7-8B2F-913A4A23C98B}"/>
            </c:ext>
          </c:extLst>
        </c:ser>
        <c:dLbls>
          <c:dLblPos val="ctr"/>
          <c:showLegendKey val="0"/>
          <c:showVal val="1"/>
          <c:showCatName val="0"/>
          <c:showSerName val="0"/>
          <c:showPercent val="0"/>
          <c:showBubbleSize val="0"/>
        </c:dLbls>
        <c:marker val="1"/>
        <c:smooth val="0"/>
        <c:axId val="474313552"/>
        <c:axId val="474314536"/>
      </c:lineChart>
      <c:catAx>
        <c:axId val="474313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74314536"/>
        <c:crosses val="autoZero"/>
        <c:auto val="1"/>
        <c:lblAlgn val="ctr"/>
        <c:lblOffset val="100"/>
        <c:noMultiLvlLbl val="0"/>
      </c:catAx>
      <c:valAx>
        <c:axId val="4743145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743135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Average</a:t>
            </a:r>
            <a:r>
              <a:rPr lang="en-US" baseline="0"/>
              <a:t> Market Movement </a:t>
            </a:r>
            <a:r>
              <a:rPr lang="en-US"/>
              <a:t>vs Total Legislative Increases 2007-2017 </a:t>
            </a:r>
          </a:p>
        </c:rich>
      </c:tx>
      <c:layout>
        <c:manualLayout>
          <c:xMode val="edge"/>
          <c:yMode val="edge"/>
          <c:x val="0.13657633420822396"/>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'avg mkt &amp; cpi'!$A$2:$A$3</c:f>
              <c:strCache>
                <c:ptCount val="2"/>
                <c:pt idx="0">
                  <c:v>Average Market Movement</c:v>
                </c:pt>
                <c:pt idx="1">
                  <c:v>Legislative Increase</c:v>
                </c:pt>
              </c:strCache>
            </c:strRef>
          </c:cat>
          <c:val>
            <c:numRef>
              <c:f>'avg mkt &amp; cpi'!$N$2:$N$3</c:f>
              <c:numCache>
                <c:formatCode>0.0%</c:formatCode>
                <c:ptCount val="2"/>
                <c:pt idx="0">
                  <c:v>0.31500000000000006</c:v>
                </c:pt>
                <c:pt idx="1">
                  <c:v>0.13850000000000001</c:v>
                </c:pt>
              </c:numCache>
            </c:numRef>
          </c:val>
          <c:extLst>
            <c:ext xmlns:c16="http://schemas.microsoft.com/office/drawing/2014/chart" uri="{C3380CC4-5D6E-409C-BE32-E72D297353CC}">
              <c16:uniqueId val="{00000000-C59D-44A9-A5C4-46C1E00BF0D3}"/>
            </c:ext>
          </c:extLst>
        </c:ser>
        <c:dLbls>
          <c:dLblPos val="outEnd"/>
          <c:showLegendKey val="0"/>
          <c:showVal val="1"/>
          <c:showCatName val="0"/>
          <c:showSerName val="0"/>
          <c:showPercent val="0"/>
          <c:showBubbleSize val="0"/>
        </c:dLbls>
        <c:gapWidth val="219"/>
        <c:overlap val="-27"/>
        <c:axId val="532809760"/>
        <c:axId val="532813040"/>
      </c:barChart>
      <c:catAx>
        <c:axId val="5328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813040"/>
        <c:crosses val="autoZero"/>
        <c:auto val="1"/>
        <c:lblAlgn val="ctr"/>
        <c:lblOffset val="100"/>
        <c:noMultiLvlLbl val="0"/>
      </c:catAx>
      <c:valAx>
        <c:axId val="532813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80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Consumer Price Index vs Legislative</a:t>
            </a:r>
            <a:r>
              <a:rPr lang="en-US" baseline="0"/>
              <a:t> Increases 2007-2017 </a:t>
            </a:r>
            <a:endParaRPr lang="en-US"/>
          </a:p>
        </c:rich>
      </c:tx>
      <c:layout>
        <c:manualLayout>
          <c:xMode val="edge"/>
          <c:yMode val="edge"/>
          <c:x val="0.2273964807653481"/>
          <c:y val="1.577909270216962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v>Consumer Price Index</c:v>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'avg mkt &amp; cpi'!$B$30:$L$30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'avg mkt &amp; cpi'!$B$31:$L$31</c:f>
              <c:numCache>
                <c:formatCode>0.0%</c:formatCode>
                <c:ptCount val="11"/>
                <c:pt idx="0">
                  <c:v>4.1000000000000002E-2</c:v>
                </c:pt>
                <c:pt idx="1">
                  <c:v>3.6999999999999998E-2</c:v>
                </c:pt>
                <c:pt idx="2">
                  <c:v>1.4999999999999999E-2</c:v>
                </c:pt>
                <c:pt idx="3">
                  <c:v>1.4999999999999999E-2</c:v>
                </c:pt>
                <c:pt idx="4">
                  <c:v>0.03</c:v>
                </c:pt>
                <c:pt idx="5">
                  <c:v>2.1999999999999999E-2</c:v>
                </c:pt>
                <c:pt idx="6">
                  <c:v>1.6E-2</c:v>
                </c:pt>
                <c:pt idx="7">
                  <c:v>8.0000000000000002E-3</c:v>
                </c:pt>
                <c:pt idx="8">
                  <c:v>7.0000000000000001E-3</c:v>
                </c:pt>
                <c:pt idx="9" formatCode="0.00%">
                  <c:v>2.1000000000000001E-2</c:v>
                </c:pt>
                <c:pt idx="10" formatCode="0.00%">
                  <c:v>2.5000000000000001E-2</c:v>
                </c:pt>
              </c:numCache>
            </c:numRef>
          </c:val>
          <c:smooth val="0"/>
          <c:extLst>
            <c:ext xmlns:c16="http://schemas.microsoft.com/office/drawing/2014/chart" uri="{C3380CC4-5D6E-409C-BE32-E72D297353CC}">
              <c16:uniqueId val="{00000000-24FE-4068-9AC9-7A0C8A7762B6}"/>
            </c:ext>
          </c:extLst>
        </c:ser>
        <c:ser>
          <c:idx val="1"/>
          <c:order val="1"/>
          <c:tx>
            <c:v>Legislative Increases</c:v>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'avg mkt &amp; cpi'!$B$30:$L$30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'avg mkt &amp; cpi'!$B$32:$L$32</c:f>
              <c:numCache>
                <c:formatCode>0.0%</c:formatCode>
                <c:ptCount val="11"/>
                <c:pt idx="0">
                  <c:v>0.04</c:v>
                </c:pt>
                <c:pt idx="1">
                  <c:v>2.75E-2</c:v>
                </c:pt>
                <c:pt idx="2">
                  <c:v>0</c:v>
                </c:pt>
                <c:pt idx="3">
                  <c:v>0</c:v>
                </c:pt>
                <c:pt idx="4">
                  <c:v>0</c:v>
                </c:pt>
                <c:pt idx="5">
                  <c:v>1.2E-2</c:v>
                </c:pt>
                <c:pt idx="6">
                  <c:v>0</c:v>
                </c:pt>
                <c:pt idx="7">
                  <c:v>2.3E-2</c:v>
                </c:pt>
                <c:pt idx="8">
                  <c:v>0</c:v>
                </c:pt>
                <c:pt idx="9" formatCode="0.00%">
                  <c:v>1.4999999999999999E-2</c:v>
                </c:pt>
                <c:pt idx="10" formatCode="0.00%">
                  <c:v>2.1000000000000001E-2</c:v>
                </c:pt>
              </c:numCache>
            </c:numRef>
          </c:val>
          <c:smooth val="0"/>
          <c:extLst>
            <c:ext xmlns:c16="http://schemas.microsoft.com/office/drawing/2014/chart" uri="{C3380CC4-5D6E-409C-BE32-E72D297353CC}">
              <c16:uniqueId val="{00000001-24FE-4068-9AC9-7A0C8A7762B6}"/>
            </c:ext>
          </c:extLst>
        </c:ser>
        <c:dLbls>
          <c:dLblPos val="ctr"/>
          <c:showLegendKey val="0"/>
          <c:showVal val="1"/>
          <c:showCatName val="0"/>
          <c:showSerName val="0"/>
          <c:showPercent val="0"/>
          <c:showBubbleSize val="0"/>
        </c:dLbls>
        <c:marker val="1"/>
        <c:smooth val="0"/>
        <c:axId val="471070168"/>
        <c:axId val="471072136"/>
      </c:lineChart>
      <c:catAx>
        <c:axId val="471070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71072136"/>
        <c:crosses val="autoZero"/>
        <c:auto val="1"/>
        <c:lblAlgn val="ctr"/>
        <c:lblOffset val="100"/>
        <c:noMultiLvlLbl val="0"/>
      </c:catAx>
      <c:valAx>
        <c:axId val="471072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710701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CPI vs Total Legislative Increases 2007-2017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'avg mkt &amp; cpi'!$A$31:$A$32</c:f>
              <c:strCache>
                <c:ptCount val="2"/>
                <c:pt idx="0">
                  <c:v>Consumer Price Index</c:v>
                </c:pt>
                <c:pt idx="1">
                  <c:v>Legislative Increase</c:v>
                </c:pt>
              </c:strCache>
            </c:strRef>
          </c:cat>
          <c:val>
            <c:numRef>
              <c:f>'avg mkt &amp; cpi'!$N$31:$N$32</c:f>
              <c:numCache>
                <c:formatCode>0.0%</c:formatCode>
                <c:ptCount val="2"/>
                <c:pt idx="0">
                  <c:v>0.23699999999999999</c:v>
                </c:pt>
                <c:pt idx="1">
                  <c:v>0.13850000000000001</c:v>
                </c:pt>
              </c:numCache>
            </c:numRef>
          </c:val>
          <c:extLst>
            <c:ext xmlns:c16="http://schemas.microsoft.com/office/drawing/2014/chart" uri="{C3380CC4-5D6E-409C-BE32-E72D297353CC}">
              <c16:uniqueId val="{00000000-686A-42A1-9002-1CF8F9D37523}"/>
            </c:ext>
          </c:extLst>
        </c:ser>
        <c:dLbls>
          <c:dLblPos val="outEnd"/>
          <c:showLegendKey val="0"/>
          <c:showVal val="1"/>
          <c:showCatName val="0"/>
          <c:showSerName val="0"/>
          <c:showPercent val="0"/>
          <c:showBubbleSize val="0"/>
        </c:dLbls>
        <c:gapWidth val="219"/>
        <c:overlap val="-27"/>
        <c:axId val="472360464"/>
        <c:axId val="472363088"/>
      </c:barChart>
      <c:catAx>
        <c:axId val="47236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363088"/>
        <c:crosses val="autoZero"/>
        <c:auto val="1"/>
        <c:lblAlgn val="ctr"/>
        <c:lblOffset val="100"/>
        <c:noMultiLvlLbl val="0"/>
      </c:catAx>
      <c:valAx>
        <c:axId val="4723630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36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Five Years</a:t>
            </a:r>
            <a:r>
              <a:rPr lang="en-US" b="1" baseline="0"/>
              <a:t> of Turnover Rates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Voluntary</c:v>
          </c:tx>
          <c:spPr>
            <a:solidFill>
              <a:schemeClr val="accent1"/>
            </a:solidFill>
            <a:ln w="12700">
              <a:solidFill>
                <a:schemeClr val="accent1"/>
              </a:solidFill>
            </a:ln>
            <a:effectLst/>
          </c:spPr>
          <c:invertIfNegative val="0"/>
          <c:cat>
            <c:strRef>
              <c:f>Sheet1!$C$1:$G$1</c:f>
              <c:strCache>
                <c:ptCount val="5"/>
                <c:pt idx="0">
                  <c:v>FY 12-13</c:v>
                </c:pt>
                <c:pt idx="1">
                  <c:v>FY 13-14</c:v>
                </c:pt>
                <c:pt idx="2">
                  <c:v>FY 14-15</c:v>
                </c:pt>
                <c:pt idx="3">
                  <c:v>FY 15-16</c:v>
                </c:pt>
                <c:pt idx="4">
                  <c:v>FY 16-17</c:v>
                </c:pt>
              </c:strCache>
            </c:strRef>
          </c:cat>
          <c:val>
            <c:numRef>
              <c:f>Sheet1!$C$2:$G$2</c:f>
              <c:numCache>
                <c:formatCode>0.00%</c:formatCode>
                <c:ptCount val="5"/>
                <c:pt idx="0" formatCode="0.0%">
                  <c:v>5.2999999999999999E-2</c:v>
                </c:pt>
                <c:pt idx="1">
                  <c:v>7.0000000000000007E-2</c:v>
                </c:pt>
                <c:pt idx="2">
                  <c:v>7.0999999999999994E-2</c:v>
                </c:pt>
                <c:pt idx="3">
                  <c:v>7.6999999999999999E-2</c:v>
                </c:pt>
                <c:pt idx="4">
                  <c:v>0.08</c:v>
                </c:pt>
              </c:numCache>
            </c:numRef>
          </c:val>
          <c:extLst>
            <c:ext xmlns:c16="http://schemas.microsoft.com/office/drawing/2014/chart" uri="{C3380CC4-5D6E-409C-BE32-E72D297353CC}">
              <c16:uniqueId val="{00000000-CC5D-458D-BC54-31C664A6CD7D}"/>
            </c:ext>
          </c:extLst>
        </c:ser>
        <c:ser>
          <c:idx val="1"/>
          <c:order val="1"/>
          <c:tx>
            <c:v>Retirement</c:v>
          </c:tx>
          <c:spPr>
            <a:solidFill>
              <a:schemeClr val="accent2"/>
            </a:solidFill>
            <a:ln w="12700">
              <a:solidFill>
                <a:schemeClr val="accent1"/>
              </a:solidFill>
            </a:ln>
            <a:effectLst/>
          </c:spPr>
          <c:invertIfNegative val="0"/>
          <c:cat>
            <c:strRef>
              <c:f>Sheet1!$C$1:$G$1</c:f>
              <c:strCache>
                <c:ptCount val="5"/>
                <c:pt idx="0">
                  <c:v>FY 12-13</c:v>
                </c:pt>
                <c:pt idx="1">
                  <c:v>FY 13-14</c:v>
                </c:pt>
                <c:pt idx="2">
                  <c:v>FY 14-15</c:v>
                </c:pt>
                <c:pt idx="3">
                  <c:v>FY 15-16</c:v>
                </c:pt>
                <c:pt idx="4">
                  <c:v>FY 16-17</c:v>
                </c:pt>
              </c:strCache>
            </c:strRef>
          </c:cat>
          <c:val>
            <c:numRef>
              <c:f>Sheet1!$C$3:$G$3</c:f>
              <c:numCache>
                <c:formatCode>0.00%</c:formatCode>
                <c:ptCount val="5"/>
                <c:pt idx="0" formatCode="0.0%">
                  <c:v>0.03</c:v>
                </c:pt>
                <c:pt idx="1">
                  <c:v>3.4000000000000002E-2</c:v>
                </c:pt>
                <c:pt idx="2">
                  <c:v>3.4000000000000002E-2</c:v>
                </c:pt>
                <c:pt idx="3">
                  <c:v>3.4000000000000002E-2</c:v>
                </c:pt>
                <c:pt idx="4">
                  <c:v>3.7999999999999999E-2</c:v>
                </c:pt>
              </c:numCache>
            </c:numRef>
          </c:val>
          <c:extLst>
            <c:ext xmlns:c16="http://schemas.microsoft.com/office/drawing/2014/chart" uri="{C3380CC4-5D6E-409C-BE32-E72D297353CC}">
              <c16:uniqueId val="{00000001-CC5D-458D-BC54-31C664A6CD7D}"/>
            </c:ext>
          </c:extLst>
        </c:ser>
        <c:ser>
          <c:idx val="2"/>
          <c:order val="2"/>
          <c:tx>
            <c:v>Involuntary</c:v>
          </c:tx>
          <c:spPr>
            <a:solidFill>
              <a:schemeClr val="accent3"/>
            </a:solidFill>
            <a:ln w="12700">
              <a:solidFill>
                <a:schemeClr val="accent1"/>
              </a:solidFill>
            </a:ln>
            <a:effectLst/>
          </c:spPr>
          <c:invertIfNegative val="0"/>
          <c:cat>
            <c:strRef>
              <c:f>Sheet1!$C$1:$G$1</c:f>
              <c:strCache>
                <c:ptCount val="5"/>
                <c:pt idx="0">
                  <c:v>FY 12-13</c:v>
                </c:pt>
                <c:pt idx="1">
                  <c:v>FY 13-14</c:v>
                </c:pt>
                <c:pt idx="2">
                  <c:v>FY 14-15</c:v>
                </c:pt>
                <c:pt idx="3">
                  <c:v>FY 15-16</c:v>
                </c:pt>
                <c:pt idx="4">
                  <c:v>FY 16-17</c:v>
                </c:pt>
              </c:strCache>
            </c:strRef>
          </c:cat>
          <c:val>
            <c:numRef>
              <c:f>Sheet1!$C$4:$G$4</c:f>
              <c:numCache>
                <c:formatCode>0.00%</c:formatCode>
                <c:ptCount val="5"/>
                <c:pt idx="0" formatCode="0.0%">
                  <c:v>1.2999999999999999E-2</c:v>
                </c:pt>
                <c:pt idx="1">
                  <c:v>1.4E-2</c:v>
                </c:pt>
                <c:pt idx="2">
                  <c:v>1.2999999999999999E-2</c:v>
                </c:pt>
                <c:pt idx="3">
                  <c:v>1.7000000000000001E-2</c:v>
                </c:pt>
                <c:pt idx="4">
                  <c:v>1.7000000000000001E-2</c:v>
                </c:pt>
              </c:numCache>
            </c:numRef>
          </c:val>
          <c:extLst>
            <c:ext xmlns:c16="http://schemas.microsoft.com/office/drawing/2014/chart" uri="{C3380CC4-5D6E-409C-BE32-E72D297353CC}">
              <c16:uniqueId val="{00000002-CC5D-458D-BC54-31C664A6CD7D}"/>
            </c:ext>
          </c:extLst>
        </c:ser>
        <c:ser>
          <c:idx val="3"/>
          <c:order val="3"/>
          <c:tx>
            <c:v>Total</c:v>
          </c:tx>
          <c:spPr>
            <a:solidFill>
              <a:schemeClr val="accent4"/>
            </a:solidFill>
            <a:ln w="12700">
              <a:solidFill>
                <a:schemeClr val="tx1"/>
              </a:solidFill>
            </a:ln>
            <a:effectLst/>
          </c:spPr>
          <c:invertIfNegative val="0"/>
          <c:cat>
            <c:strRef>
              <c:f>Sheet1!$C$1:$G$1</c:f>
              <c:strCache>
                <c:ptCount val="5"/>
                <c:pt idx="0">
                  <c:v>FY 12-13</c:v>
                </c:pt>
                <c:pt idx="1">
                  <c:v>FY 13-14</c:v>
                </c:pt>
                <c:pt idx="2">
                  <c:v>FY 14-15</c:v>
                </c:pt>
                <c:pt idx="3">
                  <c:v>FY 15-16</c:v>
                </c:pt>
                <c:pt idx="4">
                  <c:v>FY 16-17</c:v>
                </c:pt>
              </c:strCache>
            </c:strRef>
          </c:cat>
          <c:val>
            <c:numRef>
              <c:f>Sheet1!$C$5:$G$5</c:f>
              <c:numCache>
                <c:formatCode>0.00%</c:formatCode>
                <c:ptCount val="5"/>
                <c:pt idx="0">
                  <c:v>9.5999999999999988E-2</c:v>
                </c:pt>
                <c:pt idx="1">
                  <c:v>0.11799999999999999</c:v>
                </c:pt>
                <c:pt idx="2">
                  <c:v>0.11799999999999999</c:v>
                </c:pt>
                <c:pt idx="3">
                  <c:v>0.128</c:v>
                </c:pt>
                <c:pt idx="4">
                  <c:v>0.13500000000000001</c:v>
                </c:pt>
              </c:numCache>
            </c:numRef>
          </c:val>
          <c:extLst>
            <c:ext xmlns:c16="http://schemas.microsoft.com/office/drawing/2014/chart" uri="{C3380CC4-5D6E-409C-BE32-E72D297353CC}">
              <c16:uniqueId val="{00000003-CC5D-458D-BC54-31C664A6CD7D}"/>
            </c:ext>
          </c:extLst>
        </c:ser>
        <c:dLbls>
          <c:showLegendKey val="0"/>
          <c:showVal val="0"/>
          <c:showCatName val="0"/>
          <c:showSerName val="0"/>
          <c:showPercent val="0"/>
          <c:showBubbleSize val="0"/>
        </c:dLbls>
        <c:gapWidth val="219"/>
        <c:overlap val="-27"/>
        <c:axId val="568363000"/>
        <c:axId val="568357424"/>
      </c:barChart>
      <c:catAx>
        <c:axId val="568363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layout>
            <c:manualLayout>
              <c:xMode val="edge"/>
              <c:yMode val="edge"/>
              <c:x val="0.44833683289588799"/>
              <c:y val="0.920347039953339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357424"/>
        <c:crosses val="autoZero"/>
        <c:auto val="1"/>
        <c:lblAlgn val="ctr"/>
        <c:lblOffset val="100"/>
        <c:noMultiLvlLbl val="0"/>
      </c:catAx>
      <c:valAx>
        <c:axId val="56835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Turover</a:t>
                </a:r>
                <a:r>
                  <a:rPr lang="en-US" baseline="0"/>
                  <a:t> Rate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363000"/>
        <c:crosses val="autoZero"/>
        <c:crossBetween val="between"/>
      </c:valAx>
      <c:spPr>
        <a:solidFill>
          <a:schemeClr val="bg1">
            <a:lumMod val="75000"/>
          </a:schemeClr>
        </a:solidFill>
        <a:ln>
          <a:noFill/>
        </a:ln>
        <a:effectLst/>
      </c:spPr>
    </c:plotArea>
    <c:legend>
      <c:legendPos val="r"/>
      <c:overlay val="0"/>
      <c:spPr>
        <a:noFill/>
        <a:ln w="12700">
          <a:solidFill>
            <a:schemeClr val="accent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 Comparison</a:t>
            </a:r>
            <a:r>
              <a:rPr lang="en-US" b="1" baseline="0"/>
              <a:t> of Turnover Rates -- 18-25 Year Olds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Total Workforce</c:v>
          </c:tx>
          <c:spPr>
            <a:solidFill>
              <a:schemeClr val="accent1"/>
            </a:solidFill>
            <a:ln>
              <a:noFill/>
            </a:ln>
            <a:effectLst/>
          </c:spPr>
          <c:invertIfNegative val="0"/>
          <c:cat>
            <c:strRef>
              <c:f>Sheet1!$A$32:$A$36</c:f>
              <c:strCache>
                <c:ptCount val="5"/>
                <c:pt idx="0">
                  <c:v>FY 12-13</c:v>
                </c:pt>
                <c:pt idx="1">
                  <c:v>FY 13-14</c:v>
                </c:pt>
                <c:pt idx="2">
                  <c:v>FY 14-15</c:v>
                </c:pt>
                <c:pt idx="3">
                  <c:v>FY 15-16</c:v>
                </c:pt>
                <c:pt idx="4">
                  <c:v>FY 16-17</c:v>
                </c:pt>
              </c:strCache>
            </c:strRef>
          </c:cat>
          <c:val>
            <c:numRef>
              <c:f>Sheet1!$B$32:$B$36</c:f>
              <c:numCache>
                <c:formatCode>0.00%</c:formatCode>
                <c:ptCount val="5"/>
                <c:pt idx="0">
                  <c:v>9.6999999999999989E-2</c:v>
                </c:pt>
                <c:pt idx="1">
                  <c:v>0.11799999999999999</c:v>
                </c:pt>
                <c:pt idx="2">
                  <c:v>0.11799999999999999</c:v>
                </c:pt>
                <c:pt idx="3">
                  <c:v>0.128</c:v>
                </c:pt>
                <c:pt idx="4">
                  <c:v>0.13</c:v>
                </c:pt>
              </c:numCache>
            </c:numRef>
          </c:val>
          <c:extLst>
            <c:ext xmlns:c16="http://schemas.microsoft.com/office/drawing/2014/chart" uri="{C3380CC4-5D6E-409C-BE32-E72D297353CC}">
              <c16:uniqueId val="{00000000-04D3-4C1C-9655-C741C46A9A77}"/>
            </c:ext>
          </c:extLst>
        </c:ser>
        <c:ser>
          <c:idx val="1"/>
          <c:order val="1"/>
          <c:tx>
            <c:v>18-25 YO</c:v>
          </c:tx>
          <c:spPr>
            <a:solidFill>
              <a:schemeClr val="accent2"/>
            </a:solidFill>
            <a:ln>
              <a:noFill/>
            </a:ln>
            <a:effectLst/>
          </c:spPr>
          <c:invertIfNegative val="0"/>
          <c:cat>
            <c:strRef>
              <c:f>Sheet1!$A$32:$A$36</c:f>
              <c:strCache>
                <c:ptCount val="5"/>
                <c:pt idx="0">
                  <c:v>FY 12-13</c:v>
                </c:pt>
                <c:pt idx="1">
                  <c:v>FY 13-14</c:v>
                </c:pt>
                <c:pt idx="2">
                  <c:v>FY 14-15</c:v>
                </c:pt>
                <c:pt idx="3">
                  <c:v>FY 15-16</c:v>
                </c:pt>
                <c:pt idx="4">
                  <c:v>FY 16-17</c:v>
                </c:pt>
              </c:strCache>
            </c:strRef>
          </c:cat>
          <c:val>
            <c:numRef>
              <c:f>Sheet1!$C$32:$C$36</c:f>
              <c:numCache>
                <c:formatCode>0.00%</c:formatCode>
                <c:ptCount val="5"/>
                <c:pt idx="0">
                  <c:v>9.4200000000000006E-2</c:v>
                </c:pt>
                <c:pt idx="1">
                  <c:v>0.1103</c:v>
                </c:pt>
                <c:pt idx="2">
                  <c:v>0.16500000000000001</c:v>
                </c:pt>
                <c:pt idx="3">
                  <c:v>0.19700000000000001</c:v>
                </c:pt>
                <c:pt idx="4">
                  <c:v>0.3</c:v>
                </c:pt>
              </c:numCache>
            </c:numRef>
          </c:val>
          <c:extLst>
            <c:ext xmlns:c16="http://schemas.microsoft.com/office/drawing/2014/chart" uri="{C3380CC4-5D6E-409C-BE32-E72D297353CC}">
              <c16:uniqueId val="{00000001-04D3-4C1C-9655-C741C46A9A77}"/>
            </c:ext>
          </c:extLst>
        </c:ser>
        <c:dLbls>
          <c:showLegendKey val="0"/>
          <c:showVal val="0"/>
          <c:showCatName val="0"/>
          <c:showSerName val="0"/>
          <c:showPercent val="0"/>
          <c:showBubbleSize val="0"/>
        </c:dLbls>
        <c:gapWidth val="219"/>
        <c:overlap val="-27"/>
        <c:axId val="400357200"/>
        <c:axId val="400354576"/>
      </c:barChart>
      <c:catAx>
        <c:axId val="400357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layout>
            <c:manualLayout>
              <c:xMode val="edge"/>
              <c:yMode val="edge"/>
              <c:x val="0.43318813513695403"/>
              <c:y val="0.850984812795836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54576"/>
        <c:crosses val="autoZero"/>
        <c:auto val="1"/>
        <c:lblAlgn val="ctr"/>
        <c:lblOffset val="100"/>
        <c:noMultiLvlLbl val="0"/>
      </c:catAx>
      <c:valAx>
        <c:axId val="400354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Turonver</a:t>
                </a:r>
                <a:r>
                  <a:rPr lang="en-US" baseline="0"/>
                  <a:t> Rate</a:t>
                </a:r>
                <a:endParaRPr lang="en-US"/>
              </a:p>
            </c:rich>
          </c:tx>
          <c:layout>
            <c:manualLayout>
              <c:xMode val="edge"/>
              <c:yMode val="edge"/>
              <c:x val="8.2815734989648039E-3"/>
              <c:y val="0.399850236111790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57200"/>
        <c:crosses val="autoZero"/>
        <c:crossBetween val="between"/>
      </c:valAx>
      <c:spPr>
        <a:noFill/>
        <a:ln>
          <a:noFill/>
        </a:ln>
        <a:effectLst/>
      </c:spPr>
    </c:plotArea>
    <c:legend>
      <c:legendPos val="b"/>
      <c:overlay val="0"/>
      <c:spPr>
        <a:noFill/>
        <a:ln w="12700">
          <a:solidFill>
            <a:schemeClr val="accent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18 - 25 Year Olds Vs Total New</a:t>
            </a:r>
            <a:r>
              <a:rPr lang="en-US" baseline="0"/>
              <a:t> Hires State Government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58092738407698"/>
          <c:y val="0.16245370370370371"/>
          <c:w val="0.86486351706036746"/>
          <c:h val="0.61498432487605714"/>
        </c:manualLayout>
      </c:layout>
      <c:barChart>
        <c:barDir val="col"/>
        <c:grouping val="clustered"/>
        <c:varyColors val="0"/>
        <c:ser>
          <c:idx val="0"/>
          <c:order val="0"/>
          <c:tx>
            <c:v>18-25 YO</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FY!$A$2:$A$7</c:f>
              <c:strCache>
                <c:ptCount val="6"/>
                <c:pt idx="0">
                  <c:v>FY 11-12</c:v>
                </c:pt>
                <c:pt idx="1">
                  <c:v>FY 12-13</c:v>
                </c:pt>
                <c:pt idx="2">
                  <c:v>FY 13-14</c:v>
                </c:pt>
                <c:pt idx="3">
                  <c:v>FY 14-15</c:v>
                </c:pt>
                <c:pt idx="4">
                  <c:v>FY 15-16</c:v>
                </c:pt>
                <c:pt idx="5">
                  <c:v>FY 16-17</c:v>
                </c:pt>
              </c:strCache>
            </c:strRef>
          </c:cat>
          <c:val>
            <c:numRef>
              <c:f>FY!$B$3:$B$7</c:f>
              <c:numCache>
                <c:formatCode>General</c:formatCode>
                <c:ptCount val="5"/>
                <c:pt idx="0">
                  <c:v>964</c:v>
                </c:pt>
                <c:pt idx="1">
                  <c:v>785</c:v>
                </c:pt>
                <c:pt idx="2">
                  <c:v>993</c:v>
                </c:pt>
                <c:pt idx="3">
                  <c:v>1616</c:v>
                </c:pt>
                <c:pt idx="4">
                  <c:v>2246</c:v>
                </c:pt>
              </c:numCache>
            </c:numRef>
          </c:val>
          <c:extLst>
            <c:ext xmlns:c16="http://schemas.microsoft.com/office/drawing/2014/chart" uri="{C3380CC4-5D6E-409C-BE32-E72D297353CC}">
              <c16:uniqueId val="{00000000-BA02-4046-89D1-52C243289E4B}"/>
            </c:ext>
          </c:extLst>
        </c:ser>
        <c:ser>
          <c:idx val="1"/>
          <c:order val="1"/>
          <c:tx>
            <c:v>Total New Hires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FY!$A$2:$A$7</c:f>
              <c:strCache>
                <c:ptCount val="6"/>
                <c:pt idx="0">
                  <c:v>FY 11-12</c:v>
                </c:pt>
                <c:pt idx="1">
                  <c:v>FY 12-13</c:v>
                </c:pt>
                <c:pt idx="2">
                  <c:v>FY 13-14</c:v>
                </c:pt>
                <c:pt idx="3">
                  <c:v>FY 14-15</c:v>
                </c:pt>
                <c:pt idx="4">
                  <c:v>FY 15-16</c:v>
                </c:pt>
                <c:pt idx="5">
                  <c:v>FY 16-17</c:v>
                </c:pt>
              </c:strCache>
            </c:strRef>
          </c:cat>
          <c:val>
            <c:numRef>
              <c:f>FY!$C$3:$C$7</c:f>
              <c:numCache>
                <c:formatCode>General</c:formatCode>
                <c:ptCount val="5"/>
                <c:pt idx="0">
                  <c:v>5032</c:v>
                </c:pt>
                <c:pt idx="1">
                  <c:v>4083</c:v>
                </c:pt>
                <c:pt idx="2">
                  <c:v>4928</c:v>
                </c:pt>
                <c:pt idx="3">
                  <c:v>8212</c:v>
                </c:pt>
                <c:pt idx="4">
                  <c:v>8734</c:v>
                </c:pt>
              </c:numCache>
            </c:numRef>
          </c:val>
          <c:extLst>
            <c:ext xmlns:c16="http://schemas.microsoft.com/office/drawing/2014/chart" uri="{C3380CC4-5D6E-409C-BE32-E72D297353CC}">
              <c16:uniqueId val="{00000001-BA02-4046-89D1-52C243289E4B}"/>
            </c:ext>
          </c:extLst>
        </c:ser>
        <c:ser>
          <c:idx val="2"/>
          <c:order val="2"/>
          <c:tx>
            <c:v>Percentage Total New Hires</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FY!$A$2:$A$7</c:f>
              <c:strCache>
                <c:ptCount val="6"/>
                <c:pt idx="0">
                  <c:v>FY 11-12</c:v>
                </c:pt>
                <c:pt idx="1">
                  <c:v>FY 12-13</c:v>
                </c:pt>
                <c:pt idx="2">
                  <c:v>FY 13-14</c:v>
                </c:pt>
                <c:pt idx="3">
                  <c:v>FY 14-15</c:v>
                </c:pt>
                <c:pt idx="4">
                  <c:v>FY 15-16</c:v>
                </c:pt>
                <c:pt idx="5">
                  <c:v>FY 16-17</c:v>
                </c:pt>
              </c:strCache>
            </c:strRef>
          </c:cat>
          <c:val>
            <c:numRef>
              <c:f>FY!$D$3:$D$7</c:f>
              <c:numCache>
                <c:formatCode>General</c:formatCode>
                <c:ptCount val="5"/>
                <c:pt idx="0">
                  <c:v>19.2</c:v>
                </c:pt>
                <c:pt idx="1">
                  <c:v>19.2</c:v>
                </c:pt>
                <c:pt idx="2">
                  <c:v>20.2</c:v>
                </c:pt>
                <c:pt idx="3">
                  <c:v>19.7</c:v>
                </c:pt>
                <c:pt idx="4">
                  <c:v>25.7</c:v>
                </c:pt>
              </c:numCache>
            </c:numRef>
          </c:val>
          <c:extLst>
            <c:ext xmlns:c16="http://schemas.microsoft.com/office/drawing/2014/chart" uri="{C3380CC4-5D6E-409C-BE32-E72D297353CC}">
              <c16:uniqueId val="{00000002-BA02-4046-89D1-52C243289E4B}"/>
            </c:ext>
          </c:extLst>
        </c:ser>
        <c:dLbls>
          <c:dLblPos val="outEnd"/>
          <c:showLegendKey val="0"/>
          <c:showVal val="1"/>
          <c:showCatName val="0"/>
          <c:showSerName val="0"/>
          <c:showPercent val="0"/>
          <c:showBubbleSize val="0"/>
        </c:dLbls>
        <c:gapWidth val="219"/>
        <c:overlap val="-27"/>
        <c:axId val="372376280"/>
        <c:axId val="372379888"/>
      </c:barChart>
      <c:catAx>
        <c:axId val="372376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379888"/>
        <c:crosses val="autoZero"/>
        <c:auto val="1"/>
        <c:lblAlgn val="ctr"/>
        <c:lblOffset val="100"/>
        <c:noMultiLvlLbl val="0"/>
      </c:catAx>
      <c:valAx>
        <c:axId val="37237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376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Average age of North Carolina</a:t>
            </a:r>
            <a:r>
              <a:rPr lang="en-US" baseline="0"/>
              <a:t> State Employees</a:t>
            </a:r>
          </a:p>
          <a:p>
            <a:pPr>
              <a:defRPr/>
            </a:pPr>
            <a:r>
              <a:rPr lang="en-US" baseline="0"/>
              <a:t>1991-2017</a:t>
            </a:r>
            <a:endParaRPr lang="en-US"/>
          </a:p>
        </c:rich>
      </c:tx>
      <c:layout>
        <c:manualLayout>
          <c:xMode val="edge"/>
          <c:yMode val="edge"/>
          <c:x val="0.19767396863853556"/>
          <c:y val="3.978368889786212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average age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Sheet1!$B$1:$AB$1</c:f>
              <c:numCache>
                <c:formatCode>General</c:formatCod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numCache>
            </c:numRef>
          </c:cat>
          <c:val>
            <c:numRef>
              <c:f>Sheet1!$B$2:$AB$2</c:f>
              <c:numCache>
                <c:formatCode>General</c:formatCode>
                <c:ptCount val="27"/>
                <c:pt idx="0">
                  <c:v>38</c:v>
                </c:pt>
                <c:pt idx="1">
                  <c:v>38</c:v>
                </c:pt>
                <c:pt idx="2">
                  <c:v>38</c:v>
                </c:pt>
                <c:pt idx="3">
                  <c:v>38</c:v>
                </c:pt>
                <c:pt idx="4">
                  <c:v>39</c:v>
                </c:pt>
                <c:pt idx="5">
                  <c:v>39</c:v>
                </c:pt>
                <c:pt idx="6">
                  <c:v>39</c:v>
                </c:pt>
                <c:pt idx="7">
                  <c:v>39</c:v>
                </c:pt>
                <c:pt idx="8">
                  <c:v>40</c:v>
                </c:pt>
                <c:pt idx="9">
                  <c:v>40</c:v>
                </c:pt>
                <c:pt idx="10">
                  <c:v>41</c:v>
                </c:pt>
                <c:pt idx="11">
                  <c:v>42</c:v>
                </c:pt>
                <c:pt idx="12">
                  <c:v>43</c:v>
                </c:pt>
                <c:pt idx="13">
                  <c:v>44</c:v>
                </c:pt>
                <c:pt idx="14">
                  <c:v>45</c:v>
                </c:pt>
                <c:pt idx="15">
                  <c:v>46</c:v>
                </c:pt>
                <c:pt idx="16">
                  <c:v>48</c:v>
                </c:pt>
                <c:pt idx="17">
                  <c:v>45</c:v>
                </c:pt>
                <c:pt idx="18">
                  <c:v>46</c:v>
                </c:pt>
                <c:pt idx="19">
                  <c:v>45</c:v>
                </c:pt>
                <c:pt idx="20">
                  <c:v>46</c:v>
                </c:pt>
                <c:pt idx="21">
                  <c:v>46</c:v>
                </c:pt>
                <c:pt idx="22">
                  <c:v>46</c:v>
                </c:pt>
                <c:pt idx="23">
                  <c:v>46</c:v>
                </c:pt>
                <c:pt idx="24">
                  <c:v>46</c:v>
                </c:pt>
                <c:pt idx="25">
                  <c:v>46</c:v>
                </c:pt>
                <c:pt idx="26">
                  <c:v>47</c:v>
                </c:pt>
              </c:numCache>
            </c:numRef>
          </c:val>
          <c:smooth val="0"/>
          <c:extLst>
            <c:ext xmlns:c16="http://schemas.microsoft.com/office/drawing/2014/chart" uri="{C3380CC4-5D6E-409C-BE32-E72D297353CC}">
              <c16:uniqueId val="{00000000-E1CF-4A8C-9929-2DE1A8B5E5D4}"/>
            </c:ext>
          </c:extLst>
        </c:ser>
        <c:dLbls>
          <c:dLblPos val="ctr"/>
          <c:showLegendKey val="0"/>
          <c:showVal val="1"/>
          <c:showCatName val="0"/>
          <c:showSerName val="0"/>
          <c:showPercent val="0"/>
          <c:showBubbleSize val="0"/>
        </c:dLbls>
        <c:marker val="1"/>
        <c:smooth val="0"/>
        <c:axId val="625219624"/>
        <c:axId val="625226512"/>
      </c:lineChart>
      <c:catAx>
        <c:axId val="62521962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Year</a:t>
                </a:r>
              </a:p>
            </c:rich>
          </c:tx>
          <c:layout>
            <c:manualLayout>
              <c:xMode val="edge"/>
              <c:yMode val="edge"/>
              <c:x val="0.47961133833535824"/>
              <c:y val="0.9529249067659240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25226512"/>
        <c:crosses val="autoZero"/>
        <c:auto val="1"/>
        <c:lblAlgn val="ctr"/>
        <c:lblOffset val="100"/>
        <c:noMultiLvlLbl val="0"/>
      </c:catAx>
      <c:valAx>
        <c:axId val="6252265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Average age</a:t>
                </a:r>
              </a:p>
            </c:rich>
          </c:tx>
          <c:layout>
            <c:manualLayout>
              <c:xMode val="edge"/>
              <c:yMode val="edge"/>
              <c:x val="9.4228504122497048E-3"/>
              <c:y val="0.412062155363677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252196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CBAF-141E-4365-BA08-654DB91A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7138</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COMPENSATION &amp; BENEFITS REPORT:  2002</vt:lpstr>
    </vt:vector>
  </TitlesOfParts>
  <Company>Office of State Personnel</Company>
  <LinksUpToDate>false</LinksUpToDate>
  <CharactersWithSpaces>48025</CharactersWithSpaces>
  <SharedDoc>false</SharedDoc>
  <HLinks>
    <vt:vector size="6" baseType="variant">
      <vt:variant>
        <vt:i4>6357115</vt:i4>
      </vt:variant>
      <vt:variant>
        <vt:i4>0</vt:i4>
      </vt:variant>
      <vt:variant>
        <vt:i4>0</vt:i4>
      </vt:variant>
      <vt:variant>
        <vt:i4>5</vt:i4>
      </vt:variant>
      <vt:variant>
        <vt:lpwstr>http://www.performancesolutions.nc.gov/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&amp; BENEFITS REPORT:  2002</dc:title>
  <dc:subject/>
  <dc:creator>Ray Scerri</dc:creator>
  <cp:keywords/>
  <dc:description/>
  <cp:lastModifiedBy>Horton, Tonya D</cp:lastModifiedBy>
  <cp:revision>3</cp:revision>
  <cp:lastPrinted>2018-05-01T17:25:00Z</cp:lastPrinted>
  <dcterms:created xsi:type="dcterms:W3CDTF">2018-05-01T16:54:00Z</dcterms:created>
  <dcterms:modified xsi:type="dcterms:W3CDTF">2018-05-01T17:39:00Z</dcterms:modified>
</cp:coreProperties>
</file>