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5" w:type="pct"/>
        <w:tblInd w:w="-90" w:type="dxa"/>
        <w:tblLook w:val="04A0" w:firstRow="1" w:lastRow="0" w:firstColumn="1" w:lastColumn="0" w:noHBand="0" w:noVBand="1"/>
        <w:tblDescription w:val="Company name"/>
      </w:tblPr>
      <w:tblGrid>
        <w:gridCol w:w="2393"/>
        <w:gridCol w:w="4116"/>
        <w:gridCol w:w="2935"/>
      </w:tblGrid>
      <w:tr w:rsidR="00425C75" w14:paraId="4B5CA97C" w14:textId="77777777" w:rsidTr="0089277E">
        <w:trPr>
          <w:trHeight w:val="1008"/>
        </w:trPr>
        <w:tc>
          <w:tcPr>
            <w:tcW w:w="2393" w:type="dxa"/>
            <w:vAlign w:val="center"/>
            <w:hideMark/>
          </w:tcPr>
          <w:p w14:paraId="1FB6A469" w14:textId="77777777" w:rsidR="00425C75" w:rsidRDefault="00425C7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F52FE8" wp14:editId="6A3BAECC">
                  <wp:extent cx="12858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vAlign w:val="center"/>
          </w:tcPr>
          <w:p w14:paraId="3CCE1275" w14:textId="77777777" w:rsidR="00425C75" w:rsidRDefault="00425C75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B3C61"/>
                <w:spacing w:val="0"/>
                <w:sz w:val="18"/>
                <w:szCs w:val="19"/>
              </w:rPr>
            </w:pPr>
          </w:p>
          <w:p w14:paraId="48A6E2D4" w14:textId="77777777" w:rsidR="00425C75" w:rsidRPr="00A53FF0" w:rsidRDefault="00425C75">
            <w:pPr>
              <w:pStyle w:val="CompanyName"/>
              <w:spacing w:line="256" w:lineRule="auto"/>
              <w:jc w:val="left"/>
              <w:rPr>
                <w:rFonts w:asciiTheme="minorHAnsi" w:hAnsiTheme="minorHAnsi" w:cstheme="minorHAnsi"/>
                <w:b w:val="0"/>
                <w:i/>
                <w:color w:val="288DC2"/>
                <w:spacing w:val="0"/>
                <w:sz w:val="20"/>
              </w:rPr>
            </w:pPr>
            <w:r w:rsidRPr="00A53FF0">
              <w:rPr>
                <w:rFonts w:asciiTheme="minorHAnsi" w:hAnsiTheme="minorHAnsi" w:cstheme="minorHAnsi"/>
                <w:color w:val="0B3C61"/>
                <w:spacing w:val="0"/>
                <w:sz w:val="20"/>
              </w:rPr>
              <w:t>Office of State Human Resources</w:t>
            </w:r>
            <w:r w:rsidR="008A02A2" w:rsidRPr="00A53FF0">
              <w:rPr>
                <w:rFonts w:asciiTheme="minorHAnsi" w:hAnsiTheme="minorHAnsi" w:cstheme="minorHAnsi"/>
                <w:color w:val="0B3C61"/>
                <w:spacing w:val="0"/>
                <w:sz w:val="20"/>
              </w:rPr>
              <w:softHyphen/>
            </w:r>
            <w:r w:rsidR="008A02A2" w:rsidRPr="00A53FF0">
              <w:rPr>
                <w:rFonts w:asciiTheme="minorHAnsi" w:hAnsiTheme="minorHAnsi" w:cstheme="minorHAnsi"/>
                <w:color w:val="0B3C61"/>
                <w:spacing w:val="0"/>
                <w:sz w:val="20"/>
              </w:rPr>
              <w:softHyphen/>
            </w:r>
          </w:p>
        </w:tc>
        <w:tc>
          <w:tcPr>
            <w:tcW w:w="2935" w:type="dxa"/>
            <w:vAlign w:val="center"/>
          </w:tcPr>
          <w:p w14:paraId="4558AE11" w14:textId="77777777" w:rsidR="00425C75" w:rsidRDefault="00425C75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auto"/>
                <w:spacing w:val="0"/>
                <w:sz w:val="20"/>
                <w:szCs w:val="24"/>
              </w:rPr>
            </w:pPr>
          </w:p>
          <w:p w14:paraId="761A8DDA" w14:textId="77777777" w:rsidR="00425C75" w:rsidRDefault="00425C75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  <w:t>ROY COOPER</w:t>
            </w:r>
          </w:p>
          <w:p w14:paraId="73C0CF91" w14:textId="77777777" w:rsidR="00425C75" w:rsidRPr="00AC37E6" w:rsidRDefault="00425C75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070C0"/>
                <w:spacing w:val="0"/>
                <w:sz w:val="17"/>
                <w:szCs w:val="17"/>
              </w:rPr>
            </w:pPr>
            <w:r w:rsidRPr="00AC37E6">
              <w:rPr>
                <w:rFonts w:asciiTheme="minorHAnsi" w:hAnsiTheme="minorHAnsi" w:cstheme="minorHAnsi"/>
                <w:b w:val="0"/>
                <w:i/>
                <w:color w:val="0070C0"/>
                <w:spacing w:val="0"/>
                <w:sz w:val="15"/>
                <w:szCs w:val="15"/>
              </w:rPr>
              <w:t>Governor</w:t>
            </w:r>
            <w:r w:rsidRPr="00AC37E6">
              <w:rPr>
                <w:rFonts w:asciiTheme="minorHAnsi" w:hAnsiTheme="minorHAnsi" w:cstheme="minorHAnsi"/>
                <w:color w:val="0070C0"/>
                <w:spacing w:val="0"/>
                <w:sz w:val="17"/>
                <w:szCs w:val="17"/>
              </w:rPr>
              <w:t xml:space="preserve"> </w:t>
            </w:r>
          </w:p>
          <w:p w14:paraId="46E7D2C1" w14:textId="77777777" w:rsidR="00425C75" w:rsidRDefault="00425C75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</w:pPr>
          </w:p>
          <w:p w14:paraId="468D114D" w14:textId="77777777" w:rsidR="00425C75" w:rsidRDefault="00425C75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auto"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  <w:t>BARBARA GIBSON</w:t>
            </w:r>
          </w:p>
          <w:p w14:paraId="2CDD92FC" w14:textId="77777777" w:rsidR="00425C75" w:rsidRDefault="00425C75">
            <w:pPr>
              <w:pStyle w:val="CompanyName"/>
              <w:spacing w:line="256" w:lineRule="auto"/>
              <w:jc w:val="right"/>
              <w:rPr>
                <w:rFonts w:ascii="Times New Roman" w:hAnsi="Times New Roman" w:cs="Times New Roman"/>
                <w:b w:val="0"/>
                <w:i/>
                <w:color w:val="auto"/>
                <w:spacing w:val="0"/>
                <w:sz w:val="15"/>
                <w:szCs w:val="15"/>
              </w:rPr>
            </w:pPr>
            <w:r w:rsidRPr="00AC37E6">
              <w:rPr>
                <w:rFonts w:asciiTheme="minorHAnsi" w:hAnsiTheme="minorHAnsi" w:cstheme="minorHAnsi"/>
                <w:b w:val="0"/>
                <w:i/>
                <w:color w:val="0070C0"/>
                <w:spacing w:val="0"/>
                <w:sz w:val="15"/>
                <w:szCs w:val="15"/>
              </w:rPr>
              <w:t>Director, State Human Resources</w:t>
            </w:r>
          </w:p>
        </w:tc>
      </w:tr>
    </w:tbl>
    <w:tbl>
      <w:tblPr>
        <w:tblStyle w:val="TableGrid"/>
        <w:tblpPr w:leftFromText="180" w:rightFromText="180" w:vertAnchor="text" w:horzAnchor="margin" w:tblpY="10616"/>
        <w:tblW w:w="0" w:type="auto"/>
        <w:tblLook w:val="04A0" w:firstRow="1" w:lastRow="0" w:firstColumn="1" w:lastColumn="0" w:noHBand="0" w:noVBand="1"/>
        <w:tblDescription w:val="Company name"/>
      </w:tblPr>
      <w:tblGrid>
        <w:gridCol w:w="9350"/>
      </w:tblGrid>
      <w:tr w:rsidR="002F0B4A" w:rsidRPr="00BF332C" w14:paraId="224BB95F" w14:textId="77777777" w:rsidTr="004827F6">
        <w:trPr>
          <w:trHeight w:val="18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DA9AE58" w14:textId="77777777" w:rsidR="005E0E6F" w:rsidRDefault="005E0E6F" w:rsidP="005E0E6F">
            <w:pPr>
              <w:pStyle w:val="BasicParagraph"/>
              <w:tabs>
                <w:tab w:val="right" w:pos="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  <w:t>Equal Opportunity Employer</w:t>
            </w:r>
          </w:p>
          <w:p w14:paraId="21926247" w14:textId="77777777" w:rsidR="005E0E6F" w:rsidRDefault="005E0E6F" w:rsidP="005E0E6F">
            <w:pPr>
              <w:pStyle w:val="BasicParagraph"/>
              <w:tabs>
                <w:tab w:val="right" w:pos="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  <w:t>Employment First State for Individuals with Disabilities</w:t>
            </w:r>
          </w:p>
          <w:p w14:paraId="07D0FE76" w14:textId="77777777" w:rsidR="005E0E6F" w:rsidRDefault="005E0E6F" w:rsidP="005E0E6F">
            <w:pPr>
              <w:pStyle w:val="BasicParagraph"/>
              <w:tabs>
                <w:tab w:val="right" w:pos="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  <w:t xml:space="preserve">State of North Carolina </w:t>
            </w:r>
            <w:r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  <w:sym w:font="Symbol" w:char="F0B7"/>
            </w:r>
            <w:r>
              <w:rPr>
                <w:rFonts w:asciiTheme="minorHAnsi" w:hAnsiTheme="minorHAnsi" w:cstheme="minorHAnsi"/>
                <w:b/>
                <w:color w:val="002060"/>
                <w:sz w:val="15"/>
                <w:szCs w:val="15"/>
              </w:rPr>
              <w:t xml:space="preserve"> Office of State Human Resources </w:t>
            </w:r>
          </w:p>
          <w:p w14:paraId="304891B9" w14:textId="77777777" w:rsidR="00D2227D" w:rsidRPr="00BF332C" w:rsidRDefault="00D2227D" w:rsidP="00D2227D">
            <w:pPr>
              <w:jc w:val="center"/>
              <w:rPr>
                <w:rFonts w:cstheme="minorHAnsi"/>
                <w:b/>
                <w:color w:val="0070C0"/>
                <w:sz w:val="15"/>
                <w:szCs w:val="15"/>
              </w:rPr>
            </w:pP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116 West Jones Street </w:t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sym w:font="Symbol" w:char="F0B7"/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 1331 Mail Service Center </w:t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sym w:font="Symbol" w:char="F0B7"/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 Raleigh, NC 27699-1331</w:t>
            </w:r>
          </w:p>
          <w:p w14:paraId="747E09D2" w14:textId="6B0B21D9" w:rsidR="002F0B4A" w:rsidRPr="00BF332C" w:rsidRDefault="00D2227D" w:rsidP="00D22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/>
                <w:spacing w:val="-1"/>
                <w:sz w:val="15"/>
                <w:szCs w:val="15"/>
              </w:rPr>
            </w:pP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oshr.nc.gov </w:t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sym w:font="Symbol" w:char="F0B7"/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 </w:t>
            </w:r>
            <w:r>
              <w:rPr>
                <w:rFonts w:cstheme="minorHAnsi"/>
                <w:b/>
                <w:color w:val="0070C0"/>
                <w:sz w:val="15"/>
                <w:szCs w:val="15"/>
              </w:rPr>
              <w:t>984</w:t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>.</w:t>
            </w:r>
            <w:r>
              <w:rPr>
                <w:rFonts w:cstheme="minorHAnsi"/>
                <w:b/>
                <w:color w:val="0070C0"/>
                <w:sz w:val="15"/>
                <w:szCs w:val="15"/>
              </w:rPr>
              <w:t>236.0800</w:t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  T </w:t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sym w:font="Symbol" w:char="F0B7"/>
            </w:r>
            <w:r w:rsidRPr="00BF332C">
              <w:rPr>
                <w:rFonts w:cstheme="minorHAnsi"/>
                <w:b/>
                <w:color w:val="0070C0"/>
                <w:sz w:val="15"/>
                <w:szCs w:val="15"/>
              </w:rPr>
              <w:t xml:space="preserve"> </w:t>
            </w:r>
            <w:r>
              <w:rPr>
                <w:rFonts w:cstheme="minorHAnsi"/>
                <w:b/>
                <w:color w:val="0070C0"/>
                <w:sz w:val="15"/>
                <w:szCs w:val="15"/>
              </w:rPr>
              <w:t>984.236.0947</w:t>
            </w:r>
            <w:r w:rsidRPr="00BF332C">
              <w:rPr>
                <w:rFonts w:cstheme="minorHAnsi"/>
                <w:b/>
                <w:color w:val="0070C0"/>
                <w:spacing w:val="-1"/>
                <w:sz w:val="15"/>
                <w:szCs w:val="15"/>
              </w:rPr>
              <w:t xml:space="preserve">  F</w:t>
            </w:r>
          </w:p>
        </w:tc>
      </w:tr>
    </w:tbl>
    <w:p w14:paraId="00C18813" w14:textId="073DEBAA" w:rsidR="00211A1D" w:rsidRPr="00211A1D" w:rsidRDefault="00211A1D" w:rsidP="00211A1D">
      <w:pPr>
        <w:pStyle w:val="BodyText"/>
        <w:jc w:val="center"/>
        <w:rPr>
          <w:rFonts w:asciiTheme="minorHAnsi" w:eastAsiaTheme="minorHAnsi" w:hAnsiTheme="minorHAnsi" w:cstheme="minorBidi"/>
          <w:b/>
          <w:bCs/>
          <w:u w:val="single"/>
        </w:rPr>
      </w:pPr>
      <w:bookmarkStart w:id="0" w:name="_Hlk47976864"/>
      <w:bookmarkStart w:id="1" w:name="_Hlk47973472"/>
      <w:r w:rsidRPr="00211A1D">
        <w:rPr>
          <w:rFonts w:asciiTheme="minorHAnsi" w:eastAsiaTheme="minorHAnsi" w:hAnsiTheme="minorHAnsi" w:cstheme="minorBidi"/>
          <w:b/>
          <w:bCs/>
          <w:u w:val="single"/>
        </w:rPr>
        <w:t xml:space="preserve">OSHR Procedure for Reporting State Employee </w:t>
      </w:r>
      <w:r w:rsidRPr="00211A1D">
        <w:rPr>
          <w:rFonts w:asciiTheme="minorHAnsi" w:eastAsiaTheme="minorHAnsi" w:hAnsiTheme="minorHAnsi" w:cstheme="minorBidi"/>
          <w:b/>
          <w:bCs/>
          <w:u w:val="single"/>
        </w:rPr>
        <w:br/>
      </w:r>
      <w:r w:rsidRPr="00211A1D">
        <w:rPr>
          <w:rFonts w:asciiTheme="minorHAnsi" w:eastAsiaTheme="minorHAnsi" w:hAnsiTheme="minorHAnsi" w:cstheme="minorBidi"/>
          <w:b/>
          <w:bCs/>
          <w:u w:val="single"/>
        </w:rPr>
        <w:t>Fatality, Amputation, Loss of Eye(s), or Hospitalization</w:t>
      </w:r>
    </w:p>
    <w:p w14:paraId="1B8DFBA6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  <w:u w:val="thick"/>
        </w:rPr>
      </w:pPr>
    </w:p>
    <w:p w14:paraId="30FBD25E" w14:textId="6D869333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</w:rPr>
      </w:pPr>
      <w:r w:rsidRPr="00211A1D">
        <w:rPr>
          <w:rFonts w:asciiTheme="minorHAnsi" w:eastAsiaTheme="minorHAnsi" w:hAnsiTheme="minorHAnsi" w:cstheme="minorBidi"/>
          <w:b/>
        </w:rPr>
        <w:t>State agencies must report the following injuries involving permanent, contract, or temporary employees to OSHA:</w:t>
      </w:r>
      <w:r w:rsidRPr="00211A1D">
        <w:rPr>
          <w:rFonts w:asciiTheme="minorHAnsi" w:eastAsiaTheme="minorHAnsi" w:hAnsiTheme="minorHAnsi" w:cstheme="minorBidi"/>
          <w:b/>
        </w:rPr>
        <w:br/>
      </w:r>
    </w:p>
    <w:p w14:paraId="47C234EE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</w:rPr>
      </w:pPr>
      <w:r w:rsidRPr="00211A1D">
        <w:rPr>
          <w:rFonts w:asciiTheme="minorHAnsi" w:eastAsiaTheme="minorHAnsi" w:hAnsiTheme="minorHAnsi" w:cstheme="minorBidi"/>
          <w:b/>
        </w:rPr>
        <w:t>a.</w:t>
      </w:r>
      <w:r w:rsidRPr="00211A1D">
        <w:rPr>
          <w:rFonts w:asciiTheme="minorHAnsi" w:eastAsiaTheme="minorHAnsi" w:hAnsiTheme="minorHAnsi" w:cstheme="minorBidi"/>
          <w:b/>
        </w:rPr>
        <w:tab/>
        <w:t>Fatalities - within 8 hours</w:t>
      </w:r>
    </w:p>
    <w:p w14:paraId="00756951" w14:textId="5EC9FF71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  <w:u w:val="thick"/>
        </w:rPr>
      </w:pPr>
      <w:r w:rsidRPr="00211A1D">
        <w:rPr>
          <w:rFonts w:asciiTheme="minorHAnsi" w:eastAsiaTheme="minorHAnsi" w:hAnsiTheme="minorHAnsi" w:cstheme="minorBidi"/>
          <w:b/>
        </w:rPr>
        <w:t>b.</w:t>
      </w:r>
      <w:r w:rsidRPr="00211A1D">
        <w:rPr>
          <w:rFonts w:asciiTheme="minorHAnsi" w:eastAsiaTheme="minorHAnsi" w:hAnsiTheme="minorHAnsi" w:cstheme="minorBidi"/>
          <w:b/>
        </w:rPr>
        <w:tab/>
        <w:t>Amputation(s), loss of eye(s), hospitalization - within 24 hours.</w:t>
      </w:r>
      <w:r w:rsidRPr="00211A1D">
        <w:rPr>
          <w:rFonts w:asciiTheme="minorHAnsi" w:eastAsiaTheme="minorHAnsi" w:hAnsiTheme="minorHAnsi" w:cstheme="minorBidi"/>
          <w:b/>
          <w:u w:val="thick"/>
        </w:rPr>
        <w:t xml:space="preserve"> </w:t>
      </w:r>
      <w:r w:rsidRPr="00211A1D">
        <w:rPr>
          <w:rFonts w:asciiTheme="minorHAnsi" w:eastAsiaTheme="minorHAnsi" w:hAnsiTheme="minorHAnsi" w:cstheme="minorBidi"/>
          <w:b/>
          <w:u w:val="thick"/>
        </w:rPr>
        <w:br/>
      </w:r>
      <w:r w:rsidRPr="00211A1D">
        <w:rPr>
          <w:rFonts w:asciiTheme="minorHAnsi" w:eastAsiaTheme="minorHAnsi" w:hAnsiTheme="minorHAnsi" w:cstheme="minorBidi"/>
          <w:b/>
          <w:u w:val="thick"/>
        </w:rPr>
        <w:br/>
      </w:r>
      <w:r w:rsidRPr="00211A1D">
        <w:rPr>
          <w:rFonts w:asciiTheme="minorHAnsi" w:eastAsiaTheme="minorHAnsi" w:hAnsiTheme="minorHAnsi" w:cstheme="minorBidi"/>
          <w:b/>
        </w:rPr>
        <w:t>State agencies must also report these injuries as follows:</w:t>
      </w:r>
    </w:p>
    <w:p w14:paraId="1BABE62E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Cs/>
        </w:rPr>
      </w:pPr>
      <w:r w:rsidRPr="00211A1D">
        <w:rPr>
          <w:rFonts w:asciiTheme="minorHAnsi" w:eastAsiaTheme="minorHAnsi" w:hAnsiTheme="minorHAnsi" w:cstheme="minorBidi"/>
          <w:bCs/>
        </w:rPr>
        <w:br/>
      </w:r>
      <w:r w:rsidRPr="00211A1D">
        <w:rPr>
          <w:rFonts w:asciiTheme="minorHAnsi" w:eastAsiaTheme="minorHAnsi" w:hAnsiTheme="minorHAnsi" w:cstheme="minorBidi"/>
          <w:bCs/>
        </w:rPr>
        <w:t>1.</w:t>
      </w:r>
      <w:r w:rsidRPr="00211A1D">
        <w:rPr>
          <w:rFonts w:asciiTheme="minorHAnsi" w:eastAsiaTheme="minorHAnsi" w:hAnsiTheme="minorHAnsi" w:cstheme="minorBidi"/>
          <w:bCs/>
        </w:rPr>
        <w:tab/>
      </w:r>
      <w:r w:rsidRPr="00211A1D">
        <w:rPr>
          <w:rFonts w:asciiTheme="minorHAnsi" w:eastAsiaTheme="minorHAnsi" w:hAnsiTheme="minorHAnsi" w:cstheme="minorBidi"/>
          <w:bCs/>
        </w:rPr>
        <w:t>Contact your Agency/University Human Resources Director and your Agency/University</w:t>
      </w:r>
    </w:p>
    <w:p w14:paraId="3355F1F0" w14:textId="36F2CCE9" w:rsidR="00211A1D" w:rsidRPr="00211A1D" w:rsidRDefault="00211A1D" w:rsidP="00211A1D">
      <w:pPr>
        <w:pStyle w:val="BodyText"/>
        <w:ind w:left="720"/>
        <w:rPr>
          <w:rFonts w:asciiTheme="minorHAnsi" w:eastAsiaTheme="minorHAnsi" w:hAnsiTheme="minorHAnsi" w:cstheme="minorBidi"/>
          <w:bCs/>
        </w:rPr>
      </w:pPr>
      <w:r w:rsidRPr="00211A1D">
        <w:rPr>
          <w:rFonts w:asciiTheme="minorHAnsi" w:eastAsiaTheme="minorHAnsi" w:hAnsiTheme="minorHAnsi" w:cstheme="minorBidi"/>
          <w:bCs/>
        </w:rPr>
        <w:t>Safety Leader. In the event of a fatality, also contact your Agency/University Legal Counsel.</w:t>
      </w:r>
    </w:p>
    <w:p w14:paraId="032F4FCC" w14:textId="46F08B0B" w:rsidR="00211A1D" w:rsidRPr="00211A1D" w:rsidRDefault="00211A1D" w:rsidP="00211A1D">
      <w:pPr>
        <w:pStyle w:val="BodyText"/>
        <w:ind w:left="720" w:hanging="720"/>
        <w:rPr>
          <w:rFonts w:asciiTheme="minorHAnsi" w:eastAsiaTheme="minorHAnsi" w:hAnsiTheme="minorHAnsi" w:cstheme="minorBidi"/>
          <w:bCs/>
        </w:rPr>
      </w:pPr>
      <w:r w:rsidRPr="00211A1D">
        <w:rPr>
          <w:rFonts w:asciiTheme="minorHAnsi" w:eastAsiaTheme="minorHAnsi" w:hAnsiTheme="minorHAnsi" w:cstheme="minorBidi"/>
          <w:bCs/>
        </w:rPr>
        <w:t>2.</w:t>
      </w:r>
      <w:r w:rsidRPr="00211A1D">
        <w:rPr>
          <w:rFonts w:asciiTheme="minorHAnsi" w:eastAsiaTheme="minorHAnsi" w:hAnsiTheme="minorHAnsi" w:cstheme="minorBidi"/>
          <w:bCs/>
        </w:rPr>
        <w:tab/>
      </w:r>
      <w:r w:rsidRPr="00211A1D">
        <w:rPr>
          <w:rFonts w:asciiTheme="minorHAnsi" w:eastAsiaTheme="minorHAnsi" w:hAnsiTheme="minorHAnsi" w:cstheme="minorBidi"/>
          <w:bCs/>
        </w:rPr>
        <w:t xml:space="preserve">Contact the NC Department of Labor during working hours (8 a.m. to 5 p.m.) at 919-779- 8560 or 1-800-625-2267. After working hours, (5 p.m. to 8 a.m.), weekends or holidays, call State Capitol Police at (919) 733-3333. (See </w:t>
      </w:r>
      <w:proofErr w:type="gramStart"/>
      <w:r w:rsidRPr="00211A1D">
        <w:rPr>
          <w:rFonts w:asciiTheme="minorHAnsi" w:eastAsiaTheme="minorHAnsi" w:hAnsiTheme="minorHAnsi" w:cstheme="minorBidi"/>
          <w:bCs/>
        </w:rPr>
        <w:t>below)*</w:t>
      </w:r>
      <w:proofErr w:type="gramEnd"/>
    </w:p>
    <w:p w14:paraId="4914E84A" w14:textId="15130EF1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Cs/>
        </w:rPr>
      </w:pPr>
      <w:r w:rsidRPr="00211A1D">
        <w:rPr>
          <w:rFonts w:asciiTheme="minorHAnsi" w:eastAsiaTheme="minorHAnsi" w:hAnsiTheme="minorHAnsi" w:cstheme="minorBidi"/>
          <w:bCs/>
        </w:rPr>
        <w:t>3.</w:t>
      </w:r>
      <w:r w:rsidRPr="00211A1D">
        <w:rPr>
          <w:rFonts w:asciiTheme="minorHAnsi" w:eastAsiaTheme="minorHAnsi" w:hAnsiTheme="minorHAnsi" w:cstheme="minorBidi"/>
          <w:bCs/>
        </w:rPr>
        <w:tab/>
      </w:r>
      <w:r w:rsidRPr="00211A1D">
        <w:rPr>
          <w:rFonts w:asciiTheme="minorHAnsi" w:eastAsiaTheme="minorHAnsi" w:hAnsiTheme="minorHAnsi" w:cstheme="minorBidi"/>
          <w:bCs/>
        </w:rPr>
        <w:t>Contact a member of the OSHR Safety, Health and Workers’ Compensation Division</w:t>
      </w:r>
    </w:p>
    <w:p w14:paraId="4220304C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  <w:u w:val="thick"/>
        </w:rPr>
      </w:pPr>
    </w:p>
    <w:p w14:paraId="67E99864" w14:textId="3B0D541E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</w:rPr>
      </w:pPr>
      <w:r w:rsidRPr="00211A1D">
        <w:rPr>
          <w:rFonts w:asciiTheme="minorHAnsi" w:eastAsiaTheme="minorHAnsi" w:hAnsiTheme="minorHAnsi" w:cstheme="minorBidi"/>
        </w:rPr>
        <w:t>Scarlette Gardner, Division Director</w:t>
      </w:r>
      <w:r w:rsidRPr="00211A1D">
        <w:rPr>
          <w:rFonts w:asciiTheme="minorHAnsi" w:eastAsiaTheme="minorHAnsi" w:hAnsiTheme="minorHAnsi" w:cstheme="minorBidi"/>
        </w:rPr>
        <w:tab/>
        <w:t>(984) 236-0848</w:t>
      </w:r>
      <w:r w:rsidRPr="00211A1D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hyperlink r:id="rId8" w:history="1">
        <w:r w:rsidRPr="00DD4037">
          <w:rPr>
            <w:rStyle w:val="Hyperlink"/>
            <w:rFonts w:asciiTheme="minorHAnsi" w:eastAsiaTheme="minorHAnsi" w:hAnsiTheme="minorHAnsi" w:cstheme="minorBidi"/>
          </w:rPr>
          <w:t>Scarlette.Gardner@nc.gov</w:t>
        </w:r>
      </w:hyperlink>
    </w:p>
    <w:p w14:paraId="0DDE67E5" w14:textId="42A49439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</w:rPr>
      </w:pPr>
      <w:r w:rsidRPr="00211A1D">
        <w:rPr>
          <w:rFonts w:asciiTheme="minorHAnsi" w:eastAsiaTheme="minorHAnsi" w:hAnsiTheme="minorHAnsi" w:cstheme="minorBidi"/>
        </w:rPr>
        <w:t>Edward Johnson, Safety Director</w:t>
      </w:r>
      <w:r w:rsidRPr="00211A1D">
        <w:rPr>
          <w:rFonts w:asciiTheme="minorHAnsi" w:eastAsiaTheme="minorHAnsi" w:hAnsiTheme="minorHAnsi" w:cstheme="minorBidi"/>
        </w:rPr>
        <w:tab/>
      </w:r>
      <w:r w:rsidRPr="00211A1D">
        <w:rPr>
          <w:rFonts w:asciiTheme="minorHAnsi" w:eastAsiaTheme="minorHAnsi" w:hAnsiTheme="minorHAnsi" w:cstheme="minorBidi"/>
        </w:rPr>
        <w:tab/>
      </w:r>
      <w:r w:rsidRPr="00211A1D">
        <w:rPr>
          <w:rFonts w:asciiTheme="minorHAnsi" w:eastAsiaTheme="minorHAnsi" w:hAnsiTheme="minorHAnsi" w:cstheme="minorBidi"/>
        </w:rPr>
        <w:t>(984) 236-0845</w:t>
      </w:r>
      <w:r w:rsidRPr="00211A1D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hyperlink r:id="rId9" w:history="1">
        <w:r w:rsidRPr="00DD4037">
          <w:rPr>
            <w:rStyle w:val="Hyperlink"/>
            <w:rFonts w:asciiTheme="minorHAnsi" w:eastAsiaTheme="minorHAnsi" w:hAnsiTheme="minorHAnsi" w:cstheme="minorBidi"/>
          </w:rPr>
          <w:t>Edward.h.Johnson@nc.gov</w:t>
        </w:r>
      </w:hyperlink>
    </w:p>
    <w:p w14:paraId="6437C7E5" w14:textId="6E6CE250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</w:rPr>
      </w:pPr>
      <w:r w:rsidRPr="00211A1D">
        <w:rPr>
          <w:rFonts w:asciiTheme="minorHAnsi" w:eastAsiaTheme="minorHAnsi" w:hAnsiTheme="minorHAnsi" w:cstheme="minorBidi"/>
        </w:rPr>
        <w:t>Kathy Conner, Safety Consultant</w:t>
      </w:r>
      <w:r w:rsidRPr="00211A1D">
        <w:rPr>
          <w:rFonts w:asciiTheme="minorHAnsi" w:eastAsiaTheme="minorHAnsi" w:hAnsiTheme="minorHAnsi" w:cstheme="minorBidi"/>
        </w:rPr>
        <w:tab/>
      </w:r>
      <w:r w:rsidRPr="00211A1D">
        <w:rPr>
          <w:rFonts w:asciiTheme="minorHAnsi" w:eastAsiaTheme="minorHAnsi" w:hAnsiTheme="minorHAnsi" w:cstheme="minorBidi"/>
        </w:rPr>
        <w:tab/>
      </w:r>
      <w:r w:rsidRPr="00211A1D">
        <w:rPr>
          <w:rFonts w:asciiTheme="minorHAnsi" w:eastAsiaTheme="minorHAnsi" w:hAnsiTheme="minorHAnsi" w:cstheme="minorBidi"/>
        </w:rPr>
        <w:t>(984) 236-0846</w:t>
      </w:r>
      <w:r w:rsidRPr="00211A1D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hyperlink r:id="rId10" w:history="1">
        <w:r w:rsidRPr="00DD4037">
          <w:rPr>
            <w:rStyle w:val="Hyperlink"/>
            <w:rFonts w:asciiTheme="minorHAnsi" w:eastAsiaTheme="minorHAnsi" w:hAnsiTheme="minorHAnsi" w:cstheme="minorBidi"/>
          </w:rPr>
          <w:t>Kathy.Conner@nc.gov</w:t>
        </w:r>
      </w:hyperlink>
    </w:p>
    <w:p w14:paraId="558A7D13" w14:textId="3DC94D1F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Cs/>
        </w:rPr>
      </w:pPr>
      <w:r w:rsidRPr="00211A1D">
        <w:rPr>
          <w:rFonts w:asciiTheme="minorHAnsi" w:eastAsiaTheme="minorHAnsi" w:hAnsiTheme="minorHAnsi" w:cstheme="minorBidi"/>
          <w:bCs/>
        </w:rPr>
        <w:t>OSHR Main Number</w:t>
      </w:r>
      <w:r w:rsidRPr="00211A1D">
        <w:rPr>
          <w:rFonts w:asciiTheme="minorHAnsi" w:eastAsiaTheme="minorHAnsi" w:hAnsiTheme="minorHAnsi" w:cstheme="minorBidi"/>
          <w:bCs/>
        </w:rPr>
        <w:tab/>
      </w:r>
      <w:r w:rsidRPr="00211A1D">
        <w:rPr>
          <w:rFonts w:asciiTheme="minorHAnsi" w:eastAsiaTheme="minorHAnsi" w:hAnsiTheme="minorHAnsi" w:cstheme="minorBidi"/>
          <w:bCs/>
        </w:rPr>
        <w:tab/>
      </w:r>
      <w:r w:rsidRPr="00211A1D">
        <w:rPr>
          <w:rFonts w:asciiTheme="minorHAnsi" w:eastAsiaTheme="minorHAnsi" w:hAnsiTheme="minorHAnsi" w:cstheme="minorBidi"/>
          <w:bCs/>
        </w:rPr>
        <w:tab/>
      </w:r>
      <w:r w:rsidRPr="00211A1D">
        <w:rPr>
          <w:rFonts w:asciiTheme="minorHAnsi" w:eastAsiaTheme="minorHAnsi" w:hAnsiTheme="minorHAnsi" w:cstheme="minorBidi"/>
          <w:bCs/>
        </w:rPr>
        <w:t>(984) 236-0800</w:t>
      </w:r>
    </w:p>
    <w:p w14:paraId="3CED1573" w14:textId="3C49A698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</w:rPr>
      </w:pPr>
      <w:r w:rsidRPr="00211A1D">
        <w:rPr>
          <w:rFonts w:asciiTheme="minorHAnsi" w:eastAsiaTheme="minorHAnsi" w:hAnsiTheme="minorHAnsi" w:cstheme="minorBidi"/>
          <w:b/>
          <w:u w:val="thick"/>
        </w:rPr>
        <w:br/>
      </w:r>
      <w:r w:rsidRPr="00211A1D">
        <w:rPr>
          <w:rFonts w:asciiTheme="minorHAnsi" w:eastAsiaTheme="minorHAnsi" w:hAnsiTheme="minorHAnsi" w:cstheme="minorBidi"/>
          <w:b/>
        </w:rPr>
        <w:t>Be prepared to provide contact information, addresses, and telephone numbers for person(s) involved.</w:t>
      </w:r>
      <w:r w:rsidRPr="00211A1D">
        <w:rPr>
          <w:rFonts w:asciiTheme="minorHAnsi" w:eastAsiaTheme="minorHAnsi" w:hAnsiTheme="minorHAnsi" w:cstheme="minorBidi"/>
          <w:b/>
        </w:rPr>
        <w:br/>
      </w:r>
    </w:p>
    <w:p w14:paraId="6E5CA48E" w14:textId="7088E1B8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Cs/>
        </w:rPr>
      </w:pPr>
      <w:r w:rsidRPr="00211A1D">
        <w:rPr>
          <w:rFonts w:asciiTheme="minorHAnsi" w:eastAsiaTheme="minorHAnsi" w:hAnsiTheme="minorHAnsi" w:cstheme="minorBidi"/>
          <w:bCs/>
        </w:rPr>
        <w:t>4.</w:t>
      </w:r>
      <w:r w:rsidRPr="00211A1D">
        <w:rPr>
          <w:rFonts w:asciiTheme="minorHAnsi" w:eastAsiaTheme="minorHAnsi" w:hAnsiTheme="minorHAnsi" w:cstheme="minorBidi"/>
          <w:bCs/>
        </w:rPr>
        <w:t xml:space="preserve"> </w:t>
      </w:r>
      <w:r w:rsidRPr="00211A1D">
        <w:rPr>
          <w:rFonts w:asciiTheme="minorHAnsi" w:eastAsiaTheme="minorHAnsi" w:hAnsiTheme="minorHAnsi" w:cstheme="minorBidi"/>
          <w:bCs/>
        </w:rPr>
        <w:t>Follow-up with an email message or fax (984) 236-0949 to OSHR staff listed above. Emails</w:t>
      </w:r>
      <w:r w:rsidRPr="00211A1D">
        <w:rPr>
          <w:rFonts w:asciiTheme="minorHAnsi" w:eastAsiaTheme="minorHAnsi" w:hAnsiTheme="minorHAnsi" w:cstheme="minorBidi"/>
          <w:bCs/>
        </w:rPr>
        <w:br/>
      </w:r>
      <w:r w:rsidRPr="00211A1D">
        <w:rPr>
          <w:rFonts w:asciiTheme="minorHAnsi" w:eastAsiaTheme="minorHAnsi" w:hAnsiTheme="minorHAnsi" w:cstheme="minorBidi"/>
          <w:bCs/>
        </w:rPr>
        <w:t>and faxes are public information. Please utilize sensitivity and discretion when describing</w:t>
      </w:r>
      <w:r w:rsidRPr="00211A1D">
        <w:rPr>
          <w:rFonts w:asciiTheme="minorHAnsi" w:eastAsiaTheme="minorHAnsi" w:hAnsiTheme="minorHAnsi" w:cstheme="minorBidi"/>
          <w:bCs/>
        </w:rPr>
        <w:t xml:space="preserve"> </w:t>
      </w:r>
      <w:r w:rsidRPr="00211A1D">
        <w:rPr>
          <w:rFonts w:asciiTheme="minorHAnsi" w:eastAsiaTheme="minorHAnsi" w:hAnsiTheme="minorHAnsi" w:cstheme="minorBidi"/>
          <w:bCs/>
        </w:rPr>
        <w:t>incident details.</w:t>
      </w:r>
      <w:r w:rsidRPr="00211A1D">
        <w:rPr>
          <w:rFonts w:asciiTheme="minorHAnsi" w:eastAsiaTheme="minorHAnsi" w:hAnsiTheme="minorHAnsi" w:cstheme="minorBidi"/>
          <w:bCs/>
        </w:rPr>
        <w:br/>
      </w:r>
    </w:p>
    <w:p w14:paraId="7321DC3C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</w:rPr>
      </w:pPr>
      <w:r w:rsidRPr="00211A1D">
        <w:rPr>
          <w:rFonts w:asciiTheme="minorHAnsi" w:eastAsiaTheme="minorHAnsi" w:hAnsiTheme="minorHAnsi" w:cstheme="minorBidi"/>
          <w:b/>
        </w:rPr>
        <w:t>OSHR will notify the Governor’s office and assist in incident investigation.</w:t>
      </w:r>
    </w:p>
    <w:p w14:paraId="750AE55A" w14:textId="3479EA18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  <w:u w:val="single"/>
        </w:rPr>
      </w:pPr>
      <w:r w:rsidRPr="00211A1D">
        <w:rPr>
          <w:rFonts w:asciiTheme="minorHAnsi" w:eastAsiaTheme="minorHAnsi" w:hAnsiTheme="minorHAnsi" w:cstheme="minorBidi"/>
          <w:b/>
          <w:u w:val="single"/>
        </w:rPr>
        <w:t>******************************************************************************</w:t>
      </w:r>
    </w:p>
    <w:p w14:paraId="3E0D9BC4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u w:val="single"/>
        </w:rPr>
      </w:pPr>
      <w:r w:rsidRPr="00211A1D">
        <w:rPr>
          <w:rFonts w:asciiTheme="minorHAnsi" w:eastAsiaTheme="minorHAnsi" w:hAnsiTheme="minorHAnsi" w:cstheme="minorBidi"/>
          <w:u w:val="single"/>
        </w:rPr>
        <w:t xml:space="preserve">*Effective January 1, 2015, Employers are required to contact OSHA for any work-related fatality within (8) hours. Inpatient hospitalizations, all amputations and all losses of an eye must be reported within (24) hours. An amputation is the traumatic loss of a limb or other external body part. Amputations include a part, such as a limb or appendage that has been severed, cut off, amputated (either completely or partially); fingertip amputations with or without bone loss; medical amputations resulting from irreparable damage; amputations of body parts that have since been reattached. Amputations do not include avulsions (tissue torn away from the body), enucleations (removal of the eyeball), </w:t>
      </w:r>
      <w:proofErr w:type="spellStart"/>
      <w:r w:rsidRPr="00211A1D">
        <w:rPr>
          <w:rFonts w:asciiTheme="minorHAnsi" w:eastAsiaTheme="minorHAnsi" w:hAnsiTheme="minorHAnsi" w:cstheme="minorBidi"/>
          <w:u w:val="single"/>
        </w:rPr>
        <w:t>deglovings</w:t>
      </w:r>
      <w:proofErr w:type="spellEnd"/>
      <w:r w:rsidRPr="00211A1D">
        <w:rPr>
          <w:rFonts w:asciiTheme="minorHAnsi" w:eastAsiaTheme="minorHAnsi" w:hAnsiTheme="minorHAnsi" w:cstheme="minorBidi"/>
          <w:u w:val="single"/>
        </w:rPr>
        <w:t xml:space="preserve"> (skin torn away from the underlying tissue), scalping’s (removal of the scalp), severed ears, or broken or chipped teeth.</w:t>
      </w:r>
    </w:p>
    <w:p w14:paraId="2B1D819A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  <w:u w:val="thick"/>
        </w:rPr>
      </w:pPr>
    </w:p>
    <w:p w14:paraId="2601AACB" w14:textId="77777777" w:rsidR="00211A1D" w:rsidRPr="00211A1D" w:rsidRDefault="00211A1D" w:rsidP="00211A1D">
      <w:pPr>
        <w:pStyle w:val="BodyText"/>
        <w:rPr>
          <w:rFonts w:asciiTheme="minorHAnsi" w:eastAsiaTheme="minorHAnsi" w:hAnsiTheme="minorHAnsi" w:cstheme="minorBidi"/>
          <w:b/>
          <w:u w:val="thick"/>
        </w:rPr>
      </w:pPr>
    </w:p>
    <w:p w14:paraId="58C82CE2" w14:textId="3EC282DF" w:rsidR="00211A1D" w:rsidRPr="00211A1D" w:rsidRDefault="00211A1D" w:rsidP="00211A1D">
      <w:pPr>
        <w:pStyle w:val="BodyText"/>
        <w:jc w:val="center"/>
        <w:rPr>
          <w:bCs/>
          <w:u w:val="single"/>
        </w:rPr>
      </w:pPr>
      <w:r w:rsidRPr="00211A1D">
        <w:rPr>
          <w:rFonts w:asciiTheme="minorHAnsi" w:eastAsiaTheme="minorHAnsi" w:hAnsiTheme="minorHAnsi" w:cstheme="minorBidi"/>
          <w:bCs/>
          <w:u w:val="single"/>
        </w:rPr>
        <w:t>REVISED JUNE 10, 2020</w:t>
      </w:r>
      <w:bookmarkEnd w:id="1"/>
      <w:bookmarkEnd w:id="0"/>
    </w:p>
    <w:p w14:paraId="6EA4AC9A" w14:textId="77777777" w:rsidR="00211A1D" w:rsidRPr="00211A1D" w:rsidRDefault="00211A1D" w:rsidP="00211A1D"/>
    <w:sectPr w:rsidR="00211A1D" w:rsidRPr="00211A1D" w:rsidSect="003C6627">
      <w:footerReference w:type="even" r:id="rId11"/>
      <w:pgSz w:w="12240" w:h="15840"/>
      <w:pgMar w:top="1440" w:right="1440" w:bottom="80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65B0" w14:textId="77777777" w:rsidR="004F0E48" w:rsidRDefault="004F0E48" w:rsidP="003859ED">
      <w:pPr>
        <w:spacing w:after="0" w:line="240" w:lineRule="auto"/>
      </w:pPr>
      <w:r>
        <w:separator/>
      </w:r>
    </w:p>
  </w:endnote>
  <w:endnote w:type="continuationSeparator" w:id="0">
    <w:p w14:paraId="3A6E5527" w14:textId="77777777" w:rsidR="004F0E48" w:rsidRDefault="004F0E48" w:rsidP="003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07575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44E0A0" w14:textId="77777777" w:rsidR="003859ED" w:rsidRDefault="003859ED" w:rsidP="0061757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6A1C4A" w14:textId="77777777" w:rsidR="003859ED" w:rsidRDefault="00385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80B2" w14:textId="77777777" w:rsidR="004F0E48" w:rsidRDefault="004F0E48" w:rsidP="003859ED">
      <w:pPr>
        <w:spacing w:after="0" w:line="240" w:lineRule="auto"/>
      </w:pPr>
      <w:r>
        <w:separator/>
      </w:r>
    </w:p>
  </w:footnote>
  <w:footnote w:type="continuationSeparator" w:id="0">
    <w:p w14:paraId="01E31228" w14:textId="77777777" w:rsidR="004F0E48" w:rsidRDefault="004F0E48" w:rsidP="0038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283"/>
    <w:multiLevelType w:val="hybridMultilevel"/>
    <w:tmpl w:val="99D0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B32"/>
    <w:multiLevelType w:val="hybridMultilevel"/>
    <w:tmpl w:val="3674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5A18"/>
    <w:multiLevelType w:val="hybridMultilevel"/>
    <w:tmpl w:val="2E8C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C4A"/>
    <w:multiLevelType w:val="hybridMultilevel"/>
    <w:tmpl w:val="3696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77C3"/>
    <w:multiLevelType w:val="hybridMultilevel"/>
    <w:tmpl w:val="8168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258A"/>
    <w:multiLevelType w:val="hybridMultilevel"/>
    <w:tmpl w:val="8C7E4796"/>
    <w:lvl w:ilvl="0" w:tplc="A080F71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E208A44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C3A2AC1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71F8AACA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BB44CBA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4D402684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F6BC29FC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1834CB8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A628C86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DA379A"/>
    <w:multiLevelType w:val="hybridMultilevel"/>
    <w:tmpl w:val="C0A40664"/>
    <w:lvl w:ilvl="0" w:tplc="A4BE9A6A">
      <w:start w:val="1"/>
      <w:numFmt w:val="lowerLetter"/>
      <w:lvlText w:val="%1."/>
      <w:lvlJc w:val="left"/>
      <w:pPr>
        <w:ind w:left="110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47B09384">
      <w:numFmt w:val="bullet"/>
      <w:lvlText w:val="•"/>
      <w:lvlJc w:val="left"/>
      <w:pPr>
        <w:ind w:left="2020" w:hanging="269"/>
      </w:pPr>
      <w:rPr>
        <w:rFonts w:hint="default"/>
        <w:lang w:val="en-US" w:eastAsia="en-US" w:bidi="ar-SA"/>
      </w:rPr>
    </w:lvl>
    <w:lvl w:ilvl="2" w:tplc="C68C931A">
      <w:numFmt w:val="bullet"/>
      <w:lvlText w:val="•"/>
      <w:lvlJc w:val="left"/>
      <w:pPr>
        <w:ind w:left="2940" w:hanging="269"/>
      </w:pPr>
      <w:rPr>
        <w:rFonts w:hint="default"/>
        <w:lang w:val="en-US" w:eastAsia="en-US" w:bidi="ar-SA"/>
      </w:rPr>
    </w:lvl>
    <w:lvl w:ilvl="3" w:tplc="B6AECA8E">
      <w:numFmt w:val="bullet"/>
      <w:lvlText w:val="•"/>
      <w:lvlJc w:val="left"/>
      <w:pPr>
        <w:ind w:left="3860" w:hanging="269"/>
      </w:pPr>
      <w:rPr>
        <w:rFonts w:hint="default"/>
        <w:lang w:val="en-US" w:eastAsia="en-US" w:bidi="ar-SA"/>
      </w:rPr>
    </w:lvl>
    <w:lvl w:ilvl="4" w:tplc="27B007FA">
      <w:numFmt w:val="bullet"/>
      <w:lvlText w:val="•"/>
      <w:lvlJc w:val="left"/>
      <w:pPr>
        <w:ind w:left="4780" w:hanging="269"/>
      </w:pPr>
      <w:rPr>
        <w:rFonts w:hint="default"/>
        <w:lang w:val="en-US" w:eastAsia="en-US" w:bidi="ar-SA"/>
      </w:rPr>
    </w:lvl>
    <w:lvl w:ilvl="5" w:tplc="4112A1FC">
      <w:numFmt w:val="bullet"/>
      <w:lvlText w:val="•"/>
      <w:lvlJc w:val="left"/>
      <w:pPr>
        <w:ind w:left="5700" w:hanging="269"/>
      </w:pPr>
      <w:rPr>
        <w:rFonts w:hint="default"/>
        <w:lang w:val="en-US" w:eastAsia="en-US" w:bidi="ar-SA"/>
      </w:rPr>
    </w:lvl>
    <w:lvl w:ilvl="6" w:tplc="E6A005CA">
      <w:numFmt w:val="bullet"/>
      <w:lvlText w:val="•"/>
      <w:lvlJc w:val="left"/>
      <w:pPr>
        <w:ind w:left="6620" w:hanging="269"/>
      </w:pPr>
      <w:rPr>
        <w:rFonts w:hint="default"/>
        <w:lang w:val="en-US" w:eastAsia="en-US" w:bidi="ar-SA"/>
      </w:rPr>
    </w:lvl>
    <w:lvl w:ilvl="7" w:tplc="8132CF6C">
      <w:numFmt w:val="bullet"/>
      <w:lvlText w:val="•"/>
      <w:lvlJc w:val="left"/>
      <w:pPr>
        <w:ind w:left="7540" w:hanging="269"/>
      </w:pPr>
      <w:rPr>
        <w:rFonts w:hint="default"/>
        <w:lang w:val="en-US" w:eastAsia="en-US" w:bidi="ar-SA"/>
      </w:rPr>
    </w:lvl>
    <w:lvl w:ilvl="8" w:tplc="DF3A6DAC">
      <w:numFmt w:val="bullet"/>
      <w:lvlText w:val="•"/>
      <w:lvlJc w:val="left"/>
      <w:pPr>
        <w:ind w:left="8460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7C1C0D88"/>
    <w:multiLevelType w:val="hybridMultilevel"/>
    <w:tmpl w:val="7B7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121D8"/>
    <w:multiLevelType w:val="hybridMultilevel"/>
    <w:tmpl w:val="2EB8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F0"/>
    <w:rsid w:val="00021A83"/>
    <w:rsid w:val="00036045"/>
    <w:rsid w:val="00082883"/>
    <w:rsid w:val="0008471F"/>
    <w:rsid w:val="000E0658"/>
    <w:rsid w:val="00100CE2"/>
    <w:rsid w:val="001C18B9"/>
    <w:rsid w:val="00200FDA"/>
    <w:rsid w:val="00211A1D"/>
    <w:rsid w:val="0028066D"/>
    <w:rsid w:val="002A487A"/>
    <w:rsid w:val="002F0B4A"/>
    <w:rsid w:val="00321BFA"/>
    <w:rsid w:val="00326904"/>
    <w:rsid w:val="0036114C"/>
    <w:rsid w:val="003859ED"/>
    <w:rsid w:val="0039559D"/>
    <w:rsid w:val="003B591D"/>
    <w:rsid w:val="003C6627"/>
    <w:rsid w:val="00425C75"/>
    <w:rsid w:val="00426D6A"/>
    <w:rsid w:val="00462C17"/>
    <w:rsid w:val="004F0E48"/>
    <w:rsid w:val="005A4EC3"/>
    <w:rsid w:val="005D724E"/>
    <w:rsid w:val="005E0E6F"/>
    <w:rsid w:val="006B79F7"/>
    <w:rsid w:val="00736068"/>
    <w:rsid w:val="007633E9"/>
    <w:rsid w:val="00763B8D"/>
    <w:rsid w:val="00764F83"/>
    <w:rsid w:val="007A1C16"/>
    <w:rsid w:val="007A1F93"/>
    <w:rsid w:val="007B2D58"/>
    <w:rsid w:val="007D336F"/>
    <w:rsid w:val="007E3EDE"/>
    <w:rsid w:val="00874872"/>
    <w:rsid w:val="0089277E"/>
    <w:rsid w:val="008A02A2"/>
    <w:rsid w:val="008A769F"/>
    <w:rsid w:val="009270A0"/>
    <w:rsid w:val="0095210A"/>
    <w:rsid w:val="009B5D1D"/>
    <w:rsid w:val="009F4028"/>
    <w:rsid w:val="00A4421A"/>
    <w:rsid w:val="00A53FF0"/>
    <w:rsid w:val="00A63B7A"/>
    <w:rsid w:val="00AC37E6"/>
    <w:rsid w:val="00B11A80"/>
    <w:rsid w:val="00B75310"/>
    <w:rsid w:val="00BC2864"/>
    <w:rsid w:val="00BD30B1"/>
    <w:rsid w:val="00BE7B78"/>
    <w:rsid w:val="00BF332C"/>
    <w:rsid w:val="00BF4821"/>
    <w:rsid w:val="00C20352"/>
    <w:rsid w:val="00C21C39"/>
    <w:rsid w:val="00C330C6"/>
    <w:rsid w:val="00C67A42"/>
    <w:rsid w:val="00C74F7B"/>
    <w:rsid w:val="00C93896"/>
    <w:rsid w:val="00CC2278"/>
    <w:rsid w:val="00CF7757"/>
    <w:rsid w:val="00D058A6"/>
    <w:rsid w:val="00D11E53"/>
    <w:rsid w:val="00D2227D"/>
    <w:rsid w:val="00D606B2"/>
    <w:rsid w:val="00D65ECB"/>
    <w:rsid w:val="00E02825"/>
    <w:rsid w:val="00E65A35"/>
    <w:rsid w:val="00E819AD"/>
    <w:rsid w:val="00E82F9E"/>
    <w:rsid w:val="00E9182F"/>
    <w:rsid w:val="00F64235"/>
    <w:rsid w:val="00F7587E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7C40"/>
  <w15:chartTrackingRefBased/>
  <w15:docId w15:val="{97B03F30-7997-F347-8A67-32C66A1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EC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4E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EC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64F83"/>
    <w:rPr>
      <w:color w:val="808080"/>
      <w:shd w:val="clear" w:color="auto" w:fill="E6E6E6"/>
    </w:rPr>
  </w:style>
  <w:style w:type="paragraph" w:customStyle="1" w:styleId="CompanyName">
    <w:name w:val="Company Name"/>
    <w:basedOn w:val="Normal"/>
    <w:qFormat/>
    <w:rsid w:val="00425C75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A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819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37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ED"/>
  </w:style>
  <w:style w:type="paragraph" w:styleId="Footer">
    <w:name w:val="footer"/>
    <w:basedOn w:val="Normal"/>
    <w:link w:val="FooterChar"/>
    <w:uiPriority w:val="99"/>
    <w:unhideWhenUsed/>
    <w:rsid w:val="0038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ED"/>
  </w:style>
  <w:style w:type="character" w:styleId="PageNumber">
    <w:name w:val="page number"/>
    <w:basedOn w:val="DefaultParagraphFont"/>
    <w:uiPriority w:val="99"/>
    <w:semiHidden/>
    <w:unhideWhenUsed/>
    <w:rsid w:val="003859ED"/>
  </w:style>
  <w:style w:type="paragraph" w:styleId="BalloonText">
    <w:name w:val="Balloon Text"/>
    <w:basedOn w:val="Normal"/>
    <w:link w:val="BalloonTextChar"/>
    <w:uiPriority w:val="99"/>
    <w:semiHidden/>
    <w:unhideWhenUsed/>
    <w:rsid w:val="002F0B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4A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21C3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C21C39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C21C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1A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1A1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11A1D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te.Gardner@n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thy.Conner@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ard.h.Johnson@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Bower, Ryan</cp:lastModifiedBy>
  <cp:revision>2</cp:revision>
  <dcterms:created xsi:type="dcterms:W3CDTF">2020-08-29T15:21:00Z</dcterms:created>
  <dcterms:modified xsi:type="dcterms:W3CDTF">2020-08-29T15:21:00Z</dcterms:modified>
</cp:coreProperties>
</file>